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 حول مباحث الألفاظ</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9552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859554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59556_2870459653">
            <w:r>
              <w:rPr>
                <w:webHidden/>
                <w:rStyle w:val="IndexLink"/>
                <w:rtl w:val="true"/>
              </w:rPr>
              <w:t>كلمة شكر</w:t>
            </w:r>
            <w:r>
              <w:rPr>
                <w:rStyle w:val="IndexLink"/>
                <w:rtl w:val="true"/>
              </w:rPr>
              <w:tab/>
            </w:r>
            <w:r>
              <w:rPr>
                <w:rStyle w:val="IndexLink"/>
              </w:rPr>
              <w:t>10</w:t>
            </w:r>
          </w:hyperlink>
        </w:p>
        <w:p>
          <w:pPr>
            <w:pStyle w:val="Contents2"/>
            <w:tabs>
              <w:tab w:val="clear" w:pos="8743"/>
              <w:tab w:val="right" w:pos="9026" w:leader="dot"/>
            </w:tabs>
            <w:rPr/>
          </w:pPr>
          <w:hyperlink w:anchor="__RefHeading___Toc1859558_2870459653">
            <w:r>
              <w:rPr>
                <w:webHidden/>
                <w:rStyle w:val="IndexLink"/>
                <w:rtl w:val="true"/>
              </w:rPr>
              <w:t>دليل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859560_2870459653">
            <w:r>
              <w:rPr>
                <w:webHidden/>
                <w:rStyle w:val="IndexLink"/>
                <w:rtl w:val="true"/>
              </w:rPr>
              <w:t>مقدمة التحقيق</w:t>
            </w:r>
            <w:r>
              <w:rPr>
                <w:rStyle w:val="IndexLink"/>
                <w:rtl w:val="true"/>
              </w:rPr>
              <w:tab/>
            </w:r>
            <w:r>
              <w:rPr>
                <w:rStyle w:val="IndexLink"/>
              </w:rPr>
              <w:t>16</w:t>
            </w:r>
          </w:hyperlink>
        </w:p>
        <w:p>
          <w:pPr>
            <w:pStyle w:val="Contents3"/>
            <w:tabs>
              <w:tab w:val="clear" w:pos="8459"/>
              <w:tab w:val="right" w:pos="9026" w:leader="dot"/>
            </w:tabs>
            <w:rPr/>
          </w:pPr>
          <w:hyperlink w:anchor="__RefHeading___Toc1859562_2870459653">
            <w:r>
              <w:rPr>
                <w:webHidden/>
                <w:rStyle w:val="IndexLink"/>
                <w:rtl w:val="true"/>
              </w:rPr>
              <w:t>ترجمة 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1859564_2870459653">
            <w:r>
              <w:rPr>
                <w:webHidden/>
                <w:rStyle w:val="IndexLink"/>
                <w:rtl w:val="true"/>
              </w:rPr>
              <w:t>مقالات حول مباحث الألفاظ</w:t>
            </w:r>
            <w:r>
              <w:rPr>
                <w:rStyle w:val="IndexLink"/>
                <w:rtl w:val="true"/>
              </w:rPr>
              <w:tab/>
            </w:r>
            <w:r>
              <w:rPr>
                <w:rStyle w:val="IndexLink"/>
              </w:rPr>
              <w:t>18</w:t>
            </w:r>
          </w:hyperlink>
        </w:p>
        <w:p>
          <w:pPr>
            <w:pStyle w:val="Contents2"/>
            <w:tabs>
              <w:tab w:val="clear" w:pos="8743"/>
              <w:tab w:val="right" w:pos="9026" w:leader="dot"/>
            </w:tabs>
            <w:rPr/>
          </w:pPr>
          <w:hyperlink w:anchor="__RefHeading___Toc1859566_2870459653">
            <w:r>
              <w:rPr>
                <w:webHidden/>
                <w:rStyle w:val="IndexLink"/>
                <w:rtl w:val="true"/>
              </w:rPr>
              <w:t>[</w:t>
            </w:r>
            <w:r>
              <w:rPr>
                <w:rStyle w:val="IndexLink"/>
                <w:rtl w:val="true"/>
              </w:rPr>
              <w:t>المقدمة</w:t>
            </w:r>
            <w:r>
              <w:rPr>
                <w:rStyle w:val="IndexLink"/>
                <w:rtl w:val="true"/>
              </w:rPr>
              <w:t>]</w:t>
              <w:tab/>
            </w:r>
            <w:r>
              <w:rPr>
                <w:rStyle w:val="IndexLink"/>
              </w:rPr>
              <w:t>22</w:t>
            </w:r>
          </w:hyperlink>
        </w:p>
        <w:p>
          <w:pPr>
            <w:pStyle w:val="Contents3"/>
            <w:tabs>
              <w:tab w:val="clear" w:pos="8459"/>
              <w:tab w:val="right" w:pos="9026" w:leader="dot"/>
            </w:tabs>
            <w:rPr/>
          </w:pPr>
          <w:hyperlink w:anchor="__RefHeading___Toc1859568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859570_2870459653">
            <w:r>
              <w:rPr>
                <w:webHidden/>
                <w:rStyle w:val="IndexLink"/>
                <w:rtl w:val="true"/>
              </w:rPr>
              <w:t>[</w:t>
            </w:r>
            <w:r>
              <w:rPr>
                <w:rStyle w:val="IndexLink"/>
                <w:rtl w:val="true"/>
              </w:rPr>
              <w:t>الأمر</w:t>
            </w:r>
            <w:r>
              <w:rPr>
                <w:rStyle w:val="IndexLink"/>
                <w:rtl w:val="true"/>
              </w:rPr>
              <w:t xml:space="preserve">] </w:t>
            </w:r>
            <w:r>
              <w:rPr>
                <w:rStyle w:val="IndexLink"/>
                <w:rtl w:val="true"/>
              </w:rPr>
              <w:t>الأول</w:t>
            </w:r>
            <w:r>
              <w:rPr>
                <w:rStyle w:val="IndexLink"/>
                <w:rtl w:val="true"/>
              </w:rPr>
              <w:tab/>
            </w:r>
            <w:r>
              <w:rPr>
                <w:rStyle w:val="IndexLink"/>
              </w:rPr>
              <w:t>22</w:t>
            </w:r>
          </w:hyperlink>
        </w:p>
        <w:p>
          <w:pPr>
            <w:pStyle w:val="Contents3"/>
            <w:tabs>
              <w:tab w:val="clear" w:pos="8459"/>
              <w:tab w:val="right" w:pos="9026" w:leader="dot"/>
            </w:tabs>
            <w:rPr/>
          </w:pPr>
          <w:hyperlink w:anchor="__RefHeading___Toc1859572_2870459653">
            <w:r>
              <w:rPr>
                <w:webHidden/>
                <w:rStyle w:val="IndexLink"/>
                <w:rtl w:val="true"/>
              </w:rPr>
              <w:t>[</w:t>
            </w:r>
            <w:r>
              <w:rPr>
                <w:rStyle w:val="IndexLink"/>
                <w:rtl w:val="true"/>
              </w:rPr>
              <w:t>الأمر</w:t>
            </w:r>
            <w:r>
              <w:rPr>
                <w:rStyle w:val="IndexLink"/>
                <w:rtl w:val="true"/>
              </w:rPr>
              <w:t xml:space="preserve">] </w:t>
            </w:r>
            <w:r>
              <w:rPr>
                <w:rStyle w:val="IndexLink"/>
                <w:rtl w:val="true"/>
              </w:rPr>
              <w:t>الثاني</w:t>
            </w:r>
            <w:r>
              <w:rPr>
                <w:rStyle w:val="IndexLink"/>
                <w:rtl w:val="true"/>
              </w:rPr>
              <w:tab/>
            </w:r>
            <w:r>
              <w:rPr>
                <w:rStyle w:val="IndexLink"/>
              </w:rPr>
              <w:t>33</w:t>
            </w:r>
          </w:hyperlink>
        </w:p>
        <w:p>
          <w:pPr>
            <w:pStyle w:val="Contents3"/>
            <w:tabs>
              <w:tab w:val="clear" w:pos="8459"/>
              <w:tab w:val="right" w:pos="9026" w:leader="dot"/>
            </w:tabs>
            <w:rPr/>
          </w:pPr>
          <w:hyperlink w:anchor="__RefHeading___Toc1859574_2870459653">
            <w:r>
              <w:rPr>
                <w:webHidden/>
                <w:rStyle w:val="IndexLink"/>
                <w:rtl w:val="true"/>
              </w:rPr>
              <w:t>[</w:t>
            </w:r>
            <w:r>
              <w:rPr>
                <w:rStyle w:val="IndexLink"/>
                <w:rtl w:val="true"/>
              </w:rPr>
              <w:t>الأمر</w:t>
            </w:r>
            <w:r>
              <w:rPr>
                <w:rStyle w:val="IndexLink"/>
                <w:rtl w:val="true"/>
              </w:rPr>
              <w:t xml:space="preserve">] </w:t>
            </w:r>
            <w:r>
              <w:rPr>
                <w:rStyle w:val="IndexLink"/>
                <w:rtl w:val="true"/>
              </w:rPr>
              <w:t>الثالث</w:t>
            </w:r>
            <w:r>
              <w:rPr>
                <w:rStyle w:val="IndexLink"/>
                <w:rtl w:val="true"/>
              </w:rPr>
              <w:tab/>
            </w:r>
            <w:r>
              <w:rPr>
                <w:rStyle w:val="IndexLink"/>
              </w:rPr>
              <w:t>36</w:t>
            </w:r>
          </w:hyperlink>
        </w:p>
        <w:p>
          <w:pPr>
            <w:pStyle w:val="Contents3"/>
            <w:tabs>
              <w:tab w:val="clear" w:pos="8459"/>
              <w:tab w:val="right" w:pos="9026" w:leader="dot"/>
            </w:tabs>
            <w:rPr/>
          </w:pPr>
          <w:hyperlink w:anchor="__RefHeading___Toc1859576_2870459653">
            <w:r>
              <w:rPr>
                <w:webHidden/>
                <w:rStyle w:val="IndexLink"/>
                <w:rtl w:val="true"/>
              </w:rPr>
              <w:t>[</w:t>
            </w:r>
            <w:r>
              <w:rPr>
                <w:rStyle w:val="IndexLink"/>
                <w:rtl w:val="true"/>
              </w:rPr>
              <w:t>الأمر</w:t>
            </w:r>
            <w:r>
              <w:rPr>
                <w:rStyle w:val="IndexLink"/>
                <w:rtl w:val="true"/>
              </w:rPr>
              <w:t xml:space="preserve">] </w:t>
            </w:r>
            <w:r>
              <w:rPr>
                <w:rStyle w:val="IndexLink"/>
                <w:rtl w:val="true"/>
              </w:rPr>
              <w:t>الرابع</w:t>
            </w:r>
            <w:r>
              <w:rPr>
                <w:rStyle w:val="IndexLink"/>
                <w:rtl w:val="true"/>
              </w:rPr>
              <w:tab/>
            </w:r>
            <w:r>
              <w:rPr>
                <w:rStyle w:val="IndexLink"/>
              </w:rPr>
              <w:t>38</w:t>
            </w:r>
          </w:hyperlink>
        </w:p>
        <w:p>
          <w:pPr>
            <w:pStyle w:val="Contents3"/>
            <w:tabs>
              <w:tab w:val="clear" w:pos="8459"/>
              <w:tab w:val="right" w:pos="9026" w:leader="dot"/>
            </w:tabs>
            <w:rPr/>
          </w:pPr>
          <w:hyperlink w:anchor="__RefHeading___Toc1859578_2870459653">
            <w:r>
              <w:rPr>
                <w:webHidden/>
                <w:rStyle w:val="IndexLink"/>
                <w:rtl w:val="true"/>
              </w:rPr>
              <w:t>[</w:t>
            </w:r>
            <w:r>
              <w:rPr>
                <w:rStyle w:val="IndexLink"/>
                <w:rtl w:val="true"/>
              </w:rPr>
              <w:t>الأمر</w:t>
            </w:r>
            <w:r>
              <w:rPr>
                <w:rStyle w:val="IndexLink"/>
                <w:rtl w:val="true"/>
              </w:rPr>
              <w:t xml:space="preserve">] </w:t>
            </w:r>
            <w:r>
              <w:rPr>
                <w:rStyle w:val="IndexLink"/>
                <w:rtl w:val="true"/>
              </w:rPr>
              <w:t>الخامس</w:t>
            </w:r>
            <w:r>
              <w:rPr>
                <w:rStyle w:val="IndexLink"/>
                <w:rtl w:val="true"/>
              </w:rPr>
              <w:tab/>
            </w:r>
            <w:r>
              <w:rPr>
                <w:rStyle w:val="IndexLink"/>
              </w:rPr>
              <w:t>43</w:t>
            </w:r>
          </w:hyperlink>
        </w:p>
        <w:p>
          <w:pPr>
            <w:pStyle w:val="Contents3"/>
            <w:tabs>
              <w:tab w:val="clear" w:pos="8459"/>
              <w:tab w:val="right" w:pos="9026" w:leader="dot"/>
            </w:tabs>
            <w:rPr/>
          </w:pPr>
          <w:hyperlink w:anchor="__RefHeading___Toc1859580_2870459653">
            <w:r>
              <w:rPr>
                <w:webHidden/>
                <w:rStyle w:val="IndexLink"/>
                <w:rtl w:val="true"/>
              </w:rPr>
              <w:t>[</w:t>
            </w:r>
            <w:r>
              <w:rPr>
                <w:rStyle w:val="IndexLink"/>
                <w:rtl w:val="true"/>
              </w:rPr>
              <w:t>الأمر</w:t>
            </w:r>
            <w:r>
              <w:rPr>
                <w:rStyle w:val="IndexLink"/>
                <w:rtl w:val="true"/>
              </w:rPr>
              <w:t xml:space="preserve">] </w:t>
            </w:r>
            <w:r>
              <w:rPr>
                <w:rStyle w:val="IndexLink"/>
                <w:rtl w:val="true"/>
              </w:rPr>
              <w:t>السادس</w:t>
            </w:r>
            <w:r>
              <w:rPr>
                <w:rStyle w:val="IndexLink"/>
                <w:rtl w:val="true"/>
              </w:rPr>
              <w:tab/>
            </w:r>
            <w:r>
              <w:rPr>
                <w:rStyle w:val="IndexLink"/>
              </w:rPr>
              <w:t>44</w:t>
            </w:r>
          </w:hyperlink>
        </w:p>
        <w:p>
          <w:pPr>
            <w:pStyle w:val="Contents3"/>
            <w:tabs>
              <w:tab w:val="clear" w:pos="8459"/>
              <w:tab w:val="right" w:pos="9026" w:leader="dot"/>
            </w:tabs>
            <w:rPr/>
          </w:pPr>
          <w:hyperlink w:anchor="__RefHeading___Toc1859582_2870459653">
            <w:r>
              <w:rPr>
                <w:webHidden/>
                <w:rStyle w:val="IndexLink"/>
                <w:rtl w:val="true"/>
              </w:rPr>
              <w:t>[</w:t>
            </w:r>
            <w:r>
              <w:rPr>
                <w:rStyle w:val="IndexLink"/>
                <w:rtl w:val="true"/>
              </w:rPr>
              <w:t>الأمر</w:t>
            </w:r>
            <w:r>
              <w:rPr>
                <w:rStyle w:val="IndexLink"/>
                <w:rtl w:val="true"/>
              </w:rPr>
              <w:t xml:space="preserve">] </w:t>
            </w:r>
            <w:r>
              <w:rPr>
                <w:rStyle w:val="IndexLink"/>
                <w:rtl w:val="true"/>
              </w:rPr>
              <w:t>السابع</w:t>
            </w:r>
            <w:r>
              <w:rPr>
                <w:rStyle w:val="IndexLink"/>
                <w:rtl w:val="true"/>
              </w:rPr>
              <w:tab/>
            </w:r>
            <w:r>
              <w:rPr>
                <w:rStyle w:val="IndexLink"/>
              </w:rPr>
              <w:t>47</w:t>
            </w:r>
          </w:hyperlink>
        </w:p>
        <w:p>
          <w:pPr>
            <w:pStyle w:val="Contents3"/>
            <w:tabs>
              <w:tab w:val="clear" w:pos="8459"/>
              <w:tab w:val="right" w:pos="9026" w:leader="dot"/>
            </w:tabs>
            <w:rPr/>
          </w:pPr>
          <w:hyperlink w:anchor="__RefHeading___Toc1859584_2870459653">
            <w:r>
              <w:rPr>
                <w:webHidden/>
                <w:rStyle w:val="IndexLink"/>
                <w:rtl w:val="true"/>
              </w:rPr>
              <w:t>[</w:t>
            </w:r>
            <w:r>
              <w:rPr>
                <w:rStyle w:val="IndexLink"/>
                <w:rtl w:val="true"/>
              </w:rPr>
              <w:t>الأمر</w:t>
            </w:r>
            <w:r>
              <w:rPr>
                <w:rStyle w:val="IndexLink"/>
                <w:rtl w:val="true"/>
              </w:rPr>
              <w:t xml:space="preserve">] </w:t>
            </w:r>
            <w:r>
              <w:rPr>
                <w:rStyle w:val="IndexLink"/>
                <w:rtl w:val="true"/>
              </w:rPr>
              <w:t>الثامن</w:t>
            </w:r>
            <w:r>
              <w:rPr>
                <w:rStyle w:val="IndexLink"/>
                <w:rtl w:val="true"/>
              </w:rPr>
              <w:tab/>
            </w:r>
            <w:r>
              <w:rPr>
                <w:rStyle w:val="IndexLink"/>
              </w:rPr>
              <w:t>48</w:t>
            </w:r>
          </w:hyperlink>
        </w:p>
        <w:p>
          <w:pPr>
            <w:pStyle w:val="Contents3"/>
            <w:tabs>
              <w:tab w:val="clear" w:pos="8459"/>
              <w:tab w:val="right" w:pos="9026" w:leader="dot"/>
            </w:tabs>
            <w:rPr/>
          </w:pPr>
          <w:hyperlink w:anchor="__RefHeading___Toc1859586_2870459653">
            <w:r>
              <w:rPr>
                <w:webHidden/>
                <w:rStyle w:val="IndexLink"/>
                <w:rtl w:val="true"/>
              </w:rPr>
              <w:t>تنبیهان</w:t>
            </w:r>
            <w:r>
              <w:rPr>
                <w:rStyle w:val="IndexLink"/>
                <w:rtl w:val="true"/>
              </w:rPr>
              <w:tab/>
            </w:r>
            <w:r>
              <w:rPr>
                <w:rStyle w:val="IndexLink"/>
              </w:rPr>
              <w:t>49</w:t>
            </w:r>
          </w:hyperlink>
        </w:p>
        <w:p>
          <w:pPr>
            <w:pStyle w:val="Contents3"/>
            <w:tabs>
              <w:tab w:val="clear" w:pos="8459"/>
              <w:tab w:val="right" w:pos="9026" w:leader="dot"/>
            </w:tabs>
            <w:rPr/>
          </w:pPr>
          <w:hyperlink w:anchor="__RefHeading___Toc1859588_2870459653">
            <w:r>
              <w:rPr>
                <w:webHidden/>
                <w:rStyle w:val="IndexLink"/>
                <w:rtl w:val="true"/>
              </w:rPr>
              <w:t>[</w:t>
            </w:r>
            <w:r>
              <w:rPr>
                <w:rStyle w:val="IndexLink"/>
                <w:rtl w:val="true"/>
              </w:rPr>
              <w:t>الأمر</w:t>
            </w:r>
            <w:r>
              <w:rPr>
                <w:rStyle w:val="IndexLink"/>
                <w:rtl w:val="true"/>
              </w:rPr>
              <w:t xml:space="preserve">] </w:t>
            </w:r>
            <w:r>
              <w:rPr>
                <w:rStyle w:val="IndexLink"/>
                <w:rtl w:val="true"/>
              </w:rPr>
              <w:t>التاسع</w:t>
            </w:r>
            <w:r>
              <w:rPr>
                <w:rStyle w:val="IndexLink"/>
                <w:rtl w:val="true"/>
              </w:rPr>
              <w:tab/>
            </w:r>
            <w:r>
              <w:rPr>
                <w:rStyle w:val="IndexLink"/>
              </w:rPr>
              <w:t>50</w:t>
            </w:r>
          </w:hyperlink>
        </w:p>
        <w:p>
          <w:pPr>
            <w:pStyle w:val="Contents3"/>
            <w:tabs>
              <w:tab w:val="clear" w:pos="8459"/>
              <w:tab w:val="right" w:pos="9026" w:leader="dot"/>
            </w:tabs>
            <w:rPr/>
          </w:pPr>
          <w:hyperlink w:anchor="__RefHeading___Toc1859590_2870459653">
            <w:r>
              <w:rPr>
                <w:webHidden/>
                <w:rStyle w:val="IndexLink"/>
                <w:rtl w:val="true"/>
              </w:rPr>
              <w:t>[</w:t>
            </w:r>
            <w:r>
              <w:rPr>
                <w:rStyle w:val="IndexLink"/>
                <w:rtl w:val="true"/>
              </w:rPr>
              <w:t>الأمر</w:t>
            </w:r>
            <w:r>
              <w:rPr>
                <w:rStyle w:val="IndexLink"/>
                <w:rtl w:val="true"/>
              </w:rPr>
              <w:t xml:space="preserve">] </w:t>
            </w:r>
            <w:r>
              <w:rPr>
                <w:rStyle w:val="IndexLink"/>
                <w:rtl w:val="true"/>
              </w:rPr>
              <w:t>العاشر</w:t>
            </w:r>
            <w:r>
              <w:rPr>
                <w:rStyle w:val="IndexLink"/>
                <w:rtl w:val="true"/>
              </w:rPr>
              <w:tab/>
            </w:r>
            <w:r>
              <w:rPr>
                <w:rStyle w:val="IndexLink"/>
              </w:rPr>
              <w:t>52</w:t>
            </w:r>
          </w:hyperlink>
        </w:p>
        <w:p>
          <w:pPr>
            <w:pStyle w:val="Contents3"/>
            <w:tabs>
              <w:tab w:val="clear" w:pos="8459"/>
              <w:tab w:val="right" w:pos="9026" w:leader="dot"/>
            </w:tabs>
            <w:rPr/>
          </w:pPr>
          <w:hyperlink w:anchor="__RefHeading___Toc1859592_2870459653">
            <w:r>
              <w:rPr>
                <w:webHidden/>
                <w:rStyle w:val="IndexLink"/>
                <w:rtl w:val="true"/>
              </w:rPr>
              <w:t>[</w:t>
            </w:r>
            <w:r>
              <w:rPr>
                <w:rStyle w:val="IndexLink"/>
                <w:rtl w:val="true"/>
              </w:rPr>
              <w:t>الأمر</w:t>
            </w:r>
            <w:r>
              <w:rPr>
                <w:rStyle w:val="IndexLink"/>
                <w:rtl w:val="true"/>
              </w:rPr>
              <w:t xml:space="preserve">] </w:t>
            </w:r>
            <w:r>
              <w:rPr>
                <w:rStyle w:val="IndexLink"/>
                <w:rtl w:val="true"/>
              </w:rPr>
              <w:t>الحادي عشر</w:t>
            </w:r>
            <w:r>
              <w:rPr>
                <w:rStyle w:val="IndexLink"/>
                <w:rtl w:val="true"/>
              </w:rPr>
              <w:tab/>
            </w:r>
            <w:r>
              <w:rPr>
                <w:rStyle w:val="IndexLink"/>
              </w:rPr>
              <w:t>53</w:t>
            </w:r>
          </w:hyperlink>
        </w:p>
        <w:p>
          <w:pPr>
            <w:pStyle w:val="Contents3"/>
            <w:tabs>
              <w:tab w:val="clear" w:pos="8459"/>
              <w:tab w:val="right" w:pos="9026" w:leader="dot"/>
            </w:tabs>
            <w:rPr/>
          </w:pPr>
          <w:hyperlink w:anchor="__RefHeading___Toc1859594_2870459653">
            <w:r>
              <w:rPr>
                <w:webHidden/>
                <w:rStyle w:val="IndexLink"/>
                <w:rtl w:val="true"/>
              </w:rPr>
              <w:t>[</w:t>
            </w:r>
            <w:r>
              <w:rPr>
                <w:rStyle w:val="IndexLink"/>
                <w:rtl w:val="true"/>
              </w:rPr>
              <w:t>الأمر</w:t>
            </w:r>
            <w:r>
              <w:rPr>
                <w:rStyle w:val="IndexLink"/>
                <w:rtl w:val="true"/>
              </w:rPr>
              <w:t xml:space="preserve">] </w:t>
            </w:r>
            <w:r>
              <w:rPr>
                <w:rStyle w:val="IndexLink"/>
                <w:rtl w:val="true"/>
              </w:rPr>
              <w:t>الثاني عشر</w:t>
            </w:r>
            <w:r>
              <w:rPr>
                <w:rStyle w:val="IndexLink"/>
                <w:rtl w:val="true"/>
              </w:rPr>
              <w:tab/>
            </w:r>
            <w:r>
              <w:rPr>
                <w:rStyle w:val="IndexLink"/>
              </w:rPr>
              <w:t>59</w:t>
            </w:r>
          </w:hyperlink>
        </w:p>
        <w:p>
          <w:pPr>
            <w:pStyle w:val="Contents3"/>
            <w:tabs>
              <w:tab w:val="clear" w:pos="8459"/>
              <w:tab w:val="right" w:pos="9026" w:leader="dot"/>
            </w:tabs>
            <w:rPr/>
          </w:pPr>
          <w:hyperlink w:anchor="__RefHeading___Toc1859596_2870459653">
            <w:r>
              <w:rPr>
                <w:webHidden/>
                <w:rStyle w:val="IndexLink"/>
                <w:rtl w:val="true"/>
              </w:rPr>
              <w:t>[</w:t>
            </w:r>
            <w:r>
              <w:rPr>
                <w:rStyle w:val="IndexLink"/>
                <w:rtl w:val="true"/>
              </w:rPr>
              <w:t>الأمر</w:t>
            </w:r>
            <w:r>
              <w:rPr>
                <w:rStyle w:val="IndexLink"/>
                <w:rtl w:val="true"/>
              </w:rPr>
              <w:t xml:space="preserve">] </w:t>
            </w:r>
            <w:r>
              <w:rPr>
                <w:rStyle w:val="IndexLink"/>
                <w:rtl w:val="true"/>
              </w:rPr>
              <w:t>الثالث عشر</w:t>
            </w:r>
            <w:r>
              <w:rPr>
                <w:rStyle w:val="IndexLink"/>
                <w:rtl w:val="true"/>
              </w:rPr>
              <w:tab/>
            </w:r>
            <w:r>
              <w:rPr>
                <w:rStyle w:val="IndexLink"/>
              </w:rPr>
              <w:t>60</w:t>
            </w:r>
          </w:hyperlink>
        </w:p>
        <w:p>
          <w:pPr>
            <w:pStyle w:val="Contents3"/>
            <w:tabs>
              <w:tab w:val="clear" w:pos="8459"/>
              <w:tab w:val="right" w:pos="9026" w:leader="dot"/>
            </w:tabs>
            <w:rPr/>
          </w:pPr>
          <w:hyperlink w:anchor="__RefHeading___Toc1859598_2870459653">
            <w:r>
              <w:rPr>
                <w:webHidden/>
                <w:rStyle w:val="IndexLink"/>
                <w:rtl w:val="true"/>
              </w:rPr>
              <w:t>[</w:t>
            </w:r>
            <w:r>
              <w:rPr>
                <w:rStyle w:val="IndexLink"/>
                <w:rtl w:val="true"/>
              </w:rPr>
              <w:t>الأمر</w:t>
            </w:r>
            <w:r>
              <w:rPr>
                <w:rStyle w:val="IndexLink"/>
                <w:rtl w:val="true"/>
              </w:rPr>
              <w:t xml:space="preserve">] </w:t>
            </w:r>
            <w:r>
              <w:rPr>
                <w:rStyle w:val="IndexLink"/>
                <w:rtl w:val="true"/>
              </w:rPr>
              <w:t>الرابع عشر</w:t>
            </w:r>
            <w:r>
              <w:rPr>
                <w:rStyle w:val="IndexLink"/>
                <w:rtl w:val="true"/>
              </w:rPr>
              <w:tab/>
            </w:r>
            <w:r>
              <w:rPr>
                <w:rStyle w:val="IndexLink"/>
              </w:rPr>
              <w:t>61</w:t>
            </w:r>
          </w:hyperlink>
        </w:p>
        <w:p>
          <w:pPr>
            <w:pStyle w:val="Contents3"/>
            <w:tabs>
              <w:tab w:val="clear" w:pos="8459"/>
              <w:tab w:val="right" w:pos="9026" w:leader="dot"/>
            </w:tabs>
            <w:rPr/>
          </w:pPr>
          <w:hyperlink w:anchor="__RefHeading___Toc1859600_2870459653">
            <w:r>
              <w:rPr>
                <w:webHidden/>
                <w:rStyle w:val="IndexLink"/>
                <w:rtl w:val="true"/>
              </w:rPr>
              <w:t>تنبيهات</w:t>
            </w:r>
            <w:r>
              <w:rPr>
                <w:rStyle w:val="IndexLink"/>
                <w:rtl w:val="true"/>
              </w:rPr>
              <w:tab/>
            </w:r>
            <w:r>
              <w:rPr>
                <w:rStyle w:val="IndexLink"/>
              </w:rPr>
              <w:t>68</w:t>
            </w:r>
          </w:hyperlink>
        </w:p>
        <w:p>
          <w:pPr>
            <w:pStyle w:val="Contents2"/>
            <w:tabs>
              <w:tab w:val="clear" w:pos="8743"/>
              <w:tab w:val="right" w:pos="9026" w:leader="dot"/>
            </w:tabs>
            <w:rPr/>
          </w:pPr>
          <w:hyperlink w:anchor="__RefHeading___Toc1859602_2870459653">
            <w:r>
              <w:rPr>
                <w:webHidden/>
                <w:rStyle w:val="IndexLink"/>
                <w:rtl w:val="true"/>
              </w:rPr>
              <w:t>المقصد الأول في الأوامر</w:t>
            </w:r>
            <w:r>
              <w:rPr>
                <w:rStyle w:val="IndexLink"/>
                <w:rtl w:val="true"/>
              </w:rPr>
              <w:tab/>
            </w:r>
            <w:r>
              <w:rPr>
                <w:rStyle w:val="IndexLink"/>
              </w:rPr>
              <w:t>82</w:t>
            </w:r>
          </w:hyperlink>
        </w:p>
        <w:p>
          <w:pPr>
            <w:pStyle w:val="Contents3"/>
            <w:tabs>
              <w:tab w:val="clear" w:pos="8459"/>
              <w:tab w:val="right" w:pos="9026" w:leader="dot"/>
            </w:tabs>
            <w:rPr/>
          </w:pPr>
          <w:hyperlink w:anchor="__RefHeading___Toc1859604_2870459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859606_2870459653">
            <w:r>
              <w:rPr>
                <w:webHidden/>
                <w:rStyle w:val="IndexLink"/>
                <w:rtl w:val="true"/>
              </w:rPr>
              <w:t>تنبيهات</w:t>
            </w:r>
            <w:r>
              <w:rPr>
                <w:rStyle w:val="IndexLink"/>
                <w:rtl w:val="true"/>
              </w:rPr>
              <w:tab/>
            </w:r>
            <w:r>
              <w:rPr>
                <w:rStyle w:val="IndexLink"/>
              </w:rPr>
              <w:t>88</w:t>
            </w:r>
          </w:hyperlink>
        </w:p>
        <w:p>
          <w:pPr>
            <w:pStyle w:val="Contents3"/>
            <w:tabs>
              <w:tab w:val="clear" w:pos="8459"/>
              <w:tab w:val="right" w:pos="9026" w:leader="dot"/>
            </w:tabs>
            <w:rPr/>
          </w:pPr>
          <w:hyperlink w:anchor="__RefHeading___Toc1859608_2870459653">
            <w:r>
              <w:rPr>
                <w:webHidden/>
                <w:rStyle w:val="IndexLink"/>
                <w:rtl w:val="true"/>
              </w:rPr>
              <w:t>[</w:t>
            </w:r>
            <w:r>
              <w:rPr>
                <w:rStyle w:val="IndexLink"/>
                <w:rtl w:val="true"/>
              </w:rPr>
              <w:t>الأصل</w:t>
            </w:r>
            <w:r>
              <w:rPr>
                <w:rStyle w:val="IndexLink"/>
                <w:rtl w:val="true"/>
              </w:rPr>
              <w:t xml:space="preserve">] </w:t>
            </w:r>
            <w:r>
              <w:rPr>
                <w:rStyle w:val="IndexLink"/>
                <w:rtl w:val="true"/>
              </w:rPr>
              <w:t>الأول</w:t>
            </w:r>
            <w:r>
              <w:rPr>
                <w:rStyle w:val="IndexLink"/>
                <w:rtl w:val="true"/>
              </w:rPr>
              <w:tab/>
            </w:r>
            <w:r>
              <w:rPr>
                <w:rStyle w:val="IndexLink"/>
              </w:rPr>
              <w:t>92</w:t>
            </w:r>
          </w:hyperlink>
        </w:p>
        <w:p>
          <w:pPr>
            <w:pStyle w:val="Contents3"/>
            <w:tabs>
              <w:tab w:val="clear" w:pos="8459"/>
              <w:tab w:val="right" w:pos="9026" w:leader="dot"/>
            </w:tabs>
            <w:rPr/>
          </w:pPr>
          <w:hyperlink w:anchor="__RefHeading___Toc1859610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الثالث</w:t>
            </w:r>
            <w:r>
              <w:rPr>
                <w:rStyle w:val="IndexLink"/>
                <w:rtl w:val="true"/>
              </w:rPr>
              <w:tab/>
            </w:r>
            <w:r>
              <w:rPr>
                <w:rStyle w:val="IndexLink"/>
              </w:rPr>
              <w:t>107</w:t>
            </w:r>
          </w:hyperlink>
        </w:p>
        <w:p>
          <w:pPr>
            <w:pStyle w:val="Contents3"/>
            <w:tabs>
              <w:tab w:val="clear" w:pos="8459"/>
              <w:tab w:val="right" w:pos="9026" w:leader="dot"/>
            </w:tabs>
            <w:rPr/>
          </w:pPr>
          <w:hyperlink w:anchor="__RefHeading___Toc1859612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الرابع</w:t>
            </w:r>
            <w:r>
              <w:rPr>
                <w:rStyle w:val="IndexLink"/>
                <w:rtl w:val="true"/>
              </w:rPr>
              <w:tab/>
            </w:r>
            <w:r>
              <w:rPr>
                <w:rStyle w:val="IndexLink"/>
              </w:rPr>
              <w:t>108</w:t>
            </w:r>
          </w:hyperlink>
        </w:p>
        <w:p>
          <w:pPr>
            <w:pStyle w:val="Contents3"/>
            <w:tabs>
              <w:tab w:val="clear" w:pos="8459"/>
              <w:tab w:val="right" w:pos="9026" w:leader="dot"/>
            </w:tabs>
            <w:rPr/>
          </w:pPr>
          <w:hyperlink w:anchor="__RefHeading___Toc1859614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الخامس</w:t>
            </w:r>
            <w:r>
              <w:rPr>
                <w:rStyle w:val="IndexLink"/>
                <w:rtl w:val="true"/>
              </w:rPr>
              <w:tab/>
            </w:r>
            <w:r>
              <w:rPr>
                <w:rStyle w:val="IndexLink"/>
              </w:rPr>
              <w:t>109</w:t>
            </w:r>
          </w:hyperlink>
        </w:p>
        <w:p>
          <w:pPr>
            <w:pStyle w:val="Contents3"/>
            <w:tabs>
              <w:tab w:val="clear" w:pos="8459"/>
              <w:tab w:val="right" w:pos="9026" w:leader="dot"/>
            </w:tabs>
            <w:rPr/>
          </w:pPr>
          <w:hyperlink w:anchor="__RefHeading___Toc1859616_2870459653">
            <w:r>
              <w:rPr>
                <w:webHidden/>
                <w:rStyle w:val="IndexLink"/>
                <w:rtl w:val="true"/>
              </w:rPr>
              <w:t>تنبیهان</w:t>
            </w:r>
            <w:r>
              <w:rPr>
                <w:rStyle w:val="IndexLink"/>
                <w:rtl w:val="true"/>
              </w:rPr>
              <w:tab/>
            </w:r>
            <w:r>
              <w:rPr>
                <w:rStyle w:val="IndexLink"/>
              </w:rPr>
              <w:t>111</w:t>
            </w:r>
          </w:hyperlink>
        </w:p>
        <w:p>
          <w:pPr>
            <w:pStyle w:val="Contents3"/>
            <w:tabs>
              <w:tab w:val="clear" w:pos="8459"/>
              <w:tab w:val="right" w:pos="9026" w:leader="dot"/>
            </w:tabs>
            <w:rPr/>
          </w:pPr>
          <w:hyperlink w:anchor="__RefHeading___Toc1859618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السادس</w:t>
            </w:r>
            <w:r>
              <w:rPr>
                <w:rStyle w:val="IndexLink"/>
                <w:rtl w:val="true"/>
              </w:rPr>
              <w:tab/>
            </w:r>
            <w:r>
              <w:rPr>
                <w:rStyle w:val="IndexLink"/>
              </w:rPr>
              <w:t>111</w:t>
            </w:r>
          </w:hyperlink>
        </w:p>
        <w:p>
          <w:pPr>
            <w:pStyle w:val="Contents3"/>
            <w:tabs>
              <w:tab w:val="clear" w:pos="8459"/>
              <w:tab w:val="right" w:pos="9026" w:leader="dot"/>
            </w:tabs>
            <w:rPr/>
          </w:pPr>
          <w:hyperlink w:anchor="__RefHeading___Toc1859620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السابع</w:t>
            </w:r>
            <w:r>
              <w:rPr>
                <w:rStyle w:val="IndexLink"/>
                <w:rtl w:val="true"/>
              </w:rPr>
              <w:tab/>
            </w:r>
            <w:r>
              <w:rPr>
                <w:rStyle w:val="IndexLink"/>
              </w:rPr>
              <w:t>114</w:t>
            </w:r>
          </w:hyperlink>
        </w:p>
        <w:p>
          <w:pPr>
            <w:pStyle w:val="Contents3"/>
            <w:tabs>
              <w:tab w:val="clear" w:pos="8459"/>
              <w:tab w:val="right" w:pos="9026" w:leader="dot"/>
            </w:tabs>
            <w:rPr/>
          </w:pPr>
          <w:hyperlink w:anchor="__RefHeading___Toc1859622_2870459653">
            <w:r>
              <w:rPr>
                <w:webHidden/>
                <w:rStyle w:val="IndexLink"/>
                <w:rtl w:val="true"/>
              </w:rPr>
              <w:t>تنبيهات</w:t>
            </w:r>
            <w:r>
              <w:rPr>
                <w:rStyle w:val="IndexLink"/>
                <w:rtl w:val="true"/>
              </w:rPr>
              <w:tab/>
            </w:r>
            <w:r>
              <w:rPr>
                <w:rStyle w:val="IndexLink"/>
              </w:rPr>
              <w:t>116</w:t>
            </w:r>
          </w:hyperlink>
        </w:p>
        <w:p>
          <w:pPr>
            <w:pStyle w:val="Contents3"/>
            <w:tabs>
              <w:tab w:val="clear" w:pos="8459"/>
              <w:tab w:val="right" w:pos="9026" w:leader="dot"/>
            </w:tabs>
            <w:rPr/>
          </w:pPr>
          <w:hyperlink w:anchor="__RefHeading___Toc1859624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الثامن</w:t>
            </w:r>
            <w:r>
              <w:rPr>
                <w:rStyle w:val="IndexLink"/>
                <w:rtl w:val="true"/>
              </w:rPr>
              <w:tab/>
            </w:r>
            <w:r>
              <w:rPr>
                <w:rStyle w:val="IndexLink"/>
              </w:rPr>
              <w:t>124</w:t>
            </w:r>
          </w:hyperlink>
        </w:p>
        <w:p>
          <w:pPr>
            <w:pStyle w:val="Contents3"/>
            <w:tabs>
              <w:tab w:val="clear" w:pos="8459"/>
              <w:tab w:val="right" w:pos="9026" w:leader="dot"/>
            </w:tabs>
            <w:rPr/>
          </w:pPr>
          <w:hyperlink w:anchor="__RefHeading___Toc1859626_2870459653">
            <w:r>
              <w:rPr>
                <w:webHidden/>
                <w:rStyle w:val="IndexLink"/>
                <w:rtl w:val="true"/>
              </w:rPr>
              <w:t>تنبيهات</w:t>
            </w:r>
            <w:r>
              <w:rPr>
                <w:rStyle w:val="IndexLink"/>
                <w:rtl w:val="true"/>
              </w:rPr>
              <w:tab/>
            </w:r>
            <w:r>
              <w:rPr>
                <w:rStyle w:val="IndexLink"/>
              </w:rPr>
              <w:t>127</w:t>
            </w:r>
          </w:hyperlink>
        </w:p>
        <w:p>
          <w:pPr>
            <w:pStyle w:val="Contents3"/>
            <w:tabs>
              <w:tab w:val="clear" w:pos="8459"/>
              <w:tab w:val="right" w:pos="9026" w:leader="dot"/>
            </w:tabs>
            <w:rPr/>
          </w:pPr>
          <w:hyperlink w:anchor="__RefHeading___Toc1859628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التاسع</w:t>
            </w:r>
            <w:r>
              <w:rPr>
                <w:rStyle w:val="IndexLink"/>
                <w:rtl w:val="true"/>
              </w:rPr>
              <w:tab/>
            </w:r>
            <w:r>
              <w:rPr>
                <w:rStyle w:val="IndexLink"/>
              </w:rPr>
              <w:t>131</w:t>
            </w:r>
          </w:hyperlink>
        </w:p>
        <w:p>
          <w:pPr>
            <w:pStyle w:val="Contents3"/>
            <w:tabs>
              <w:tab w:val="clear" w:pos="8459"/>
              <w:tab w:val="right" w:pos="9026" w:leader="dot"/>
            </w:tabs>
            <w:rPr/>
          </w:pPr>
          <w:hyperlink w:anchor="__RefHeading___Toc1859630_2870459653">
            <w:r>
              <w:rPr>
                <w:webHidden/>
                <w:rStyle w:val="IndexLink"/>
                <w:rtl w:val="true"/>
              </w:rPr>
              <w:t>تنبیهان</w:t>
            </w:r>
            <w:r>
              <w:rPr>
                <w:rStyle w:val="IndexLink"/>
                <w:rtl w:val="true"/>
              </w:rPr>
              <w:tab/>
            </w:r>
            <w:r>
              <w:rPr>
                <w:rStyle w:val="IndexLink"/>
              </w:rPr>
              <w:t>135</w:t>
            </w:r>
          </w:hyperlink>
        </w:p>
        <w:p>
          <w:pPr>
            <w:pStyle w:val="Contents3"/>
            <w:tabs>
              <w:tab w:val="clear" w:pos="8459"/>
              <w:tab w:val="right" w:pos="9026" w:leader="dot"/>
            </w:tabs>
            <w:rPr/>
          </w:pPr>
          <w:hyperlink w:anchor="__RefHeading___Toc1859632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العاشر</w:t>
            </w:r>
            <w:r>
              <w:rPr>
                <w:rStyle w:val="IndexLink"/>
                <w:rtl w:val="true"/>
              </w:rPr>
              <w:tab/>
            </w:r>
            <w:r>
              <w:rPr>
                <w:rStyle w:val="IndexLink"/>
              </w:rPr>
              <w:t>136</w:t>
            </w:r>
          </w:hyperlink>
        </w:p>
        <w:p>
          <w:pPr>
            <w:pStyle w:val="Contents3"/>
            <w:tabs>
              <w:tab w:val="clear" w:pos="8459"/>
              <w:tab w:val="right" w:pos="9026" w:leader="dot"/>
            </w:tabs>
            <w:rPr/>
          </w:pPr>
          <w:hyperlink w:anchor="__RefHeading___Toc1859634_2870459653">
            <w:r>
              <w:rPr>
                <w:webHidden/>
                <w:rStyle w:val="IndexLink"/>
                <w:rtl w:val="true"/>
              </w:rPr>
              <w:t>تنبیهان</w:t>
            </w:r>
            <w:r>
              <w:rPr>
                <w:rStyle w:val="IndexLink"/>
                <w:rtl w:val="true"/>
              </w:rPr>
              <w:tab/>
            </w:r>
            <w:r>
              <w:rPr>
                <w:rStyle w:val="IndexLink"/>
              </w:rPr>
              <w:t>141</w:t>
            </w:r>
          </w:hyperlink>
        </w:p>
        <w:p>
          <w:pPr>
            <w:pStyle w:val="Contents3"/>
            <w:tabs>
              <w:tab w:val="clear" w:pos="8459"/>
              <w:tab w:val="right" w:pos="9026" w:leader="dot"/>
            </w:tabs>
            <w:rPr/>
          </w:pPr>
          <w:hyperlink w:anchor="__RefHeading___Toc1859636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الثاني عشر</w:t>
            </w:r>
            <w:r>
              <w:rPr>
                <w:rStyle w:val="IndexLink"/>
                <w:rtl w:val="true"/>
              </w:rPr>
              <w:tab/>
            </w:r>
            <w:r>
              <w:rPr>
                <w:rStyle w:val="IndexLink"/>
              </w:rPr>
              <w:t>142</w:t>
            </w:r>
          </w:hyperlink>
        </w:p>
        <w:p>
          <w:pPr>
            <w:pStyle w:val="Contents3"/>
            <w:tabs>
              <w:tab w:val="clear" w:pos="8459"/>
              <w:tab w:val="right" w:pos="9026" w:leader="dot"/>
            </w:tabs>
            <w:rPr/>
          </w:pPr>
          <w:hyperlink w:anchor="__RefHeading___Toc1859638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الثالث عشر</w:t>
            </w:r>
            <w:r>
              <w:rPr>
                <w:rStyle w:val="IndexLink"/>
                <w:rtl w:val="true"/>
              </w:rPr>
              <w:tab/>
            </w:r>
            <w:r>
              <w:rPr>
                <w:rStyle w:val="IndexLink"/>
              </w:rPr>
              <w:t>142</w:t>
            </w:r>
          </w:hyperlink>
        </w:p>
        <w:p>
          <w:pPr>
            <w:pStyle w:val="Contents3"/>
            <w:tabs>
              <w:tab w:val="clear" w:pos="8459"/>
              <w:tab w:val="right" w:pos="9026" w:leader="dot"/>
            </w:tabs>
            <w:rPr/>
          </w:pPr>
          <w:hyperlink w:anchor="__RefHeading___Toc1859640_2870459653">
            <w:r>
              <w:rPr>
                <w:webHidden/>
                <w:rStyle w:val="IndexLink"/>
                <w:rtl w:val="true"/>
              </w:rPr>
              <w:t>تنبیهان</w:t>
            </w:r>
            <w:r>
              <w:rPr>
                <w:rStyle w:val="IndexLink"/>
                <w:rtl w:val="true"/>
              </w:rPr>
              <w:tab/>
            </w:r>
            <w:r>
              <w:rPr>
                <w:rStyle w:val="IndexLink"/>
              </w:rPr>
              <w:t>143</w:t>
            </w:r>
          </w:hyperlink>
        </w:p>
        <w:p>
          <w:pPr>
            <w:pStyle w:val="Contents3"/>
            <w:tabs>
              <w:tab w:val="clear" w:pos="8459"/>
              <w:tab w:val="right" w:pos="9026" w:leader="dot"/>
            </w:tabs>
            <w:rPr/>
          </w:pPr>
          <w:hyperlink w:anchor="__RefHeading___Toc1859642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الرابع عشر</w:t>
            </w:r>
            <w:r>
              <w:rPr>
                <w:rStyle w:val="IndexLink"/>
                <w:rtl w:val="true"/>
              </w:rPr>
              <w:tab/>
            </w:r>
            <w:r>
              <w:rPr>
                <w:rStyle w:val="IndexLink"/>
              </w:rPr>
              <w:t>144</w:t>
            </w:r>
          </w:hyperlink>
        </w:p>
        <w:p>
          <w:pPr>
            <w:pStyle w:val="Contents3"/>
            <w:tabs>
              <w:tab w:val="clear" w:pos="8459"/>
              <w:tab w:val="right" w:pos="9026" w:leader="dot"/>
            </w:tabs>
            <w:rPr/>
          </w:pPr>
          <w:hyperlink w:anchor="__RefHeading___Toc1859644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الخامس عشر</w:t>
            </w:r>
            <w:r>
              <w:rPr>
                <w:rStyle w:val="IndexLink"/>
                <w:rtl w:val="true"/>
              </w:rPr>
              <w:tab/>
            </w:r>
            <w:r>
              <w:rPr>
                <w:rStyle w:val="IndexLink"/>
              </w:rPr>
              <w:t>145</w:t>
            </w:r>
          </w:hyperlink>
        </w:p>
        <w:p>
          <w:pPr>
            <w:pStyle w:val="Contents3"/>
            <w:tabs>
              <w:tab w:val="clear" w:pos="8459"/>
              <w:tab w:val="right" w:pos="9026" w:leader="dot"/>
            </w:tabs>
            <w:rPr/>
          </w:pPr>
          <w:hyperlink w:anchor="__RefHeading___Toc1859646_2870459653">
            <w:r>
              <w:rPr>
                <w:webHidden/>
                <w:rStyle w:val="IndexLink"/>
                <w:rtl w:val="true"/>
              </w:rPr>
              <w:t>و</w:t>
            </w:r>
            <w:r>
              <w:rPr>
                <w:rStyle w:val="IndexLink"/>
                <w:rtl w:val="true"/>
              </w:rPr>
              <w:t>[</w:t>
            </w:r>
            <w:r>
              <w:rPr>
                <w:rStyle w:val="IndexLink"/>
                <w:rtl w:val="true"/>
              </w:rPr>
              <w:t>الأصل</w:t>
            </w:r>
            <w:r>
              <w:rPr>
                <w:rStyle w:val="IndexLink"/>
                <w:rtl w:val="true"/>
              </w:rPr>
              <w:t xml:space="preserve">] </w:t>
            </w:r>
            <w:r>
              <w:rPr>
                <w:rStyle w:val="IndexLink"/>
                <w:rtl w:val="true"/>
              </w:rPr>
              <w:t>السادس عشر</w:t>
            </w:r>
            <w:r>
              <w:rPr>
                <w:rStyle w:val="IndexLink"/>
                <w:rtl w:val="true"/>
              </w:rPr>
              <w:tab/>
            </w:r>
            <w:r>
              <w:rPr>
                <w:rStyle w:val="IndexLink"/>
              </w:rPr>
              <w:t>145</w:t>
            </w:r>
          </w:hyperlink>
        </w:p>
        <w:p>
          <w:pPr>
            <w:pStyle w:val="Contents2"/>
            <w:tabs>
              <w:tab w:val="clear" w:pos="8743"/>
              <w:tab w:val="right" w:pos="9026" w:leader="dot"/>
            </w:tabs>
            <w:rPr/>
          </w:pPr>
          <w:hyperlink w:anchor="__RefHeading___Toc1859648_2870459653">
            <w:r>
              <w:rPr>
                <w:webHidden/>
                <w:rStyle w:val="IndexLink"/>
                <w:rtl w:val="true"/>
              </w:rPr>
              <w:t>المقصد الثاني في النواهي</w:t>
            </w:r>
            <w:r>
              <w:rPr>
                <w:rStyle w:val="IndexLink"/>
                <w:rtl w:val="true"/>
              </w:rPr>
              <w:tab/>
            </w:r>
            <w:r>
              <w:rPr>
                <w:rStyle w:val="IndexLink"/>
              </w:rPr>
              <w:t>148</w:t>
            </w:r>
          </w:hyperlink>
        </w:p>
        <w:p>
          <w:pPr>
            <w:pStyle w:val="Contents3"/>
            <w:tabs>
              <w:tab w:val="clear" w:pos="8459"/>
              <w:tab w:val="right" w:pos="9026" w:leader="dot"/>
            </w:tabs>
            <w:rPr/>
          </w:pPr>
          <w:hyperlink w:anchor="__RefHeading___Toc1859650_2870459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859652_2870459653">
            <w:r>
              <w:rPr>
                <w:webHidden/>
                <w:rStyle w:val="IndexLink"/>
                <w:rtl w:val="true"/>
              </w:rPr>
              <w:t>[</w:t>
            </w:r>
            <w:r>
              <w:rPr>
                <w:rStyle w:val="IndexLink"/>
                <w:rtl w:val="true"/>
              </w:rPr>
              <w:t>المبحث الأول</w:t>
            </w:r>
            <w:r>
              <w:rPr>
                <w:rStyle w:val="IndexLink"/>
                <w:rtl w:val="true"/>
              </w:rPr>
              <w:t>]</w:t>
              <w:tab/>
            </w:r>
            <w:r>
              <w:rPr>
                <w:rStyle w:val="IndexLink"/>
              </w:rPr>
              <w:t>149</w:t>
            </w:r>
          </w:hyperlink>
        </w:p>
        <w:p>
          <w:pPr>
            <w:pStyle w:val="Contents3"/>
            <w:tabs>
              <w:tab w:val="clear" w:pos="8459"/>
              <w:tab w:val="right" w:pos="9026" w:leader="dot"/>
            </w:tabs>
            <w:rPr/>
          </w:pPr>
          <w:hyperlink w:anchor="__RefHeading___Toc1859654_2870459653">
            <w:r>
              <w:rPr>
                <w:webHidden/>
                <w:rStyle w:val="IndexLink"/>
                <w:rtl w:val="true"/>
              </w:rPr>
              <w:t>[</w:t>
            </w:r>
            <w:r>
              <w:rPr>
                <w:rStyle w:val="IndexLink"/>
                <w:rtl w:val="true"/>
              </w:rPr>
              <w:t>المبحث الثاني</w:t>
            </w:r>
            <w:r>
              <w:rPr>
                <w:rStyle w:val="IndexLink"/>
                <w:rtl w:val="true"/>
              </w:rPr>
              <w:t>]</w:t>
              <w:tab/>
            </w:r>
            <w:r>
              <w:rPr>
                <w:rStyle w:val="IndexLink"/>
              </w:rPr>
              <w:t>150</w:t>
            </w:r>
          </w:hyperlink>
        </w:p>
        <w:p>
          <w:pPr>
            <w:pStyle w:val="Contents3"/>
            <w:tabs>
              <w:tab w:val="clear" w:pos="8459"/>
              <w:tab w:val="right" w:pos="9026" w:leader="dot"/>
            </w:tabs>
            <w:rPr/>
          </w:pPr>
          <w:hyperlink w:anchor="__RefHeading___Toc1859656_2870459653">
            <w:r>
              <w:rPr>
                <w:webHidden/>
                <w:rStyle w:val="IndexLink"/>
                <w:rtl w:val="true"/>
              </w:rPr>
              <w:t>[</w:t>
            </w:r>
            <w:r>
              <w:rPr>
                <w:rStyle w:val="IndexLink"/>
                <w:rtl w:val="true"/>
              </w:rPr>
              <w:t>المبحث الثالث</w:t>
            </w:r>
            <w:r>
              <w:rPr>
                <w:rStyle w:val="IndexLink"/>
                <w:rtl w:val="true"/>
              </w:rPr>
              <w:t>]</w:t>
              <w:tab/>
            </w:r>
            <w:r>
              <w:rPr>
                <w:rStyle w:val="IndexLink"/>
              </w:rPr>
              <w:t>150</w:t>
            </w:r>
          </w:hyperlink>
        </w:p>
        <w:p>
          <w:pPr>
            <w:pStyle w:val="Contents3"/>
            <w:tabs>
              <w:tab w:val="clear" w:pos="8459"/>
              <w:tab w:val="right" w:pos="9026" w:leader="dot"/>
            </w:tabs>
            <w:rPr/>
          </w:pPr>
          <w:hyperlink w:anchor="__RefHeading___Toc1859658_2870459653">
            <w:r>
              <w:rPr>
                <w:webHidden/>
                <w:rStyle w:val="IndexLink"/>
                <w:rtl w:val="true"/>
              </w:rPr>
              <w:t>[</w:t>
            </w:r>
            <w:r>
              <w:rPr>
                <w:rStyle w:val="IndexLink"/>
                <w:rtl w:val="true"/>
              </w:rPr>
              <w:t>المبحث الرابع</w:t>
            </w:r>
            <w:r>
              <w:rPr>
                <w:rStyle w:val="IndexLink"/>
                <w:rtl w:val="true"/>
              </w:rPr>
              <w:t>]</w:t>
              <w:tab/>
            </w:r>
            <w:r>
              <w:rPr>
                <w:rStyle w:val="IndexLink"/>
              </w:rPr>
              <w:t>150</w:t>
            </w:r>
          </w:hyperlink>
        </w:p>
        <w:p>
          <w:pPr>
            <w:pStyle w:val="Contents3"/>
            <w:tabs>
              <w:tab w:val="clear" w:pos="8459"/>
              <w:tab w:val="right" w:pos="9026" w:leader="dot"/>
            </w:tabs>
            <w:rPr/>
          </w:pPr>
          <w:hyperlink w:anchor="__RefHeading___Toc1859660_2870459653">
            <w:r>
              <w:rPr>
                <w:webHidden/>
                <w:rStyle w:val="IndexLink"/>
                <w:rtl w:val="true"/>
              </w:rPr>
              <w:t>[</w:t>
            </w:r>
            <w:r>
              <w:rPr>
                <w:rStyle w:val="IndexLink"/>
                <w:rtl w:val="true"/>
              </w:rPr>
              <w:t>المبحث الخامس</w:t>
            </w:r>
            <w:r>
              <w:rPr>
                <w:rStyle w:val="IndexLink"/>
                <w:rtl w:val="true"/>
              </w:rPr>
              <w:t>]</w:t>
              <w:tab/>
            </w:r>
            <w:r>
              <w:rPr>
                <w:rStyle w:val="IndexLink"/>
              </w:rPr>
              <w:t>151</w:t>
            </w:r>
          </w:hyperlink>
        </w:p>
        <w:p>
          <w:pPr>
            <w:pStyle w:val="Contents3"/>
            <w:tabs>
              <w:tab w:val="clear" w:pos="8459"/>
              <w:tab w:val="right" w:pos="9026" w:leader="dot"/>
            </w:tabs>
            <w:rPr/>
          </w:pPr>
          <w:hyperlink w:anchor="__RefHeading___Toc1859662_2870459653">
            <w:r>
              <w:rPr>
                <w:webHidden/>
                <w:rStyle w:val="IndexLink"/>
                <w:rtl w:val="true"/>
              </w:rPr>
              <w:t>[</w:t>
            </w:r>
            <w:r>
              <w:rPr>
                <w:rStyle w:val="IndexLink"/>
                <w:rtl w:val="true"/>
              </w:rPr>
              <w:t xml:space="preserve">المبحث السادس </w:t>
            </w:r>
            <w:r>
              <w:rPr>
                <w:rStyle w:val="IndexLink"/>
                <w:rtl w:val="true"/>
              </w:rPr>
              <w:t>]</w:t>
              <w:tab/>
            </w:r>
            <w:r>
              <w:rPr>
                <w:rStyle w:val="IndexLink"/>
              </w:rPr>
              <w:t>151</w:t>
            </w:r>
          </w:hyperlink>
        </w:p>
        <w:p>
          <w:pPr>
            <w:pStyle w:val="Contents3"/>
            <w:tabs>
              <w:tab w:val="clear" w:pos="8459"/>
              <w:tab w:val="right" w:pos="9026" w:leader="dot"/>
            </w:tabs>
            <w:rPr/>
          </w:pPr>
          <w:hyperlink w:anchor="__RefHeading___Toc1859664_2870459653">
            <w:r>
              <w:rPr>
                <w:webHidden/>
                <w:rStyle w:val="IndexLink"/>
                <w:rtl w:val="true"/>
              </w:rPr>
              <w:t>تنبيهات</w:t>
            </w:r>
            <w:r>
              <w:rPr>
                <w:rStyle w:val="IndexLink"/>
                <w:rtl w:val="true"/>
              </w:rPr>
              <w:tab/>
            </w:r>
            <w:r>
              <w:rPr>
                <w:rStyle w:val="IndexLink"/>
              </w:rPr>
              <w:t>159</w:t>
            </w:r>
          </w:hyperlink>
        </w:p>
        <w:p>
          <w:pPr>
            <w:pStyle w:val="Contents3"/>
            <w:tabs>
              <w:tab w:val="clear" w:pos="8459"/>
              <w:tab w:val="right" w:pos="9026" w:leader="dot"/>
            </w:tabs>
            <w:rPr/>
          </w:pPr>
          <w:hyperlink w:anchor="__RefHeading___Toc1859666_2870459653">
            <w:r>
              <w:rPr>
                <w:webHidden/>
                <w:rStyle w:val="IndexLink"/>
                <w:rtl w:val="true"/>
              </w:rPr>
              <w:t>[</w:t>
            </w:r>
            <w:r>
              <w:rPr>
                <w:rStyle w:val="IndexLink"/>
                <w:rtl w:val="true"/>
              </w:rPr>
              <w:t>المبحث السابع</w:t>
            </w:r>
            <w:r>
              <w:rPr>
                <w:rStyle w:val="IndexLink"/>
                <w:rtl w:val="true"/>
              </w:rPr>
              <w:t>]</w:t>
              <w:tab/>
            </w:r>
            <w:r>
              <w:rPr>
                <w:rStyle w:val="IndexLink"/>
              </w:rPr>
              <w:t>167</w:t>
            </w:r>
          </w:hyperlink>
        </w:p>
        <w:p>
          <w:pPr>
            <w:pStyle w:val="Contents3"/>
            <w:tabs>
              <w:tab w:val="clear" w:pos="8459"/>
              <w:tab w:val="right" w:pos="9026" w:leader="dot"/>
            </w:tabs>
            <w:rPr/>
          </w:pPr>
          <w:hyperlink w:anchor="__RefHeading___Toc1859668_2870459653">
            <w:r>
              <w:rPr>
                <w:webHidden/>
                <w:rStyle w:val="IndexLink"/>
                <w:rtl w:val="true"/>
              </w:rPr>
              <w:t>تنبيهات</w:t>
            </w:r>
            <w:r>
              <w:rPr>
                <w:rStyle w:val="IndexLink"/>
                <w:rtl w:val="true"/>
              </w:rPr>
              <w:tab/>
            </w:r>
            <w:r>
              <w:rPr>
                <w:rStyle w:val="IndexLink"/>
              </w:rPr>
              <w:t>171</w:t>
            </w:r>
          </w:hyperlink>
        </w:p>
        <w:p>
          <w:pPr>
            <w:pStyle w:val="Contents2"/>
            <w:tabs>
              <w:tab w:val="clear" w:pos="8743"/>
              <w:tab w:val="right" w:pos="9026" w:leader="dot"/>
            </w:tabs>
            <w:rPr/>
          </w:pPr>
          <w:hyperlink w:anchor="__RefHeading___Toc1859670_2870459653">
            <w:r>
              <w:rPr>
                <w:webHidden/>
                <w:rStyle w:val="IndexLink"/>
                <w:rtl w:val="true"/>
              </w:rPr>
              <w:t>المقصد الثالث في المفاهيم</w:t>
            </w:r>
            <w:r>
              <w:rPr>
                <w:rStyle w:val="IndexLink"/>
                <w:rtl w:val="true"/>
              </w:rPr>
              <w:tab/>
            </w:r>
            <w:r>
              <w:rPr>
                <w:rStyle w:val="IndexLink"/>
              </w:rPr>
              <w:t>172</w:t>
            </w:r>
          </w:hyperlink>
        </w:p>
        <w:p>
          <w:pPr>
            <w:pStyle w:val="Contents3"/>
            <w:tabs>
              <w:tab w:val="clear" w:pos="8459"/>
              <w:tab w:val="right" w:pos="9026" w:leader="dot"/>
            </w:tabs>
            <w:rPr/>
          </w:pPr>
          <w:hyperlink w:anchor="__RefHeading___Toc1859672_2870459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859674_2870459653">
            <w:r>
              <w:rPr>
                <w:webHidden/>
                <w:rStyle w:val="IndexLink"/>
                <w:rtl w:val="true"/>
              </w:rPr>
              <w:t>[</w:t>
            </w:r>
            <w:r>
              <w:rPr>
                <w:rStyle w:val="IndexLink"/>
                <w:rtl w:val="true"/>
              </w:rPr>
              <w:t>الموضع الأوّل</w:t>
            </w:r>
            <w:r>
              <w:rPr>
                <w:rStyle w:val="IndexLink"/>
                <w:rtl w:val="true"/>
              </w:rPr>
              <w:t>]</w:t>
              <w:tab/>
            </w:r>
            <w:r>
              <w:rPr>
                <w:rStyle w:val="IndexLink"/>
              </w:rPr>
              <w:t>172</w:t>
            </w:r>
          </w:hyperlink>
        </w:p>
        <w:p>
          <w:pPr>
            <w:pStyle w:val="Contents3"/>
            <w:tabs>
              <w:tab w:val="clear" w:pos="8459"/>
              <w:tab w:val="right" w:pos="9026" w:leader="dot"/>
            </w:tabs>
            <w:rPr/>
          </w:pPr>
          <w:hyperlink w:anchor="__RefHeading___Toc1859676_2870459653">
            <w:r>
              <w:rPr>
                <w:webHidden/>
                <w:rStyle w:val="IndexLink"/>
                <w:rtl w:val="true"/>
              </w:rPr>
              <w:t>تنبيهات</w:t>
            </w:r>
            <w:r>
              <w:rPr>
                <w:rStyle w:val="IndexLink"/>
                <w:rtl w:val="true"/>
              </w:rPr>
              <w:tab/>
            </w:r>
            <w:r>
              <w:rPr>
                <w:rStyle w:val="IndexLink"/>
              </w:rPr>
              <w:t>174</w:t>
            </w:r>
          </w:hyperlink>
        </w:p>
        <w:p>
          <w:pPr>
            <w:pStyle w:val="Contents3"/>
            <w:tabs>
              <w:tab w:val="clear" w:pos="8459"/>
              <w:tab w:val="right" w:pos="9026" w:leader="dot"/>
            </w:tabs>
            <w:rPr/>
          </w:pPr>
          <w:hyperlink w:anchor="__RefHeading___Toc1859678_2870459653">
            <w:r>
              <w:rPr>
                <w:webHidden/>
                <w:rStyle w:val="IndexLink"/>
                <w:rtl w:val="true"/>
              </w:rPr>
              <w:t>[</w:t>
            </w:r>
            <w:r>
              <w:rPr>
                <w:rStyle w:val="IndexLink"/>
                <w:rtl w:val="true"/>
              </w:rPr>
              <w:t>الموضع الثاني</w:t>
            </w:r>
            <w:r>
              <w:rPr>
                <w:rStyle w:val="IndexLink"/>
                <w:rtl w:val="true"/>
              </w:rPr>
              <w:t>]</w:t>
              <w:tab/>
            </w:r>
            <w:r>
              <w:rPr>
                <w:rStyle w:val="IndexLink"/>
              </w:rPr>
              <w:t>178</w:t>
            </w:r>
          </w:hyperlink>
        </w:p>
        <w:p>
          <w:pPr>
            <w:pStyle w:val="Contents3"/>
            <w:tabs>
              <w:tab w:val="clear" w:pos="8459"/>
              <w:tab w:val="right" w:pos="9026" w:leader="dot"/>
            </w:tabs>
            <w:rPr/>
          </w:pPr>
          <w:hyperlink w:anchor="__RefHeading___Toc1859680_2870459653">
            <w:r>
              <w:rPr>
                <w:webHidden/>
                <w:rStyle w:val="IndexLink"/>
                <w:rtl w:val="true"/>
              </w:rPr>
              <w:t>تنبیهان</w:t>
            </w:r>
            <w:r>
              <w:rPr>
                <w:rStyle w:val="IndexLink"/>
                <w:rtl w:val="true"/>
              </w:rPr>
              <w:tab/>
            </w:r>
            <w:r>
              <w:rPr>
                <w:rStyle w:val="IndexLink"/>
              </w:rPr>
              <w:t>179</w:t>
            </w:r>
          </w:hyperlink>
        </w:p>
        <w:p>
          <w:pPr>
            <w:pStyle w:val="Contents3"/>
            <w:tabs>
              <w:tab w:val="clear" w:pos="8459"/>
              <w:tab w:val="right" w:pos="9026" w:leader="dot"/>
            </w:tabs>
            <w:rPr/>
          </w:pPr>
          <w:hyperlink w:anchor="__RefHeading___Toc1859682_2870459653">
            <w:r>
              <w:rPr>
                <w:webHidden/>
                <w:rStyle w:val="IndexLink"/>
                <w:rtl w:val="true"/>
              </w:rPr>
              <w:t>[</w:t>
            </w:r>
            <w:r>
              <w:rPr>
                <w:rStyle w:val="IndexLink"/>
                <w:rtl w:val="true"/>
              </w:rPr>
              <w:t>الموضع الثالث</w:t>
            </w:r>
            <w:r>
              <w:rPr>
                <w:rStyle w:val="IndexLink"/>
                <w:rtl w:val="true"/>
              </w:rPr>
              <w:t>]</w:t>
              <w:tab/>
            </w:r>
            <w:r>
              <w:rPr>
                <w:rStyle w:val="IndexLink"/>
              </w:rPr>
              <w:t>180</w:t>
            </w:r>
          </w:hyperlink>
        </w:p>
        <w:p>
          <w:pPr>
            <w:pStyle w:val="Contents3"/>
            <w:tabs>
              <w:tab w:val="clear" w:pos="8459"/>
              <w:tab w:val="right" w:pos="9026" w:leader="dot"/>
            </w:tabs>
            <w:rPr/>
          </w:pPr>
          <w:hyperlink w:anchor="__RefHeading___Toc1859684_2870459653">
            <w:r>
              <w:rPr>
                <w:webHidden/>
                <w:rStyle w:val="IndexLink"/>
                <w:rtl w:val="true"/>
              </w:rPr>
              <w:t>[</w:t>
            </w:r>
            <w:r>
              <w:rPr>
                <w:rStyle w:val="IndexLink"/>
                <w:rtl w:val="true"/>
              </w:rPr>
              <w:t>الموضع الرابع</w:t>
            </w:r>
            <w:r>
              <w:rPr>
                <w:rStyle w:val="IndexLink"/>
                <w:rtl w:val="true"/>
              </w:rPr>
              <w:t>]</w:t>
              <w:tab/>
            </w:r>
            <w:r>
              <w:rPr>
                <w:rStyle w:val="IndexLink"/>
              </w:rPr>
              <w:t>181</w:t>
            </w:r>
          </w:hyperlink>
        </w:p>
        <w:p>
          <w:pPr>
            <w:pStyle w:val="Contents3"/>
            <w:tabs>
              <w:tab w:val="clear" w:pos="8459"/>
              <w:tab w:val="right" w:pos="9026" w:leader="dot"/>
            </w:tabs>
            <w:rPr/>
          </w:pPr>
          <w:hyperlink w:anchor="__RefHeading___Toc1859686_2870459653">
            <w:r>
              <w:rPr>
                <w:webHidden/>
                <w:rStyle w:val="IndexLink"/>
                <w:rtl w:val="true"/>
              </w:rPr>
              <w:t>[</w:t>
            </w:r>
            <w:r>
              <w:rPr>
                <w:rStyle w:val="IndexLink"/>
                <w:rtl w:val="true"/>
              </w:rPr>
              <w:t>الموضع الخامس</w:t>
            </w:r>
            <w:r>
              <w:rPr>
                <w:rStyle w:val="IndexLink"/>
                <w:rtl w:val="true"/>
              </w:rPr>
              <w:t>]</w:t>
              <w:tab/>
            </w:r>
            <w:r>
              <w:rPr>
                <w:rStyle w:val="IndexLink"/>
              </w:rPr>
              <w:t>182</w:t>
            </w:r>
          </w:hyperlink>
        </w:p>
        <w:p>
          <w:pPr>
            <w:pStyle w:val="Contents2"/>
            <w:tabs>
              <w:tab w:val="clear" w:pos="8743"/>
              <w:tab w:val="right" w:pos="9026" w:leader="dot"/>
            </w:tabs>
            <w:rPr/>
          </w:pPr>
          <w:hyperlink w:anchor="__RefHeading___Toc1859688_2870459653">
            <w:r>
              <w:rPr>
                <w:webHidden/>
                <w:rStyle w:val="IndexLink"/>
                <w:rtl w:val="true"/>
              </w:rPr>
              <w:t>المقصد الرابع في العموم والخصوص</w:t>
            </w:r>
            <w:r>
              <w:rPr>
                <w:rStyle w:val="IndexLink"/>
                <w:rtl w:val="true"/>
              </w:rPr>
              <w:tab/>
            </w:r>
            <w:r>
              <w:rPr>
                <w:rStyle w:val="IndexLink"/>
              </w:rPr>
              <w:t>184</w:t>
            </w:r>
          </w:hyperlink>
        </w:p>
        <w:p>
          <w:pPr>
            <w:pStyle w:val="Contents3"/>
            <w:tabs>
              <w:tab w:val="clear" w:pos="8459"/>
              <w:tab w:val="right" w:pos="9026" w:leader="dot"/>
            </w:tabs>
            <w:rPr/>
          </w:pPr>
          <w:hyperlink w:anchor="__RefHeading___Toc1859690_2870459653">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ab/>
            </w:r>
            <w:r>
              <w:rPr>
                <w:rStyle w:val="IndexLink"/>
              </w:rPr>
              <w:t>184</w:t>
            </w:r>
          </w:hyperlink>
        </w:p>
        <w:p>
          <w:pPr>
            <w:pStyle w:val="Contents3"/>
            <w:tabs>
              <w:tab w:val="clear" w:pos="8459"/>
              <w:tab w:val="right" w:pos="9026" w:leader="dot"/>
            </w:tabs>
            <w:rPr/>
          </w:pPr>
          <w:hyperlink w:anchor="__RefHeading___Toc1859692_2870459653">
            <w:r>
              <w:rPr>
                <w:webHidden/>
                <w:rStyle w:val="IndexLink"/>
                <w:rtl w:val="true"/>
              </w:rPr>
              <w:t>تنبيه</w:t>
            </w:r>
            <w:r>
              <w:rPr>
                <w:rStyle w:val="IndexLink"/>
                <w:rtl w:val="true"/>
              </w:rPr>
              <w:tab/>
            </w:r>
            <w:r>
              <w:rPr>
                <w:rStyle w:val="IndexLink"/>
              </w:rPr>
              <w:t>186</w:t>
            </w:r>
          </w:hyperlink>
        </w:p>
        <w:p>
          <w:pPr>
            <w:pStyle w:val="Contents3"/>
            <w:tabs>
              <w:tab w:val="clear" w:pos="8459"/>
              <w:tab w:val="right" w:pos="9026" w:leader="dot"/>
            </w:tabs>
            <w:rPr/>
          </w:pPr>
          <w:hyperlink w:anchor="__RefHeading___Toc1859694_2870459653">
            <w:r>
              <w:rPr>
                <w:webHidden/>
                <w:rStyle w:val="IndexLink"/>
                <w:rtl w:val="true"/>
              </w:rPr>
              <w:t>أصل</w:t>
            </w:r>
            <w:r>
              <w:rPr>
                <w:rStyle w:val="IndexLink"/>
                <w:rtl w:val="true"/>
              </w:rPr>
              <w:tab/>
            </w:r>
            <w:r>
              <w:rPr>
                <w:rStyle w:val="IndexLink"/>
              </w:rPr>
              <w:t>187</w:t>
            </w:r>
          </w:hyperlink>
        </w:p>
        <w:p>
          <w:pPr>
            <w:pStyle w:val="Contents3"/>
            <w:tabs>
              <w:tab w:val="clear" w:pos="8459"/>
              <w:tab w:val="right" w:pos="9026" w:leader="dot"/>
            </w:tabs>
            <w:rPr/>
          </w:pPr>
          <w:hyperlink w:anchor="__RefHeading___Toc1859696_2870459653">
            <w:r>
              <w:rPr>
                <w:webHidden/>
                <w:rStyle w:val="IndexLink"/>
                <w:rtl w:val="true"/>
              </w:rPr>
              <w:t>تنبيهات</w:t>
            </w:r>
            <w:r>
              <w:rPr>
                <w:rStyle w:val="IndexLink"/>
                <w:rtl w:val="true"/>
              </w:rPr>
              <w:tab/>
            </w:r>
            <w:r>
              <w:rPr>
                <w:rStyle w:val="IndexLink"/>
              </w:rPr>
              <w:t>188</w:t>
            </w:r>
          </w:hyperlink>
        </w:p>
        <w:p>
          <w:pPr>
            <w:pStyle w:val="Contents3"/>
            <w:tabs>
              <w:tab w:val="clear" w:pos="8459"/>
              <w:tab w:val="right" w:pos="9026" w:leader="dot"/>
            </w:tabs>
            <w:rPr/>
          </w:pPr>
          <w:hyperlink w:anchor="__RefHeading___Toc1859698_2870459653">
            <w:r>
              <w:rPr>
                <w:webHidden/>
                <w:rStyle w:val="IndexLink"/>
                <w:rtl w:val="true"/>
              </w:rPr>
              <w:t>[</w:t>
            </w:r>
            <w:r>
              <w:rPr>
                <w:rStyle w:val="IndexLink"/>
                <w:rtl w:val="true"/>
              </w:rPr>
              <w:t>الفصل الثاني</w:t>
            </w:r>
            <w:r>
              <w:rPr>
                <w:rStyle w:val="IndexLink"/>
                <w:rtl w:val="true"/>
              </w:rPr>
              <w:t>]</w:t>
              <w:tab/>
            </w:r>
            <w:r>
              <w:rPr>
                <w:rStyle w:val="IndexLink"/>
              </w:rPr>
              <w:t>193</w:t>
            </w:r>
          </w:hyperlink>
        </w:p>
        <w:p>
          <w:pPr>
            <w:pStyle w:val="Contents3"/>
            <w:tabs>
              <w:tab w:val="clear" w:pos="8459"/>
              <w:tab w:val="right" w:pos="9026" w:leader="dot"/>
            </w:tabs>
            <w:rPr/>
          </w:pPr>
          <w:hyperlink w:anchor="__RefHeading___Toc1859700_2870459653">
            <w:r>
              <w:rPr>
                <w:webHidden/>
                <w:rStyle w:val="IndexLink"/>
                <w:rtl w:val="true"/>
              </w:rPr>
              <w:t>[</w:t>
            </w:r>
            <w:r>
              <w:rPr>
                <w:rStyle w:val="IndexLink"/>
                <w:rtl w:val="true"/>
              </w:rPr>
              <w:t>المبحث</w:t>
            </w:r>
            <w:r>
              <w:rPr>
                <w:rStyle w:val="IndexLink"/>
                <w:rtl w:val="true"/>
              </w:rPr>
              <w:t xml:space="preserve">] </w:t>
            </w:r>
            <w:r>
              <w:rPr>
                <w:rStyle w:val="IndexLink"/>
                <w:rtl w:val="true"/>
              </w:rPr>
              <w:t>الأول</w:t>
            </w:r>
            <w:r>
              <w:rPr>
                <w:rStyle w:val="IndexLink"/>
                <w:rtl w:val="true"/>
              </w:rPr>
              <w:tab/>
            </w:r>
            <w:r>
              <w:rPr>
                <w:rStyle w:val="IndexLink"/>
              </w:rPr>
              <w:t>193</w:t>
            </w:r>
          </w:hyperlink>
        </w:p>
        <w:p>
          <w:pPr>
            <w:pStyle w:val="Contents3"/>
            <w:tabs>
              <w:tab w:val="clear" w:pos="8459"/>
              <w:tab w:val="right" w:pos="9026" w:leader="dot"/>
            </w:tabs>
            <w:rPr/>
          </w:pPr>
          <w:hyperlink w:anchor="__RefHeading___Toc1859702_2870459653">
            <w:r>
              <w:rPr>
                <w:webHidden/>
                <w:rStyle w:val="IndexLink"/>
                <w:rtl w:val="true"/>
              </w:rPr>
              <w:t>و</w:t>
            </w:r>
            <w:r>
              <w:rPr>
                <w:rStyle w:val="IndexLink"/>
                <w:rtl w:val="true"/>
              </w:rPr>
              <w:t>[</w:t>
            </w:r>
            <w:r>
              <w:rPr>
                <w:rStyle w:val="IndexLink"/>
                <w:rtl w:val="true"/>
              </w:rPr>
              <w:t>المبحث</w:t>
            </w:r>
            <w:r>
              <w:rPr>
                <w:rStyle w:val="IndexLink"/>
                <w:rtl w:val="true"/>
              </w:rPr>
              <w:t xml:space="preserve">] </w:t>
            </w:r>
            <w:r>
              <w:rPr>
                <w:rStyle w:val="IndexLink"/>
                <w:rtl w:val="true"/>
              </w:rPr>
              <w:t>الثاني</w:t>
            </w:r>
            <w:r>
              <w:rPr>
                <w:rStyle w:val="IndexLink"/>
                <w:rtl w:val="true"/>
              </w:rPr>
              <w:tab/>
            </w:r>
            <w:r>
              <w:rPr>
                <w:rStyle w:val="IndexLink"/>
              </w:rPr>
              <w:t>195</w:t>
            </w:r>
          </w:hyperlink>
        </w:p>
        <w:p>
          <w:pPr>
            <w:pStyle w:val="Contents3"/>
            <w:tabs>
              <w:tab w:val="clear" w:pos="8459"/>
              <w:tab w:val="right" w:pos="9026" w:leader="dot"/>
            </w:tabs>
            <w:rPr/>
          </w:pPr>
          <w:hyperlink w:anchor="__RefHeading___Toc1859704_2870459653">
            <w:r>
              <w:rPr>
                <w:webHidden/>
                <w:rStyle w:val="IndexLink"/>
                <w:rtl w:val="true"/>
              </w:rPr>
              <w:t>تنبيهات</w:t>
            </w:r>
            <w:r>
              <w:rPr>
                <w:rStyle w:val="IndexLink"/>
                <w:rtl w:val="true"/>
              </w:rPr>
              <w:tab/>
            </w:r>
            <w:r>
              <w:rPr>
                <w:rStyle w:val="IndexLink"/>
              </w:rPr>
              <w:t>196</w:t>
            </w:r>
          </w:hyperlink>
        </w:p>
        <w:p>
          <w:pPr>
            <w:pStyle w:val="Contents3"/>
            <w:tabs>
              <w:tab w:val="clear" w:pos="8459"/>
              <w:tab w:val="right" w:pos="9026" w:leader="dot"/>
            </w:tabs>
            <w:rPr/>
          </w:pPr>
          <w:hyperlink w:anchor="__RefHeading___Toc1859706_2870459653">
            <w:r>
              <w:rPr>
                <w:webHidden/>
                <w:rStyle w:val="IndexLink"/>
                <w:rtl w:val="true"/>
              </w:rPr>
              <w:t>و</w:t>
            </w:r>
            <w:r>
              <w:rPr>
                <w:rStyle w:val="IndexLink"/>
                <w:rtl w:val="true"/>
              </w:rPr>
              <w:t>[</w:t>
            </w:r>
            <w:r>
              <w:rPr>
                <w:rStyle w:val="IndexLink"/>
                <w:rtl w:val="true"/>
              </w:rPr>
              <w:t>المبحث</w:t>
            </w:r>
            <w:r>
              <w:rPr>
                <w:rStyle w:val="IndexLink"/>
                <w:rtl w:val="true"/>
              </w:rPr>
              <w:t xml:space="preserve">] </w:t>
            </w:r>
            <w:r>
              <w:rPr>
                <w:rStyle w:val="IndexLink"/>
                <w:rtl w:val="true"/>
              </w:rPr>
              <w:t>الثالث</w:t>
            </w:r>
            <w:r>
              <w:rPr>
                <w:rStyle w:val="IndexLink"/>
                <w:rtl w:val="true"/>
              </w:rPr>
              <w:tab/>
            </w:r>
            <w:r>
              <w:rPr>
                <w:rStyle w:val="IndexLink"/>
              </w:rPr>
              <w:t>199</w:t>
            </w:r>
          </w:hyperlink>
        </w:p>
        <w:p>
          <w:pPr>
            <w:pStyle w:val="Contents3"/>
            <w:tabs>
              <w:tab w:val="clear" w:pos="8459"/>
              <w:tab w:val="right" w:pos="9026" w:leader="dot"/>
            </w:tabs>
            <w:rPr/>
          </w:pPr>
          <w:hyperlink w:anchor="__RefHeading___Toc1859708_2870459653">
            <w:r>
              <w:rPr>
                <w:webHidden/>
                <w:rStyle w:val="IndexLink"/>
                <w:rtl w:val="true"/>
              </w:rPr>
              <w:t>تنبیهان</w:t>
            </w:r>
            <w:r>
              <w:rPr>
                <w:rStyle w:val="IndexLink"/>
                <w:rtl w:val="true"/>
              </w:rPr>
              <w:tab/>
            </w:r>
            <w:r>
              <w:rPr>
                <w:rStyle w:val="IndexLink"/>
              </w:rPr>
              <w:t>200</w:t>
            </w:r>
          </w:hyperlink>
        </w:p>
        <w:p>
          <w:pPr>
            <w:pStyle w:val="Contents3"/>
            <w:tabs>
              <w:tab w:val="clear" w:pos="8459"/>
              <w:tab w:val="right" w:pos="9026" w:leader="dot"/>
            </w:tabs>
            <w:rPr/>
          </w:pPr>
          <w:hyperlink w:anchor="__RefHeading___Toc1859710_2870459653">
            <w:r>
              <w:rPr>
                <w:webHidden/>
                <w:rStyle w:val="IndexLink"/>
                <w:rtl w:val="true"/>
              </w:rPr>
              <w:t>فصل</w:t>
            </w:r>
            <w:r>
              <w:rPr>
                <w:rStyle w:val="IndexLink"/>
                <w:rtl w:val="true"/>
              </w:rPr>
              <w:tab/>
            </w:r>
            <w:r>
              <w:rPr>
                <w:rStyle w:val="IndexLink"/>
              </w:rPr>
              <w:t>203</w:t>
            </w:r>
          </w:hyperlink>
        </w:p>
        <w:p>
          <w:pPr>
            <w:pStyle w:val="Contents3"/>
            <w:tabs>
              <w:tab w:val="clear" w:pos="8459"/>
              <w:tab w:val="right" w:pos="9026" w:leader="dot"/>
            </w:tabs>
            <w:rPr/>
          </w:pPr>
          <w:hyperlink w:anchor="__RefHeading___Toc1859712_2870459653">
            <w:r>
              <w:rPr>
                <w:webHidden/>
                <w:rStyle w:val="IndexLink"/>
                <w:rtl w:val="true"/>
              </w:rPr>
              <w:t>فصل</w:t>
            </w:r>
            <w:r>
              <w:rPr>
                <w:rStyle w:val="IndexLink"/>
                <w:rtl w:val="true"/>
              </w:rPr>
              <w:tab/>
            </w:r>
            <w:r>
              <w:rPr>
                <w:rStyle w:val="IndexLink"/>
              </w:rPr>
              <w:t>204</w:t>
            </w:r>
          </w:hyperlink>
        </w:p>
        <w:p>
          <w:pPr>
            <w:pStyle w:val="Contents3"/>
            <w:tabs>
              <w:tab w:val="clear" w:pos="8459"/>
              <w:tab w:val="right" w:pos="9026" w:leader="dot"/>
            </w:tabs>
            <w:rPr/>
          </w:pPr>
          <w:hyperlink w:anchor="__RefHeading___Toc1859714_2870459653">
            <w:r>
              <w:rPr>
                <w:webHidden/>
                <w:rStyle w:val="IndexLink"/>
                <w:rtl w:val="true"/>
              </w:rPr>
              <w:t>فصل</w:t>
            </w:r>
            <w:r>
              <w:rPr>
                <w:rStyle w:val="IndexLink"/>
                <w:rtl w:val="true"/>
              </w:rPr>
              <w:tab/>
            </w:r>
            <w:r>
              <w:rPr>
                <w:rStyle w:val="IndexLink"/>
              </w:rPr>
              <w:t>205</w:t>
            </w:r>
          </w:hyperlink>
        </w:p>
        <w:p>
          <w:pPr>
            <w:pStyle w:val="Contents3"/>
            <w:tabs>
              <w:tab w:val="clear" w:pos="8459"/>
              <w:tab w:val="right" w:pos="9026" w:leader="dot"/>
            </w:tabs>
            <w:rPr/>
          </w:pPr>
          <w:hyperlink w:anchor="__RefHeading___Toc1859716_2870459653">
            <w:r>
              <w:rPr>
                <w:webHidden/>
                <w:rStyle w:val="IndexLink"/>
                <w:rtl w:val="true"/>
              </w:rPr>
              <w:t>فصل</w:t>
            </w:r>
            <w:r>
              <w:rPr>
                <w:rStyle w:val="IndexLink"/>
                <w:rtl w:val="true"/>
              </w:rPr>
              <w:tab/>
            </w:r>
            <w:r>
              <w:rPr>
                <w:rStyle w:val="IndexLink"/>
              </w:rPr>
              <w:t>206</w:t>
            </w:r>
          </w:hyperlink>
        </w:p>
        <w:p>
          <w:pPr>
            <w:pStyle w:val="Contents3"/>
            <w:tabs>
              <w:tab w:val="clear" w:pos="8459"/>
              <w:tab w:val="right" w:pos="9026" w:leader="dot"/>
            </w:tabs>
            <w:rPr/>
          </w:pPr>
          <w:hyperlink w:anchor="__RefHeading___Toc1859718_2870459653">
            <w:r>
              <w:rPr>
                <w:webHidden/>
                <w:rStyle w:val="IndexLink"/>
                <w:rtl w:val="true"/>
              </w:rPr>
              <w:t>تنبيهات</w:t>
            </w:r>
            <w:r>
              <w:rPr>
                <w:rStyle w:val="IndexLink"/>
                <w:rtl w:val="true"/>
              </w:rPr>
              <w:tab/>
            </w:r>
            <w:r>
              <w:rPr>
                <w:rStyle w:val="IndexLink"/>
              </w:rPr>
              <w:t>209</w:t>
            </w:r>
          </w:hyperlink>
        </w:p>
        <w:p>
          <w:pPr>
            <w:pStyle w:val="Contents2"/>
            <w:tabs>
              <w:tab w:val="clear" w:pos="8743"/>
              <w:tab w:val="right" w:pos="9026" w:leader="dot"/>
            </w:tabs>
            <w:rPr/>
          </w:pPr>
          <w:hyperlink w:anchor="__RefHeading___Toc1859720_2870459653">
            <w:r>
              <w:rPr>
                <w:webHidden/>
                <w:rStyle w:val="IndexLink"/>
                <w:rtl w:val="true"/>
              </w:rPr>
              <w:t>المقصد الخامس</w:t>
            </w:r>
            <w:r>
              <w:rPr>
                <w:rStyle w:val="IndexLink"/>
                <w:rtl w:val="true"/>
              </w:rPr>
              <w:t xml:space="preserve">: </w:t>
            </w:r>
            <w:r>
              <w:rPr>
                <w:rStyle w:val="IndexLink"/>
                <w:rtl w:val="true"/>
              </w:rPr>
              <w:t>في المطلق والمقيد</w:t>
            </w:r>
            <w:r>
              <w:rPr>
                <w:rStyle w:val="IndexLink"/>
                <w:rtl w:val="true"/>
              </w:rPr>
              <w:tab/>
            </w:r>
            <w:r>
              <w:rPr>
                <w:rStyle w:val="IndexLink"/>
              </w:rPr>
              <w:t>212</w:t>
            </w:r>
          </w:hyperlink>
        </w:p>
        <w:p>
          <w:pPr>
            <w:pStyle w:val="Contents2"/>
            <w:tabs>
              <w:tab w:val="clear" w:pos="8743"/>
              <w:tab w:val="right" w:pos="9026" w:leader="dot"/>
            </w:tabs>
            <w:rPr/>
          </w:pPr>
          <w:hyperlink w:anchor="__RefHeading___Toc1859722_2870459653">
            <w:r>
              <w:rPr>
                <w:webHidden/>
                <w:rStyle w:val="IndexLink"/>
                <w:rtl w:val="true"/>
              </w:rPr>
              <w:t>المصادر</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0_93874"/>
      <w:bookmarkStart w:id="1" w:name="pg9000_93874"/>
      <w:bookmarkEnd w:id="1"/>
    </w:p>
    <w:p>
      <w:pPr>
        <w:pStyle w:val="Heading2"/>
        <w:numPr>
          <w:ilvl w:val="1"/>
          <w:numId w:val="1"/>
        </w:numPr>
        <w:rPr/>
      </w:pPr>
      <w:bookmarkStart w:id="2" w:name="pg9000_93874"/>
      <w:bookmarkStart w:id="3" w:name="__RefHeading___Toc1859552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مقالات حول مباحث الألفاظ</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آية الله</w:t>
      </w:r>
    </w:p>
    <w:p>
      <w:pPr>
        <w:pStyle w:val="BookText"/>
        <w:rPr/>
      </w:pPr>
      <w:r>
        <w:rPr>
          <w:rFonts w:ascii="Amiri" w:hAnsi="Amiri" w:eastAsia="Amiri" w:cs="Amiri"/>
          <w:color w:val="111111"/>
          <w:sz w:val="28"/>
          <w:sz w:val="28"/>
          <w:szCs w:val="28"/>
          <w:rtl w:val="true"/>
          <w:lang w:bidi="ar-SA"/>
        </w:rPr>
        <w:t xml:space="preserve">الحاج السيد علي الموسوي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خداوردی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9554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مقالات حول مباحث الألفاظ</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الموسوي البهبهاني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خداوردي</w:t>
      </w:r>
    </w:p>
    <w:p>
      <w:pPr>
        <w:pStyle w:val="BookText"/>
        <w:rPr/>
      </w:pPr>
      <w:r>
        <w:rPr>
          <w:rFonts w:ascii="Amiri" w:hAnsi="Amiri" w:eastAsia="Amiri" w:cs="Amiri"/>
          <w:color w:val="111111"/>
          <w:sz w:val="28"/>
          <w:sz w:val="28"/>
          <w:szCs w:val="28"/>
          <w:rtl w:val="true"/>
          <w:lang w:bidi="ar-SA"/>
        </w:rPr>
        <w:t>منشورات دليل ما</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صندوق البريد</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p>
    <w:p>
      <w:pPr>
        <w:pStyle w:val="BookText"/>
        <w:rPr/>
      </w:pPr>
      <w:r>
        <w:rPr>
          <w:rFonts w:ascii="Amiri" w:hAnsi="Amiri" w:eastAsia="Amiri" w:cs="Amiri"/>
          <w:color w:val="111111"/>
          <w:sz w:val="28"/>
          <w:sz w:val="28"/>
          <w:szCs w:val="28"/>
          <w:rtl w:val="true"/>
          <w:lang w:bidi="ar-SA"/>
        </w:rPr>
        <w:t>هاتف وفكس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Dalilema@yahoo.com</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Amiri" w:hAnsi="Amiri" w:eastAsia="Amiri" w:cs="Amiri"/>
          <w:color w:val="111111"/>
          <w:sz w:val="28"/>
          <w:sz w:val="28"/>
          <w:szCs w:val="28"/>
          <w:rtl w:val="true"/>
          <w:lang w:bidi="ar-SA"/>
        </w:rPr>
        <w:t xml:space="preserve">السعر مُجلّداً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 مراكز التوزيع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 شارع صفائیه، مقابل زقاق رقم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،منشورات دليل ما ، هاتف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 شارع إنقلاب ، شارع الفخر الرازي،رقم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هاتف </w:t>
      </w:r>
      <w:r>
        <w:rPr>
          <w:rFonts w:eastAsia="Amiri" w:cs="Amiri" w:ascii="Amiri" w:hAnsi="Amiri"/>
          <w:color w:val="111111"/>
          <w:sz w:val="28"/>
          <w:szCs w:val="28"/>
          <w:lang w:bidi="ar-SA"/>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شمالي حديقة نادري،زقاق خوراکیان، بناية نجينه الكتاب، الطابق الأول ، منشورات دلیل ما 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 الأشرف، سوق الحويش، مقابل جامع الهندي، مكتبة الامام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هاتف </w:t>
      </w:r>
      <w:r>
        <w:rPr>
          <w:rFonts w:eastAsia="IRNazanin" w:cs="IRNazanin"/>
          <w:color w:val="111111"/>
          <w:sz w:val="28"/>
          <w:szCs w:val="28"/>
          <w:lang w:bidi="fa-IR"/>
        </w:rPr>
        <w:t>07801263579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كربلاء المقدسة، شارع قبلة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مكتبة ابن فهد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هاتف </w:t>
      </w:r>
      <w:r>
        <w:rPr>
          <w:rFonts w:eastAsia="IRNazanin" w:cs="IRNazanin"/>
          <w:color w:val="111111"/>
          <w:sz w:val="28"/>
          <w:szCs w:val="28"/>
          <w:lang w:bidi="fa-IR"/>
        </w:rPr>
        <w:t>07801588707</w:t>
      </w:r>
      <w:r>
        <w:rPr>
          <w:rFonts w:eastAsia="IRNazanin" w:cs="IRNazanin"/>
          <w:color w:val="111111"/>
          <w:sz w:val="28"/>
          <w:szCs w:val="28"/>
          <w:rtl w:val="true"/>
          <w:lang w:bidi="fa-IR"/>
        </w:rPr>
        <w:t xml:space="preserve"> - </w:t>
      </w:r>
      <w:r>
        <w:rPr>
          <w:rFonts w:eastAsia="IRNazanin" w:cs="IRNazanin"/>
          <w:color w:val="111111"/>
          <w:sz w:val="28"/>
          <w:szCs w:val="28"/>
          <w:lang w:bidi="fa-IR"/>
        </w:rPr>
        <w:t>07801558942</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،بهبهانی، سید علی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حول مباحث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السيد على الموسوى البهبهانی المتوفی سنه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امیر خداورد</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812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الالفاظ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خداوردی، امیر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2819061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00_93878"/>
      <w:bookmarkStart w:id="8" w:name="pg9000_93878"/>
      <w:bookmarkEnd w:id="8"/>
    </w:p>
    <w:p>
      <w:pPr>
        <w:pStyle w:val="Heading2"/>
        <w:numPr>
          <w:ilvl w:val="1"/>
          <w:numId w:val="1"/>
        </w:numPr>
        <w:rPr/>
      </w:pPr>
      <w:bookmarkStart w:id="9" w:name="pg9000_93878"/>
      <w:bookmarkStart w:id="10" w:name="__RefHeading___Toc1859556_2870459653"/>
      <w:bookmarkStart w:id="11" w:name="_Toc3"/>
      <w:bookmarkEnd w:id="9"/>
      <w:bookmarkEnd w:id="10"/>
      <w:r>
        <w:rPr>
          <w:rtl w:val="true"/>
        </w:rPr>
        <w:t>كلمة شكر</w:t>
      </w:r>
      <w:bookmarkEnd w:id="11"/>
    </w:p>
    <w:p>
      <w:pPr>
        <w:pStyle w:val="BookText"/>
        <w:rPr/>
      </w:pPr>
      <w:r>
        <w:rPr>
          <w:rFonts w:ascii="Amiri" w:hAnsi="Amiri" w:eastAsia="Amiri" w:cs="Amiri"/>
          <w:color w:val="111111"/>
          <w:sz w:val="28"/>
          <w:sz w:val="28"/>
          <w:szCs w:val="28"/>
          <w:rtl w:val="true"/>
          <w:lang w:bidi="ar-SA"/>
        </w:rPr>
        <w:t xml:space="preserve">أتوجه بالشكر الجزيل إلى سماحة آية الله السيّد علي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تلامذته في الفقه والأصول، وهو الفاضل حجة الإسلام الشيخ أمير خداوردي، بتحقيق هذا الكتاب ومراجعة مصادره وإعداده للنشر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التوفيق لإخراج سائر آثار سيّدنا الجد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اللائقة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نورالدین مجتهد زاده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000_93880"/>
      <w:bookmarkStart w:id="13" w:name="pg9000_93880"/>
      <w:bookmarkEnd w:id="13"/>
    </w:p>
    <w:p>
      <w:pPr>
        <w:pStyle w:val="Heading2"/>
        <w:numPr>
          <w:ilvl w:val="1"/>
          <w:numId w:val="1"/>
        </w:numPr>
        <w:rPr/>
      </w:pPr>
      <w:bookmarkStart w:id="14" w:name="pg9000_93880"/>
      <w:bookmarkStart w:id="15" w:name="__RefHeading___Toc1859558_2870459653"/>
      <w:bookmarkStart w:id="16" w:name="_Toc4"/>
      <w:bookmarkEnd w:id="14"/>
      <w:bookmarkEnd w:id="15"/>
      <w:r>
        <w:rPr>
          <w:rtl w:val="true"/>
        </w:rPr>
        <w:t>دليل الكتاب</w:t>
      </w:r>
      <w:bookmarkEnd w:id="16"/>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مقالات حول مباحث الألفاظ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الأمر الأوّل في موضوع أُصول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الأمر الثاني في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الأمر الثالث في أقسام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الأمر الرابع في أقسام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الأمر الخامس في وضع المركبات والهيئات التركيبية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الأمر السادس في النقل والترادف والاشتراك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الأمر السابع في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الأمر الثامن في العلاقة المصححة للتجوّز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الأمر التاسع في علائم الحقيقة والمجاز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الأمر العاشر في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الأمر الحادي عشر في أصالة الحقيقة وعدم القرينة ، والصحيح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الأمر الثاني عشر في الترديد بين الاشتراك والحقيقة والمجاز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عشر في استعمال المشترك في أكثر من معنى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الرابع عشر في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المقصد الأول في الأوامر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للأمر صيغة تخصه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المطلق يقتضي الوجوب أو الندب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عقيب الحظر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المطلق يقتضي المرّة أو التكرار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المطلق لا يقتضي الفوم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الأصل السادس في الأمر 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بالشيء مطلقاً أمر بما لا يتمّ إلّا به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بالشيء هل يقتضي النهي عن النهي عن ضدّه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الأصل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بالشيء يقتضي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الأصل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الأمر بالفرد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الأصل الحادي عشر في جواز أمر الآمر مع العلم بانتفاء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الأصل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الجواز بعد نسخ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الأصل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الأمر باعتبار المأمور والمأمور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بالأمر بشيء أمر به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الموسّع والمضيق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الأصل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الأمر بالموقت لا يقتضي القضاء خارج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المقصد الثاني في النواهي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بالنهي هو الترك أو الكفّ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للنهي صيغة تخصه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النهي هل يقتضي الحرمة والكراهة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المبحث الرابع مطلق النهي هل يقتضي الدوام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الشيء هل يكون أمراً بضده؟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اجتماع الأمر والنهي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هل يقتضي فساد المنهي عنه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الحكم بالشرط بإحدى أدواته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المقصد الثالث في المفاهيم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بإحدى أدوات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وتقديم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المقصد الرابع في العموم والخصوص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للعموم صيغة تخصه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بالجمع المحلّى باللام يقتضي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المبحث الأوّل منتهى التخصيص إلى كم هو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هل يوجب التجوز في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هل يخرجه عن الحجية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المخصص بمتعدّد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العمل بالعام قبل استقصاء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تعقب العام ضمير يرجع إلى بعض ما يتناوله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الكتاب بالخبر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ورد عام و خاص مطلق متنافيا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7" w:name="pg9000_93884"/>
    </w:p>
    <w:p>
      <w:pPr>
        <w:pStyle w:val="Heading2"/>
        <w:numPr>
          <w:ilvl w:val="1"/>
          <w:numId w:val="1"/>
        </w:numPr>
        <w:rPr/>
      </w:pPr>
      <w:bookmarkStart w:id="18" w:name="__RefHeading___Toc1859560_2870459653"/>
      <w:bookmarkStart w:id="19" w:name="_Toc5"/>
      <w:bookmarkEnd w:id="17"/>
      <w:bookmarkEnd w:id="18"/>
      <w:r>
        <w:rPr>
          <w:rtl w:val="true"/>
        </w:rPr>
        <w:t>مقدمة التحقيق</w:t>
      </w:r>
      <w:bookmarkEnd w:id="19"/>
    </w:p>
    <w:p>
      <w:pPr>
        <w:pStyle w:val="Heading3"/>
        <w:numPr>
          <w:ilvl w:val="2"/>
          <w:numId w:val="1"/>
        </w:numPr>
        <w:rPr/>
      </w:pPr>
      <w:bookmarkStart w:id="20" w:name="__RefHeading___Toc1859562_2870459653"/>
      <w:bookmarkStart w:id="21" w:name="_Toc6"/>
      <w:bookmarkEnd w:id="20"/>
      <w:r>
        <w:rPr>
          <w:rtl w:val="true"/>
        </w:rPr>
        <w:t>ترجمة المؤلّف</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المؤلّف</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هو المحقق الفقيه السيّد عليّ بن محمّد بن عليّ الموسوي البهبهاني، الرامهرمزي، ثمّ الأهوازي؛ قدس الله نفسه وروّح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فى بهبهان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واجتاز بها بعض المراحل الدراسية، ثمّ ارتحل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الأشرف، فحضر الأبحاث العالية فقهاً وأُصولاً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كاظم الخراساني صاحب كفاية الأُصول، 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كاظم الطباطبائي اليزدي صاحب العروة الوثقى، المتوفّى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الكوهكمري، من أجلة تلامذة الشيخ هادي الطهراني، واختص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بهبهان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 وباشر التدريس بها مدة، ثمّ حلّ في بلده رامهرمز، وتصدّى بها للإمامة والتدريس وبثّ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قصد العراق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لأجل زيارة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وبطلب من بعض أعاظم علماء كربلاء أقام فيها سنتين أخذ بتدريس خارج الفقه والأصول، ثمّ انتقل إلى النجف الأشرف فواصل فيها التدريس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إلى رامهرمز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 فالتف حوله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أهواز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فاستوطنها وواصل فيها نشاطاته من الإمامة والتدريس والإفتاء، واشتهر، وأصبح من مراجع التقليد في تلك النواحي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تلمّذ عليه فريق من الفضلاء والعلماء،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أنجاله السيد عبدالله مجتهد زاده والسيّد محمّد جعفر مجتهد زاده والسيّد محمّد تقي مجتهد زاده، والسيد عليّ بن محمّد رضا الشفيعي، والسيد علي بن الحسن اليزدي الإصفهاني المعروف بالعلّامة الفاني، والسيّد محمّد بن نعمة الله الجزائري، والشيخ الدكتور جواد تارا، والشيخ محمد رضا الجرقوئي الإصفهاني الحائري، والشيخ ناصر الحمادي،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كتباً ورسائل،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النحو،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أوّلاً في طهران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وأخيراً في قم المقدّسة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الاشتقاق أو كشف الأستار عن وجه الأسرار المودعة في الرواية الشريفة المسندة إلى باب مدينة العلم المنقولة عن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أوّلاً في طهران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وأخيراً في قم المقدسة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الفائق في معرفة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أوّلاً في خرّم آباد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وأخيراً قم المقدّسة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المسائل، طبع مرات، وهو أكبر وأشمل من توضيح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العروة الوثقى، طبعت في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وسيلة النجاة، طبعت في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العليّة الشاملة للقواعد الكليّة ممّا يبتني عليه كثير من معضلات مسائل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أولاً في مجلدين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وثانياً في قم المقدسة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الهداية في إثبات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عدّة مرّات، وترجمه إلى الفارسيّة أوّلاً تلميذه المرحوم السيد محمد رضا الشفيعي، ثم المرحوم الشيخ علي الدواني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حول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الكتاب الماثل بين أيديكم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أهواز ليلة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القعدة الحرام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 ودفن في دار العلم، المدرسة التي أسسها بنفسه النفيسة</w:t>
      </w:r>
      <w:r>
        <w:rPr>
          <w:rFonts w:eastAsia="IRNazanin" w:cs="IRNazanin"/>
          <w:color w:val="111111"/>
          <w:sz w:val="28"/>
          <w:szCs w:val="28"/>
          <w:rtl w:val="true"/>
          <w:lang w:bidi="fa-IR"/>
        </w:rPr>
        <w:t xml:space="preserve">. </w:t>
      </w:r>
      <w:bookmarkStart w:id="22" w:name="pg9000_93886"/>
    </w:p>
    <w:p>
      <w:pPr>
        <w:pStyle w:val="Heading3"/>
        <w:numPr>
          <w:ilvl w:val="2"/>
          <w:numId w:val="1"/>
        </w:numPr>
        <w:rPr/>
      </w:pPr>
      <w:bookmarkStart w:id="23" w:name="__RefHeading___Toc1859564_2870459653"/>
      <w:bookmarkStart w:id="24" w:name="_Toc7"/>
      <w:bookmarkEnd w:id="22"/>
      <w:bookmarkEnd w:id="23"/>
      <w:r>
        <w:rPr>
          <w:rtl w:val="true"/>
        </w:rPr>
        <w:t>مقالات حول مباحث الألفاظ</w:t>
      </w:r>
      <w:bookmarkEnd w:id="24"/>
    </w:p>
    <w:p>
      <w:pPr>
        <w:pStyle w:val="BookText"/>
        <w:rPr/>
      </w:pPr>
      <w:r>
        <w:rPr>
          <w:rFonts w:ascii="Amiri" w:hAnsi="Amiri" w:eastAsia="Amiri" w:cs="Amiri"/>
          <w:color w:val="111111"/>
          <w:sz w:val="28"/>
          <w:sz w:val="28"/>
          <w:szCs w:val="28"/>
          <w:rtl w:val="true"/>
          <w:lang w:bidi="ar-SA"/>
        </w:rPr>
        <w:t>هذا الكتاب الذي بين أيديكم تصنيف متفرّد بخصائص جليلة من حيث إنّه مع إيجازه واختصاره يحتوي على أهم الأقوال في كلّ مسألة من مسائل مباحث الألفاظ ونقدها والتعمّق فيها وإيراد آراء دقيقة ومباني تأسيسية 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مقدّمة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إحالاته في ثنايا الكتاب أنه يتلوه جزء آخر على نفس النسق في مباحث الحجج والأصول العمليّة، فالكتاب دورة أصولية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لم نعثر إلّا على ما بين أيديكم من مباحث الألفاظ الذي طبع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بعنوان مقالات حول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عملنا في الكتاب فهو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النصّ على ما بأيدينا من قلم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النصّ وترقيمه بعلامات الترقيم 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القرآنية والأحاديث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الأقوال المنقولة تصريحاً أو تلويحاً وإرجاعها إلى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معاني الألفاظ الغريبة وتوضيح المواضع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مورداً لانتفاع الأعلام والفضلاء وذخراً ليوم لا ينفع فيه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خداوردي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5" w:name="pg9000_93890"/>
    </w:p>
    <w:p>
      <w:pPr>
        <w:pStyle w:val="BookText"/>
        <w:rPr/>
      </w:pPr>
      <w:bookmarkEnd w:id="25"/>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فيقول العبد المفتقر إلى الله الغنيّ، عليّ بن محمّد بن علي الموسوي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حشرهم الله مع آبائهم الطاهرين سلام الله عليهم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مختصر في أصول الفقه يميّز الشراب من لامع السراب والقشر من اللباب، رتبته على مقدّمة ومقاصد</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859566_2870459653"/>
      <w:bookmarkStart w:id="27" w:name="_Toc8"/>
      <w:bookmarkEnd w:id="26"/>
      <w:r>
        <w:rPr>
          <w:rtl w:val="true"/>
        </w:rPr>
        <w:t>[</w:t>
      </w:r>
      <w:r>
        <w:rPr>
          <w:rtl w:val="true"/>
        </w:rPr>
        <w:t>المقدمة</w:t>
      </w:r>
      <w:r>
        <w:rPr>
          <w:rtl w:val="true"/>
        </w:rPr>
        <w:t>]</w:t>
      </w:r>
      <w:bookmarkEnd w:id="27"/>
    </w:p>
    <w:p>
      <w:pPr>
        <w:pStyle w:val="Heading3"/>
        <w:numPr>
          <w:ilvl w:val="2"/>
          <w:numId w:val="1"/>
        </w:numPr>
        <w:rPr/>
      </w:pPr>
      <w:bookmarkStart w:id="28" w:name="__RefHeading___Toc1859568_2870459653"/>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أمّا المقدّمة ففى أُمور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859570_2870459653"/>
      <w:bookmarkStart w:id="31" w:name="_Toc10"/>
      <w:bookmarkEnd w:id="30"/>
      <w:r>
        <w:rPr>
          <w:rtl w:val="true"/>
        </w:rPr>
        <w:t>[</w:t>
      </w:r>
      <w:r>
        <w:rPr>
          <w:rtl w:val="true"/>
        </w:rPr>
        <w:t>الأمر</w:t>
      </w:r>
      <w:r>
        <w:rPr>
          <w:rtl w:val="true"/>
        </w:rPr>
        <w:t xml:space="preserve">] </w:t>
      </w:r>
      <w:r>
        <w:rPr>
          <w:rtl w:val="true"/>
        </w:rPr>
        <w:t>الأول</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أُصول الفقه ليس فنّاً مستقلاً على منوال سائر الفنون حتى يكون له موضوع واحد ترجع إليه مسائله و یصیر فنّاً واحداً، وإنّما هى مركبة من مسائل مختلفة يتوقف عليها ويصير الفقه ممّا لم يذكر في سائر الفنون أو لم يستوف حقه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مقدمة للفقه ولا تتميز عن سائر الفنون إلّا في جهة الاختصاص به من حيث التدوين والتمهيد، كما يشعر به أخذهم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 لاستنباط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حدّه</w:t>
      </w:r>
      <w:r>
        <w:rPr>
          <w:rStyle w:val="FootnoteAnchor"/>
          <w:rtl w:val="true"/>
        </w:rPr>
        <w:footnoteReference w:id="3"/>
      </w:r>
      <w:r>
        <w:rPr>
          <w:rFonts w:ascii="Amiri" w:hAnsi="Amiri" w:eastAsia="Amiri" w:cs="Amiri"/>
          <w:color w:val="111111"/>
          <w:sz w:val="28"/>
          <w:sz w:val="28"/>
          <w:szCs w:val="28"/>
          <w:rtl w:val="true"/>
          <w:lang w:bidi="ar-SA"/>
        </w:rPr>
        <w:t xml:space="preserve">مائزاً له،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ضرورة أنّ إضافتها إليه ليست باعتبار الاختصاص الذاتي؛ إذ أغلب مسائلها، كما يترتب عليها </w:t>
      </w:r>
    </w:p>
    <w:p>
      <w:pPr>
        <w:pStyle w:val="BookText"/>
        <w:rPr/>
      </w:pPr>
      <w:r>
        <w:rPr>
          <w:rFonts w:ascii="Amiri" w:hAnsi="Amiri" w:eastAsia="Amiri" w:cs="Amiri"/>
          <w:color w:val="111111"/>
          <w:sz w:val="28"/>
          <w:sz w:val="28"/>
          <w:szCs w:val="28"/>
          <w:rtl w:val="true"/>
          <w:lang w:bidi="ar-SA"/>
        </w:rPr>
        <w:t>استنباط حكم الشرع، يترتب عليها استنباط مراد المتكلّم مطلقاً، فاختصاصها به إنّما هو من حيث التدوين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المختلفة لا تندرج تحت فنّ واحد ما لم يجمعها جامع واحد ترجع إليه مختلفاتها، والصالح لذلك عندهم اشتراكها في العروض على موضوع واحد فجعلوه ميزاناً له وأدرجوا المسائل الراجعة إلى موضوع واحد تحت فنّ واحد،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تمايز العلوم بتمايز الموضوعات</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الموضوع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معروض للمحمول بلا واسطة، وثانوي معروض له بواسطة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على الوجه الأوّل مستلزم لصيرورة كلّ مسألة فنّاً مستقلاً باعتبار اختلاف المسائل في الموضوعات الأوّليّة، وعلى الوجه الثاني أو الأعم لا يكون ضابطاً؛ لاستلزام جواز أخذ الفنون الأدبية الباحثة عن أحوال اللفظ فنّاً واحداً؛ لرجوع جميع مباحثها إليه ولو بوسائط، وأخذ كلّ منها فنّاً مستقلاً باعتبار أنّ الموضوع في كلّ منها عنوان مغاير للعنوان الآخر؛ فإنّ بعضها باحث عن المعرب والمبني وبعضها عن الصحيح والمعتل وبعضها عن الفصيح والبليغ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كلّ مسألة فنّاً باعتبار مغايرة موضوع كلّ منها لموضوع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 أعم من الأوّل وأخص من الثاني فخصوه بمعروض العوارض الذاتيّة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كلّ علم ما يبحث فيه من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وفسّروها بالعارض بلا واسطة أو بواسطة أمر مساوٍ</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فالمسائل العارضة على موضوع واحد عروضاً ذاتياً تندرج تحت فنّ واحد دون العوارض الغريبة وهي ما يعرض الشيء بواسطة أمر أعمّ أو أخص</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قسّموا العوارض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الشيء بلا واسطة، وما يعرضه بواسطة أمر مساءٍ،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وسمّوا القسمين الأولين بالعوارض الذاتية؛ لاختصاصهما بالذات، والأخيرين بالغريبة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من الواسطة الواسطة في العروض لا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حصروا الواسطة فى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 صاحب القسطاس</w:t>
      </w:r>
      <w:r>
        <w:rPr>
          <w:rStyle w:val="FootnoteAnchor"/>
          <w:rtl w:val="true"/>
        </w:rPr>
        <w:footnoteReference w:id="6"/>
      </w:r>
      <w:r>
        <w:rPr>
          <w:rFonts w:ascii="Amiri" w:hAnsi="Amiri" w:eastAsia="Amiri" w:cs="Amiri"/>
          <w:color w:val="111111"/>
          <w:sz w:val="28"/>
          <w:sz w:val="28"/>
          <w:szCs w:val="28"/>
          <w:rtl w:val="true"/>
          <w:lang w:bidi="ar-SA"/>
        </w:rPr>
        <w:t>فزاد قسماً رابعاً وأدرجه في الغريبة</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يعرض الشيء بواسطة أمر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له بالماء المسخّن بالشمس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استصوب ما ذكره شارح المطالع</w:t>
      </w:r>
      <w:r>
        <w:rPr>
          <w:rStyle w:val="FootnoteAnchor"/>
          <w:rtl w:val="true"/>
        </w:rPr>
        <w:footnoteReference w:id="8"/>
      </w:r>
      <w:r>
        <w:rPr>
          <w:rFonts w:ascii="Amiri" w:hAnsi="Amiri" w:eastAsia="Amiri" w:cs="Amiri"/>
          <w:color w:val="111111"/>
          <w:sz w:val="28"/>
          <w:sz w:val="28"/>
          <w:szCs w:val="28"/>
          <w:rtl w:val="true"/>
          <w:lang w:bidi="ar-SA"/>
        </w:rPr>
        <w:t>وخطأه في المثال ، و وتبعه المحقق الشريف</w:t>
      </w:r>
      <w:r>
        <w:rPr>
          <w:rStyle w:val="FootnoteAnchor"/>
          <w:rtl w:val="true"/>
        </w:rPr>
        <w:footnoteReference w:id="9"/>
      </w:r>
      <w:r>
        <w:rPr>
          <w:rFonts w:ascii="Amiri" w:hAnsi="Amiri" w:eastAsia="Amiri" w:cs="Amiri"/>
          <w:color w:val="111111"/>
          <w:sz w:val="28"/>
          <w:sz w:val="28"/>
          <w:szCs w:val="28"/>
          <w:rtl w:val="true"/>
          <w:lang w:bidi="ar-SA"/>
        </w:rPr>
        <w:t>، ولم يتنبهوا أنّ المراد من الواسطة، الواسطة في العروض لا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منحصرة في الأقسام الثلاثة ولا يعقل أن تكون 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منها الواسطة في الثبوت لزم حصرها في المباين؛ لأنّ العلة تباين المعلول والموضوع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فتربيع الأقسام باطل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توسّط الواسطة في الثبوت لا ينافي مع كون العروض ابتدائياً والمعروض معروضاً أولياً فلا توجب أن يكون العارض غريباً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يراد منها ما يعمهما وإلا لزم أن يكون العارض بواسطة أمر مساوٍ كالتعجب داخلاً في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عروضه على الإنسان بواسطة أمر مساءٍ له في العروض وهو المدرك للأمور المعجبة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ومعدوداً من الغريبة بواسطة أنّ ثبوته له بواسطة أمر مباين له وهو إدراك الأمور المعجبة؛ إذ كلّ عنوان يكون واسطة في العروض يكون مبدئه واسطة في الثبوت ومبايناً مع المعروض وإن كان العنوان المتخذ منه متحداً معه و محمولاً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بما بيناه أن عروض العوارض بواسطة في العروض مطلقاً تحقيقي؛ ضرورة أنّ العارض بواسطة أمر صادق على المعروض مساوياً كان أو أعم أو أخص نعت له حقيقةً؛ لأنّ الصادق على الصادق على الشيء صادق عليه تحقيقاً ومحمول المحمول </w:t>
      </w:r>
    </w:p>
    <w:p>
      <w:pPr>
        <w:pStyle w:val="BookText"/>
        <w:rPr/>
      </w:pPr>
      <w:r>
        <w:rPr>
          <w:rFonts w:ascii="Amiri" w:hAnsi="Amiri" w:eastAsia="Amiri" w:cs="Amiri"/>
          <w:color w:val="111111"/>
          <w:sz w:val="28"/>
          <w:sz w:val="28"/>
          <w:szCs w:val="28"/>
          <w:rtl w:val="true"/>
          <w:lang w:bidi="ar-SA"/>
        </w:rPr>
        <w:t>محمول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توهّمه السيد الشريف من أنّ العارض بواسطة في المعروض من قبيل الوصف بحال متعلّق</w:t>
      </w:r>
      <w:r>
        <w:rPr>
          <w:rStyle w:val="FootnoteAnchor"/>
          <w:rtl w:val="true"/>
        </w:rPr>
        <w:footnoteReference w:id="10"/>
      </w:r>
      <w:r>
        <w:rPr>
          <w:rFonts w:ascii="Amiri" w:hAnsi="Amiri" w:eastAsia="Amiri" w:cs="Amiri"/>
          <w:color w:val="111111"/>
          <w:sz w:val="28"/>
          <w:sz w:val="28"/>
          <w:szCs w:val="28"/>
          <w:rtl w:val="true"/>
          <w:lang w:bidi="ar-SA"/>
        </w:rPr>
        <w:t>غلط ، وكأنّه توهّم أنّ المراد من الواسطة في العروض ما كان واسطة في نسبة العرض إلى الشيء مجازاً كوساطة السفينة في نسبة الحركة إلى جالسها توسعاً، ولم يتنبه أنه لا يلائم ذلك مع تقسيم الواسطة إلى مساوية وأعمّ وأخص؛ فإنّ وساطة المناسب بإحدى النسب الثلاثة إنّما تجامع مع الاتصاف الحقيقي لا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خفي معنى العارض الذاتي وحقيقة الواسطة في العروض على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حكي عن بعض أنه جعل مدار الذاتي على مجرد اتحاد العارض مع المعروض وصدقه عليه في الخارج ولو كان العروض بواسطة في العروض</w:t>
      </w:r>
      <w:r>
        <w:rPr>
          <w:rStyle w:val="FootnoteAnchor"/>
          <w:rtl w:val="true"/>
        </w:rPr>
        <w:footnoteReference w:id="11"/>
      </w:r>
      <w:r>
        <w:rPr>
          <w:rFonts w:ascii="Amiri" w:hAnsi="Amiri" w:eastAsia="Amiri" w:cs="Amiri"/>
          <w:color w:val="111111"/>
          <w:sz w:val="28"/>
          <w:sz w:val="28"/>
          <w:szCs w:val="28"/>
          <w:rtl w:val="true"/>
          <w:lang w:bidi="ar-SA"/>
        </w:rPr>
        <w:t>، وهو مستلزم لاختلاط الفنون وعدم الضبط، كما عرفت</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آخر أنه عبارة عمّا يعرض الشيء بلا واسطة في العروض أصلاً</w:t>
      </w:r>
      <w:r>
        <w:rPr>
          <w:rStyle w:val="FootnoteAnchor"/>
          <w:rtl w:val="true"/>
        </w:rPr>
        <w:footnoteReference w:id="13"/>
      </w:r>
      <w:r>
        <w:rPr>
          <w:rFonts w:ascii="Amiri" w:hAnsi="Amiri" w:eastAsia="Amiri" w:cs="Amiri"/>
          <w:color w:val="111111"/>
          <w:sz w:val="28"/>
          <w:sz w:val="28"/>
          <w:szCs w:val="28"/>
          <w:rtl w:val="true"/>
          <w:lang w:bidi="ar-SA"/>
        </w:rPr>
        <w:t>، وهو مستلزم لإخراج كثير من مسائل الفنون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آخر أنه عبارة عن العارض بلا واسطة أو بواسطة أمر مساءٍ أو أخص فحصر الغريب في العارض بواسطة أمر أعم</w:t>
      </w:r>
      <w:r>
        <w:rPr>
          <w:rStyle w:val="FootnoteAnchor"/>
          <w:rtl w:val="true"/>
        </w:rPr>
        <w:footnoteReference w:id="14"/>
      </w:r>
      <w:r>
        <w:rPr>
          <w:rFonts w:ascii="Amiri" w:hAnsi="Amiri" w:eastAsia="Amiri" w:cs="Amiri"/>
          <w:color w:val="111111"/>
          <w:sz w:val="28"/>
          <w:sz w:val="28"/>
          <w:szCs w:val="28"/>
          <w:rtl w:val="true"/>
          <w:lang w:bidi="ar-SA"/>
        </w:rPr>
        <w:t>، وهو موجب لعدم الضبط؛ إذ يصح حينئذٍ جعل النحو والصرف وسائر العلوم الأدبيّة فنّاً واحداً وجعل موضوعه اللفظ العربي باعتبار عروض العوارض المبحوث عنها في الفنون المذكورة عليه بوسائط أخص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الذاتي، وأما الواسطة في العروض فقد فسّرها بعضهم بما يكون واسطة في الاتصاف مجازاً ، كما يظهر من السيد الشريف</w:t>
      </w:r>
      <w:r>
        <w:rPr>
          <w:rStyle w:val="FootnoteAnchor"/>
          <w:rtl w:val="true"/>
        </w:rPr>
        <w:footnoteReference w:id="15"/>
      </w:r>
      <w:r>
        <w:rPr>
          <w:rFonts w:ascii="IRNazanin" w:hAnsi="IRNazanin" w:eastAsia="IRNazanin"/>
          <w:color w:val="111111"/>
          <w:sz w:val="28"/>
          <w:sz w:val="28"/>
          <w:szCs w:val="28"/>
          <w:rtl w:val="true"/>
          <w:lang w:bidi="fa-IR"/>
        </w:rPr>
        <w:t>ومن تبعه</w:t>
      </w:r>
      <w:r>
        <w:rPr>
          <w:rStyle w:val="FootnoteAnchor"/>
          <w:rtl w:val="true"/>
        </w:rPr>
        <w:footnoteReference w:id="16"/>
      </w:r>
      <w:r>
        <w:rPr>
          <w:rFonts w:ascii="IRNazanin" w:hAnsi="IRNazanin" w:eastAsia="IRNazanin"/>
          <w:color w:val="111111"/>
          <w:sz w:val="28"/>
          <w:sz w:val="28"/>
          <w:szCs w:val="28"/>
          <w:rtl w:val="true"/>
          <w:lang w:bidi="fa-IR"/>
        </w:rPr>
        <w:t>وقد عرفت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آخر أنه إن ترتبت الواسطة في الثبوت يكون العارض عارضاً بواسطة في العروض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معروض لإدراك الكلّيّات بلا واسطة فى العروض والثبوت معاً، ومعروض للتعجب بواسطة في الثبوت لا العروض، وهي إدراك الكليات ومعروض للضحك بواسطة في العروض؛ لأنّ واسطة عروضه تحتاج إلى واسطة أُخرى في الثبوت أيضاً، فالميزان أنّ العارض إن احتاج إلى واسطة غير محتاجة إلى واسطة أُخرى فالواسطة في الثبوت وإلا ففي العروض</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غاية الغرابة؛ لأنّ العارض إن دار مدار المبدأ الذي هو واسطة في الثبوت حدوثاً وبقاءً، فالعنوان المأخوذ منه المنطبق على الذات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الواسطة في الثبوت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فالذات معروضة للعرض ابتداءً سواء كانت في البين واسطة في الثبوت متحدة أو متعدّدة أم لم تكن فالتفصيل بين ترتب الواسطة وعدمه باطل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في الواسطة في العروض هو دوران العارض مدار العنوان المأخوذ من المبدأ حدوثاً وبقاءً لا تعدّد الواسطة في الثبوت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 لك حقيقة العارض الذاتي وأنّ المدار في تمايز الفنون على تمايز الموضوعات،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المعروضات بالعوارض الذاتية، فاعلم أنه قد تنطبق على محلّ واحد موضوعات متعدّدة كموضوعات العلوم الأدبية المنطبقة على الكلمة ولا ينافي تصادقها على محلّ واحد مع تمايزها في حد أنفسها، فنتهوا على ذلك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وتمايز الموضوعات بتمايز الحيثيات</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الموضوعات هي الحيثيات المجتمعة على محلّ واحد لا محلّ تصادقها حتّى يتوهّم رجوع الموضوعات إلى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خفي هذا المعنى على بعضهم</w:t>
      </w:r>
      <w:r>
        <w:rPr>
          <w:rStyle w:val="FootnoteAnchor"/>
          <w:rtl w:val="true"/>
        </w:rPr>
        <w:footnoteReference w:id="20"/>
      </w:r>
      <w:r>
        <w:rPr>
          <w:rFonts w:ascii="Amiri" w:hAnsi="Amiri" w:eastAsia="Amiri" w:cs="Amiri"/>
          <w:color w:val="111111"/>
          <w:sz w:val="28"/>
          <w:sz w:val="28"/>
          <w:szCs w:val="28"/>
          <w:rtl w:val="true"/>
          <w:lang w:bidi="ar-SA"/>
        </w:rPr>
        <w:t>فصدر منه ما يقتضي العجب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هاهنا إشكالاً مشهوراً، وهو أنّ المبحوث عنه في العلوم غالباً الأمور اللاحقة للأنواع والأصناف، والعارض بواسطة الأخص غريب، سواء كان نوعاً أم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مدخولة سوى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بعض المحققين، ومحصله أنّ الوسائط المزبورة إنّما هي وسائط في الثبوت لا العروض، فلا تضرّ الأخصيّة</w:t>
      </w:r>
      <w:r>
        <w:rPr>
          <w:rStyle w:val="FootnoteAnchor"/>
          <w:rtl w:val="true"/>
        </w:rPr>
        <w:footnoteReference w:id="21"/>
      </w:r>
      <w:r>
        <w:rPr>
          <w:rFonts w:ascii="Amiri" w:hAnsi="Amiri" w:eastAsia="Amiri" w:cs="Amiri"/>
          <w:color w:val="111111"/>
          <w:sz w:val="28"/>
          <w:sz w:val="28"/>
          <w:szCs w:val="28"/>
          <w:rtl w:val="true"/>
          <w:lang w:bidi="ar-SA"/>
        </w:rPr>
        <w:t>، وهو واضح الفساد؛ ضرورة أنّ الرفع والنصب والجرّ يدور مدار عنوان الفاعل والمفعول والمضاف إليه وما في حكمها حدوثاً وبقاءً، وكذا الوجوب والحرمة والندب والكراهة والإباحة تدور مدار عناوين الأفعال حدوثاً وبقاءً، وفعل المكلّف إنّما يعرضه الأحكام المذكورة باعتبار عناوينها من الصلاة والزكاة والربا والزنا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لا استقلال لها في الوجود وإنّما توجد في الخارج بوجود ما تنطبق عليه، فكيف يصير موضوعاً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الوضع والحمل إلى اتحاد الموضوع والمحمول وصدقه عليه، ومن المعلوم أنّ الصدق والاتحاد لا يتوقف على استقلال الموضوع في الخارج وإلا لزم أن لا يكون فعل المكلّف محكوماً بحكم من الأحكام؛ لعدم استقلاله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احتمله بعضُ من اندراج العارض بواسطة الأخصّ في الذاتي</w:t>
      </w:r>
      <w:r>
        <w:rPr>
          <w:rStyle w:val="FootnoteAnchor"/>
          <w:rtl w:val="true"/>
        </w:rPr>
        <w:footnoteReference w:id="22"/>
      </w:r>
      <w:r>
        <w:rPr>
          <w:rFonts w:ascii="IRNazanin" w:hAnsi="IRNazanin" w:eastAsia="IRNazanin"/>
          <w:color w:val="111111"/>
          <w:sz w:val="28"/>
          <w:sz w:val="28"/>
          <w:szCs w:val="28"/>
          <w:rtl w:val="true"/>
          <w:lang w:bidi="fa-IR"/>
        </w:rPr>
        <w:t>، وقد عرفت ضعفه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 الجميع ما زعمه بعض آخر من ارتفاع الإشكال باعتبار قيد الحيثية في موضوع العلم، الموجب لانطباقه عليها بنحو العينية بالحمل الشائع الصناعي، فأوضحه بما محصله أنّ المبحوث عنه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عوارض الفاعل بما هو فاعل، ككونه متقدّماً فى الرتبة على المفعول، بل عوارضه بما هو معرب، فيكون عوارضه عوارض ذاتيّة لموضوع العلم، وخصوصيّة الفاعلية والمفعوليّة والإضافة ملغاة في هذه المرحلة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واضح الفساد؛ ضرورة أن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أنواع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عوارض الفاعل والمفعول والمضاف إليه من حيث الخصوصيّة، فكيف تكون العناوين المزبورة ملغاة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استحقاق الفاعل الرفع إلا كاستحقاقه التأخّر عن الفعل من لواحق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الأجوبة ما ذكره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المبحوث عنه هو الموضوع لا المحمول</w:t>
      </w:r>
      <w:r>
        <w:rPr>
          <w:rStyle w:val="FootnoteAnchor"/>
          <w:rtl w:val="true"/>
        </w:rPr>
        <w:footnoteReference w:id="25"/>
      </w:r>
      <w:r>
        <w:rPr>
          <w:rFonts w:ascii="Amiri" w:hAnsi="Amiri" w:eastAsia="Amiri" w:cs="Amiri"/>
          <w:color w:val="111111"/>
          <w:sz w:val="28"/>
          <w:sz w:val="28"/>
          <w:szCs w:val="28"/>
          <w:rtl w:val="true"/>
          <w:lang w:bidi="ar-SA"/>
        </w:rPr>
        <w:t>؛ فإنّ البحث عن الشيء عبارة عن استعلام أحواله، فمعنى البحث عن العوارض الذاتية جعلها عناوين للأبحاث؛ فإنّ الفاعل والمفعول والمضاف إليه وغيرها أعراض ذاتيّة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البحث عن نفس الموضوع في بعض المسائل؛ فإنه اكتفاء بأقل المراتب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لا توزن مسائل أصول الفقه بهذا الميزان ولا ترجع إلى موضوع واحد، وما اشتهر من رجوع مسائله إلى أدلّة الفقه فاسد ؛ لأنه إن أريد منها دليل الفقه بوصف أنّه دلیل، كما هو الظاهر، ففيه أنّ مسائلها كلّها باحثة عن الحالات المقدّمة على الدليل إلا مبحث التعارض</w:t>
      </w:r>
    </w:p>
    <w:p>
      <w:pPr>
        <w:pStyle w:val="BookText"/>
        <w:rPr/>
      </w:pPr>
      <w:r>
        <w:rPr>
          <w:rFonts w:ascii="Amiri" w:hAnsi="Amiri" w:eastAsia="Amiri" w:cs="Amiri"/>
          <w:color w:val="111111"/>
          <w:sz w:val="28"/>
          <w:sz w:val="28"/>
          <w:szCs w:val="28"/>
          <w:rtl w:val="true"/>
          <w:lang w:bidi="ar-SA"/>
        </w:rPr>
        <w:t>أما مباحث الألفاظ فلأنها باحثة عن مفردات ألفاظ معدودة من حيث هي، أو عن مفاد مركبات منها مع قطع النظر عن ورودها في مقام الدلالة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مباحث الأدلّة فمنها باحثة عن انطباق وصف الدليل كالبحث عن ملازمة الحكم العقلي للحكم الشرعي وعن حجيّة الخبر الواحد والإجماع ، ومنها باحثة عن وجود الدليل كالبحث عن حجيّة البرائة والاستصحاب؛ فإنّ البحث فيهما عن ثبوت الأصل لا عن حجيّته؛ ضرورة أنّ الأصل بعد ثبوته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البين إلّا مبحث التعارض وقد جعله الأكثر خاتمة للمقاصد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شيخنا العلّامة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البحث عن حجية الخبر إلى البحث </w:t>
      </w:r>
    </w:p>
    <w:p>
      <w:pPr>
        <w:pStyle w:val="BookText"/>
        <w:rPr/>
      </w:pPr>
      <w:r>
        <w:rPr>
          <w:rFonts w:ascii="Amiri" w:hAnsi="Amiri" w:eastAsia="Amiri" w:cs="Amiri"/>
          <w:color w:val="111111"/>
          <w:sz w:val="28"/>
          <w:sz w:val="28"/>
          <w:szCs w:val="28"/>
          <w:rtl w:val="true"/>
          <w:lang w:bidi="ar-SA"/>
        </w:rPr>
        <w:t>عن أنّ السنّة هل تثبت به ؟</w:t>
      </w:r>
      <w:r>
        <w:rPr>
          <w:rStyle w:val="FootnoteAnchor"/>
          <w:rtl w:val="true"/>
        </w:rPr>
        <w:footnoteReference w:id="27"/>
      </w:r>
      <w:r>
        <w:rPr>
          <w:rFonts w:ascii="Amiri" w:hAnsi="Amiri" w:eastAsia="Amiri" w:cs="Amiri"/>
          <w:color w:val="111111"/>
          <w:sz w:val="28"/>
          <w:sz w:val="28"/>
          <w:szCs w:val="28"/>
          <w:rtl w:val="true"/>
          <w:lang w:bidi="ar-SA"/>
        </w:rPr>
        <w:t>في غير محله؛ لأنه مجرد تغيير للعبارة؛ ضرورة أن حجيّة الخبر لا تحدث وصفاً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ثابتة بالخبر وصف فيه؛ فإنه هو الذي صار بمنزلة الدليل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البحث عن أنّ السناء مسهل أم لا؟ بحث عن حال شاربه أو البحث عن أنّ زيداً عالم بالفقه ؟ بحث عن حال المراجعين إليه ومقلّديه،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بعضهم عليه من أنّ البحث عن ثبوت السنة بالخبر بحث عن وجود الدليل لا عن حالاته؛ لأنه بحث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Style w:val="FootnoteAnchor"/>
          <w:rtl w:val="true"/>
        </w:rPr>
        <w:footnoteReference w:id="28"/>
      </w:r>
      <w:r>
        <w:rPr>
          <w:rFonts w:ascii="Amiri" w:hAnsi="Amiri" w:eastAsia="Amiri" w:cs="Amiri"/>
          <w:color w:val="111111"/>
          <w:sz w:val="28"/>
          <w:sz w:val="28"/>
          <w:szCs w:val="28"/>
          <w:rtl w:val="true"/>
          <w:lang w:bidi="ar-SA"/>
        </w:rPr>
        <w:t>فخلط منه بين الثبوت بمعنى الانكشاف والثبوت بمعنى الوجود الخارجي، والحاصل من الخبر على فرض حجيّته إنّما هو الانكشاف وهو من الحالات المتأخّرة عن الوجود ومن العجب أنه فصل ثانياً بين الثبوت التعبدي والتحقيقي</w:t>
      </w:r>
      <w:r>
        <w:rPr>
          <w:rStyle w:val="FootnoteAnchor"/>
          <w:rtl w:val="true"/>
        </w:rPr>
        <w:footnoteReference w:id="29"/>
      </w:r>
      <w:r>
        <w:rPr>
          <w:rFonts w:ascii="Amiri" w:hAnsi="Amiri" w:eastAsia="Amiri" w:cs="Amiri"/>
          <w:color w:val="111111"/>
          <w:sz w:val="28"/>
          <w:sz w:val="28"/>
          <w:szCs w:val="28"/>
          <w:rtl w:val="true"/>
          <w:lang w:bidi="ar-SA"/>
        </w:rPr>
        <w:t>، والتزم بأنّ الأوّل وصف في الخبر دون الثاني؛ ضرورة أنّ الكشف تحقيقيّاً كان أم تنزيليّاً وصف وشأن للدليل لا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الكشف التحقيقي كان وصفاً للدليل لم يكن مجال لجعل التنزيلي وصفاً له ضرورة أنّ المنزّل قائم مقام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يبحث الأصولي عن مفاد ألفاظ مفردة أو مركبة إلا من حيث وقوعها في أدلّة الفقه، فالموضوع مقيّد في الحقيقة؛ لأنّ المبحوث عنه إنّما هي ألفاظ واقعة في دليل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الغرض على كشف حال الدليل لا يوجب تقييد موضوع البحث؛ لأنّ الغرض في مرتبة متأخّرة والموضوع في مرتبة متقدمة، فلو عاد الغرض قيداً للموضوع لزم الدور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الغرض من البحث عن مفاد الألفاظ هو كشف الدلالة لا الحالات الطارئة على الدليل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منها ذوات الأدلة الأربعة</w:t>
      </w:r>
      <w:r>
        <w:rPr>
          <w:rStyle w:val="FootnoteAnchor"/>
          <w:rtl w:val="true"/>
        </w:rPr>
        <w:footnoteReference w:id="30"/>
      </w:r>
      <w:r>
        <w:rPr>
          <w:rFonts w:ascii="Amiri" w:hAnsi="Amiri" w:eastAsia="Amiri" w:cs="Amiri"/>
          <w:color w:val="111111"/>
          <w:sz w:val="28"/>
          <w:sz w:val="28"/>
          <w:szCs w:val="28"/>
          <w:rtl w:val="true"/>
          <w:lang w:bidi="ar-SA"/>
        </w:rPr>
        <w:t xml:space="preserve">ففيه أنه يلزم حينئذ صيرورة الأُصول فنوناً أربعة؛ لأنّ ذوات الأدلّة مع قطع النظر عن وصف الدليل أمور متباينة، وتمايز العلوم إنّما هو </w:t>
      </w:r>
    </w:p>
    <w:p>
      <w:pPr>
        <w:pStyle w:val="BookText"/>
        <w:rPr/>
      </w:pPr>
      <w:r>
        <w:rPr>
          <w:rFonts w:ascii="Amiri" w:hAnsi="Amiri" w:eastAsia="Amiri" w:cs="Amiri"/>
          <w:color w:val="111111"/>
          <w:sz w:val="28"/>
          <w:sz w:val="28"/>
          <w:szCs w:val="28"/>
          <w:rtl w:val="true"/>
          <w:lang w:bidi="ar-SA"/>
        </w:rPr>
        <w:t>بتمايز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أيضاً؛ لأنّ المباحث الراجعة إلى الألفاظ باحثة عن مفادها مع قطع النظر عن وقوعها في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يلزم حينئذ أن يكون درج علم التفسير في الأصول أولى من درج مباحث الألفاظ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بعضهم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موضوع 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يبحث فيه عن عوارضه الذاتية،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في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موضوعات مسائله عيناً وما يتحد معها خارجاً وإن كان يغايرها مفهوماً تغاير الكلّي ومصاديقه والطبيعي وأفراده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لا يكون لموضوع العلم وهو الكلّي المتحد مع موضوعات المسائل عنوان خاص واسم مخصوص فيصح أن يعبّر عنه بكلّ ما دلّ عليه؛ بداهة عدم دخل ذلك في موضوعيّته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 أن موضوع علم الأصول هو الكلّي المنطبق على موضوعات مسائله المتشتة لا خصوص الأدلّة الأربعة بما هي أدلّة، ولا بما هي هي؛ ضرورة أن البحث في غير واحد من مسائله المهمة ليس من عوارضها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غير محله؛ لأنّ تفسير العوارض الذاتية بما يعرض على الشيء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ذكره القوم من دخول العارض بواسطة الأمر المساوي فيها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في شيء من موضوعات العلوم؛ لأنّ محمولات المسائل كرفع الفاعل ونصف المفعول وجرّ المضاف إليه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تعرض على موضوع العلم بواسطة العناوين المأخوذة في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موضوع العلم مع موضوعات المسائل خارجاً وكونه عينها كذلك لا يوجب انتفاء الوساطة في العروض؛ ضرورة ثبوت الاتحاد الخارجي في جميع الوسائط في العروض مساويةً كانت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نافي الاتحاد الخارجي مع </w:t>
      </w:r>
    </w:p>
    <w:p>
      <w:pPr>
        <w:pStyle w:val="BookText"/>
        <w:rPr/>
      </w:pPr>
      <w:r>
        <w:rPr>
          <w:rFonts w:ascii="Amiri" w:hAnsi="Amiri" w:eastAsia="Amiri" w:cs="Amiri"/>
          <w:color w:val="111111"/>
          <w:sz w:val="28"/>
          <w:sz w:val="28"/>
          <w:szCs w:val="28"/>
          <w:rtl w:val="true"/>
          <w:lang w:bidi="ar-SA"/>
        </w:rPr>
        <w:t>الواسطة في العروض لزم أن لا يتصوّر واسطة في العروض أصلاً وأن يكون فرضه من قبيل فرض المحال</w:t>
      </w:r>
    </w:p>
    <w:p>
      <w:pPr>
        <w:pStyle w:val="BookText"/>
        <w:rPr/>
      </w:pPr>
      <w:r>
        <w:rPr>
          <w:rFonts w:ascii="Amiri" w:hAnsi="Amiri" w:eastAsia="Amiri" w:cs="Amiri"/>
          <w:color w:val="111111"/>
          <w:sz w:val="28"/>
          <w:sz w:val="28"/>
          <w:szCs w:val="28"/>
          <w:rtl w:val="true"/>
          <w:lang w:bidi="ar-SA"/>
        </w:rPr>
        <w:t>وتوهّم أنّ العناوين وسائط في الثبوت لا في العروض والمحمولات عارضة على موضوع العلم عروضاً أولياً، وهم ظاهر؛ بداهة أنّ العناوين وسائط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يدور مدارها الأحكام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الواسطة في الثبوت هي مباديها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العناوين واسطة في العروض حينئذ لزم أن لا يكون لنا واسطة في العروض أصلاً؛ لأنّ كلّ</w:t>
      </w:r>
    </w:p>
    <w:p>
      <w:pPr>
        <w:pStyle w:val="BookText"/>
        <w:rPr/>
      </w:pPr>
      <w:r>
        <w:rPr>
          <w:rFonts w:ascii="Amiri" w:hAnsi="Amiri" w:eastAsia="Amiri" w:cs="Amiri"/>
          <w:color w:val="111111"/>
          <w:sz w:val="28"/>
          <w:sz w:val="28"/>
          <w:szCs w:val="28"/>
          <w:rtl w:val="true"/>
          <w:lang w:bidi="ar-SA"/>
        </w:rPr>
        <w:t>عنوان يفرض انه واسطة في العروض يكون مبدئه واسطة في الثبوت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العارض الذاتي ما يتصف به الموضوع تحقيقاً، ومن عدم الواسطة حينئذ عدم الواسطة الموجبة لصحة التوصيف توسعاً في مقابل ما يصح نسبته إلى الشيء توسعاً، كالحركة العارضة على السفينة حقيقةً المنسوبة إلى جالسها توسعاً، فهو باطل جدّاً من وجهين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هذا التفسير مع تقسيم الواسطة إلى مساءٍ وأعم وأخص ضرورة أنّ الاتصاف بالواسطة بأقسامها الثلاثة اتصاف تحقيقي لا توسّع ولا تجوز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بالعرض الذاتي بهذا المعنى يعم الموضوع الأولي والثانوي مطلقاً ، فلا يصلح أن يكون ميزاناً لتمايز الفنون بعضها عن بعض؛ إذ كما يتصوّر فرض هذا الموضوع بالنسبة إلى مسائل أصول الفقه كذلك يتصوّر فرضه بالنسبة إلى الفنون الأدبية؛ فإنّ جميعها باحثة عن أحوال اللفظ بالأخرة، بل بالنسبة إلى جميع الفنون،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أريد بما ذكره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موضوع علم الأصول هو الكلّي المنطبق على موضوعات مسائله وإن لم يكن له اسم خاص و عنوان مخصوص</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كلّى منطبق عليها غير معتدّ عنها، ففيه أنّ ثبوت مثل هذا الجامع يحتاج إلى قيام دليل عليه، ولم يتبيّن مما قدّمه وجود جامع كذلك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وجود جامع بينها مطلقاً وإن كان عاماً لموضوعات مسائل فنون أخر، ففيه أنّ وجود مثل هذا الجامع لا ينفع في جعل مسائله فنّاً مستقلاً في قبال سائر الفنون، والقوم إنّما قصدوا من تعيين الموضوع ما يتميّز به الفنون بعضها عن بعض لا مطلق ما يعرضه الشيء؛ فإنّهم صرّحوا بأنّ تمايز العلوم بتمايز الموضوعات وموضوع كلّ علم ما يبحث فيه عن عوارضه الذاتية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فما ذكره حينئذ لا يرتبط بما كان القوم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تفطّن بأن الموضوع بالمعنى الذي ذكره لا يكون مائزاً فعدل عمّا ذكره القوم وجعل تمايز العلوم باختلاف الأغراض الداعية إلى التدوين</w:t>
      </w:r>
      <w:r>
        <w:rPr>
          <w:rStyle w:val="FootnoteAnchor"/>
          <w:rtl w:val="true"/>
        </w:rPr>
        <w:footnoteReference w:id="35"/>
      </w:r>
      <w:r>
        <w:rPr>
          <w:rFonts w:ascii="Amiri" w:hAnsi="Amiri" w:eastAsia="Amiri" w:cs="Amiri"/>
          <w:color w:val="111111"/>
          <w:sz w:val="28"/>
          <w:sz w:val="28"/>
          <w:szCs w:val="28"/>
          <w:rtl w:val="true"/>
          <w:lang w:bidi="ar-SA"/>
        </w:rPr>
        <w:t>، وهو في غاية البشاعة؛ ضرورة عدم تأثير في تعدّد الغرض ووحدته تعدّد الفعل المعلّل به ووحدته، وإلّا لزم أن يصير الفنّ الواحد فنوناً متعدّدة إذا تعدّد</w:t>
      </w:r>
    </w:p>
    <w:p>
      <w:pPr>
        <w:pStyle w:val="BookText"/>
        <w:rPr/>
      </w:pPr>
      <w:r>
        <w:rPr>
          <w:rFonts w:ascii="Amiri" w:hAnsi="Amiri" w:eastAsia="Amiri" w:cs="Amiri"/>
          <w:color w:val="111111"/>
          <w:sz w:val="28"/>
          <w:sz w:val="28"/>
          <w:szCs w:val="28"/>
          <w:rtl w:val="true"/>
          <w:lang w:bidi="ar-SA"/>
        </w:rPr>
        <w:t>الداعي على تدوينه، والفنون المتعدّدة فناً واحداً إذا اتحد الداعي على 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يجوز اشتراك جميع الفنون أو جملة منها في غرض واحد وانفراد كلّ منها بغرض، فيلزم حينئذ أن تكون الفنون المشتركة فنّاً واحداً باعتبار الاشتراك في الداعي العام للجميع وفنوناً متمايزةً باعتبار انفراد كلّ منها بغرض والملازمة واضحة وبطلان اللوازم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عنوان الفنيّة سابقة على التدوين، فلا يعقل تأثير غرض التدوين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دوران عنوان الفنّية مدار التدوين لزم أن يختلف الفنّ الواحد باختلاف كيفية التدوين؛ ضرورة أنّ العنوان الدائر مدار التدوين يختلف باختلافه كما يتحد باتحاده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عنوان القصيدة والنظم الدائر مدار تركيب الكلمات وتأليفها يختلف باختلاف كيفية التركيب والتأليف فيلزم حينئذٍ أن تكون الكتب المختلفة التدوين في فنّ واحد فنوناً متعدّدة، وهو بديهي البطلان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أنه اعترض على نفسه باستلزام صيرورة فنّ واحد فنّين مختلفين إذا تعدّد الداعي على تدوينه، فأجاب بعد أن حكم ببعده</w:t>
      </w:r>
      <w:r>
        <w:rPr>
          <w:rFonts w:eastAsia="Amiri" w:cs="Amiri" w:ascii="Amiri" w:hAnsi="Amiri"/>
          <w:color w:val="111111"/>
          <w:sz w:val="28"/>
          <w:szCs w:val="28"/>
          <w:rtl w:val="true"/>
          <w:lang w:bidi="ar-SA"/>
        </w:rPr>
        <w:t xml:space="preserve">: </w:t>
      </w:r>
      <w:bookmarkStart w:id="32" w:name="pg9000_93901"/>
    </w:p>
    <w:p>
      <w:pPr>
        <w:pStyle w:val="BookText"/>
        <w:rPr/>
      </w:pPr>
      <w:bookmarkEnd w:id="32"/>
      <w:r>
        <w:rPr>
          <w:rFonts w:ascii="Amiri" w:hAnsi="Amiri" w:eastAsia="Amiri" w:cs="Amiri"/>
          <w:color w:val="111111"/>
          <w:sz w:val="28"/>
          <w:sz w:val="28"/>
          <w:szCs w:val="28"/>
          <w:rtl w:val="true"/>
          <w:lang w:bidi="ar-SA"/>
        </w:rPr>
        <w:t>أنّه لا يصح لذلك تدوين علمين وجعلهما فنّين وتسميتهما باسمين بل تدوين علم واحد يبحث فيه لكلا المهمين وأُخرى لأحدهما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فإنّه اعتراف بورود الإيراد وبطلان ما ذكره من أنّ تمايز العلوم بتمايز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فأصول الفقه هي ما يتوقف عليها الفقه مما لم يذكر في سائر الفنون أو لم يستوف حقه فيها، ومسائله بين ما يتوقف عليه الاستنباط وبين ما يثبت به اعتباره، والمستنبط أعم من أحكام الوقائع التي هي مدلول الأدلة ووظائف المكلّف التي التي هي مؤدّى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حقيقة الفنون وما بمنزلتها إنّما هي مسائلها لا العلم بها ضرورة أنّ المبحوث عنه هى المسائل وإن كان المطلوب منها والغرض من تدوينها هي العلم بها بحيث صارت متمحضة فيه وصح إطلاق العلم عليها تنزيلاً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لها، كما وقع في أغلب تعاريفهم</w:t>
      </w:r>
      <w:r>
        <w:rPr>
          <w:rStyle w:val="FootnoteAnchor"/>
          <w:rtl w:val="true"/>
        </w:rPr>
        <w:footnoteReference w:id="37"/>
      </w:r>
      <w:r>
        <w:rPr>
          <w:rFonts w:ascii="Amiri" w:hAnsi="Amiri" w:eastAsia="Amiri" w:cs="Amiri"/>
          <w:color w:val="111111"/>
          <w:sz w:val="28"/>
          <w:sz w:val="28"/>
          <w:szCs w:val="28"/>
          <w:rtl w:val="true"/>
          <w:lang w:bidi="ar-SA"/>
        </w:rPr>
        <w:t>، غفلة واضحة وزلّة 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أنّ أُصول الفقه ليس فنّاً مستقلاً، فلا مجال للتعريف والتحديد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طوينا عنه واكتفينا ببيان ما يصح به عد المسألة من مسائله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859572_2870459653"/>
      <w:bookmarkStart w:id="34" w:name="_Toc11"/>
      <w:bookmarkEnd w:id="33"/>
      <w:r>
        <w:rPr>
          <w:rtl w:val="true"/>
        </w:rPr>
        <w:t>[</w:t>
      </w:r>
      <w:r>
        <w:rPr>
          <w:rtl w:val="true"/>
        </w:rPr>
        <w:t>الأمر</w:t>
      </w:r>
      <w:r>
        <w:rPr>
          <w:rtl w:val="true"/>
        </w:rPr>
        <w:t xml:space="preserve">] </w:t>
      </w:r>
      <w:r>
        <w:rPr>
          <w:rtl w:val="true"/>
        </w:rPr>
        <w:t>الثاني</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يوصف اللفظ بالكلية والجزئيّة باعتبار معناه في مصطلحهم، ويختص ذلك عندهم بالاسم الخالص، ولا يجري في الحرف والفعل والأسماء المتضمنة للمعنى الحرفي كالمبهمات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فيه أنّ الحرف لا معنى له، وأنما هو موجد معنىً في لفظ غيره، كما أفاده مهبط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فهو آلة لإحداث معنى من المعاني المعتورة على اللفظ من الفاء علیه </w:t>
      </w:r>
    </w:p>
    <w:p>
      <w:pPr>
        <w:pStyle w:val="BookText"/>
        <w:rPr/>
      </w:pPr>
      <w:r>
        <w:rPr>
          <w:rFonts w:ascii="Amiri" w:hAnsi="Amiri" w:eastAsia="Amiri" w:cs="Amiri"/>
          <w:color w:val="111111"/>
          <w:sz w:val="28"/>
          <w:sz w:val="28"/>
          <w:szCs w:val="28"/>
          <w:rtl w:val="true"/>
          <w:lang w:bidi="ar-SA"/>
        </w:rPr>
        <w:t>والمفعولية والإضافة والظرفية والاختصاص والاستعلاء وهكذا لا أنّ له معنى وضع بإزائه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 ما لم يخرج استعمالها عن الإبهام بالتعين في أحد الوجوه كانت أسماء معدودة عارية عن الإسناد ولا يفيد العلم بشيء وإنما توجب خطور مفاهيمها في الذهن، فالإفادة والاستفادة منها تتوقف على تماميّة استعمالها وتعينه في أحد الوجوه ومن المعلوم أنّ الاسم لا يتكفّل وجه استعمال اسم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أتيت اسماً مكان الحرف أو ما بمنزلته من الهيئة التركيبية أو الاشتقاقية لا يغني عن شيء، فلا بدّ في تتميم القضيّة اللفظية المترتبة عليها الإفادة والاستفادة من الحرف أو ما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أنّ متمّم ذلك أنّ متمّم استعمال الاسم والمتكفّل لأنحائه ليس إلا الحروف أو ما بمنزلتها، ولولاها لم يخرج الاستعمال عن الإبهام، فمعانيها في الإبهام، فمعانيها في طول ألفاظ الأسماء حادثة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شرح تمام حقيقة الحرف المستفاد من كلام مهبط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أوضحنا الكلام فيه غاية الإيضاح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 عن وجه أسرار الحديث الشريف</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وقد قرع أسماع أهل العربيّة أنّ معنى الحرف في غيره، ولكن لم يحققوه ولم يهتدوا إلى حقيقته؛ لدقته، فذهبوا يَمْنَةً ويَسرةً، وكلّ ما صدر عنهم في المقام بين فاسد وقاصر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بينهم ما أسسه المحقق الشريف فلا بأس بنقل كلامه وبيان ما فيه،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المعنى الحرفي من المعنى الاسمي بمنزلة المرآة ممّا يشاهد فيها ففي البصيرة كالبصر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 لا يتوجه إليه الشخص إلا توطئة، واستقلالي هو الأصل الأصالة والآلية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في اللحاظ، فالبصيرة كالبصر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هو حال لغيره ومتعلّق به، فإذا لاحظه العقل قصداً وبالذات كان معنى مستقلاً بنفسه ملحوظاً في ذاته صالحاً لأن يحكم عليه وبه، ويلزمه </w:t>
      </w:r>
    </w:p>
    <w:p>
      <w:pPr>
        <w:pStyle w:val="BookText"/>
        <w:rPr/>
      </w:pPr>
      <w:r>
        <w:rPr>
          <w:rFonts w:ascii="Amiri" w:hAnsi="Amiri" w:eastAsia="Amiri" w:cs="Amiri"/>
          <w:color w:val="111111"/>
          <w:sz w:val="28"/>
          <w:sz w:val="28"/>
          <w:szCs w:val="28"/>
          <w:rtl w:val="true"/>
          <w:lang w:bidi="ar-SA"/>
        </w:rPr>
        <w:t>إدراك متعلّقه تبعاً وإجمالاً، وهو بهذا الاعتبار مدلول لفظ الابتداء، ولك بعد ملاحظة هذا الوجه أن تقيّده بمتعلق مخصوص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سير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يخرجه ذلك عن الاستقلال وصلاحيته للحكم عليه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لاحظه العقل من حيث إنّه حال بين السير والبصرة، وجعله آلةً لتعريف</w:t>
      </w:r>
    </w:p>
    <w:p>
      <w:pPr>
        <w:pStyle w:val="BookText"/>
        <w:rPr/>
      </w:pPr>
      <w:r>
        <w:rPr>
          <w:rFonts w:ascii="Amiri" w:hAnsi="Amiri" w:eastAsia="Amiri" w:cs="Amiri"/>
          <w:color w:val="111111"/>
          <w:sz w:val="28"/>
          <w:sz w:val="28"/>
          <w:szCs w:val="28"/>
          <w:rtl w:val="true"/>
          <w:lang w:bidi="ar-SA"/>
        </w:rPr>
        <w:t xml:space="preserve">حالهما كان معنى غير مستقل بنفسه لا يصلح لأن يكون محكوماً عليه وبه وهو بهذا الاعتبار مدلول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الحرف وضعت باعتبار معنى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النسبة كالابتداء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ابتداء معيّن بخصوصه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الحرفي هو الأصل في مرحلة اللحاظ والقصد؛ حيث إنه الأصل فى الإفادة؛ ضرورة أنّ غرض المتكلّم إنّما هو بيان الإسناد الذي هو معنى حرفي، بل القصد لا يتعلّق إلا بأنحاء النسب التي هي معانٍ حرفيّة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خُص المعنى الذي هو محلّ العناية والقصد، في كلام مهبط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بمؤدى الحرف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المعنى الحرفي من المعنى الاسمي بمنزلة المرآة ممّا يشاهد فيها، غلط بيّن؛ لأنّ المعنى الاسمي لا يشاهد في المعنى الحرفي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حال المعنى الاسمي يشاهد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تمثيله بالاتبداء وجعله آلةً لتعرف حال السير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حالهما إنّما هو الربط الثابت بينهما الذي هو معنى حرفي، فلا يتمّ ما ذكره من أنه مرآة للمعنى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الربط المذكور إنّما هو الابتداء، فلا يصح جعله آلة لنفسه، بل التوطئة والمرآتية إنّما تجري في المفاهيم الاسمية، كذكر الملزوم توطئةً لإرائة اللازم وبالعكس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قوام الحرفية والاسميّة بالآلية والاستقلال بالمعنى الذي ذكره، لزم أن تكون الكنايات</w:t>
      </w:r>
      <w:r>
        <w:rPr>
          <w:rStyle w:val="FootnoteAnchor"/>
          <w:rtl w:val="true"/>
        </w:rPr>
        <w:footnoteReference w:id="42"/>
      </w:r>
      <w:r>
        <w:rPr>
          <w:rFonts w:ascii="IRNazanin" w:hAnsi="IRNazanin" w:eastAsia="IRNazanin"/>
          <w:color w:val="111111"/>
          <w:sz w:val="28"/>
          <w:sz w:val="28"/>
          <w:szCs w:val="28"/>
          <w:rtl w:val="true"/>
          <w:lang w:bidi="fa-IR"/>
        </w:rPr>
        <w:t>حروفاً لا أسماء</w:t>
      </w:r>
      <w:r>
        <w:rPr>
          <w:rFonts w:eastAsia="IRNazanin" w:cs="IRNazanin"/>
          <w:color w:val="111111"/>
          <w:sz w:val="28"/>
          <w:szCs w:val="28"/>
          <w:rtl w:val="true"/>
          <w:lang w:bidi="fa-IR"/>
        </w:rPr>
        <w:t xml:space="preserve">. </w:t>
      </w:r>
      <w:bookmarkStart w:id="35" w:name="pg9000_93904"/>
    </w:p>
    <w:p>
      <w:pPr>
        <w:pStyle w:val="BookText"/>
        <w:rPr/>
      </w:pPr>
      <w:bookmarkEnd w:id="35"/>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القول بعموم الوضع وخصوص الموضوع له إلى ما ذكره، في غير محله؛ إذ لا ملازمة بينه وبين النظر الآلي،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اتضح لك ما حققناه من أنّ الحرف آلة لإيجاد معنىً في غيره لا أنّ له معنىً وضع بإزائه ظهر لك وجه عدم اتصافه بالكلية والجزئيّة باعتباره، ومنه يظهر وجه عدم اتصاف الاسماء المتضمنة للمعاني الحرفية بأحد الوصفين من حيث إنّها متضمنة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الفعل؛ فإنّه باعتبار اشتماله على الهيئة المفيدة للإسناد الذي هو معنى حرفي، لا مجال لاتصافه بأحد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الصفات فإنّما توصف بأحدهما باعتبار معناها من جهة اضمحلال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النسبة الناقصة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المعنى الاسمي وصيرورة المجموع عنواناً للذات التي هي مفهوم مستقل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859574_2870459653"/>
      <w:bookmarkStart w:id="37" w:name="_Toc12"/>
      <w:bookmarkEnd w:id="36"/>
      <w:r>
        <w:rPr>
          <w:rtl w:val="true"/>
        </w:rPr>
        <w:t>[</w:t>
      </w:r>
      <w:r>
        <w:rPr>
          <w:rtl w:val="true"/>
        </w:rPr>
        <w:t>الأمر</w:t>
      </w:r>
      <w:r>
        <w:rPr>
          <w:rtl w:val="true"/>
        </w:rPr>
        <w:t xml:space="preserve">] </w:t>
      </w:r>
      <w:r>
        <w:rPr>
          <w:rtl w:val="true"/>
        </w:rPr>
        <w:t>الثالث</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تخصص شيء بشيء بحيث متى أطلق أو أحسّ الشيء الأوّل خطر الشيء الثاني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بمفهوم عام فهو والموضوع له عامان، وإن تعلّق بمفهوم خاص مع عدم تكرّر الوضع فهما خاصان، وقد أحدث العضدي قسماً ثالثاً في الحروف والمبهمات فذهب إلى أنّ الوضع فيها عام والموضوع له خاص</w:t>
      </w:r>
      <w:r>
        <w:rPr>
          <w:rStyle w:val="FootnoteAnchor"/>
          <w:rtl w:val="true"/>
        </w:rPr>
        <w:footnoteReference w:id="43"/>
      </w:r>
      <w:r>
        <w:rPr>
          <w:rFonts w:ascii="Amiri" w:hAnsi="Amiri" w:eastAsia="Amiri" w:cs="Amiri"/>
          <w:color w:val="111111"/>
          <w:sz w:val="28"/>
          <w:sz w:val="28"/>
          <w:szCs w:val="28"/>
          <w:rtl w:val="true"/>
          <w:lang w:bidi="ar-SA"/>
        </w:rPr>
        <w:t>لزعمه أنهما لا يستعملان إلا في الأفراد وانفراد كلّ منها بوضع غير متصوّر؛ لعدم انتهائها إلى حدّ محدود، والقول بتعلّق الوضع بالمعنى العام يستلزم الالتزام بكونها مجازات بلا حقائق، فاختار أنّ الوضع في كلّ واحد منهما واحد متعلّق بكلّ فرد من الأفراد الملحوظة في ضمن المفهوم العام بعنوان أنّها أفراد له؛ فراراً عن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ذلك بين من تأخر عنه وتلقاه الأكثر منهم بالقبول، وزعموا أنّ عموم الوضع باعتبار عموم آلة الملاحظة</w:t>
      </w:r>
      <w:r>
        <w:rPr>
          <w:rStyle w:val="FootnoteAnchor"/>
          <w:rtl w:val="true"/>
        </w:rPr>
        <w:footnoteReference w:id="44"/>
      </w:r>
      <w:r>
        <w:rPr>
          <w:rFonts w:ascii="Amiri" w:hAnsi="Amiri" w:eastAsia="Amiri" w:cs="Amiri"/>
          <w:color w:val="111111"/>
          <w:sz w:val="28"/>
          <w:sz w:val="28"/>
          <w:szCs w:val="28"/>
          <w:rtl w:val="true"/>
          <w:lang w:bidi="ar-SA"/>
        </w:rPr>
        <w:t>،وهو غلط؛ لأنّ عموم الوضع حينئذٍ إنّما هو باعتبار سريانه في كلّ فرد من الأفراد وعدم اختصاصه بفرد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ذكره العضدي من أنها مستعملة في الجزئيات، باطل؛ أما الحروف فلما عرفت من أنّها معيّنة لأنحاء الاستعمالات، فلا استعمال لها حتى يكون المستعمل فيه خاصاً أو عاماً، كما أنه لا وضع لها بالمعنى المعهود حتى يكون الموضوع له فيها عاماً أو خاصاً، وإنّما الوضع فيها آلى بمعنى جعلها آلات موجدة لمعان معتورة على ألفاظ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بجريان التقسيم في الوضع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 الاستعمال فيها، فالموضوع له والمستعمل فيه حينئذٍ عامان؛ ضرورة أنّها آلات للمفاهيم العامة، والخصوصيّة إنما تطرء من قبل إعمالها في المفاهيم وإحداثها إيّاها المستلزم للتشخّص، لا أنّ الخصوصية ثابتة قبل الإعمال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المبهمات فهي بمعناها الاسمي مستعملة في المفهوم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سميت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والتعيّن إنّما حصل من قبل التضمّن للمعاني الحرفية التي هي وجه من وجوه استعمالها في المفهوم الاسمي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معارف مع أنها من المبهمات، فحالها حال اسم الجنس المحلّى بلام العهد المتعيّن مفهومه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والموضوع له فيها عامان، كما أنّ المستعمل فيه أيضاً حينئذ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عموم الوضع مع خصوص الموضوع له إنّما يجري في الأعلام المشتركة؛ حيث إنّ وضعها تعمّ أفراداً متعدّدة مع أنّ الموضوع له فيها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لما ذكره بعض من تطرّق قسم رابع وهو الوضع الخاص والموضوع له العام</w:t>
      </w:r>
      <w:r>
        <w:rPr>
          <w:rStyle w:val="FootnoteAnchor"/>
          <w:rtl w:val="true"/>
        </w:rPr>
        <w:footnoteReference w:id="45"/>
      </w:r>
      <w:r>
        <w:rPr>
          <w:rFonts w:ascii="Amiri" w:hAnsi="Amiri" w:eastAsia="Amiri" w:cs="Amiri"/>
          <w:color w:val="111111"/>
          <w:sz w:val="28"/>
          <w:sz w:val="28"/>
          <w:szCs w:val="28"/>
          <w:rtl w:val="true"/>
          <w:lang w:bidi="ar-SA"/>
        </w:rPr>
        <w:t>إذ مع تعلّق الوضع بمفهوم عام لا يتصوّر كونه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اغتر من اغترّ من جهة زعمه أنّ عموم الوضع وخصوصه إنّما هو باعتبار عموم آلة الملاحظة وخصوصها فتصوّر قسماً رابعاً مع أنّ المفهوم العام ملحوظ بنفسه ولا حاجة له إلى آلة الملاحظة حتى يتوهّم أنّه قد يتصوّر في ضمن الخاص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الوضع ينقسم عند أهل العربيّة باعتبار الموضوع إلى شخصي وقانوني</w:t>
      </w:r>
      <w:r>
        <w:rPr>
          <w:rFonts w:eastAsia="Amiri" w:cs="Amiri" w:ascii="Amiri" w:hAnsi="Amiri"/>
          <w:color w:val="111111"/>
          <w:sz w:val="28"/>
          <w:szCs w:val="28"/>
          <w:rtl w:val="true"/>
          <w:lang w:bidi="ar-SA"/>
        </w:rPr>
        <w:t xml:space="preserve">. </w:t>
      </w:r>
      <w:bookmarkStart w:id="38" w:name="pg9000_93906"/>
    </w:p>
    <w:p>
      <w:pPr>
        <w:pStyle w:val="BookText"/>
        <w:rPr/>
      </w:pPr>
      <w:bookmarkEnd w:id="38"/>
      <w:r>
        <w:rPr>
          <w:rFonts w:ascii="Amiri" w:hAnsi="Amiri" w:eastAsia="Amiri" w:cs="Amiri"/>
          <w:color w:val="111111"/>
          <w:sz w:val="28"/>
          <w:sz w:val="28"/>
          <w:szCs w:val="28"/>
          <w:rtl w:val="true"/>
          <w:lang w:bidi="ar-SA"/>
        </w:rPr>
        <w:t>فإن كان الموضوع لفظاً خاصاً لا يصدق على ألفاظ مختلفة فالوضع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الموضوع هيئة سارية في المواد المختلفة، كصيغ المشتقات، فالوضع قانوني؛ لأنّ مرجع الوضع فيها إلى ضرب قاعدة كليّة؛ فإنّ صيغة الفاعل في كلّ مادّة علامة منشأيّة الذات للمبدأ، وصيغة المفعول علامة وقوع المبدأ عليها، وهكذا الأمر في سائر صيغ المشتقات الناظر كلّ منها إلى خصوصيّة من خصوصيات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أنها إنما تتكفّل جهات استعمال المواد وأنحائه، فوضعها كوضع الحروف آلي خارج عن المقسم وهو</w:t>
      </w:r>
    </w:p>
    <w:p>
      <w:pPr>
        <w:pStyle w:val="BookText"/>
        <w:rPr/>
      </w:pPr>
      <w:r>
        <w:rPr>
          <w:rFonts w:ascii="Amiri" w:hAnsi="Amiri" w:eastAsia="Amiri" w:cs="Amiri"/>
          <w:color w:val="111111"/>
          <w:sz w:val="28"/>
          <w:sz w:val="28"/>
          <w:szCs w:val="28"/>
          <w:rtl w:val="true"/>
          <w:lang w:bidi="ar-SA"/>
        </w:rPr>
        <w:t>المقسم وهو الوضع المرآتي المصطلح الموجب لخطور الموضوع له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859576_2870459653"/>
      <w:bookmarkStart w:id="40" w:name="_Toc13"/>
      <w:bookmarkEnd w:id="39"/>
      <w:r>
        <w:rPr>
          <w:rtl w:val="true"/>
        </w:rPr>
        <w:t>[</w:t>
      </w:r>
      <w:r>
        <w:rPr>
          <w:rtl w:val="true"/>
        </w:rPr>
        <w:t>الأمر</w:t>
      </w:r>
      <w:r>
        <w:rPr>
          <w:rtl w:val="true"/>
        </w:rPr>
        <w:t xml:space="preserve">] </w:t>
      </w:r>
      <w:r>
        <w:rPr>
          <w:rtl w:val="true"/>
        </w:rPr>
        <w:t>الرابع</w:t>
      </w:r>
      <w:bookmarkEnd w:id="40"/>
    </w:p>
    <w:p>
      <w:pPr>
        <w:pStyle w:val="BookText"/>
        <w:rPr/>
      </w:pPr>
      <w:r>
        <w:rPr>
          <w:rFonts w:ascii="Amiri" w:hAnsi="Amiri" w:eastAsia="Amiri" w:cs="Amiri"/>
          <w:color w:val="111111"/>
          <w:sz w:val="28"/>
          <w:sz w:val="28"/>
          <w:szCs w:val="28"/>
          <w:rtl w:val="true"/>
          <w:lang w:bidi="ar-SA"/>
        </w:rPr>
        <w:t xml:space="preserve">أن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الشيء بحيث يلزم من العلم به العلم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ذاتيّة ووضعيّة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والذاتية إن كانت نظريّة فهي عقليّة وإلا فطبعيّة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الثلاثة ليست متقابلة والتقابل إنّما هو بينهما مع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عن الذاتيّة بالعقليّة والطبعيّة؛ لاستقلال العقل والطبع في إدراك الذاتيات دون الجعليّات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اندفع ما يتوهم من أنّ التقسيم إن كان باعتبار سبب الدلالة لا ينطبق إلا على الوضعيّة، وإن كان باعتبار المُدرِك لا ينطبق إلا على العقليّة والطبعيّة، وإن كان باعتبار سبب الدال الدالّ وموجده لا ينطبق إلّا على الطبعية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أنّ التمثيل للطبيعة بدلالة سرعة النبض على الحمّى ، وللعقليّة بدلالة اللفظ على وجود اللافظ</w:t>
      </w:r>
      <w:r>
        <w:rPr>
          <w:rStyle w:val="FootnoteAnchor"/>
          <w:rtl w:val="true"/>
        </w:rPr>
        <w:footnoteReference w:id="46"/>
      </w:r>
      <w:r>
        <w:rPr>
          <w:rFonts w:ascii="Amiri" w:hAnsi="Amiri" w:eastAsia="Amiri" w:cs="Amiri"/>
          <w:color w:val="111111"/>
          <w:sz w:val="28"/>
          <w:sz w:val="28"/>
          <w:szCs w:val="28"/>
          <w:rtl w:val="true"/>
          <w:lang w:bidi="ar-SA"/>
        </w:rPr>
        <w:t>،في غير محله؛ لأنّ الدلالة في المثال الأوّل نظريّة وفي الثاني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الدلالة الوضعيّة اللفظية تابعة لإرادة المتكلّم؛ لأنّ الدلالة فرع وجود العليّة بين الطرفين، أو اشتراكهما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انحصرت الدلالة في الإنّيّة واللميّة، والدليل في الإني واللمّي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ومجرّد الوضع لا يوجب صيرورة الموضوع علة للموضوع له ولا معلولاً عنه معه ولا مشتركاً في العلّة، كما هو ظاهر، فلا يوجب بنفسه العلم والدلالة، وإنّما يوجبالخطور والحضور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والعليّة إنما تثبت بين اللفظ الموضوع الصادر عن المتكلّم العارف بالوضع في مقام</w:t>
      </w:r>
    </w:p>
    <w:p>
      <w:pPr>
        <w:pStyle w:val="BookText"/>
        <w:rPr/>
      </w:pPr>
      <w:r>
        <w:rPr>
          <w:rFonts w:ascii="Amiri" w:hAnsi="Amiri" w:eastAsia="Amiri" w:cs="Amiri"/>
          <w:color w:val="111111"/>
          <w:sz w:val="28"/>
          <w:sz w:val="28"/>
          <w:szCs w:val="28"/>
          <w:rtl w:val="true"/>
          <w:lang w:bidi="ar-SA"/>
        </w:rPr>
        <w:t xml:space="preserve">الإفادة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وضميره؛ لانبعاث اللفظ حينئذ عن إرادته انبعاث المعلول عن علته، فيستدل به عليها استدلال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دلالته على مراد المتكلّم يدلّ على الواقع ثانياً إن كان معصوماً أو المطلب بديهياً مع كون المتكلّم صادقاً</w:t>
      </w:r>
      <w:r>
        <w:rPr>
          <w:rStyle w:val="FootnoteAnchor"/>
          <w:rtl w:val="true"/>
        </w:rPr>
        <w:footnoteReference w:id="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الحاشية على الكفاية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التلازم حينئذ بين الواقع ومراد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فالمدلول الأولي لللفظ إنّما هو مراد المتكلّم وضميره لا ما وضع له اللفظ من المفاهيم مع قطع النظر عن وجودها في الذهن أو الخارج، وإن كان المقصود بالإفادة والدلالة غالباً هو الواقع لا ما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الدلالة إلى الوضع إنّما هي باعتبار أنها بمعونته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التبس الأمر على جماعة ولم يفرّقوا بين المدلول والموضوع له، فنظر بعضهم إلى أنّ المدلول الأولي لللفظ إنّما هو ما في الذهن فزعم أن الموضوع له هو المعنى الذهني</w:t>
      </w:r>
      <w:r>
        <w:rPr>
          <w:rStyle w:val="FootnoteAnchor"/>
          <w:rtl w:val="true"/>
        </w:rPr>
        <w:footnoteReference w:id="48"/>
      </w:r>
      <w:r>
        <w:rPr>
          <w:rFonts w:ascii="Amiri" w:hAnsi="Amiri" w:eastAsia="Amiri" w:cs="Amiri"/>
          <w:color w:val="111111"/>
          <w:sz w:val="28"/>
          <w:sz w:val="28"/>
          <w:szCs w:val="28"/>
          <w:rtl w:val="true"/>
          <w:lang w:bidi="ar-SA"/>
        </w:rPr>
        <w:t>، ونظر بعضهم إلى أنّ المنظور بالأصالة غالباً إنّما هو الخارج فزعم أن الموضوع له هو المعنى الخارجي</w:t>
      </w:r>
      <w:r>
        <w:rPr>
          <w:rStyle w:val="FootnoteAnchor"/>
          <w:rtl w:val="true"/>
        </w:rPr>
        <w:footnoteReference w:id="49"/>
      </w:r>
      <w:r>
        <w:rPr>
          <w:rFonts w:ascii="Amiri" w:hAnsi="Amiri" w:eastAsia="Amiri" w:cs="Amiri"/>
          <w:color w:val="111111"/>
          <w:sz w:val="28"/>
          <w:sz w:val="28"/>
          <w:szCs w:val="28"/>
          <w:rtl w:val="true"/>
          <w:lang w:bidi="ar-SA"/>
        </w:rPr>
        <w:t>، ولم يتفطنا أنّ الوجود المستفاد من اللفظ ذهناً أو خارجاً إنما هو في مرحلة الدلالة وهي غير متسبّبة عن الوضع، وإنّما له دخل فيها، وهو متعلّق بنفس المفاهيم مع قطع النظر عن الوجود الذهني أو الخارجي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بيناه وجه توهم أخذ الوجود ذهناً أو خارجاً في الموضوع له وفسادهما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الجميع ما صدر عن التفتازاني وشاع بين من شايعه من أن الدلالة متحققة بمجرد الوضع وهي معلولة عنه، فحكم بثبوت الدلالة لللفظ الموضوع مطلقاً صدر </w:t>
      </w:r>
    </w:p>
    <w:p>
      <w:pPr>
        <w:pStyle w:val="BookText"/>
        <w:rPr/>
      </w:pPr>
      <w:r>
        <w:rPr>
          <w:rFonts w:ascii="Amiri" w:hAnsi="Amiri" w:eastAsia="Amiri" w:cs="Amiri"/>
          <w:color w:val="111111"/>
          <w:sz w:val="28"/>
          <w:sz w:val="28"/>
          <w:szCs w:val="28"/>
          <w:rtl w:val="true"/>
          <w:lang w:bidi="ar-SA"/>
        </w:rPr>
        <w:t xml:space="preserve">عن اللافظ غفلةً وخطاءً أو عن قصد وإرادة، زاعماً أنّ الدلالة هي الإخطار بالبال وأنّ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بالدالّ في حد الدلالة بمعنى التصديق والمتعلّق بالمدلول بمعنى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الخطور</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عجيب؛ فإنّ كلّاً من التصوّر والتصديق لا يحصل إلا ممّا يشاكله، والتصوّر الذي هو قسم من العلم إنّما هو العرفان لا الخطور الذي هو مجامع للعلم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العلم في مصطلح أهل النظر منقول عن مفهومه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الانكشاف المنقسم إلى اليقين والعرفان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الصورة الحاصلة في الذهن مطلقاً ولو كان على وجه الخطور المجامع للتخييل، والعلم المأخوذ في حدّ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المصطلح لا بلامعنى اللغوي، في غاية السخافة والشناعة؛ لأنّ موضوع بحث أهل النظر إنّما هو المعرف والحجّة من حيث أنهما يوصلان إلى تصوّر وتصديق نظريَّيْنِ، ومن البديهي أنّ التصوّر النظري إنّما هو العرفان لا الخطور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لنقل العلم إلى مفهوم آخر مغاير لموضوع بحثهم، بل لو كان العلم موضوعاً في اللغة للأعمّ لوجب نقله في مصطلحهم إلى الانكشاف المنقسم إلى التصديق والعرفان المنطبق على موضوع بحثهم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والاغترار إنّما حصل من التعبير بالتصوّر المجامع للخطور؛ غفلةً عن أن المقصود إنما هو التصوّر بكنهه أو بوجه يمتاز عمّا عداه وهو ليس إلا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الحدّ لا يختص به أهل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أُمور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اشتهر بين المحققين من أنّ الدلالة تابعة للإرادة وأن الوضع للتركيب والتركيب للدلالة، في غاية السداد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تعجّب التفتازاني ومن شايعه مما أفاده المحققون،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الدلالة إلى تصديقية وتصورية والحكم بثبوت الثانية مطلقاً وعدم ثبوت الأُولى إلا مع الإرادة</w:t>
      </w:r>
      <w:r>
        <w:rPr>
          <w:rStyle w:val="FootnoteAnchor"/>
          <w:rtl w:val="true"/>
        </w:rPr>
        <w:footnoteReference w:id="51"/>
      </w:r>
      <w:r>
        <w:rPr>
          <w:rFonts w:ascii="Amiri" w:hAnsi="Amiri" w:eastAsia="Amiri" w:cs="Amiri"/>
          <w:color w:val="111111"/>
          <w:sz w:val="28"/>
          <w:sz w:val="28"/>
          <w:szCs w:val="28"/>
          <w:rtl w:val="true"/>
          <w:lang w:bidi="ar-SA"/>
        </w:rPr>
        <w:t>، في غير محله؛ إذ لا معنى للدلالة إلا كون الشيء بحيث يلزم من العلم به العلم بشيء آخر، وقد ظهر لك أنّ إطلاق العلم على التصوّر بمعنى الخطور، غلط لا أصل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تعدية العلم بالباء إنّما هي في العلم التصديقي لا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أجابه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انتقاض حدود الدلالات الثلاث بعضها ببعض</w:t>
      </w:r>
      <w:r>
        <w:rPr>
          <w:rStyle w:val="FootnoteAnchor"/>
          <w:rtl w:val="true"/>
        </w:rPr>
        <w:footnoteReference w:id="52"/>
      </w:r>
      <w:r>
        <w:rPr>
          <w:rFonts w:ascii="Amiri" w:hAnsi="Amiri" w:eastAsia="Amiri" w:cs="Amiri"/>
          <w:color w:val="111111"/>
          <w:sz w:val="28"/>
          <w:sz w:val="28"/>
          <w:szCs w:val="28"/>
          <w:rtl w:val="true"/>
          <w:lang w:bidi="ar-SA"/>
        </w:rPr>
        <w:t>من أنّ الدلالة تابعة للإرادة ولا يمكن أن يراد من اللفظ إلا معنى واحد بإرادة واحدة فلا تكون لللفظ أبداً إلا دلالة واحدة فلا تجتمع حينئذٍ دلالات ثلاث على لفظ واحد بالنسبة إلى مدلول واحد حتى ينتقض بعضها ببعض</w:t>
      </w:r>
      <w:r>
        <w:rPr>
          <w:rStyle w:val="FootnoteAnchor"/>
          <w:rtl w:val="true"/>
        </w:rPr>
        <w:footnoteReference w:id="53"/>
      </w:r>
      <w:r>
        <w:rPr>
          <w:rFonts w:ascii="Amiri" w:hAnsi="Amiri" w:eastAsia="Amiri" w:cs="Amiri"/>
          <w:color w:val="111111"/>
          <w:sz w:val="28"/>
          <w:sz w:val="28"/>
          <w:szCs w:val="28"/>
          <w:rtl w:val="true"/>
          <w:lang w:bidi="ar-SA"/>
        </w:rPr>
        <w:t>، حق متين وما ذكره التفتازاني</w:t>
      </w:r>
      <w:r>
        <w:rPr>
          <w:rStyle w:val="FootnoteAnchor"/>
          <w:rtl w:val="true"/>
        </w:rPr>
        <w:footnoteReference w:id="54"/>
      </w:r>
      <w:r>
        <w:rPr>
          <w:rFonts w:ascii="Amiri" w:hAnsi="Amiri" w:eastAsia="Amiri" w:cs="Amiri"/>
          <w:color w:val="111111"/>
          <w:sz w:val="28"/>
          <w:sz w:val="28"/>
          <w:szCs w:val="28"/>
          <w:rtl w:val="true"/>
          <w:lang w:bidi="ar-SA"/>
        </w:rPr>
        <w:t>والشريف ومن تبعهما</w:t>
      </w:r>
      <w:r>
        <w:rPr>
          <w:rStyle w:val="FootnoteAnchor"/>
          <w:rtl w:val="true"/>
        </w:rPr>
        <w:footnoteReference w:id="55"/>
      </w:r>
      <w:r>
        <w:rPr>
          <w:rFonts w:ascii="Amiri" w:hAnsi="Amiri" w:eastAsia="Amiri" w:cs="Amiri"/>
          <w:color w:val="111111"/>
          <w:sz w:val="28"/>
          <w:sz w:val="28"/>
          <w:szCs w:val="28"/>
          <w:rtl w:val="true"/>
          <w:lang w:bidi="ar-SA"/>
        </w:rPr>
        <w:t>ناش عن عدم تعقل معنى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عدم اجتماع الدلالات لا يصلح به حدودها لتصادقها على ما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تمام ما وضع له وجزئه ولازمه بأوضاع متعدّدة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ممّا وضع له في الحدّ هو المعنى والتعبير عنه بما وضع له، من باب المثال؛ ضرورة أنّ دلالة اللفظ على تمام المعنى المقصود من اللفظ مطابقة حقيقياً كان أم مجازيّاً، وعلى جزئه تضمّن، وعلى الخارج التزام، فتستقيم الحدود حينئذ؛ إذ لا يمكن أن يكون مفهوم واحد تمام المعنى والمدلول، وجزئه أو لازمه بدلالة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الأولي في مرحلة السلوك دائماً إنما هو ما في الضمير</w:t>
      </w:r>
      <w:r>
        <w:rPr>
          <w:rStyle w:val="FootnoteAnchor"/>
          <w:rtl w:val="true"/>
        </w:rPr>
        <w:footnoteReference w:id="56"/>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عرفت من تبعية الدلالة للإرادة، والواقع مدلول ثانوي للكلام في هذه المرحلة؛ حيث دلّ الكلام عليه بسبب الملازمة بينه وبين ما في ما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يكون المدلول الثانوي أصيلاً فى مرحلة النظر ومقصوداً بالإفادة، كما هو الغالب في الإخبارات، فيكون أوّلاً في مرحلة النظر وإن كان ثانياً في مرحلة السلوك، فتكون القضيّة اللفظيه حينئذٍ قنطرة وتوطئة للذهنيّة، والذهنية للخارجية، فيوازن صدق الكلام وكذبه حينئذٍ بالنسبة إلى مطابقته للخارج ومخالفته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ما في الضمير مدلولاً أوّليّاً في مرحلة السلوك وأصالة النظر معاً، كمقام الإفتاء والشهادة وإظهار الحياة، فتكون القضيّة اللفظية حينئذٍ قنطرة وتوطئة للذهنيّة فقط، فيوازن صدق الكلام وكذبه حينئذٍ بالنسبة إلى ما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في صدق الكلام وكذبه على المطابقة مع الأصيل في النظر وعدم مطابقته معه، لا على المطابقة والمخالفة مع الاعتقاد مطلقاً ، أو الخارج مطلقاً، ولا على المطابقة معهما أو مع أحدهما، والمخالفة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بطلان جميع ما صدر عن الجميع في المقام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ذكره في الفصول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النسبة الخبريّة اللفظية موضوعة بإزاء النسبة الذهنية المأخوذة من حيث كشفها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طابقته أو لا علم بها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بشهادة التبادر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التبادر المذكور إنّما هو في مرحلة الدلالة لا الخطور، فلا يستند إلى الوضع؛ لما عرفت</w:t>
      </w:r>
      <w:r>
        <w:rPr>
          <w:rStyle w:val="FootnoteAnchor"/>
          <w:rtl w:val="true"/>
        </w:rPr>
        <w:footnoteReference w:id="59"/>
      </w:r>
      <w:r>
        <w:rPr>
          <w:rFonts w:ascii="Amiri" w:hAnsi="Amiri" w:eastAsia="Amiri" w:cs="Amiri"/>
          <w:color w:val="111111"/>
          <w:sz w:val="28"/>
          <w:sz w:val="28"/>
          <w:szCs w:val="28"/>
          <w:rtl w:val="true"/>
          <w:lang w:bidi="ar-SA"/>
        </w:rPr>
        <w:t>من دوران الدلالة مدار علاقة العلّيّة لا الوضع ونسبتها إليه وتسميتها دلالة وضعيّة إنما هي باعتبار أنها بمعونته لا باعتبار أنّها متسبّبة عنه، فلا تكون الدلالة على النسبة الذهنيّة كاشفةً عن وضعها بإزائها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الهيئة التركيبية الخبرية محدثة للنسبة الخبرية الحاصلة بين اللفظين ولا تكون موضوعة بإزائها، والنسبة الخبريّة الحادثة بينهما لا تكون موضوعة بإزاء نسبة أخرى ولا </w:t>
      </w:r>
      <w:bookmarkStart w:id="41" w:name="pg9000_93911"/>
    </w:p>
    <w:p>
      <w:pPr>
        <w:pStyle w:val="BookText"/>
        <w:rPr/>
      </w:pPr>
      <w:bookmarkEnd w:id="41"/>
      <w:r>
        <w:rPr>
          <w:rFonts w:ascii="Amiri" w:hAnsi="Amiri" w:eastAsia="Amiri" w:cs="Amiri"/>
          <w:color w:val="111111"/>
          <w:sz w:val="28"/>
          <w:sz w:val="28"/>
          <w:szCs w:val="28"/>
          <w:rtl w:val="true"/>
          <w:lang w:bidi="ar-SA"/>
        </w:rPr>
        <w:t xml:space="preserve">لإحداثها، وإنّما تدلّ على النسبة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لانبعاثها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المعلول على علّته من دون أن تكون للوضع مدخل فيها، فهي دلالة عقلية محضة، والنظر إلى الواقع إنما هو باعتبار أنّ إحداث النسبة بينهما إنّما هو باعتبار معناهما لا نفس اللفظ فتتوجّه النسبة حينئذ إلى الواقع، فالدلالة على المطابقة له إنما هي بالاعتبار المذكور لا لأجل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النسبة الخبرية لا تتميّز عن الإنشائية في الوضع؛ فإنّ الهيئة التركيبية الخبريّة إنّما تفيد الإخبار بالإطلاق لا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تصح استعمال الجملة الخبرية في موضع الإنشاء، ولو كانت الجملة الخبريّة موضوعة للإخبار لم يصح استعمالها في موضع الإنشاء، كما لا يصح استعمال الإنشائية في موضع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الدلالة إلّا في المركبات الإسناديّة أو ما بمنزلتها؛ لانتفاء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تدور مداها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 العارية عن الإسناد، وإرادة المعنى منها راجعة إلى إرادة تفهيمه منها المشتمل على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أقسام الدلالة من المطابقة والتضمّن والالتزام لا تتصوّر إلا في القضايا، فإخطار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مسمّاه لا يكون مطابقة، كما أنّ إخطاره عن جزئه لا يكون تضمّناً ولا عن جوده إلتزاماً ، فالتمثيلات المتداولة للأقسام الثلاثة بأمثال ذلك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أنّ المدار على التضمّن سراية الحكم إلى الأفراد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الأجزاء نحو اشتريت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وجود الجزء الموضوع له فقط، كما توهم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859578_2870459653"/>
      <w:bookmarkStart w:id="43" w:name="_Toc14"/>
      <w:bookmarkEnd w:id="42"/>
      <w:r>
        <w:rPr>
          <w:rtl w:val="true"/>
        </w:rPr>
        <w:t>[</w:t>
      </w:r>
      <w:r>
        <w:rPr>
          <w:rtl w:val="true"/>
        </w:rPr>
        <w:t>الأمر</w:t>
      </w:r>
      <w:r>
        <w:rPr>
          <w:rtl w:val="true"/>
        </w:rPr>
        <w:t xml:space="preserve">] </w:t>
      </w:r>
      <w:r>
        <w:rPr>
          <w:rtl w:val="true"/>
        </w:rPr>
        <w:t>الخامس</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المركبات لا وضع لها؛ لأنها مشتملة على معنى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الوضع الواحد لأمرٍ آتياً ولا آلياً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وضعها للمعنى التركيبي المستفاد من كلِّ من الطرفين والهيئة التركيبية تحصيل للحاصل</w:t>
      </w:r>
      <w:r>
        <w:rPr>
          <w:rFonts w:eastAsia="Amiri" w:cs="Amiri" w:ascii="Amiri" w:hAnsi="Amiri"/>
          <w:color w:val="111111"/>
          <w:sz w:val="28"/>
          <w:szCs w:val="28"/>
          <w:rtl w:val="true"/>
          <w:lang w:bidi="ar-SA"/>
        </w:rPr>
        <w:t xml:space="preserve">. </w:t>
      </w:r>
      <w:bookmarkStart w:id="44" w:name="pg9000_93912"/>
    </w:p>
    <w:p>
      <w:pPr>
        <w:pStyle w:val="BookText"/>
        <w:rPr/>
      </w:pPr>
      <w:bookmarkEnd w:id="44"/>
      <w:r>
        <w:rPr>
          <w:rFonts w:ascii="Amiri" w:hAnsi="Amiri" w:eastAsia="Amiri" w:cs="Amiri"/>
          <w:color w:val="111111"/>
          <w:sz w:val="28"/>
          <w:sz w:val="28"/>
          <w:szCs w:val="28"/>
          <w:rtl w:val="true"/>
          <w:lang w:bidi="ar-SA"/>
        </w:rPr>
        <w:t>بل التحقيق أنه لا وضع للهيئات التركيبية أيضاً حتى آلياً؛ فإنّها إنما تناسب النسب ذاتاً، وتتكفّل كلّ من الهيئات التركيبية المختلفة نحواً خاصاً من النسبة بالمناسبة الذاتية، وهذا مراد من ذهب من المحققين إلى أنّ دلالة المركب على المعنى عقلية لا وضعيّة</w:t>
      </w:r>
      <w:r>
        <w:rPr>
          <w:rStyle w:val="FootnoteAnchor"/>
          <w:rtl w:val="true"/>
        </w:rPr>
        <w:footnoteReference w:id="61"/>
      </w:r>
      <w:r>
        <w:rPr>
          <w:rFonts w:ascii="Amiri" w:hAnsi="Amiri" w:eastAsia="Amiri" w:cs="Amiri"/>
          <w:color w:val="111111"/>
          <w:sz w:val="28"/>
          <w:sz w:val="28"/>
          <w:szCs w:val="28"/>
          <w:rtl w:val="true"/>
          <w:lang w:bidi="ar-SA"/>
        </w:rPr>
        <w:t xml:space="preserve">، إذ يعبر عن الأمور الثابتة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بالعقلية؛ لاستقلال العقل في إدراكها دون المجعولة؛ فإنّ المرجع فيها إنما هو الجاعل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ذلك أيضاً من احتجاجهم عليها بأنّ من لا يعرف من كلام العرب إلا لفظين مفردین صالحين للإسناد فإنّه لا يفتقر عند سماعهما مع الإسناد إلى معرفة معنىً للإسناد بل يدركه ضرورة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يتطرّق في المركبات الحقيقة والمجاز؛ إذ ليست موضوعة بإزاء معنىً حتّى تستعمل فيه تارة فتصير حقيقة وفيما يناسبه مرّة فتصير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من التجوزفي بعض المركبات نحو قولك للمتردّد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تقدّم رِجلاً وتؤخّر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صاحب الفصول مع إنكاره الوضع للمركبات أثبت التجوز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المستعمل في غير المعنى المستفاد من مفرداته وضعاً لعلاقة بينه وبين المعنى التركيبي مجاز</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فإنّ الاستعمال فرع تطرّق الوضع، فالمركب كما لا يتطرّق فيه الوضع لا يتطرّق فيه الاستعمال، وهو كالوضع إنّما يجري في كلّ من طرفي التركيب</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859580_2870459653"/>
      <w:bookmarkStart w:id="46" w:name="_Toc15"/>
      <w:bookmarkEnd w:id="45"/>
      <w:r>
        <w:rPr>
          <w:rtl w:val="true"/>
        </w:rPr>
        <w:t>[</w:t>
      </w:r>
      <w:r>
        <w:rPr>
          <w:rtl w:val="true"/>
        </w:rPr>
        <w:t>الأمر</w:t>
      </w:r>
      <w:r>
        <w:rPr>
          <w:rtl w:val="true"/>
        </w:rPr>
        <w:t xml:space="preserve">] </w:t>
      </w:r>
      <w:r>
        <w:rPr>
          <w:rtl w:val="true"/>
        </w:rPr>
        <w:t>السادس</w:t>
      </w:r>
      <w:bookmarkEnd w:id="46"/>
    </w:p>
    <w:p>
      <w:pPr>
        <w:pStyle w:val="BookText"/>
        <w:rPr/>
      </w:pPr>
      <w:r>
        <w:rPr>
          <w:rFonts w:ascii="Amiri" w:hAnsi="Amiri" w:eastAsia="Amiri" w:cs="Amiri"/>
          <w:color w:val="111111"/>
          <w:sz w:val="28"/>
          <w:sz w:val="28"/>
          <w:szCs w:val="28"/>
          <w:rtl w:val="true"/>
          <w:lang w:bidi="ar-SA"/>
        </w:rPr>
        <w:t>إذا توافق اللفظان في المعنى فهما مترادفان، وإن اختلفا فيه فمتباينان، اتصل المعنيان كالذات والصفة، أو انفصلا كالضدّين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منهما إن تعدّد معناه وضعاً فمشترك وإلّا فمتحد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منها إن استعمل في غير ما وضع له لمناسبة وغلب بحيث هجر استعماله في الأوّل فهو منقول وإلّا فحقيقة ومجاز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غلبة الاستعمال لا توجب النقل؛ ضرورة أن مجرّد هجر الاستعمال في المعنى الحقيقي لا يوجب سلب الوضع عنه، كما أنّ اشتهار الاستعمال إنما يوجب صيرورته معهوداً في الذهن بحيث يوجب انصراف اللفظ إليه عند عدم القرينة على خلافه لا صيرورته موضوعاً له حقيقة؛ إذ لا يعقل تبدّل حقيقة الاستعمال بالوضع بالغلبة؛ لأنها إنّما توجب قوة الاستعمال لا تبدله بحقيقة أخرى، فجعله قسماً من الوضع،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كلماتهم في وقوع الترادف والاشتراك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عدم وقوع الترادف فيها وكلّ ما يظنّ أنّها من الألفاظ المترادفة فهي ألفاظ متقاربة المعاني يفترق كلّ منها عن الآخر في خصوصيّة دقيقة بها يفارق بعضها عن بعض في صحة الاستعمال أو حسنه في مورد دون مورد؛ إذ لو كانت مترادفة، لاستوت الموارد بالنسبة إليها صحةً وحسناً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بعض الألفاظ التي ظنّوا أنّها مترادفة وننبه على الخصوصيات الفارقة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الرقبة تنفرد عنهما بصحة استعمالها في مورد الملك وتوابعه، والعنق بحسن استعماله في مورد المد والضرب، والجيد في مورد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لأجل أنّ الرقبة موضوعة للعضو المخصوص باعتبار أنه محل للأخذ والشدّ المناسب لإسناد الملك وتوابعه من الفك والعتق والتحرير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 موضوع له باعتبار صلوحه للمد والضرب المناسب لاستعماله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والجيد مأخوذ من الجيّد في مقابل الردي المناسب لاستعماله في مورد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تفترق المراقبة والترقب والارتقاب عن المعانقة والاعتناق فيالمفاد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الأوّل مأخوذ من الأُنس المناسب لاستعماله في </w:t>
      </w:r>
    </w:p>
    <w:p>
      <w:pPr>
        <w:pStyle w:val="BookText"/>
        <w:rPr/>
      </w:pPr>
      <w:r>
        <w:rPr>
          <w:rFonts w:ascii="Amiri" w:hAnsi="Amiri" w:eastAsia="Amiri" w:cs="Amiri"/>
          <w:color w:val="111111"/>
          <w:sz w:val="28"/>
          <w:sz w:val="28"/>
          <w:szCs w:val="28"/>
          <w:rtl w:val="true"/>
          <w:lang w:bidi="ar-SA"/>
        </w:rPr>
        <w:t>مورد التعقل وإظهار الكمال، والثاني من البشرة وهو الظاهر المناسب لاستعماله في مورد إظهار جنبة الظاهر من الحيوانية من الأكل والشرب وغيرهما المشترك معه سائر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فإنّ العلم مقابل للجهل وهو مطلق الانكشاف الجامع بين التصوّر والتصديق، والفهم عبارة عن انکشاف ما فيه دقة وخفاء، ولذا يقابل الفهيم بالبليد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عبارة عن الحذاقة والبصيرة التامة، كما يظهر من موارد استعمالاته، ولذا سمّى العلم بالشرعيّات فقهاً؛ لأنّ المطلوب فيها الحذاقة لا مجرّد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واليقين يختص بالعلم التصديقي الثابت الذي لا يزول بتشكيك المشكك ، ولذا يختص بالعلم الحاصل عن الدليل ولا يطلق على علم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والإدراك عبارة عن مطلق الوصول واللحوق، ولذا يستعمل في مورد اللحوق بالهارب وإتيان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وبالتأمل في خصوصيات موارد الاستعمالات تقدر على معرفة الخصوصيات الفارقة بين سائر الألفاظ التي زعموا أنها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الاشتراك فعمدة ما استدل به على وقوعه مجيء ألفاظ للأضداد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للطهر والحيض،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للسواد والبياض،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المتقابلين إنّما يتقابلان باعتبار اشتراكهما في جامع واحد فهما لغاية الارتباط يتقابلان، فالمتقابلان عبارة عن طرفي أمر واحد، وهو الجامع بينهما، وهذا الجامع قد يوضع بإزائه لفظ وقد لا يوضع بإزائه لفظ فينبه عليه بذكر طرفيه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أحوال الكلم من حيث الإعراب والبناء، وحالة الكلام من حيث المطابقة للواقع والمخالفة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فاستعمال اللفظ في مورد المتقابلين كاشف عن وضعه بإزاء الجامع بينهما واستعماله في هذا الجامع المنطبق على كلّ من المتقابلين، لا عن الاشتراك، كما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توهّم الاشتراك في الألفاظ ناش غالباً من خفاء الجامع؛ إما لدقته أو لعدم التأمل فى الأطراف وخلط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موارد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كشفنا الستر عن حال جملة من الألفاظ التي توهّم الاشتراك فيها في طيّ كلماتنا فقهاً وأُصولاً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وضع اللفظ بإزاء الجامع إذا كان ظاهراً قريباً بأذهان أهل اللسان، </w:t>
      </w:r>
      <w:bookmarkStart w:id="47" w:name="pg9000_93915"/>
    </w:p>
    <w:p>
      <w:pPr>
        <w:pStyle w:val="BookText"/>
        <w:rPr/>
      </w:pPr>
      <w:bookmarkEnd w:id="47"/>
      <w:r>
        <w:rPr>
          <w:rFonts w:ascii="Amiri" w:hAnsi="Amiri" w:eastAsia="Amiri" w:cs="Amiri"/>
          <w:color w:val="111111"/>
          <w:sz w:val="28"/>
          <w:sz w:val="28"/>
          <w:szCs w:val="28"/>
          <w:rtl w:val="true"/>
          <w:lang w:bidi="ar-SA"/>
        </w:rPr>
        <w:t>وأما إذا كان دقيقاً بحيث لا يلتفت إليه إلّا أو حديّ منهم فلا؛ لأنّ الوضع إنّما هو لأجل الاستعمال، وهو فرع معرفة المستعمل فيه، والأمور الدقيقة مختفية على أغلبهم، فكيف يستعملون الألفاظ فيها مع أنّ تنبه الواضع إلى هذه الدقائق مستبعد جداً بل الإحاطة عليها في جميع الألفاظ المشتركة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الألفاظ عن مسمياتها لم يتحقق أنه بالوضع لجواز استناده إلى المناسبة الذاتية، كما اختاره بعض المحققين</w:t>
      </w:r>
      <w:r>
        <w:rPr>
          <w:rStyle w:val="FootnoteAnchor"/>
          <w:rtl w:val="true"/>
        </w:rPr>
        <w:footnoteReference w:id="65"/>
      </w:r>
      <w:r>
        <w:rPr>
          <w:rFonts w:ascii="Amiri" w:hAnsi="Amiri" w:eastAsia="Amiri" w:cs="Amiri"/>
          <w:color w:val="111111"/>
          <w:sz w:val="28"/>
          <w:sz w:val="28"/>
          <w:szCs w:val="28"/>
          <w:rtl w:val="true"/>
          <w:lang w:bidi="ar-SA"/>
        </w:rPr>
        <w:t>فلا مجال لما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أنه بالوضع فاستبعاد التنبه ممنوع؛ لجواز كون الواضع هو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المتأمّل في الدقائق المودوعة في الكلمات وتراكيبها لا يجوز صدوره إلّا مِن أحدهما؛ لأنّ الإحاطة عليها على وجه التمام فائقة عن طوق البشر ، وناهيك</w:t>
      </w:r>
      <w:r>
        <w:rPr>
          <w:rStyle w:val="FootnoteAnchor"/>
          <w:rtl w:val="true"/>
        </w:rPr>
        <w:footnoteReference w:id="66"/>
      </w:r>
      <w:r>
        <w:rPr>
          <w:rFonts w:ascii="Amiri" w:hAnsi="Amiri" w:eastAsia="Amiri" w:cs="Amiri"/>
          <w:color w:val="111111"/>
          <w:sz w:val="28"/>
          <w:sz w:val="28"/>
          <w:szCs w:val="28"/>
          <w:rtl w:val="true"/>
          <w:lang w:bidi="ar-SA"/>
        </w:rPr>
        <w:t>في ذلك كلام الباري</w:t>
      </w:r>
      <w:r>
        <w:rPr>
          <w:rStyle w:val="FootnoteAnchor"/>
          <w:rtl w:val="true"/>
        </w:rPr>
        <w:footnoteReference w:id="67"/>
      </w:r>
      <w:r>
        <w:rPr>
          <w:rFonts w:ascii="Amiri" w:hAnsi="Amiri" w:eastAsia="Amiri" w:cs="Amiri"/>
          <w:color w:val="111111"/>
          <w:sz w:val="28"/>
          <w:sz w:val="28"/>
          <w:szCs w:val="28"/>
          <w:rtl w:val="true"/>
          <w:lang w:bidi="ar-SA"/>
        </w:rPr>
        <w:t>، جلّ 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الاستعمال معرفة المستعمل فيه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یدلك على ما بيّناه اختلاف طبقات أهل اللسان في مراتب البلاغة وحسن التركيب مع صدور الاستعمال من الجميع؛ فمنهم من يلحق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لدنوّه فيها بكلام الحيوانات ومنهم من يلحق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لعلوّه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الباري جلّ اسمه ككلام سفرائه وأمنائه، وبين المرتبتين مراتب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إلّا لأجل اختلاف معرفتهم بالدقائق المودوعة في الألفاظ مع أنّ جميعهم من أهل اللسان والاستعمال</w:t>
      </w:r>
      <w:r>
        <w:rPr>
          <w:rFonts w:eastAsia="IRNazanin" w:cs="IRNazanin"/>
          <w:color w:val="111111"/>
          <w:sz w:val="28"/>
          <w:szCs w:val="28"/>
          <w:rtl w:val="true"/>
          <w:lang w:bidi="fa-IR"/>
        </w:rPr>
        <w:t>.</w:t>
      </w:r>
    </w:p>
    <w:p>
      <w:pPr>
        <w:pStyle w:val="Heading3"/>
        <w:numPr>
          <w:ilvl w:val="2"/>
          <w:numId w:val="1"/>
        </w:numPr>
        <w:rPr/>
      </w:pPr>
      <w:bookmarkStart w:id="48" w:name="__RefHeading___Toc1859582_2870459653"/>
      <w:bookmarkStart w:id="49" w:name="_Toc16"/>
      <w:bookmarkEnd w:id="48"/>
      <w:r>
        <w:rPr>
          <w:rtl w:val="true"/>
        </w:rPr>
        <w:t>[</w:t>
      </w:r>
      <w:r>
        <w:rPr>
          <w:rtl w:val="true"/>
        </w:rPr>
        <w:t>الأمر</w:t>
      </w:r>
      <w:r>
        <w:rPr>
          <w:rtl w:val="true"/>
        </w:rPr>
        <w:t xml:space="preserve">] </w:t>
      </w:r>
      <w:r>
        <w:rPr>
          <w:rtl w:val="true"/>
        </w:rPr>
        <w:t>السابع</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اللفظ باعتبار الاستعمال إلى حقيقة ومجاز؛ فإن استعمل في ما وضع له من حيث هو كذلك فحقيقة، وإن استعمل في غير ما وضع له كذلك لعلاقة فهو مجاز</w:t>
      </w:r>
      <w:r>
        <w:rPr>
          <w:rFonts w:eastAsia="Amiri" w:cs="Amiri" w:ascii="Amiri" w:hAnsi="Amiri"/>
          <w:color w:val="111111"/>
          <w:sz w:val="28"/>
          <w:szCs w:val="28"/>
          <w:rtl w:val="true"/>
          <w:lang w:bidi="ar-SA"/>
        </w:rPr>
        <w:t xml:space="preserve">. </w:t>
      </w:r>
      <w:bookmarkStart w:id="50" w:name="pg9000_93916"/>
    </w:p>
    <w:p>
      <w:pPr>
        <w:pStyle w:val="BookText"/>
        <w:rPr/>
      </w:pPr>
      <w:bookmarkEnd w:id="50"/>
      <w:r>
        <w:rPr>
          <w:rFonts w:ascii="Amiri" w:hAnsi="Amiri" w:eastAsia="Amiri" w:cs="Amiri"/>
          <w:color w:val="111111"/>
          <w:sz w:val="28"/>
          <w:sz w:val="28"/>
          <w:szCs w:val="28"/>
          <w:rtl w:val="true"/>
          <w:lang w:bidi="ar-SA"/>
        </w:rPr>
        <w:t>والمصحح للتجوّز إنما هي العلاقة الموجبة لتنزله منزلة ما وضع له الموجب لارتباط اللفظ به ثانياً وتبعاً فلا يحتاج إلى وضع آخر نوعيّاً أو شخصيّاً، بل يستحيل تأثير الوضع بمعنى الرخصة فيه؛ إذ مع وجود العلاقة المصححة للاستعمال يصح التجوّز وإن منعه الواضع، ومع عدمها كذلك لا يصح التجوّز وإن رخصه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تفسير الوضع بالرخصة</w:t>
      </w:r>
      <w:r>
        <w:rPr>
          <w:rStyle w:val="FootnoteAnchor"/>
          <w:rtl w:val="true"/>
        </w:rPr>
        <w:footnoteReference w:id="68"/>
      </w:r>
      <w:r>
        <w:rPr>
          <w:rFonts w:ascii="IRNazanin" w:hAnsi="IRNazanin" w:eastAsia="IRNazanin"/>
          <w:color w:val="111111"/>
          <w:sz w:val="28"/>
          <w:sz w:val="28"/>
          <w:szCs w:val="28"/>
          <w:rtl w:val="true"/>
          <w:lang w:bidi="fa-IR"/>
        </w:rPr>
        <w:t>من أقبح الأغلاط، بل التحقيق أن التجوّز لا يكون تصرّفاً في اللفظ حتى يكون لتوقيفه على الوضع مجال فإنّ الاسم إنّما يستعمل في عنوان المسمّى وينبئ عنه أبداً كما نبأ به أمين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ضرورة أن علقة التسمية ذاتاً أو وضعاً واسطة في عروض الاستعمال والإنباء بالنسبة إلى المعنى، فيكون المستعمل فيه والمنبئ عنه ابتداءً إنّما هو عنوان المسمّى، وذات المسمّى إنّما ينبئ عنه بتبعه ولا يقع محلاً للاستعمال أصلاً، وإنّما يقع معروضاً للمستعمل فيه، فلا اختلاف بين الحقيقة والمجاز في الاستعمال والمستعمل فيه وإنّما يختلفان في الإطلاق الراجع إلى المفهوم لا اللفظ وصحة إطلاق أحد المفهومين على الآخر تابعة للاتحاد الثابت بينهما تحقيقاً أو تنزيلاً ولا ارتباط لها بالواضع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بما بيّناه أنّ إرادة عنوان المسمّى على وجه العموم من اللفظ لا توجب التجوّز لا في الاستعمال ولا في الإطلاق فتوهّم أنّه من باب عموم المجاز، في غير محله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859584_2870459653"/>
      <w:bookmarkStart w:id="52" w:name="_Toc17"/>
      <w:bookmarkEnd w:id="51"/>
      <w:r>
        <w:rPr>
          <w:rtl w:val="true"/>
        </w:rPr>
        <w:t>[</w:t>
      </w:r>
      <w:r>
        <w:rPr>
          <w:rtl w:val="true"/>
        </w:rPr>
        <w:t>الأمر</w:t>
      </w:r>
      <w:r>
        <w:rPr>
          <w:rtl w:val="true"/>
        </w:rPr>
        <w:t xml:space="preserve">] </w:t>
      </w:r>
      <w:r>
        <w:rPr>
          <w:rtl w:val="true"/>
        </w:rPr>
        <w:t>الثامن</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العلاقة المصححة للتجوّز إنما العلاقة الموجبة لتنزل غير ما وضع له منزلته و اتحاده معه الموجب لصحة إطلاق عنوان المسمّى عليه فهي منحصرة في الشباهة التامة،وهي مطلقة ومقيّدة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مطلقة يصح التجوّز مطلقاً، وإن كانت مقيّدة يصح التجوّز </w:t>
      </w:r>
      <w:bookmarkStart w:id="53" w:name="pg9000_93917"/>
    </w:p>
    <w:p>
      <w:pPr>
        <w:pStyle w:val="BookText"/>
        <w:rPr/>
      </w:pPr>
      <w:bookmarkEnd w:id="53"/>
      <w:r>
        <w:rPr>
          <w:rFonts w:ascii="Amiri" w:hAnsi="Amiri" w:eastAsia="Amiri" w:cs="Amiri"/>
          <w:color w:val="111111"/>
          <w:sz w:val="28"/>
          <w:sz w:val="28"/>
          <w:szCs w:val="28"/>
          <w:rtl w:val="true"/>
          <w:lang w:bidi="ar-SA"/>
        </w:rPr>
        <w:t>في مورد القيد والموارد التي توهّم التجوّز فيها لأجل السببية والمسببية وسائر العلائق المرسلة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يطّرد التجوّز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تقسيم المجاز إلى قسمين استعارة ومرسل باطل لا أصل له كما تبين أن جعل المجاز من صفات اللفظ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 الاستعارة والمرسل بجعل التجوّز في أمر عقلي في الاستعارة دون المرسل كما عن السكاكي</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الكلام في إرجاع موارد الإرسال إلى الاستعارة أو التجوز في الإسناد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 جميع ما صدر عن جميعهم في هذا المقام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859586_2870459653"/>
      <w:bookmarkStart w:id="55" w:name="_Toc18"/>
      <w:bookmarkEnd w:id="54"/>
      <w:r>
        <w:rPr>
          <w:rtl w:val="true"/>
        </w:rPr>
        <w:t>تنبیهان</w:t>
      </w:r>
      <w:bookmarkEnd w:id="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التجوّز في الحروف وما بمنزلتها من الهيئات التركيبية والاشتقاقية؛ إذ لا استعمال لها، وإنّما هي متكفّلة لأنحاء استعمالات الاسم فهي موجدة معنىً في اللفظ ، لا منبئة عن مسمّى ومستعملة فيه حتّى يجوز إنباته عمّا نزّل منزلته واستعماله فيه،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محدثة للظرفية أبداً وعلامة لها، سواء كان مسمّى المدخول ظرفاً تحقيقاً أو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ما اشتهر بينهم من أنّ التجوّز في الحروف إنما هو بتبع مدخولها</w:t>
      </w:r>
      <w:r>
        <w:rPr>
          <w:rStyle w:val="FootnoteAnchor"/>
          <w:rtl w:val="true"/>
        </w:rPr>
        <w:footnoteReference w:id="7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الاستعارة إنّما هو في المدخول بجعله منزلاً منزلة الظرف أو العلة وهكذا، لا في الحرف بجعله آلة لإحداث معنى آخر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اللفظ وأريد نوعه مطلقاً أو مقيداً أو شخصه لا يكون حقيقةً ولا مجازاً؛ إذ المقصود حينئذٍ نفس اللفظ وليس وسيلةً إلى إحضار معنىً للحكم عليه؛ إذ النوع عبارة عن نفس اللفظ مع قطع النظر عن وجوده في الخارج، فلا يكون مستعملاً </w:t>
      </w:r>
      <w:bookmarkStart w:id="56" w:name="pg9000_93918"/>
    </w:p>
    <w:p>
      <w:pPr>
        <w:pStyle w:val="BookText"/>
        <w:rPr/>
      </w:pPr>
      <w:bookmarkEnd w:id="56"/>
      <w:r>
        <w:rPr>
          <w:rFonts w:ascii="Amiri" w:hAnsi="Amiri" w:eastAsia="Amiri" w:cs="Amiri"/>
          <w:color w:val="111111"/>
          <w:sz w:val="28"/>
          <w:sz w:val="28"/>
          <w:szCs w:val="28"/>
          <w:rtl w:val="true"/>
          <w:lang w:bidi="ar-SA"/>
        </w:rPr>
        <w:t>لا فيما وضع له ولا في غيره، فلا يتصف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يشترك فيه المهمل والموضوع، ويصح جعله محكوماً عليه إسماً كان أو فعلاً أو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 أنّ لللفظ حينئذٍ استعمالاً ودلالة وتحيّر في أنها وضعيّة أو طبعيّة أو عقليّة فالتزم بأنّها خارجة عن الثلاثة وأنّها دلالة بالقرائن كدلالة المجاز</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يتفطّن بأنّ انحصار الدلالة في الثلاثة ضروري، وأنّ دلالة المجاز وضعيّة؛ لكونها بتوسط وضع اللفظ للمعنى الحقيقي، وأعجب منه ما زعمه التفتازاني من أنها وضعيّة ناشئة من الاتفاق والاصطلاح غير ناشئة عن وضع قصدي</w:t>
      </w:r>
      <w:r>
        <w:rPr>
          <w:rStyle w:val="FootnoteAnchor"/>
          <w:rtl w:val="true"/>
        </w:rPr>
        <w:footnoteReference w:id="74"/>
      </w:r>
    </w:p>
    <w:p>
      <w:pPr>
        <w:pStyle w:val="Heading3"/>
        <w:numPr>
          <w:ilvl w:val="2"/>
          <w:numId w:val="1"/>
        </w:numPr>
        <w:rPr/>
      </w:pPr>
      <w:bookmarkStart w:id="57" w:name="__RefHeading___Toc1859588_2870459653"/>
      <w:bookmarkStart w:id="58" w:name="_Toc19"/>
      <w:bookmarkEnd w:id="57"/>
      <w:r>
        <w:rPr>
          <w:rtl w:val="true"/>
        </w:rPr>
        <w:t>[</w:t>
      </w:r>
      <w:r>
        <w:rPr>
          <w:rtl w:val="true"/>
        </w:rPr>
        <w:t>الأمر</w:t>
      </w:r>
      <w:r>
        <w:rPr>
          <w:rtl w:val="true"/>
        </w:rPr>
        <w:t xml:space="preserve">] </w:t>
      </w:r>
      <w:r>
        <w:rPr>
          <w:rtl w:val="true"/>
        </w:rPr>
        <w:t>التاسع</w:t>
      </w:r>
      <w:bookmarkEnd w:id="58"/>
    </w:p>
    <w:p>
      <w:pPr>
        <w:pStyle w:val="BookText"/>
        <w:rPr/>
      </w:pPr>
      <w:r>
        <w:rPr>
          <w:rFonts w:ascii="Amiri" w:hAnsi="Amiri" w:eastAsia="Amiri" w:cs="Amiri"/>
          <w:color w:val="111111"/>
          <w:sz w:val="28"/>
          <w:sz w:val="28"/>
          <w:szCs w:val="28"/>
          <w:rtl w:val="true"/>
          <w:lang w:bidi="ar-SA"/>
        </w:rPr>
        <w:t>قد ذكروا للحقيقة والمجاز علائم وأدلّة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تنصيص أهل اللسان، وفيه أنّ إخبار أهل اللسان إنما يكون حجّةً في بيان موارد استعمالات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الإخبار بها إخبار عن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بيان الحقيقة والمجاز؛ لأنّ إخبارهم بهما إخبار عن مقتضى نظرهم فلا يكون حجّةً؛ لتطرّق الاشتباه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 أهل اللسان يختلفون في حقائق بعض الألفاظ ومجازاتها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التبادر وعدمه أو تبادر الغير، وفيه أنّ التبادر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حاقي إلى وضع اللفظ، وإطلاقي مستند إلى إطلاق اللفظ وتجرّده عن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كتبادر المائع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إطلاقه مع وضعه لأعمّ منه ومن الجمد، والعموم من الجمع المحلّى باللام،والإطلاق من اللفظ الموضوع للمهيّة عند إطلاقهما ، مع خروجهما عن مدلول اللفظ؛ لأنهما كيفيتان للحكم لا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وانصرافي مستند إلى انضمام شيء إليه من الشهرة في الاستعمال أو قرائن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أُريد يد منه مطلق التبادر فهو عام والعام لا يدلّ على الخاص</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أصالة عدم الاستناد إلى القرينة توجب حمل مطلق التبادر على القسم الأوّل في غير محله؛ لأن الأصل المثبت لا يكون حجّة أبداً، مع أنّ عدم الاستناد إلى القرينة لا يلازم التبادر الوضعي؛ لإمكان كونه إطلاقياً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اختلط عليهم التبادر الإطلاقي بالحاقي؛ لاشتراكهما في عدم الاستناد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التبادر الحاقي ففيه أنّ العلم بكونه حاقياً موقوف على العلم بالوضع، فلو جعل دليلاً عليه لزم الدور المحال ودفعه تارةً بأنّ العلم الموقوف عليه التبادر الحاقي إجمالي ارتكازي والحاصل منه تفصيلي، ومرّةً بأنّ التبادر الحاقي عند أهل اللسان دليل للجاهل بالوضع فيختلف الطرفان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الحاصل منه حينئذٍ هو الذكر المقابل للغفلة لا العلم المقابل للجهل، والتعبير عنه بالعلم بالعلم</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كالتعبير عن مقابله بالجهل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توسع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العلم ليس مورداً للعلم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فلرجوعه إلى تنصيص أهل اللسان حينئذ، وقد ظهر لك أنه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جعله في مقابله من جملة العلائم لا يلائم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على مطلق التبادر بعض آثار الحقيقة وهو الأخذ بالمعنى المتبادر كالأخذ بالمعنى الحقيقي عند الشكّ في مراد المتكلّم ما لم تكن قرينة صارفة عنه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صحة السلب وعدمها، وفيه أنه كما يصح السلب لأجل انتفاء الوضع يصح لضعف فى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بانسان أو لكمال فيه يوجب لحوقه بنوع أشرف كيوسف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قلن في حقه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هذا بَشَراً إِنْ هذا إِلَّا مَلَكٌ كَرِيمٌ</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حد نفسها أعمّ فلا يكون علامةً عليه</w:t>
      </w:r>
      <w:r>
        <w:rPr>
          <w:rFonts w:eastAsia="Amiri" w:cs="Amiri" w:ascii="Amiri" w:hAnsi="Amiri"/>
          <w:color w:val="111111"/>
          <w:sz w:val="28"/>
          <w:szCs w:val="28"/>
          <w:rtl w:val="true"/>
          <w:lang w:bidi="ar-SA"/>
        </w:rPr>
        <w:t xml:space="preserve">. </w:t>
      </w:r>
      <w:bookmarkStart w:id="59" w:name="pg9000_93920"/>
    </w:p>
    <w:p>
      <w:pPr>
        <w:pStyle w:val="BookText"/>
        <w:rPr/>
      </w:pPr>
      <w:bookmarkEnd w:id="59"/>
      <w:r>
        <w:rPr>
          <w:rFonts w:ascii="Amiri" w:hAnsi="Amiri" w:eastAsia="Amiri" w:cs="Amiri"/>
          <w:color w:val="111111"/>
          <w:sz w:val="28"/>
          <w:sz w:val="28"/>
          <w:szCs w:val="28"/>
          <w:rtl w:val="true"/>
          <w:lang w:bidi="ar-SA"/>
        </w:rPr>
        <w:t>والتقييد بالسلب التحقيقي لا الادّعائي يستلزم الدور؛ لتوقف العلم به على العلم بالمجازيّة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بعدم صحة السلب كذلك موقوف على 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الدور بمثل ما مرّ في التبادر</w:t>
      </w:r>
      <w:r>
        <w:rPr>
          <w:rStyle w:val="FootnoteAnchor"/>
          <w:rtl w:val="true"/>
        </w:rPr>
        <w:footnoteReference w:id="78"/>
      </w:r>
      <w:r>
        <w:rPr>
          <w:rFonts w:ascii="Amiri" w:hAnsi="Amiri" w:eastAsia="Amiri" w:cs="Amiri"/>
          <w:color w:val="111111"/>
          <w:sz w:val="28"/>
          <w:sz w:val="28"/>
          <w:szCs w:val="28"/>
          <w:rtl w:val="true"/>
          <w:lang w:bidi="ar-SA"/>
        </w:rPr>
        <w:t>قد ظهر لك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الاطراد وعدمه فزعموا أن الاطّراد علامة الحقيقة، وعدمه علامة المجاز</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لأنّ المجاز أيضاً مطّرد مع وجود العلاقة المصححة للتجوز، فعدم الاطراد لا يكون علامةً للتجوّز، بل دليل على فساد ما توهّمه المتوهّم من استناد التجوّز إلى ما تخيّله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اطّراد اللفظ وملازمته لمعنى وعدم انفكاكه عنه في موارد الاستعمالات، علامة يتميّز بها الموضوع له عن غيره، إذا علم إجمالاً بأنّ اللفظ حقيقة في الموارد وتردّد الموضوع له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يتميّز بها وجه التجوّز إذا تردّد بين أمور وعلم بأنّ اللفظ مجاز</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859590_2870459653"/>
      <w:bookmarkStart w:id="61" w:name="_Toc20"/>
      <w:bookmarkEnd w:id="60"/>
      <w:r>
        <w:rPr>
          <w:rtl w:val="true"/>
        </w:rPr>
        <w:t>[</w:t>
      </w:r>
      <w:r>
        <w:rPr>
          <w:rtl w:val="true"/>
        </w:rPr>
        <w:t>الأمر</w:t>
      </w:r>
      <w:r>
        <w:rPr>
          <w:rtl w:val="true"/>
        </w:rPr>
        <w:t xml:space="preserve">] </w:t>
      </w:r>
      <w:r>
        <w:rPr>
          <w:rtl w:val="true"/>
        </w:rPr>
        <w:t>العاشر</w:t>
      </w:r>
      <w:bookmarkEnd w:id="61"/>
    </w:p>
    <w:p>
      <w:pPr>
        <w:pStyle w:val="BookText"/>
        <w:rPr/>
      </w:pPr>
      <w:r>
        <w:rPr>
          <w:rFonts w:ascii="Amiri" w:hAnsi="Amiri" w:eastAsia="Amiri" w:cs="Amiri"/>
          <w:color w:val="111111"/>
          <w:sz w:val="28"/>
          <w:sz w:val="28"/>
          <w:szCs w:val="28"/>
          <w:rtl w:val="true"/>
          <w:lang w:bidi="ar-SA"/>
        </w:rPr>
        <w:t>إذا تميّز المعنى الحقيقي من المجازي واستعمل اللفظ خالياً عن القرينة وشكّ في أنّ المتكلّم أراد المعنى الحقيقي أو المجازي وخفيت علينا القرينة فالأصل الحقيقة وعدم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أصلاً مثبتاً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أكثر الأواخر؛ حيث توهموا أن الأصل المثبت ما يترتب عليه أثر غير شرعي، وهو حجّة في مباحث الألفاظ باعتبار أن الأصل فيه عقلائي لا شرعي فلا يعتبر فيه أن يكون المترتب عليه من الآثار الشرعية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المثبت ما يثبت وجوداً مستقلاً لا يكون من شئونه وأطواره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الإثبات على هذا الوجه وظيفة الدليل الكاشف عن المدلول تحقيقاً أو تنزيلاً، لا الأصل الذي هو وظيفة للجاهل المتحيّر ، من دون فرق بين أن يكون الأصل </w:t>
      </w:r>
      <w:bookmarkStart w:id="62" w:name="pg9000_93921"/>
    </w:p>
    <w:p>
      <w:pPr>
        <w:pStyle w:val="BookText"/>
        <w:rPr/>
      </w:pPr>
      <w:bookmarkEnd w:id="62"/>
      <w:r>
        <w:rPr>
          <w:rFonts w:ascii="Amiri" w:hAnsi="Amiri" w:eastAsia="Amiri" w:cs="Amiri"/>
          <w:color w:val="111111"/>
          <w:sz w:val="28"/>
          <w:sz w:val="28"/>
          <w:szCs w:val="28"/>
          <w:rtl w:val="true"/>
          <w:lang w:bidi="ar-SA"/>
        </w:rPr>
        <w:t>شرعيّاً أم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شئونه و آثاره وأحكامه المتحدة معه في الوجود تترتب عليه سواء كانت من الآثار والأحكام الشرعية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إرادة المعنى الحقيقي من اللفظ تتولّد وتنتزع من اللفظ المستعمل عند التجرّد من القرينة، فهي في مرحلة التفهيم ليست إلا اللفظ الصادر عن المتكلّم في مقام الإفادة، فالحكم بأصالة الحقيقة أخذ بالمقتضى المعلوم ونفي للمانع المحتمل وهي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يكون كذلك لا يترتب عليه، وإنّما يترتب على الدليل، ومن هنا تثبت به اللوازم مطلقاً ولا يتطرّق فيه التفكيك بين المتلازمين، بخلاف الأصل؛ فإنّه يجري في كلّ منهما ولا يضر فيه التفكيك بينهما إذا لم يكن أحدهما من أحكام الآخر وآثاره المتحدة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لا يثبت شيئاً ، وإنّما ينفي الدافع أو القاطع أو الرافع المحتمل ويحكم بالأخذ بالمقتضى الثابت المعلوم، وهذا معنى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حجة في النفي دون الإثبات</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 أن يكون الأصل مطلقاً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الأصل العقلي والشرعي بجعل الأوّل مثبتاً دون الثاني بزعم أنّ المثبت ما يترتب عليه أثر عقلي أو عادي، وغير المثبت ما يترتب عليه أثر شرعي، في غير محله، بل لا يترتب على الأصل الشرعي إلّا الأثر العقلي؛ لأنّ الثابت به إنّما هو الحكم الظاهري الذي مرجعه إلى التنجيز أو الدفع، الذي هو من الأحكام العقليّة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المرام غاية الإيضاح يحتاج إلى بسط تام في الكلام لا يسعه يسعه المقام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859592_2870459653"/>
      <w:bookmarkStart w:id="64" w:name="_Toc21"/>
      <w:bookmarkEnd w:id="63"/>
      <w:r>
        <w:rPr>
          <w:rtl w:val="true"/>
        </w:rPr>
        <w:t>[</w:t>
      </w:r>
      <w:r>
        <w:rPr>
          <w:rtl w:val="true"/>
        </w:rPr>
        <w:t>الأمر</w:t>
      </w:r>
      <w:r>
        <w:rPr>
          <w:rtl w:val="true"/>
        </w:rPr>
        <w:t xml:space="preserve">] </w:t>
      </w:r>
      <w:r>
        <w:rPr>
          <w:rtl w:val="true"/>
        </w:rPr>
        <w:t>الحادي عشر</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ثبوت الحقيقة الشرعيّة بعد اتفاقهم على أنّ الشارع استعمل ألفاظاً </w:t>
      </w:r>
    </w:p>
    <w:p>
      <w:pPr>
        <w:pStyle w:val="BookText"/>
        <w:rPr/>
      </w:pPr>
      <w:r>
        <w:rPr>
          <w:rFonts w:ascii="Amiri" w:hAnsi="Amiri" w:eastAsia="Amiri" w:cs="Amiri"/>
          <w:color w:val="111111"/>
          <w:sz w:val="28"/>
          <w:sz w:val="28"/>
          <w:szCs w:val="28"/>
          <w:rtl w:val="true"/>
          <w:lang w:bidi="ar-SA"/>
        </w:rPr>
        <w:t>مخصوصة في غير معانيها اللغوية المعروفة، كالصلاة والصوم والحج والزكاة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أُريد منها أفعال غير معهودة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الشارع لم يستعمل هذه الألفاظ في غير معانيها اللغوية فضلاً عن صيرورتها حقائق فيها، وإنّما الشارع اخترع ماهيات هي مصاديق للمفاهيم اللغوية لم يعرفها أهل اللغة، وجعلها موضوعاً للأحكام الشرعية، فالألفاظ مستعملة في معانيها اللغوية في لسان الشارع غاية الأمر أنها أُطلقت على مصاديقها المخترعة الغير المعروفة عند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من الألفاظ المعهودة في لسان الشارع المصاديق المخترعة لا مطلق المفاهيم اللغوية فهي غير مستعملة في معانيها الأصلية، وتكون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والعلاقة هي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بوضعها لها في لسانه، وحقائق شرعيّة إن قلنا بوضعها لها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العام في الخاص لا أصل له أصلاً؛ إذ لا علاقة مصححة بينهما وإلا لصح استعمال الخاص في العام أيضاً؛ لتساوي نسبة العموم والخصوص إلى الطرفين، فالواقع إنّما هو إطلاق المفهوم العام على الفرد لا استعمال لفظ العام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دون العكس، ولو كان الواقع هو الاستعمال لتساويا في الجواز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يتمّ إذا كان الفرد مقصوداً من حيث إنّه فرد من أفراد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أُريد فرد ارید يد فرد معين بخصوصه فلا مجال إلا للتجوز؛ لما اشتهر من أنّ استعمال العام في الفرد المعين بخصوصه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من هذا القبيل؛ لأنّ الموضوع للأحكام الشرعية هي المصاديق المخترعة بخصوصها فهى مرادة من الألفاظ المعهودة بعينها لا من حيث إنّها فرد من أفراد المفهوم اللغوي</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في إطلاق المفهوم الكلّي على الفرد أصلاً وإن أُريد منه فرد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مجال للحقيقة في استعمال الكلّي في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استعماله فيه باعتبار أنه فرد من أفراد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الذي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الاستعمال لا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اختلط على السائل أمر الإطلاق بالاستعمال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تبيّن بما بيّناه أنّ التمسك للحقيقة الشرعيّة بتبادر المعاني المخترعة من الألفاظ عند الإطلاق، في غير محله؛ لأنّ مرجعه إلى انصراف المفاهيم الكلية الأصلية إلى المصاديق المخترعة؛ لشهرة إطلاقها عليها لا إلى انصراف الألفاظ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أنّ جواب النافين عنه بأنّ الثابت منه هو التبادر عند المتشرّعة فلا تثبت به إلّا الحقيقة المتشرعية</w:t>
      </w:r>
      <w:r>
        <w:rPr>
          <w:rStyle w:val="FootnoteAnchor"/>
          <w:rtl w:val="true"/>
        </w:rPr>
        <w:footnoteReference w:id="83"/>
      </w:r>
      <w:r>
        <w:rPr>
          <w:rFonts w:ascii="Amiri" w:hAnsi="Amiri" w:eastAsia="Amiri" w:cs="Amiri"/>
          <w:color w:val="111111"/>
          <w:sz w:val="28"/>
          <w:sz w:val="28"/>
          <w:szCs w:val="28"/>
          <w:rtl w:val="true"/>
          <w:lang w:bidi="ar-SA"/>
        </w:rPr>
        <w:t>، في غير محله أيضاً؛ لأنّ الانصراف ليس لللفظ حتى يدلّ على الوضع بل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والتعهد الحاصل فيه من قبل الشهرة ليس وضعاً لللفظ ولا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القول بثبوت الحقيقة الجديدة مطلقاً شرعيّةً أو متشرعيّةً باطل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الباقلاني أنّه أنكر جعل الماهية واختراعها وأنّ ما اعتبره الشارع شروط للصحة وقيد للطلب</w:t>
      </w:r>
      <w:r>
        <w:rPr>
          <w:rStyle w:val="FootnoteAnchor"/>
          <w:rtl w:val="true"/>
        </w:rPr>
        <w:footnoteReference w:id="84"/>
      </w:r>
      <w:r>
        <w:rPr>
          <w:rFonts w:ascii="Amiri" w:hAnsi="Amiri" w:eastAsia="Amiri" w:cs="Amiri"/>
          <w:color w:val="111111"/>
          <w:sz w:val="28"/>
          <w:sz w:val="28"/>
          <w:szCs w:val="28"/>
          <w:rtl w:val="true"/>
          <w:lang w:bidi="ar-SA"/>
        </w:rPr>
        <w:t>فالمأمور به عنده هو المفهوم العرفي المنطبق على المصاديق العرفية المعهودة المقيّدة بقيود مخصوصة، وهو باطل أيضاً؛ ضرورة أنّ الجعل والاختراع أمر معقول ولا داعي على صرف ظواهر الأدلّة من أنّ الصلاة ماهية مخترعة مركبة من أجزاء ركنيّة وغير 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يلزم حينئذٍ عدم بطلان الصلاة بفوات الموالاة بين أجزائها؛ إذ المجموع ليس عملاً واحداً حينئذٍ حتّى يعتبر فيه الاتصال والتوالي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ردّه بأنه يلزم أن لا يكون المصلّي مصلّياً إذا لم يكن داعياً فيها أو لم يكن متبعاً كالمنفرد</w:t>
      </w:r>
      <w:r>
        <w:rPr>
          <w:rStyle w:val="FootnoteAnchor"/>
          <w:rtl w:val="true"/>
        </w:rPr>
        <w:footnoteReference w:id="85"/>
      </w:r>
      <w:r>
        <w:rPr>
          <w:rFonts w:ascii="Amiri" w:hAnsi="Amiri" w:eastAsia="Amiri" w:cs="Amiri"/>
          <w:color w:val="111111"/>
          <w:sz w:val="28"/>
          <w:sz w:val="28"/>
          <w:szCs w:val="28"/>
          <w:rtl w:val="true"/>
          <w:lang w:bidi="ar-SA"/>
        </w:rPr>
        <w:t xml:space="preserve">فغير وارد؛ لأنّ المفهوم اللغوي محفوظ في جميع الموارد؛ فإنّها إنما هي مصاديق له لا أُمور مباينة ،له والصلاة لغةً ليست بمعنى الدعاء أو التبعية كما توهم حتى يرد ما ذكره، بل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العطف المتحقق في جميع الموارد، والاختلاف إنّما هو باختلاف الأطراف أو خصوصيات الموارد لا في الموضوع له ولا المستعمل فيه؛ فإنّ العطف من العبد بالنسبة إلى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 واستكانة، ومنه </w:t>
      </w:r>
    </w:p>
    <w:p>
      <w:pPr>
        <w:pStyle w:val="BookText"/>
        <w:rPr/>
      </w:pPr>
      <w:r>
        <w:rPr>
          <w:rFonts w:ascii="Amiri" w:hAnsi="Amiri" w:eastAsia="Amiri" w:cs="Amiri"/>
          <w:color w:val="111111"/>
          <w:sz w:val="28"/>
          <w:sz w:val="28"/>
          <w:szCs w:val="28"/>
          <w:rtl w:val="true"/>
          <w:lang w:bidi="ar-SA"/>
        </w:rPr>
        <w:t>إلى العبد رحمة، ومن المساوي للمساوي تحبيب ومودّة، وقد ينطبق على طلب الرحمة، كصلاة العبد على النبي وآله،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بما بيناه أنه لا مجال للنزاع في أنّ ألفاظ العبادات أسام للصحيحة أو الأعم؛ لأنه فرع القول بالوضع الجديد لها، وقد عرفت أنه لم يقع تصرّف فيها حتّى في الاستعمال، وإن تصرّف الشارع إنّما هو في اختراع مصاديق جديدة للمفاهيم اللغوية لا في إحداث معنى جديد للألفاظ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أريد من الصحة موافقة المأتي به للمأمور على وجهه فهي فرع استجماع شرائط الامتثال المتأخّر عن الأمر المتأخر عن الموضوع فيستحيل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جعل الشروط قيوداً لنفس الموضوع له بجعل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للأفعال المعهودة المأتي بها في حال الطهارة واستقبال القبلة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يجب ذلك؛ لأنّ الأمر الذي هو طلب الفعل لا يتعلّق بشيء إلا بعد استجماع ما له دخل في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جعلها قيوداً للموضوع له ينافي مع كونها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أنه يلزم حينئذ أن يكون ألفاظ العبادات أسامي للأفعال الموجودة في الخارج؛ ضرورة أنّ الاقتران بالطهارة والاستقبال وسائر الشروط إنّما هو من عوارض الوجود، وأخذ الوجود في المفاهيم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بطلانه في نفسه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مع تعلّق الأحكام التكليفية بها؛ لأنها إنما تتعلّق بالماهيات قبل وجودها في الخارج، والوجود منافٍ ومزيل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الأمر لا يتعلّق بشيء إلا بعد استجماع ما له دخل في المطلوبية في غير محله؛ لأنّ الحكم التكليفي متعلّق بالوقائع والأفعال قبل وجود المكلّف في الخارج فضلاً عن وجود المكلف به، والطلب إنّما يتولّد من الأمر ويتعلّق بامتثاله وإيجاد المأمور به، فقيوده وما له دخلاً فيه إنّما يتعلّق بالامتثال الذي هو مؤخّر عن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الحكم بالوقائع يستلزم أن يكون إيجاده في الخارج مطلوباً على وجه الاقتضاء لا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توقف مطلوبيّته فعلاً على استجماع شرائط الامتثال في الخارج</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الإنشائي الذي هو حكم تكليفي لا يتحقق إلا بعد وجود شرائط المطلوبيّة فعلاً، ومجرّد وجود المقتضي لا يكفي في تحقق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ليس من مقولة الإنشاء، بل حقيقته هو تحيث الواقعة بحيثية من الحيثيات الخمسة بحيث لو سئل المولى عنها لأمر بها أو لنهى عنها أو لرخص فيها، فهو سابق على الإنشاء، بل قد يجامع وجوب الفعل مع النهي عنه، كصوم الحائض والنفساء والمريض والمسافر؛ فإنّ وجوب قضائه كاشف عن وجوب أدائه تعلّقاً ولا ينافي وجوبه تعلّقاً مع حرمة إيجاده في الأحوال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w:t>
      </w:r>
      <w:r>
        <w:rPr>
          <w:rStyle w:val="FootnoteAnchor"/>
          <w:rtl w:val="true"/>
        </w:rPr>
        <w:footnoteReference w:id="86"/>
      </w:r>
      <w:r>
        <w:rPr>
          <w:rFonts w:ascii="Amiri" w:hAnsi="Amiri" w:eastAsia="Amiri" w:cs="Amiri"/>
          <w:color w:val="111111"/>
          <w:sz w:val="28"/>
          <w:sz w:val="28"/>
          <w:szCs w:val="28"/>
          <w:rtl w:val="true"/>
          <w:lang w:bidi="ar-SA"/>
        </w:rPr>
        <w:t>منها تماميّة الأجزاء، استكملت الشرائط أم لا، كما يظهر من بعض</w:t>
      </w:r>
      <w:r>
        <w:rPr>
          <w:rStyle w:val="FootnoteAnchor"/>
          <w:rtl w:val="true"/>
        </w:rPr>
        <w:footnoteReference w:id="87"/>
      </w:r>
      <w:r>
        <w:rPr>
          <w:rFonts w:ascii="Amiri" w:hAnsi="Amiri" w:eastAsia="Amiri" w:cs="Amiri"/>
          <w:color w:val="111111"/>
          <w:sz w:val="28"/>
          <w:sz w:val="28"/>
          <w:szCs w:val="28"/>
          <w:rtl w:val="true"/>
          <w:lang w:bidi="ar-SA"/>
        </w:rPr>
        <w:t xml:space="preserve">، ففيه أنّه يلزم حينئذٍ عدم صدق الصلاة على صلاة من أتى بالأركان وسهى عن سائر الأجزاء؛ لعدم تماميّة الأجزاء حينئذٍ، وإنما يكتفى بها في الامتثال لأجل احترام الأحرام وتقديم الأهمّ على المهم، كما فصلنا الكلام فيه فى محلّه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قد تقابل النقصان وقد تقابل البطلان وكلّ منهما تنفكّ عن الأُخرى، فإنّ الصحة بالمعنى الأوّل إنّما تحصل</w:t>
      </w:r>
    </w:p>
    <w:p>
      <w:pPr>
        <w:pStyle w:val="BookText"/>
        <w:rPr/>
      </w:pPr>
      <w:r>
        <w:rPr>
          <w:rFonts w:ascii="Amiri" w:hAnsi="Amiri" w:eastAsia="Amiri" w:cs="Amiri"/>
          <w:color w:val="111111"/>
          <w:sz w:val="28"/>
          <w:sz w:val="28"/>
          <w:szCs w:val="28"/>
          <w:rtl w:val="true"/>
          <w:lang w:bidi="ar-SA"/>
        </w:rPr>
        <w:t>باستجماع جميع الأجزاء جامعت الشرائط الموجبة لتحقق الامتثال أم لا، والصحة بالمعنى الثاني تحصل بصدق الامتثال الموجب للاجتزاء بالمأتي به وسقوط الإعادة والقضاء وهو كما يتحقق بموافقة المأتي به للمأمور به على وجهه واستجماع الأجزاء والشرائط، يتحقق بناقص الأجزاء إذا اكتفي به بملاحظة تقديم الأهم على المهم كالصلاة التي نسي المصلّي ما عدا أركانها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المأتي بها حينئذٍ تامّ الأجزاء؛ لأنّ الواجبات الغير الركنية أجزاء ذكريّة، في غير محله؛ لاستحالة توقف تحقق الجزئية على ذكرها؛ ضرورة أنّ ذكر الجزئية فرع ثبوت الجزئية، فلو توقفت جزئيّة الأجزاء على ذكرها لزم الدور المحال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Style w:val="FootnoteAnchor"/>
          <w:rtl w:val="true"/>
        </w:rPr>
        <w:footnoteReference w:id="88"/>
      </w:r>
      <w:r>
        <w:rPr>
          <w:rFonts w:ascii="Amiri" w:hAnsi="Amiri" w:eastAsia="Amiri" w:cs="Amiri"/>
          <w:color w:val="111111"/>
          <w:sz w:val="28"/>
          <w:sz w:val="28"/>
          <w:szCs w:val="28"/>
          <w:rtl w:val="true"/>
          <w:lang w:bidi="ar-SA"/>
        </w:rPr>
        <w:t>الصحة والفساد أمران متقابلان وعرضان متضادان لا يردان إلا على محلّ واحد؛ ضرورة أنّ التقابل فرع الاجتماع على محلّ واحد، وإلا لم يتقابلا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هذا إلا </w:t>
      </w:r>
    </w:p>
    <w:p>
      <w:pPr>
        <w:pStyle w:val="BookText"/>
        <w:rPr/>
      </w:pPr>
      <w:r>
        <w:rPr>
          <w:rFonts w:ascii="Amiri" w:hAnsi="Amiri" w:eastAsia="Amiri" w:cs="Amiri"/>
          <w:color w:val="111111"/>
          <w:sz w:val="28"/>
          <w:sz w:val="28"/>
          <w:szCs w:val="28"/>
          <w:rtl w:val="true"/>
          <w:lang w:bidi="ar-SA"/>
        </w:rPr>
        <w:t>بجعلهما خارجين عن الموضوع له؛ إذ لو أخذت الصحة في الموضوع له لزم تقومه بها وانتفائه بانتفائها لا اتصافه بالفساد؛ ضرورة أنّ اتصاف شيء بالصحة أو الفساد فرع وجود ما يتقوم به هو، ولا يعقل الاتصاف بالفساد باعتبار انتفاء ما يتقوّم به وإلا لزم أن يكون الحمار إنساناً فاسداً والتسعة عشرةً فاسدةً والشجر حيواناً فاسداً وهكذا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المعنى المجازي بالمعنى الحقيقى بإحدى العلائق المجوّزة لاستعمال لفظه فيه، يوجب اتحادهما من وجه، فلا مانع حينئذٍ من اتصاف المعنى الحقيقي بالصحيح؛ لكونه أصلاً، والمعنى المجازي بالفاسد؛ لكونه فرعاً لم يبلغ مرتبة كمال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بالضرورة وإلا لزم صحة أن يقال للرجل الشجاع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بلوغها مرتبة كمال الأسدية والحماريّة والعينيّة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اللازم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الصحة تنتزع من استجماع الشرائط كذلك تنتزع من استكمال الأجزاء؛ فإنّها تقابل البطلان مرّةً والنقصان أُخرى، كما ذكرت، والجزء لا يكون جزءً إلا مع دخوله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فعل للصلاة ونحوها من العبادات إنّما هي باعتبار دخوله في المركب المخترع الذي جعل منشأ لانتزاع المفهوم اللغوي لا باعتبار دخوله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القول بالوضع للصحيحة يوجب الالتزام بألف ماهيّة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لاختلاف صحتها كمّاً وكيفاً باختلاف حالات المكلّف سفراً وحضراً، اختياراً واضطراراً، علماً وجهلاً، عمداً ونسياناً،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الحالات وعدم وجود جامع بينها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الجامع موجود فيها؛ لاشتراك الكلّ في خاصيّة واحدة مثل الناهية عن الفحشاء ء ومعراج المؤمن وقربان كلّ تقي، والاشتراك في أثر واحد كاشف عن الاشتراك في جامع واحد يؤثر الكلّ فيه بذاك الجامع، في غير محله؛ لأنّ العناوين المذكورة مترتبة على الصلاة اقتضاء، والترتب الاقتضائي لا يختص بالصحيحة بل يعم الطبيعة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الترتب الفعلي فيختص بالصلاة المقبولة ولا تعمّ الصحيحة؛ ضرورة أنّ كلّ صلاة </w:t>
      </w:r>
      <w:bookmarkStart w:id="65" w:name="pg9000_93927"/>
    </w:p>
    <w:p>
      <w:pPr>
        <w:pStyle w:val="BookText"/>
        <w:rPr/>
      </w:pPr>
      <w:bookmarkEnd w:id="65"/>
      <w:r>
        <w:rPr>
          <w:rFonts w:ascii="Amiri" w:hAnsi="Amiri" w:eastAsia="Amiri" w:cs="Amiri"/>
          <w:color w:val="111111"/>
          <w:sz w:val="28"/>
          <w:sz w:val="28"/>
          <w:szCs w:val="28"/>
          <w:rtl w:val="true"/>
          <w:lang w:bidi="ar-SA"/>
        </w:rPr>
        <w:t>صحيحة مجزية لا تكون معراجاً وقرباناً وناهيةً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الاشتراك في الأثر لا يكشف عن جامع ذاتي بينها؛ ألا ترى أنّ جميع العبادات من الصلاة والصوم والحج والخمس والزكاة مقرّبة إلى الله تعالى؟</w:t>
      </w:r>
    </w:p>
    <w:p>
      <w:pPr>
        <w:pStyle w:val="BookText"/>
        <w:rPr/>
      </w:pPr>
      <w:r>
        <w:rPr>
          <w:rFonts w:ascii="Amiri" w:hAnsi="Amiri" w:eastAsia="Amiri" w:cs="Amiri"/>
          <w:color w:val="111111"/>
          <w:sz w:val="28"/>
          <w:sz w:val="28"/>
          <w:szCs w:val="28"/>
          <w:rtl w:val="true"/>
          <w:lang w:bidi="ar-SA"/>
        </w:rPr>
        <w:t>ومع ذلك فهي حقائق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في أثر واحد إنما هو باعتبار الاشتراك في الجامع العرضي الراجع إلى مرحلة الامتثال، وهو التعبّد، والجامع العرضي لا يصلح أن يكون موضوعاً له لألفاظ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النزاع تظهر في صورة الشكّ في جزئيّة شيء أو شرطيّته للعبادة، فعلى القول بوضعها للأعمّ يجوز الرجوع إلى أصالة العدم، وعلى القول بوضعها للصحيحة لا بدّ من الاحتياط وتحصيل العلم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يتوهّم جريان النزاع في ألفاظ المعاملات أيضاً بناءً على أنها أسام للأسباب دون المسبّبات، والمبنى فاسد جداً؛ ضرورة أنّ حقائق المعاملات هي المفاهيم المنشئة العرفية دون الإنشائات، والشارع قرّر بعضاً كالبيع، وأبطل بعضاً كالربا، واعتبر في بعض ما قرّره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في اعتبار شيء فيها أو في أسبابها شرعاً يرجع إلى</w:t>
      </w:r>
    </w:p>
    <w:p>
      <w:pPr>
        <w:pStyle w:val="BookText"/>
        <w:rPr/>
      </w:pPr>
      <w:r>
        <w:rPr>
          <w:rFonts w:ascii="Amiri" w:hAnsi="Amiri" w:eastAsia="Amiri" w:cs="Amiri"/>
          <w:color w:val="111111"/>
          <w:sz w:val="28"/>
          <w:sz w:val="28"/>
          <w:szCs w:val="28"/>
          <w:rtl w:val="true"/>
          <w:lang w:bidi="ar-SA"/>
        </w:rPr>
        <w:t>أصالة العدم؛ لأنّ الشكّ حينئذ يكون شكاً في المانع بعد العلم بوجود المقتضي</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859594_2870459653"/>
      <w:bookmarkStart w:id="67" w:name="_Toc22"/>
      <w:bookmarkEnd w:id="66"/>
      <w:r>
        <w:rPr>
          <w:rtl w:val="true"/>
        </w:rPr>
        <w:t>[</w:t>
      </w:r>
      <w:r>
        <w:rPr>
          <w:rtl w:val="true"/>
        </w:rPr>
        <w:t>الأمر</w:t>
      </w:r>
      <w:r>
        <w:rPr>
          <w:rtl w:val="true"/>
        </w:rPr>
        <w:t xml:space="preserve">] </w:t>
      </w:r>
      <w:r>
        <w:rPr>
          <w:rtl w:val="true"/>
        </w:rPr>
        <w:t>الثاني عشر</w:t>
      </w:r>
      <w:bookmarkEnd w:id="67"/>
    </w:p>
    <w:p>
      <w:pPr>
        <w:pStyle w:val="BookText"/>
        <w:rPr/>
      </w:pPr>
      <w:r>
        <w:rPr>
          <w:rFonts w:ascii="Amiri" w:hAnsi="Amiri" w:eastAsia="Amiri" w:cs="Amiri"/>
          <w:color w:val="111111"/>
          <w:sz w:val="28"/>
          <w:sz w:val="28"/>
          <w:szCs w:val="28"/>
          <w:rtl w:val="true"/>
          <w:lang w:bidi="ar-SA"/>
        </w:rPr>
        <w:t xml:space="preserve">إذا استعمل اللفظ في موارد وتردّد بين أن يكون مشتركاً معنوياً أو لفظياً وأن يكون حقيقةً في بعض ومجازاً في بعض ، فالظاهر أنه مشترك معنوي؛ لأنّ دوران اللفظ مدار الجامع بين الموارد الكاشف عن اختصاصه به ثابت وارتباطه بكل من الموارد وضعاً واستعمالاً غير ثابت؛ لأنّ الثابت إنّما هو كونها موارد لاستعمال ،اللفظ، وأمّا أنّ كلّاً منها مستعمل فيه لللفظ فلا، فلا يحكم فيه بالاشتراك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فرع ثبوت وضعه 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بالحقيقة والمجاز؛ لأنه فرع ثبوت استعماله في كلّ منها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تردّد الأمر بين الاشتراك اللفظي والحقيقة في بعض والمجاز في آخر فالظاهر </w:t>
      </w:r>
      <w:bookmarkStart w:id="68" w:name="pg9000_93928"/>
    </w:p>
    <w:p>
      <w:pPr>
        <w:pStyle w:val="BookText"/>
        <w:rPr/>
      </w:pPr>
      <w:bookmarkEnd w:id="68"/>
      <w:r>
        <w:rPr>
          <w:rFonts w:ascii="Amiri" w:hAnsi="Amiri" w:eastAsia="Amiri" w:cs="Amiri"/>
          <w:color w:val="111111"/>
          <w:sz w:val="28"/>
          <w:sz w:val="28"/>
          <w:szCs w:val="28"/>
          <w:rtl w:val="true"/>
          <w:lang w:bidi="ar-SA"/>
        </w:rPr>
        <w:t>تقدّم الثاني؛ لأنّ وضع اللفظ لأحد المعاني حينئذٍ معلوم ولغيره غير معلوم، مع جواز الاستعمال فيه بالعلاقة المصححة، ولا يحتاج التجوّز إلى مؤنة زائدة على وجود العلاقة المصححة للاستعمال</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859596_2870459653"/>
      <w:bookmarkStart w:id="70" w:name="_Toc23"/>
      <w:bookmarkEnd w:id="69"/>
      <w:r>
        <w:rPr>
          <w:rtl w:val="true"/>
        </w:rPr>
        <w:t>[</w:t>
      </w:r>
      <w:r>
        <w:rPr>
          <w:rtl w:val="true"/>
        </w:rPr>
        <w:t>الأمر</w:t>
      </w:r>
      <w:r>
        <w:rPr>
          <w:rtl w:val="true"/>
        </w:rPr>
        <w:t xml:space="preserve">] </w:t>
      </w:r>
      <w:r>
        <w:rPr>
          <w:rtl w:val="true"/>
        </w:rPr>
        <w:t>الثالث عشر</w:t>
      </w:r>
      <w:bookmarkEnd w:id="70"/>
    </w:p>
    <w:p>
      <w:pPr>
        <w:pStyle w:val="BookText"/>
        <w:rPr/>
      </w:pPr>
      <w:r>
        <w:rPr>
          <w:rFonts w:ascii="Amiri" w:hAnsi="Amiri" w:eastAsia="Amiri" w:cs="Amiri"/>
          <w:color w:val="111111"/>
          <w:sz w:val="28"/>
          <w:sz w:val="28"/>
          <w:szCs w:val="28"/>
          <w:rtl w:val="true"/>
          <w:lang w:bidi="ar-SA"/>
        </w:rPr>
        <w:t>لا يجوز استعمال المشترك في أكثر من معنى واحد على أن يكون كلّ منها محلاً للحكم ومحطّاً للنفي والإثبات، ضرورة استحالة تعلّق الاستعمال الواحد بمعنيين مختلفين استقلالاً بأن يكون كلّ منهما متعلّقاً للاستعمال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الذي هو نوع من إيجاد اللفظ، مبهم مبهم في حد نفسه لا يتعيّن إلا بتعلّقه بالمستعمل فيه ، فمنزلته من الاستعمال منزلة الفصل من الجنس، فكما يستحيل اجتماع فصلين موجبين لتحصل نوعين على موجود واحد فكذلك يستحيل اجتماع تعلّقين فصاعداً على استعمال واحد، وإلا لزم صيرورة الموجود الواحد متعدّداً وهو خلف للفرض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قد تبيّن لك ممّا بيّناه سابقاً</w:t>
      </w:r>
      <w:r>
        <w:rPr>
          <w:rStyle w:val="FootnoteAnchor"/>
          <w:rtl w:val="true"/>
        </w:rPr>
        <w:footnoteReference w:id="89"/>
      </w:r>
      <w:r>
        <w:rPr>
          <w:rFonts w:ascii="Amiri" w:hAnsi="Amiri" w:eastAsia="Amiri" w:cs="Amiri"/>
          <w:color w:val="111111"/>
          <w:sz w:val="28"/>
          <w:sz w:val="28"/>
          <w:szCs w:val="28"/>
          <w:rtl w:val="true"/>
          <w:lang w:bidi="ar-SA"/>
        </w:rPr>
        <w:t>أنّ استعمال الاسم في المعنى لا يكون إلا بتوسّط عنوان المسمّى، فالمستعمل فيه حقيقةً إنّما هو عنوان المسمّى، والمعنى الحقيقي أو المجازي إنّما يكون محلّاً لإطلاق المسمّى وانطباقه عليه تحقيقاً أو تنزيلاً، فاللفظ مرآة للعنوان أوّلاً وإن كان المقصود بالأصالة غالباً هو المعنون دون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انطباق العنوان على المعاني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أم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التبادل، فلا يعقل إرادة معنيين فصاعداً من اللفظ في استعمال واحد على سبيل الاستقلال بأن يكون كلّ منهما مراداً وموضوعاً للحكم ومحطّاً للنفي والإثبات وإلّا لزم خلف الفرض ورجوع الإطلاق البدلي إلى الشمولي</w:t>
      </w:r>
      <w:r>
        <w:rPr>
          <w:rFonts w:eastAsia="Amiri" w:cs="Amiri" w:ascii="Amiri" w:hAnsi="Amiri"/>
          <w:color w:val="111111"/>
          <w:sz w:val="28"/>
          <w:szCs w:val="28"/>
          <w:rtl w:val="true"/>
          <w:lang w:bidi="ar-SA"/>
        </w:rPr>
        <w:t xml:space="preserve">. </w:t>
      </w:r>
      <w:bookmarkStart w:id="71" w:name="pg9000_93929"/>
    </w:p>
    <w:p>
      <w:pPr>
        <w:pStyle w:val="BookText"/>
        <w:rPr/>
      </w:pPr>
      <w:bookmarkEnd w:id="71"/>
      <w:r>
        <w:rPr>
          <w:rFonts w:ascii="Amiri" w:hAnsi="Amiri" w:eastAsia="Amiri" w:cs="Amiri"/>
          <w:color w:val="111111"/>
          <w:sz w:val="28"/>
          <w:sz w:val="28"/>
          <w:szCs w:val="28"/>
          <w:rtl w:val="true"/>
          <w:lang w:bidi="ar-SA"/>
        </w:rPr>
        <w:t>وبما بيّناه تبيّن أنّ استعمال اللفظ فى أكثر من معنىً واحد محال مطلقاً، سواء كان المعنيان حقيقيين أم مجازيين أم مختلفين، فلا حاجة إلى عقد أبواب والبحث عن كلّ منها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أنّ التفصيل بين الإثبات والنفي في الجواز وعدمه وبين المفرد والتثنية والجمع في الجواز وعدمه مرّةً وفي الحقيقة والمجاز تارةً،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من حكم بالامتناع استدلّ عليه 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استعمال اللفظ في المعنى عبارة عن جعله مرآتاً لمعناه ووجهاً له بحيث يكون فانياً في المعنى فناء الوجه في ذي الوجه فلا يقبل في هذا الحال أن يجعل مرآتاً لمعنى آخر كذلك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وفيه أنّ الموجب للامتناع إنما هو ما ذكرناه من أول الاستعمال الواحد إلى المتعدّد المخالف للفرض، فلا يتفاوت حينئذ بين أن يكون اللفظ ملحوظاً بنفسه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كون اللفظ توطئةً لمعناه فمع قطع النظر عمّا بيناه لا ينافي مع استعماله في معنى آخر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859598_2870459653"/>
      <w:bookmarkStart w:id="73" w:name="_Toc24"/>
      <w:bookmarkEnd w:id="72"/>
      <w:r>
        <w:rPr>
          <w:rtl w:val="true"/>
        </w:rPr>
        <w:t>[</w:t>
      </w:r>
      <w:r>
        <w:rPr>
          <w:rtl w:val="true"/>
        </w:rPr>
        <w:t>الأمر</w:t>
      </w:r>
      <w:r>
        <w:rPr>
          <w:rtl w:val="true"/>
        </w:rPr>
        <w:t xml:space="preserve">] </w:t>
      </w:r>
      <w:r>
        <w:rPr>
          <w:rtl w:val="true"/>
        </w:rPr>
        <w:t>الرابع عشر</w:t>
      </w:r>
      <w:bookmarkEnd w:id="73"/>
    </w:p>
    <w:p>
      <w:pPr>
        <w:pStyle w:val="BookText"/>
        <w:rPr/>
      </w:pPr>
      <w:r>
        <w:rPr>
          <w:rFonts w:ascii="Amiri" w:hAnsi="Amiri" w:eastAsia="Amiri" w:cs="Amiri"/>
          <w:color w:val="111111"/>
          <w:sz w:val="28"/>
          <w:sz w:val="28"/>
          <w:szCs w:val="28"/>
          <w:rtl w:val="true"/>
          <w:lang w:bidi="ar-SA"/>
        </w:rPr>
        <w:t>زعم المتأخّرون أنه اتفق الأصوليون على أنّ المشتق حقيقة في الحال ومجاز في الاستقبال، واختلفوا فيما إذا استعمل فيما انقضى عنه المبدأ وأن أكثر الإمامية على أنّه حقيقة</w:t>
      </w:r>
      <w:r>
        <w:rPr>
          <w:rStyle w:val="FootnoteAnchor"/>
          <w:rtl w:val="true"/>
        </w:rPr>
        <w:footnoteReference w:id="91"/>
      </w:r>
      <w:r>
        <w:rPr>
          <w:rFonts w:ascii="Amiri" w:hAnsi="Amiri" w:eastAsia="Amiri" w:cs="Amiri"/>
          <w:color w:val="111111"/>
          <w:sz w:val="28"/>
          <w:sz w:val="28"/>
          <w:szCs w:val="28"/>
          <w:rtl w:val="true"/>
          <w:lang w:bidi="ar-SA"/>
        </w:rPr>
        <w:t>وأكثر الأشاعرة على خلافه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لمّا رأوا أنّ التفصيل في الحقيقة والمجاز بالنسبة إلى حال النطق مستبشع جداً؛ لاستلزامه صيرورة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اتفاقاً، 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قائماً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 فيه، فسّروا الحال بحال النسبة تارةً وبحال التلبس أخرى، مع تصريح بعضهم بأنّ الظاهر من كلمات المتقدمين أنّ المراد به حال النطق</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والصواب أن بحث المتقدمين ليس عن وضع المشتق وكيفية استعماله، وأن الاتفاق والاختلاف إنّما هو في صدق الإطلاق وعدمه لا في الوضع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الحال يتوقف على تقديم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المشتقات الاسميّة المنطبقة على الذوات التي هي محلّ الكلام منبئة عن عناوين متحصلة من الحدث والنسبة الاتصافية الناقصة التقييدية الموجبة لصدقها على الذوات، ولا يكون الزمان مأخوذاً في مفاهيمها بالضرورة، كما اتفق عليه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اشتهر بين متأخّريهم اقتران مدلول الفعل بأحد الأزمنة وضعاً حتى جعلوه مقوّماً له ومائزاً له عن الاسم</w:t>
      </w:r>
      <w:r>
        <w:rPr>
          <w:rStyle w:val="FootnoteAnchor"/>
          <w:rtl w:val="true"/>
        </w:rPr>
        <w:footnoteReference w:id="94"/>
      </w:r>
      <w:r>
        <w:rPr>
          <w:rFonts w:ascii="Amiri" w:hAnsi="Amiri" w:eastAsia="Amiri" w:cs="Amiri"/>
          <w:color w:val="111111"/>
          <w:sz w:val="28"/>
          <w:sz w:val="28"/>
          <w:szCs w:val="28"/>
          <w:rtl w:val="true"/>
          <w:lang w:bidi="ar-SA"/>
        </w:rPr>
        <w:t>، وإن كان التحقيق أن تقوم الفعل إنما هو بالإنباء عن حركة المسمّى الراجعة إلى الاشتمال على الحدث والإسناد الحدوثي، كما نباً به مهبط الوحى</w:t>
      </w:r>
      <w:r>
        <w:rPr>
          <w:rStyle w:val="FootnoteAnchor"/>
          <w:rtl w:val="true"/>
        </w:rPr>
        <w:footnoteReference w:id="95"/>
      </w:r>
      <w:r>
        <w:rPr>
          <w:rFonts w:ascii="Amiri" w:hAnsi="Amiri" w:eastAsia="Amiri" w:cs="Amiri"/>
          <w:color w:val="111111"/>
          <w:sz w:val="28"/>
          <w:sz w:val="28"/>
          <w:szCs w:val="28"/>
          <w:rtl w:val="true"/>
          <w:lang w:bidi="ar-SA"/>
        </w:rPr>
        <w:t>، وأن المضي والاستقبال المستفادين من الماضي والمضارع إنما يستفادان من منصرف الإطلاق في المواد الغير القارّة ، إذا كان المتكلّم مخبراً بهما ولم يقارن إخباره وقوع الفعل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الحال فيستفاد من المضارع بل الماضي أيضاً مع مقارنة الإخبار لوقوع الفعل كذلك، فلا يستند استفادة الزمان من الفعل إلى الوضع أبداً، بل اقتران الفعل به تضمّناً، كما اتفقت عليه كلمات المتأخرين منهم</w:t>
      </w:r>
      <w:r>
        <w:rPr>
          <w:rStyle w:val="FootnoteAnchor"/>
          <w:rtl w:val="true"/>
        </w:rPr>
        <w:footnoteReference w:id="96"/>
      </w:r>
      <w:r>
        <w:rPr>
          <w:rFonts w:ascii="Amiri" w:hAnsi="Amiri" w:eastAsia="Amiri" w:cs="Amiri"/>
          <w:color w:val="111111"/>
          <w:sz w:val="28"/>
          <w:sz w:val="28"/>
          <w:szCs w:val="28"/>
          <w:rtl w:val="true"/>
          <w:lang w:bidi="ar-SA"/>
        </w:rPr>
        <w:t>، غير معقول؛ إذ لو دلّ عليه وضعاً لدلّ عليه بهيئته لا بمادته وإلا لم تختص الدلالة عليه بالفعل، والدلالة عليه بهيئته مستحيل؛ لأنّ الزمان معنىً مستقل اسمي، والهيئة من لواحق الحروف، فلا تتكفّل إلا وجه استعمال المادّة من المعاني الحرفية المعتورة عليها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صفة لللفظ ، فهو عبارة عن إعماله فيما قصد تفهیمه به وجعله توطئة وقنطرة لإرائة المعنى المناسب له وضعاً أو تبعاً بتنزله منزلة ما وضع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وينقسم اللفظ باعتبار اختلاف المستعمل فيه إلى حقيقة ومجاز، فإن استعمل فيما وضع له يسمّى حقيقةً؛ لثبوته في محلّه الأصلي، وإن استعمل في غير ما وضع له يسمّى مجازاً؛ لتجاوزه عن محلّه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عبارة عن تطبيق المفهوم الكلّي على ما هو فرد من أفراده تحقيقاً أو تنزيلاً ، فهو صفة للمعنى لا اللفظ فإن أطلق على ما ينطبق عليه 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اتصف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الإطلاق تحقيقيّاً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انطبق عليه تنزيلاً وادعاء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 المبالغة واتحاده مع صفة العدل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الإطلاق تنزيليّاً ولا تجوز في اللفظ حينئذ؛ لعدم استعماله إلّا في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والتجوّز إنّما هو في الإسناد والحمل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يسمّى مجازاً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الفرد فرداً له تحقيقاً ولا تنزيلاً لا يصح إطلاق الكلّي وحمله عليه كما لا يصح استعمال اللفظ فيما لا يناسبه وضعاً ولا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والحمل قد يكون صريحاً كما إذا ذكر طرفاه، وقد يكون ضمنياً كما إذا ذكر الكلى وأُريد به فرد ما أو فرد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بيناه تبين لك فساد ما اشتهر من أنّ استعمال الكلّي في الفرد حقيقي إن استعمل فيه من حيث إنّه فرد من الأفراد، ومجازي إن استعمل فيه بخصوصه؛ لأنه إن أريد من الاستعمال الإطلاق يكون اللفظ حقيقة في المقامين؛ لاستعماله في مفهومه الأصلي حينئذٍ ويكون الإطلاق تحقيقيّاً أيضاً؛ لانطباق الكلّي على فرده التحقيقي تحقيقاً، سواء أريد منه الفرد بخصوصه أو من حيث أنه فرد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الاستعمال حقيقةً يكون اللفظ مجازاً في الصورتين؛ لاستعمال اللفظ حينئذٍ في غير ما وضع له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يصح استعمال الكلّي في الفرد؛ لعدم العلاقة المصححة للاستعمال بينهما، وما يتوهّم أنّه من قبيل الاستعمال فهو من باب الإطلاق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اتضحت لك هذه المقدّمات فاعلم أنّ المشتق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مفهومه الأصلي، سواء أريد منه المتلبس بالمبدأ في الحال أو ما انقضى عنه المبدأ أو ما لم يتلبس 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في استعمال لفظ المشتق في الصور الثلاثة، وإنّما الاختلاف في الإطلاق ومحلّ الانطباق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باستعمال لفظ المشتق في غير ما وضع له في الصورتين يتفرّع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بوضع لفظ المشتق للمتلبس بالمبدأ في الحال حتى يكون استعماله في المتلبس به قبل أو بعد استعمالاً في غير ما وضع له، وإما الالتزام باستعمال المشتق حينئذٍ في الذات مع قطع النظر عن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بديهي البطلان؛ أما الأوّل فلأنّ الحال المأخوذ في مفهوم المشتق ، إن أريد به حال النطق فمع عدم التزامهم به يوجب الالتزام بأن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وهو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حال النسبة ففيه أنها إنما تجيء بعد التركيب، فلا يعقل أخذه في مفهوم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اقتران مفاهيم الصفات بأحد الأزمنة وضعاً بديهي واتفق عليه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حال التلبس فإن فسّر بما لا يرجع إلى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وضع المشتق للمتلبس بالمبدأ الملازم للصدق في زمان التلبس كما فسره به بعض</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إنّما يوجب عدم صدق المفهوم على ما انقضى عنه المبدأ وما لم يتلبس به بعد، لا التجوّز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 بما يرجع إلى أحد الأزمنة من حال النطق أو حال النسبة فقد ظهر لك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فأوضح فساداً؛ ضرورة أنه لا يصح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ذات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عنه المبدأ أو لم يتلبس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المشتق حينئذٍ مستعملاً في الذات المجرّدة عن العنوان لزم صحة قيامها مقامه بل يلزم عراء الكلام عن الإفادة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استعمال المشتق في ما لم يتلبس بالمبدأ من دون تنزيله منزلة المتلبس بالمبدأ غير جائز، وأمّا مع التنزيل فهو جائز بالضرورة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غير المتلبّس منزلة المتلبّس إنّما توجب صحة الإطلاق؛ لأنّ الذات خارجة عن مفهوم المشتق وإنّما تكون محلاً لانطباق العنوان تحقيقاً أو تنزيلاً فلا يختلف استعمال المشتق باختلافه مع أنّ إطلاق العنوان على ما تلبس بالمبدأ مع انقضائه عنه أو ما لم يتلبس به بعد، إن كان مع قيام قرينة عليه في الكلام فهو تقييد في الإسناد ولا حاجة معه إلى التنزيل، وإلا فغير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أعلى الله مقامه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اختلافهم في وضع صيغة المشتق لحدوث التلبس بالمبدأ أو ثبوته، فمن قال بالأوّل قال بأنّه حقيقة فيما انقضى عنه المبدأ، ومن قال بالثاني قال بأنه مجاز فيه؛ لاستعمال الصيغة الموضوعة للثبوت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الصيغة من لواحق الحروف فهي متكلّفة لوجه استعمال المادّة ولا استعمال لها أبداً حتّى تتصف بالحقيقة تارةً وبالمجاز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إنّ الصيغ كالحروف لا تنفكّ عن مفادها أبداً ولا يعقل انقلابها عمّا وضعت له من الحدوث أو الثبوت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إنه لو قيل بجواز انفكاك الصيغة عن مفادها باختلاف الموارد لزم أن تكون منفكة عن إفادة النسبة رأساً في صورة الإطلاق على ما لم يتلبس به بعد؛ لانتفاء الحدوث والوجود معاً، وهو بديهي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أنّه لا يختلف الاستعمال باختلاف الموارد، وأن المختلف باختلافها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حاله من حيث الصدق وعدمه باختلاف الموارد، فيصدق بالنسبة إلى التلبس به فى الحال بالضرورة ، كما لا يصدق بالنسبة إلى ما لم يتلبّس به بعد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كلماتهم بالنسبة إلى ما انقضى عنه المبدأ فقيل بصدقه عليه</w:t>
      </w:r>
      <w:r>
        <w:rPr>
          <w:rStyle w:val="FootnoteAnchor"/>
          <w:rtl w:val="true"/>
        </w:rPr>
        <w:footnoteReference w:id="98"/>
      </w:r>
      <w:r>
        <w:rPr>
          <w:rFonts w:ascii="Amiri" w:hAnsi="Amiri" w:eastAsia="Amiri" w:cs="Amiri"/>
          <w:color w:val="111111"/>
          <w:sz w:val="28"/>
          <w:sz w:val="28"/>
          <w:szCs w:val="28"/>
          <w:rtl w:val="true"/>
          <w:lang w:bidi="ar-SA"/>
        </w:rPr>
        <w:t>، لكفاية الحدوث في الصدق بزعمه ، وقيل بعدم الصدق</w:t>
      </w:r>
      <w:r>
        <w:rPr>
          <w:rStyle w:val="FootnoteAnchor"/>
          <w:rtl w:val="true"/>
        </w:rPr>
        <w:footnoteReference w:id="99"/>
      </w:r>
      <w:r>
        <w:rPr>
          <w:rFonts w:ascii="Amiri" w:hAnsi="Amiri" w:eastAsia="Amiri" w:cs="Amiri"/>
          <w:color w:val="111111"/>
          <w:sz w:val="28"/>
          <w:sz w:val="28"/>
          <w:szCs w:val="28"/>
          <w:rtl w:val="true"/>
          <w:lang w:bidi="ar-SA"/>
        </w:rPr>
        <w:t>لانتفاء التلبّس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البحث إنّما هو المشتق المطلق المجرّد عن القيود لا مطلق المشتق فيكون المراد بالحال حال النطق ، كما هو الظاهر من كلمات المتقدمين، وصرّح به بعضهم على ما قيل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المقيّد منه فعدم صدقه على ما انقضى عنه المبدأ ظاهر؛ ضرورة انتفاء الصدق مع التقييد بخلافه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اختلط عليهم الأمر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المطلق بمطلق المشتق، </w:t>
      </w:r>
    </w:p>
    <w:p>
      <w:pPr>
        <w:pStyle w:val="BookText"/>
        <w:rPr/>
      </w:pPr>
      <w:r>
        <w:rPr>
          <w:rFonts w:ascii="Amiri" w:hAnsi="Amiri" w:eastAsia="Amiri" w:cs="Amiri"/>
          <w:color w:val="111111"/>
          <w:sz w:val="28"/>
          <w:sz w:val="28"/>
          <w:szCs w:val="28"/>
          <w:rtl w:val="true"/>
          <w:lang w:bidi="ar-SA"/>
        </w:rPr>
        <w:t xml:space="preserve">والإطلاق بالاستعمال، والصدق وعدمه بالحقيقة والمجاز، وحيث اختلط عليهم الأمر صرفوا الحال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النسبة أو حال التلبّس؛ فراراً عمّا يلزمهم من صيرورة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اتفاقاً،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فيه، وغفلوا عن أنّ ما يلزمهم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 ألآن أو أمس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انقضاء القيام عنه في زمان القيد حقيقةً عند القائلين بكونه حقيقةً فيما انقضى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فى الفساد أو أفسد؛ ضرورة أن مقتضى التقييد وقوع المبدأ حال القيد فمع عدم وقوع المبدأ حاله يكون الكلام كذباً أو مجازاً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أنّ موضوع البحث هو المشتق المطلق المجرّد عن القيد وأن البحث في صدق الإطلاق وعدمه، فاعلم أن التحقيق اختلاف الصدق باختلاف الموارد، فإن كان الذات تقتضي المبدأ ذاتاً أو عرضاً باتخاذه صنعةً أو حرفةً، بحيث لو جامعت الشرط وفقد المانع والمزاحم لوجد منها المبدأ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مضيئة، والقمر منير، والشجرة مثمرة، والنار ،محرقة والسناء مسهل والكلام مفيد وزيد كاتب أو خيّاط أو بنّاء أو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يصدق العنوان عليها بمجرّد الاقتضاء ولا يعتبر في صدقه عليها وجود المبدأ منها ضرورة صحة حمل الصفات على الذوات المقتضية لمباديها ولولم يوجد المبدأ منها أصلاً لفقد شرط أو وجود مانع أو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تقتض المبدأ لا يصدق العنوان عليها إلا بعد وجوده منها؛ ضرورة أن مجرد صلاحيّة الذات لصدور المبدأ منها أو اتصافها به لا يوجب صدق المشتق وإلا لصح إطلاق العالم على الجاهل والأسود على الأبيض، وبالعكس، وهكذا</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المبدأ من الأفعال الحادثة من الذات كالولادة والضرب والقتل والأكل والشرب والزناء والسرقة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يكفي في صدق المشتقّ على الذات حدوث المبدأ منها ولو انقضى عنها حال الإطلاق؛ لأنّ منشأ انتزاع الاتصاف هو الحدوث لا الوجود، والحدوث لم ينقلب إلى اللاحدوث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ينتفي صدق الوالد والوالدة عن الأب والأُمّ بعد الولادة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ضارب زيد أو قاتله أو آكل الحرام أو شارب الخمر أو سارق أو </w:t>
      </w:r>
    </w:p>
    <w:p>
      <w:pPr>
        <w:pStyle w:val="BookText"/>
        <w:rPr/>
      </w:pPr>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مبادي الصفات المذكورة عنه من دون تأويل، ويشمل السارق والزاني المذكوران في الفرقان</w:t>
      </w:r>
      <w:r>
        <w:rPr>
          <w:rStyle w:val="FootnoteAnchor"/>
          <w:rtl w:val="true"/>
        </w:rPr>
        <w:footnoteReference w:id="101"/>
      </w:r>
      <w:r>
        <w:rPr>
          <w:rFonts w:ascii="Amiri" w:hAnsi="Amiri" w:eastAsia="Amiri" w:cs="Amiri"/>
          <w:color w:val="111111"/>
          <w:sz w:val="28"/>
          <w:sz w:val="28"/>
          <w:szCs w:val="28"/>
          <w:rtl w:val="true"/>
          <w:lang w:bidi="ar-SA"/>
        </w:rPr>
        <w:t>من سرق وزنى حقيقةً ويجب قطع يد الأوّل وجلد الثاني أو رجمه باعتبار صدق العنوانين عليهما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الأوصاف القائمة بالذوات كالعلم والجهل والإيمان والكفر والقيام والقعود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يجب في صدق المشتق بقاء المبدأ حال الإطلاق؛ لأنّ المنشأ لانتزاع الاتصاف بالمبدأ حينئذٍ هو الوجود القابل للبقاء لا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يصدق الجاهل على العالم باعتبار سبق جهله ولا العالم علي من علم ثمّ زال عنه، ولا الكافر على المؤمن باعتبار سبق كفره، ولا المؤمن على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المؤمن على النائم لا ينافي ما بيناه؛ لثبوت التصديق في حال النوم والغفلة، والذي انتفى عنه حينئذ إنما هو الذكر لا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الصيغة في جميع الموارد أمر واحد؛ فإنّها إنما تفيد الاتصاف بالمبدأ، والاتصاف قد يتحقق باقتضاء الذات لحدوث المبدأ أو وجوده منها ، وقد يتحقق بحدوث المبدأ منها، وقد يتحقق بوجود المبدأ منها ، فلم يختلف مفاد الصيغة باختلاف الموارد والمبادي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البحث في الصدق وصحة الإطلاق وعدم صحته لا في الحقيقة والمجاز لزم أن يكون اتفاقهم بالنسبة إلى المستقبل اتفاقاً على عدم صحة الإطلاق مع أنه صحيح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مجاز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صدق المشتق مع قطع النظر عن القيد والقرينة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لا يصدق كذلك على من لم يتلبس بعد، فلا يصح إطلاقه عليه إلّا مع قيد،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الإطلاق إلا مع قيد أو قرينة، لا ينفك عن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التجوّز حينئذٍ في الإطلاق والإسناد لا في الكلمة، كما اختاره بعض</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التجوّز في الإطلاق إذا لم يصح إلا مع التوسع والتنزيل، كقولك</w:t>
      </w:r>
      <w:r>
        <w:rPr>
          <w:rFonts w:eastAsia="Amiri" w:cs="Amiri" w:ascii="Amiri" w:hAnsi="Amiri"/>
          <w:color w:val="111111"/>
          <w:sz w:val="28"/>
          <w:szCs w:val="28"/>
          <w:rtl w:val="true"/>
          <w:lang w:bidi="ar-SA"/>
        </w:rPr>
        <w:t xml:space="preserve">: </w:t>
      </w:r>
      <w:bookmarkStart w:id="74" w:name="pg9000_93936"/>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مجرّد الحاجة إلى القيد أو القرينة فلا يدلّ على التجوّز فيه؛ لجواز أن يكون الحاجة إلى القيد لكونه على خلاف منصرف إطلاقه، كما في المقام؛ إذ تقييد الإسناد بالمستقبل أو الماضي لا يوجب توسعاً في الإسناد وتنزيلاً لأحد طرفيه منزلة الأصل كما هو ظاهر، وإنّما يوجب الانصراف عن منصرف إطلاقه وهو التلبس بالمبدأ حال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اتفقوا على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 قائماً وسيصير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ولا تجوز فيه بوجه لا في اللفظ ولا في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فالاحتجاج على كون المشتق مجازاً إذا استعمل فيما انقضى عنه المبدأ بتبادر الغير وهو التلبس بالمبدأ</w:t>
      </w:r>
      <w:r>
        <w:rPr>
          <w:rStyle w:val="FootnoteAnchor"/>
          <w:rtl w:val="true"/>
        </w:rPr>
        <w:footnoteReference w:id="103"/>
      </w:r>
      <w:r>
        <w:rPr>
          <w:rFonts w:ascii="Amiri" w:hAnsi="Amiri" w:eastAsia="Amiri" w:cs="Amiri"/>
          <w:color w:val="111111"/>
          <w:sz w:val="28"/>
          <w:sz w:val="28"/>
          <w:szCs w:val="28"/>
          <w:rtl w:val="true"/>
          <w:lang w:bidi="ar-SA"/>
        </w:rPr>
        <w:t>، في غير محلّه؛ إذ لا يختلف ما يستعمل فيه المشتق باختلاف الإطلاق على ما انقضى عنه المبدأ أو المتلبس أو ما لم يتلبس به بعد؛ ضرورة أنّ المستعمل فيه في الصور الثلاثة إنّما هو العنوان الذي وضع بإزائه المشتق، والاختلاف إنّما هو في ما يطلق عليه العنوان، والتبادر المدعى إنّما هو من قبل الإسناد لا المشتق وهو إطلاقي لا ،حاقي، كما بيّناه</w:t>
      </w:r>
      <w:r>
        <w:rPr>
          <w:rStyle w:val="FootnoteAnchor"/>
          <w:rtl w:val="true"/>
        </w:rPr>
        <w:footnoteReference w:id="104"/>
      </w:r>
      <w:r>
        <w:rPr>
          <w:rFonts w:ascii="Amiri" w:hAnsi="Amiri" w:eastAsia="Amiri" w:cs="Amiri"/>
          <w:color w:val="111111"/>
          <w:sz w:val="28"/>
          <w:sz w:val="28"/>
          <w:szCs w:val="28"/>
          <w:rtl w:val="true"/>
          <w:lang w:bidi="ar-SA"/>
        </w:rPr>
        <w:t>، مع أنه يختص بما إذا كان المبدأ صفة لا فعلاً، كما عرفت</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بيّناه تبيّن فساد سائر التفاصيل التي ذكروها في المقام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859600_2870459653"/>
      <w:bookmarkStart w:id="76" w:name="_Toc25"/>
      <w:bookmarkEnd w:id="75"/>
      <w:r>
        <w:rPr>
          <w:rtl w:val="true"/>
        </w:rPr>
        <w:t>تنبيهات</w:t>
      </w:r>
      <w:bookmarkEnd w:id="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النزاع يعمّ جميع المشتقات المنطبقة على الذوات، ولا يختص باسم الفاعل وما في معناه من الصفات المشتبهة، كما في الفصول</w:t>
      </w:r>
      <w:r>
        <w:rPr>
          <w:rStyle w:val="FootnoteAnchor"/>
          <w:rtl w:val="true"/>
        </w:rPr>
        <w:footnoteReference w:id="106"/>
      </w:r>
      <w:r>
        <w:rPr>
          <w:rFonts w:ascii="Amiri" w:hAnsi="Amiri" w:eastAsia="Amiri" w:cs="Amiri"/>
          <w:color w:val="111111"/>
          <w:sz w:val="28"/>
          <w:sz w:val="28"/>
          <w:szCs w:val="28"/>
          <w:rtl w:val="true"/>
          <w:lang w:bidi="ar-SA"/>
        </w:rPr>
        <w:t>ولا بما عدا اسم الزمان، كما عن بعض</w:t>
      </w:r>
      <w:r>
        <w:rPr>
          <w:rStyle w:val="FootnoteAnchor"/>
          <w:rtl w:val="true"/>
        </w:rPr>
        <w:footnoteReference w:id="107"/>
      </w:r>
      <w:r>
        <w:rPr>
          <w:rFonts w:ascii="Amiri" w:hAnsi="Amiri" w:eastAsia="Amiri" w:cs="Amiri"/>
          <w:color w:val="111111"/>
          <w:sz w:val="28"/>
          <w:sz w:val="28"/>
          <w:szCs w:val="28"/>
          <w:rtl w:val="true"/>
          <w:lang w:bidi="ar-SA"/>
        </w:rPr>
        <w:t>لأنّ مناط النزاع في الجميع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أنّ الزمان غير قارّ الذات فلا </w:t>
      </w:r>
    </w:p>
    <w:p>
      <w:pPr>
        <w:pStyle w:val="BookText"/>
        <w:rPr/>
      </w:pPr>
      <w:r>
        <w:rPr>
          <w:rFonts w:ascii="Amiri" w:hAnsi="Amiri" w:eastAsia="Amiri" w:cs="Amiri"/>
          <w:color w:val="111111"/>
          <w:sz w:val="28"/>
          <w:sz w:val="28"/>
          <w:szCs w:val="28"/>
          <w:rtl w:val="true"/>
          <w:lang w:bidi="ar-SA"/>
        </w:rPr>
        <w:t>يتصوّر فيه انقضاء المبدأ عنه مع بقاء الذات حتى يجري فيه النزاع، في غير محله؛ لأنّ الزمان له بقاء واستمرار في العرف باعتبار المبدأ والمنتهى، كاليوم والشهر والسنة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يجري فيه 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خروج اسم المفعول واسم الآلة عن محلّ النزاع؛ لأنّ الأوّل موضوع لمن وقع عليه الفعل ولا يعقل فيه الانقضاء أبداً؛ لأنّ الفعل بعد وقوعه لا ينقلب عمّا هو عليه فلا يتصوّر فيه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موضوع لما يصلح ويستعد لصدور الفعل منه على وجه الآلية، فلا يشترط فيه التلبس بالمبدأ حتى يقدح فيه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الضعف؛ أما الأوّل فلأنّ الوقوع كالقيام قد ينتزع من الحدوث وقد ينتزع من الوجود، فكما أنّ عنوان الضارب والقاتل يصدق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المبدأ عنه، كذلك يصدق عنوان المضروب والمقتول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المبدأ؛ لأنّ المنشأ لانتزاع العنوان في المقامين هو الحدوث، وكما لا يصدق عنوان العالم والجاهل والمحبّ والمبغض والحافظ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الصفات المنتزعة من وجود المبدأ بعد انقضاء المبادي المزبورة عمّن قامت به فكذلك لا يصدق المعلوم والمجهول والمحبوب والمبغوض والمحفوظ على ما انقضى عنه تعلّق المبادي المزبورة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 يصدق المجنون على من زال عنه جنونه؟ 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يصدق العاقل إلا على من اتصف بالعقل فعلاً فكذلك لا يصدق المجنون إلّا على من اتصف بالجنون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 مفاد المفعول بمن وقع عليه الفعل لا يدلّ على أن الغرض منه حدوث الوقوع، كما توهّمه</w:t>
      </w:r>
      <w:r>
        <w:rPr>
          <w:rStyle w:val="FootnoteAnchor"/>
          <w:rtl w:val="true"/>
        </w:rPr>
        <w:footnoteReference w:id="108"/>
      </w:r>
      <w:r>
        <w:rPr>
          <w:rFonts w:ascii="Amiri" w:hAnsi="Amiri" w:eastAsia="Amiri" w:cs="Amiri"/>
          <w:color w:val="111111"/>
          <w:sz w:val="28"/>
          <w:sz w:val="28"/>
          <w:szCs w:val="28"/>
          <w:rtl w:val="true"/>
          <w:lang w:bidi="ar-SA"/>
        </w:rPr>
        <w:t>، وإلا لزم خروج اسم الزمان والمكان عن محلّ النزاع أيضاً؛ لأنهما لما وقع فيه الفعل، مع تصريحه بدخول اسم الزمان في محلّ النزاع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المراد انقضاء المبدأ لا النسبة فلا وجه لما ذكره من عدم تصوّر الانقضاء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أعلى الله مقامه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فلأنّ صيغ الآلة موضوعة لاتصاف الذات بالمبدأ على وجه الآلية والاتصاف بالمبدأ كذلك كما يتحقق باقتضاء الذات لصدور المبدأ بها، كذلك يتحقق بالحدوث الفعلي بها، فكما يصدق المضراب على ما أعد للضرب به فكذلك يصدق على العصا إذا 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المشتق عنوان منطبق على الذات لا أنّ الذات جزء له؛ لأنّ المشتق ينحل إلى مادّة وهيئة والمادة لا تنبئ إلا عن الحدث الصرف بالضرورة، والهيئة إنّما تفيد وجه استعمال المادة وهي النسبة الاتصافية الناقصة التقييديّة الموجبة لانتزاع العنوان المنطبق على الذات، فلا يعقل دلالتها على الذات التي هي مفهوم مستقل اسمي إلا على وجه الالتزام من قبل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من التعبير عنه بذات ثبت له المبدء تنبيه على انطباقه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ببساطة مفاهيم المشتقات وخروج الذات والنسبة عنها</w:t>
      </w:r>
      <w:r>
        <w:rPr>
          <w:rStyle w:val="FootnoteAnchor"/>
          <w:rtl w:val="true"/>
        </w:rPr>
        <w:footnoteReference w:id="110"/>
      </w:r>
      <w:r>
        <w:rPr>
          <w:rFonts w:ascii="Amiri" w:hAnsi="Amiri" w:eastAsia="Amiri" w:cs="Amiri"/>
          <w:color w:val="111111"/>
          <w:sz w:val="28"/>
          <w:sz w:val="28"/>
          <w:szCs w:val="28"/>
          <w:rtl w:val="true"/>
          <w:lang w:bidi="ar-SA"/>
        </w:rPr>
        <w:t>، واستغرب القول بأخذ النسبة إلى الذات فيها دون الذات، وزعم أنّ أخذ النسبة فيها ملازم لأخذ الذات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النسبة متقومة بالطرفين بالضرورة، فلا يعقل أخذها في مفاهيم المشتقات مع الالتزام بخروج الذات عنها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وأضاف إلى هذا الوجه وجهاً آخر وهو أنه لو دلّ المشتق على النسبة التي هي معنىً حرفي لزم أن يكون مبنيّاً؛ لتضمّنه حينئذ للمعنى الحرفي الذي هو إحدى علل البناء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باطلان؛ أما الأوّل فلانه لا مانع من إثبات النسبة في القضية اللفظية لأحد مع تقومها طرفيها بحيث يستتبع الدلالة على الطرف الآخر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بالطرفين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منافياً لزم أن يكون الفعل مجرّداً عن الإسناد إلى الفاعل أو المفعول، أو دالاً على أحدهما بالتضمّن وكلاهما واضح الفساد؛ أما الأوّل فلأنّ بناء </w:t>
      </w:r>
    </w:p>
    <w:p>
      <w:pPr>
        <w:pStyle w:val="BookText"/>
        <w:rPr/>
      </w:pPr>
      <w:r>
        <w:rPr>
          <w:rFonts w:ascii="Amiri" w:hAnsi="Amiri" w:eastAsia="Amiri" w:cs="Amiri"/>
          <w:color w:val="111111"/>
          <w:sz w:val="28"/>
          <w:sz w:val="28"/>
          <w:szCs w:val="28"/>
          <w:rtl w:val="true"/>
          <w:lang w:bidi="ar-SA"/>
        </w:rPr>
        <w:t>الفعل للفاعل مرّةً وللمفعول أُخرى لا يجامع مع تجرّده عن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الفاعل أو المفعول معنى مستقل اسمى لا يقعل أن يكون مدلولاً للهيئة مطابقةً أو تضمّناً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بناء الأسماء مقصور على السماع، كما عليه المتقدمون من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العلل التي استخرجها أبو الفتح ابن جنّي</w:t>
      </w:r>
      <w:r>
        <w:rPr>
          <w:rStyle w:val="FootnoteAnchor"/>
          <w:rtl w:val="true"/>
        </w:rPr>
        <w:footnoteReference w:id="113"/>
      </w:r>
      <w:r>
        <w:rPr>
          <w:rFonts w:ascii="Amiri" w:hAnsi="Amiri" w:eastAsia="Amiri" w:cs="Amiri"/>
          <w:color w:val="111111"/>
          <w:sz w:val="28"/>
          <w:sz w:val="28"/>
          <w:szCs w:val="28"/>
          <w:rtl w:val="true"/>
          <w:lang w:bidi="ar-SA"/>
        </w:rPr>
        <w:t>وشاع بين متأخريهم ففساده من الواضحات؛ لأنّ الشبه بالحرف لو أوجب البناء فإنّما هو الشبه به في وجه بنائه وهو عدم قبوله اعتوار المعاني المقتضية للإعراب عليه، وذلك لا يجري إلّا في الشبه الإهمالي مع أنه غير تام أيضاً؛ لأنّ الاسم حينئذٍ لا يكون محلاً لا عتوار المعاني لا أنه غير 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الكلام في فساده غاية الإيضاح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بعد ما زعم أنّ المشتقات لا تدلّ إلا على الحدث الصرف، التفت إلى أنه يتوجه عليه حينئذٍ أن لا يكون فرق بين المشتقات والمصدر واسمه، فالتزم بما اشتهر نسبته إلى أهل الحكمة من أنّ المبدأ ملحوظ فيهما بشرط لا، وفيها لا بشرط</w:t>
      </w:r>
      <w:r>
        <w:rPr>
          <w:rStyle w:val="FootnoteAnchor"/>
          <w:rtl w:val="true"/>
        </w:rPr>
        <w:footnoteReference w:id="115"/>
      </w:r>
      <w:r>
        <w:rPr>
          <w:rFonts w:ascii="Amiri" w:hAnsi="Amiri" w:eastAsia="Amiri" w:cs="Amiri"/>
          <w:color w:val="111111"/>
          <w:sz w:val="28"/>
          <w:sz w:val="28"/>
          <w:szCs w:val="28"/>
          <w:rtl w:val="true"/>
          <w:lang w:bidi="ar-SA"/>
        </w:rPr>
        <w:t>، وفسّر اللابشرط بملاحظته بحيث يتحد مع الذات ويحمل عليها، وبشرط لا بملاحظته بحيث يأبى عن الحمل، وأوضح ذلك بأنّ وجود العرض في حد نفسه عين وجوده لموضوعه، فوجوده النفسي عين وجوده الربطي بين ماهيته وموضوعه، فإذا لوحظ العرض على واقعه بلا مؤنة أُخرى يكون موجوداً في الموضوع ومتحداً معه ونعتاً له، ويكون بهذا الاعتبار عرضيّاً ومشتقاً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لا كذلك بل مستقلاً مع قطع النظر عن وجوده في موضوعه يكون أجنبياً عنه وغير متحد معه، وبهذا الاعتبار يكون مصدراً أو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يحملان على الذات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هيئة المصدر لا تدلّ على النسبة الناقصة وإلّا لوجب أن تكون المصادر مبنيّة؛ لتضمّنها للمعنى الحرفي والفرق بينه وبين اسمه أنّ المبدأ ملحوظ فيه بحيث يكون قابلاً لورود النسبة إليه فيضاف إلى الفاعل كثيراً وإلى المفعول نادراً، وفى اسمه بما هو شيء من الأشياء معرّى عن النسبة فلا يمكن إضافته إلى شيء؛ فإنّ الإضافة ملازمة للنسبة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وما ذكره في غاية الوهن والسقوط من وجوده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كما لا استقلال له في الوجود لا استقلال له في الماهيّة، وإنّما هو شأن من شئون موضوعه، سواء كان عرضاً للوجود أو عرضاً للماهية، فما يظهر من کلامه من استقلاله في الماهية دون الوجود،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أوضحنا الكلام فيه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لحاظ العرض على ما هو عليه لا يقتضي جواز حمله على الذات ما لم يؤخذ فيه نسبة ناقصة تقييديّة موجبة لتبعية أحد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فالمصحح لحمل المشتقات على الذات تركب مفاهيمها من الحدث والنسبة الناقصة التقييدية، المتولّد منهما عنوان منطبق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عرت المشتقات عن النسبة، وكان مدلول الكل هو العرض السازج، وكان صحّة الحمل باعتبار ملاحظته على ما هو عليه من وجود موضوعه، لزم استواء الكلّ في التصادق على الذوات، ولم يختص بعضها بالفاعل، وبعضها بالمفعول، وبعضها بالآلة، وبعضها بالمكان أو الزمان، وبعضها على وجه المبالغة، وبعضها على وجه التفصيل،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اللازم واضح؛ ضرورة اختصاص كلّ منها بمورد مخصوص وهو لا يتمّ إلّا بتكفّل كلّ منها نسبة مخصوصة قياماً أو وقوعاً أو حلولاً وهكذا</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كهيئات سائر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النسبة الناقصة التقييدية الموجبة لانتزاع عنوان منطبق على العمل لا الذات؛ فإنّ لحاظ التقييد يوجب جعل أحد </w:t>
      </w:r>
    </w:p>
    <w:p>
      <w:pPr>
        <w:pStyle w:val="BookText"/>
        <w:rPr/>
      </w:pPr>
      <w:r>
        <w:rPr>
          <w:rFonts w:ascii="Amiri" w:hAnsi="Amiri" w:eastAsia="Amiri" w:cs="Amiri"/>
          <w:color w:val="111111"/>
          <w:sz w:val="28"/>
          <w:sz w:val="28"/>
          <w:szCs w:val="28"/>
          <w:rtl w:val="true"/>
          <w:lang w:bidi="ar-SA"/>
        </w:rPr>
        <w:t>طرفيه قيداً للآخر وتابعاً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المشتقات يجعل الحدث قيداً للذات فينطبق على الذات فاعلاً أو مفعولاً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المصادر يجعل الذات قيداً للحدث فينطبق على العمل لا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على ما بيّناه دلالة هيئة المصدر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بنائه للفاعل مرّةً وللمفعول أُخرى، واختلاف مفاد هيئات المصادر في الدلالة على الحرفة والولاية والتقلب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أنّ هيئة المصدر لا تدلّ على النسبة الناقصة وإلا لكان مبنياً، قد ظهر لك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المصدر لا دلالة لهيئته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يعمل، ولا يطلب فاعلاً ولا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توهّمه من الفرق بينه وبين المصدر بما ذكره</w:t>
      </w:r>
      <w:r>
        <w:rPr>
          <w:rStyle w:val="FootnoteAnchor"/>
          <w:rtl w:val="true"/>
        </w:rPr>
        <w:footnoteReference w:id="118"/>
      </w:r>
      <w:r>
        <w:rPr>
          <w:rFonts w:ascii="Amiri" w:hAnsi="Amiri" w:eastAsia="Amiri" w:cs="Amiri"/>
          <w:color w:val="111111"/>
          <w:sz w:val="28"/>
          <w:sz w:val="28"/>
          <w:szCs w:val="28"/>
          <w:rtl w:val="true"/>
          <w:lang w:bidi="ar-SA"/>
        </w:rPr>
        <w:t>، في غاية السخافة؛ ضرورة اشتراكهما في جواز الإضافة إلى الفاعل أو المفعول؛ لجواز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وضوء زيد أو غسله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عجب زيد وكبره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جواز الإضافة على لحاظ المعنى قابلاً لورود النسبة، بل يتوقف على قبوله إياها سواء لوحظ ذلك في وضع اللفظ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 الجوامد تقبل الإضافة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 أو ماله أو ثوبه أو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لحاظ قبول النسبة في وضع الجوامد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يختص به المصدر إنّما هو العمل وطلب الفاعل أو المفعول لا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كاشف عن اشتماله على النسبة المستدعية لذكر الفاعل أو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بينه وبين اسمه إنّما هو في اشتماله على النسبة الناقصة دون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اشتمال المشتقات والمصدر المعروف على النسبة من الواضحات، وما ذكره المتوهم ناشٍ من عدم التأمل في الأطراف بل خفاء البديهيات وإن زعم أنه أتى بتحقيق المقام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اخترناه من كفاية الاقتضاء في تحقق الاتصاف بالمبدأ وصدق العنوان، مخالف لما اختاره القوم من لزوم التلبس به ولو حدوثاً في صدق العنوان و تحقق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الصدق في موارد الاقتضاء باعتبار التلبس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المبدأ قد يكون حالاً وقد يكون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أن يعلم أنّ مبادي المشتقات مختلفة فقد يكون المبدأ حالاً كالضارب والمضروب، وقد يكون ملكةً، وقد يعتبر مع كونه ملكةً كونه حرفةً وصنعةً، مثل</w:t>
      </w:r>
    </w:p>
    <w:p>
      <w:pPr>
        <w:pStyle w:val="BookText"/>
        <w:rPr/>
      </w:pPr>
      <w:r>
        <w:rPr>
          <w:rFonts w:ascii="Amiri" w:hAnsi="Amiri" w:eastAsia="Amiri" w:cs="Amiri"/>
          <w:color w:val="111111"/>
          <w:sz w:val="28"/>
          <w:sz w:val="28"/>
          <w:szCs w:val="28"/>
          <w:rtl w:val="true"/>
          <w:lang w:bidi="ar-SA"/>
        </w:rPr>
        <w:t xml:space="preserve">الخياط والنجار والبنّاء ونحوها، وقد يكون لفظ يحتمل الحال والملكة والحرفة، كالقاري والكاتب والمعلّم، والتلبس وعدم التلبس يتفاوت في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اختلط على بعض المتأخرين واشتبه عليه الأمر وأحدث مذهباً في التفصيل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المشتق باعتبار الماضي حقيقة إن كان اتصاف الذات بالمبدأ أكثريّاً بحيث يكون عدم الاتصاف بالمبدأ مضمحلاً في جنب الاتصاف ولم يكن الذات معرضاً عن المبدأ وراغباً عنه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ascii="IRNazanin" w:hAnsi="IRNazanin" w:eastAsia="IRNazanin"/>
          <w:color w:val="111111"/>
          <w:sz w:val="28"/>
          <w:sz w:val="28"/>
          <w:szCs w:val="28"/>
          <w:rtl w:val="true"/>
          <w:lang w:bidi="fa-IR"/>
        </w:rPr>
        <w:t>انتهى ما أردناه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المشتق في الموارد المزبورة وأمثالها إنما هو باعتبار اقتضاء الذات للمبدأ ذاتاً أو جعلاً، وكفاية الاقتضاء في تحقق الاتصاف، لا باعتبار أن المبدأ فيها الملكة، وإلا لزم أن يصدق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وأسهل 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والسناء 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يسهل؛ لتحقق الملكة فيهما بالمعنى الذي ذكروه، مع أن عدم الصدق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لأجل اختلاف النسبة؛ فإنّ تحقق المبدأ من الذات لا يكون إلا بالفعليّة بخلاف اتصاف الذات به؛ فإنّه كما يتحقق بالفعليّة يتحقق بالاقتضاء بحيث يعد المبدأ من صفاته وشئونه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المبادي في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الشأنيّة للحدث أو القوة القريبة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حقيقةً ومجازاً؛ أما الأوّل فلعدم الوضع، وأما الثاني فلعدم العلاقة المصححة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إطلاق الملكة على الشأنبة والقوّة القريبة غلط؛ لأنّ مقابلتها للحال إنّما هي باعتبار التجاوز عن أوّل مراتب وجود المبدأ وبلوغه مرتبة الرسوخ والاستقرار لا باعتبار عدم الوصول مرتبة الوجود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تختص بالكيفية النفسانية ولا تعمّ مطلق المبادي، وقد اشتهر أنّ الكيفية </w:t>
      </w:r>
    </w:p>
    <w:p>
      <w:pPr>
        <w:pStyle w:val="BookText"/>
        <w:rPr/>
      </w:pPr>
      <w:r>
        <w:rPr>
          <w:rFonts w:ascii="Amiri" w:hAnsi="Amiri" w:eastAsia="Amiri" w:cs="Amiri"/>
          <w:color w:val="111111"/>
          <w:sz w:val="28"/>
          <w:sz w:val="28"/>
          <w:szCs w:val="28"/>
          <w:rtl w:val="true"/>
          <w:lang w:bidi="ar-SA"/>
        </w:rPr>
        <w:t>النفسانية إن رسخت في النفس فملكة وإلا فحال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علم أن التعبير بملكة الخياطة ونحوها إنّما باعتبار رسوخ العلم بالخياطة لا باعتبار الشأنيّة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 ما ذكره بعض المتأخرين</w:t>
      </w:r>
      <w:r>
        <w:rPr>
          <w:rStyle w:val="FootnoteAnchor"/>
          <w:rtl w:val="true"/>
        </w:rPr>
        <w:footnoteReference w:id="121"/>
      </w:r>
      <w:r>
        <w:rPr>
          <w:rFonts w:ascii="Amiri" w:hAnsi="Amiri" w:eastAsia="Amiri" w:cs="Amiri"/>
          <w:color w:val="111111"/>
          <w:sz w:val="28"/>
          <w:sz w:val="28"/>
          <w:szCs w:val="28"/>
          <w:rtl w:val="true"/>
          <w:lang w:bidi="ar-SA"/>
        </w:rPr>
        <w:t>، في غير محله أيضاً؛ لأنّ المدار في صحة الإطلاق إنّما هو التلبس بالمبدأ على وجه الاقتضاء ولو لم يتلبس به فعلاً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الاقتضاء قد يتحقق بتمحض الذات للمبدأ الحاصل من كثرة الاتصاف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القوم لم يتصوّروا اتصاف الذات بالمبدأ قبل وجوده منها، ولم يتفطنوا أنّ الاقتضاء أمر وراء الشأنية والصلوح، وأنه كافٍ في تحقق الاتصاف دون الصلوح والشأنيّة، ذهبوا يمنة ويسرة، وغفلوا عن أن تحقق النسبة الاتصافية لا يلازم وجود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الفاعلية كما قد تكون على وجه الفعلية حدوثاً أو وجوداً وعلى وجه الاقتضاء ذاتاً أو جعلاً، كذلك المفعولية والمحلّية قد تكونان على وجه الاقتضاء ذاتاً أو جعلاً وقد تكونان على وجه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مرفوع، والمفعول منصوب، والمضاف إليه مجرور، والإسم معرب ومبني، وهذا المقام مسجد وذلك المكان مطبخ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 صادقة قبل وقوع المبادي عليها أو فيها؛ فإنّ الفاعل مرفوع ولو لم يرفعه رافع، وهكذا في أخويه، كما أنّ المقام مسجد وإن لم يسجد فيه ساجد، والمكان مطبخ وإن لم يطبخ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بملاحظة الاقتضاء الناشي من استحقاق الذات للمبدأ ذاتاً والتمحض له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بعضهم أنّ ما بيّناه من أنّ النزاع إنّما هو في صدق العنوان على ما نقضى عنه المبدأ وعدمه راجع إلى أنّ صدقه عليه هل هو باعتبار أنه من الأفراد التنزيليّة أو من الأفراد التحقيقية ؟ ومبني على ما ذكره السكاكي في باب الاستعارة</w:t>
      </w:r>
      <w:r>
        <w:rPr>
          <w:rStyle w:val="FootnoteAnchor"/>
          <w:rtl w:val="true"/>
        </w:rPr>
        <w:footnoteReference w:id="122"/>
      </w:r>
      <w:r>
        <w:rPr>
          <w:rFonts w:ascii="Amiri" w:hAnsi="Amiri" w:eastAsia="Amiri" w:cs="Amiri"/>
          <w:color w:val="111111"/>
          <w:sz w:val="28"/>
          <w:sz w:val="28"/>
          <w:szCs w:val="28"/>
          <w:rtl w:val="true"/>
          <w:lang w:bidi="ar-SA"/>
        </w:rPr>
        <w:t>ومأخوذ من كلامه حيث أنكر التجوّز في الكلمة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أوّلاً بما محصله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ذكر لو تمّ إنّما يتمّ في القضايا الصدقيّة الناظرة إلى تطبيق العنوان وصدقه </w:t>
      </w:r>
    </w:p>
    <w:p>
      <w:pPr>
        <w:pStyle w:val="BookText"/>
        <w:rPr/>
      </w:pPr>
      <w:r>
        <w:rPr>
          <w:rFonts w:ascii="Amiri" w:hAnsi="Amiri" w:eastAsia="Amiri" w:cs="Amiri"/>
          <w:color w:val="111111"/>
          <w:sz w:val="28"/>
          <w:sz w:val="28"/>
          <w:szCs w:val="28"/>
          <w:rtl w:val="true"/>
          <w:lang w:bidi="ar-SA"/>
        </w:rPr>
        <w:t>على مصاديقه وأفراده، سواء كان الصدق ملحوظاً استقلالاً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ضمنياً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القضايا الحقيقية الكلية التي لم يلحظ فيها الصدق أصلاً، كما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أُمّ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يلحظ فيها صدق ضوع على شخص منقض عنه المبدأ، فلا يجري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 أنّ عمدة ما يقع محلاً للكلام أمثال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كلام السكاكي من دعوى التجوّز في النسبة لا في اللفظ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من جهة أنّ الرامي وهو زيد مثلاً ليس من أفراد الحيوان المفترس قطعاً، فجعله من أفراده لا يكون إلا بادعاء وتنزيل، فهو إما في الموضوع أو المحمول أو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الادعاء والتنزيل في الموضوع وهو زيد، فأما أن يكون في المحمول بتوسعة في المفهوم فهو المطلوب من وقوع التجوّز في الكلمة وأمّا أن يكون في النسبة فيكون من الدعاوي الكاذبة الجزافية، وإذا بطل كلام الأصل بطل كلام التابع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وفيه أنّ ما حققناه مبنيّ على عدم تطرّق الاستعمال في غير ما وضع له فيما انقضى عنه المبدأ وما لم تلبس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 الكلام فيه</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ما تخيّله من إنكار التجوّز الكلمة في باب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النزاع إنما هو في الصدق وعدمه لا في أنه صادق عليه تحقيقاً أم تنزيلاً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اعترض من عدم جريان النزاع في الصدق وعدمه في القضايا الحقيقية الكلية ففي غاية الغرابة؛ ضرورة أن تعلّق الحكم بالعنوان الكلي لا ينافي وقوع النزاع في صدقه على ما انقضى عنه المبدأ حتى يتعلّق به الحكم، أو عدمه حتى لا يتعلّق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أبطل به كلام السكّاكي فهو مع بطلانه في نفسه مستلزم لإنكار التجوز في النسبة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ثبوت التجوّز في النسبة في الجملة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ممّا </w:t>
      </w:r>
    </w:p>
    <w:p>
      <w:pPr>
        <w:pStyle w:val="BookText"/>
        <w:rPr/>
      </w:pPr>
      <w:r>
        <w:rPr>
          <w:rFonts w:ascii="Amiri" w:hAnsi="Amiri" w:eastAsia="Amiri" w:cs="Amiri"/>
          <w:color w:val="111111"/>
          <w:sz w:val="28"/>
          <w:sz w:val="28"/>
          <w:szCs w:val="28"/>
          <w:rtl w:val="true"/>
          <w:lang w:bidi="ar-SA"/>
        </w:rPr>
        <w:t>لا ينكره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تخيّله من أنّ النسبة الادّعائيّة من الدعاوي الكاذبة الجزافية لا يخلو من مجازفة؛ ضرورة أنّ ادّعاء الاتحاد مبالغة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تصرّف في استعمال اللفظين صحيح في نظر العرف ومبني على الموازين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ما ذكره السكاكي لا مانع منه، ولكنّ الأمر غير منحصر فيه، بل يجوز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يتطرّق التجوّز في اللفظ مطلقاً؛ بناءً على ما بيّناه</w:t>
      </w:r>
      <w:r>
        <w:rPr>
          <w:rStyle w:val="FootnoteAnchor"/>
          <w:rtl w:val="true"/>
        </w:rPr>
        <w:footnoteReference w:id="125"/>
      </w:r>
      <w:r>
        <w:rPr>
          <w:rFonts w:ascii="Amiri" w:hAnsi="Amiri" w:eastAsia="Amiri" w:cs="Amiri"/>
          <w:color w:val="111111"/>
          <w:sz w:val="28"/>
          <w:sz w:val="28"/>
          <w:szCs w:val="28"/>
          <w:rtl w:val="true"/>
          <w:lang w:bidi="ar-SA"/>
        </w:rPr>
        <w:t>واستفدناه من الرواية الشريفة</w:t>
      </w:r>
      <w:r>
        <w:rPr>
          <w:rStyle w:val="FootnoteAnchor"/>
          <w:rtl w:val="true"/>
        </w:rPr>
        <w:footnoteReference w:id="126"/>
      </w:r>
      <w:r>
        <w:rPr>
          <w:rFonts w:ascii="Amiri" w:hAnsi="Amiri" w:eastAsia="Amiri" w:cs="Amiri"/>
          <w:color w:val="111111"/>
          <w:sz w:val="28"/>
          <w:sz w:val="28"/>
          <w:szCs w:val="28"/>
          <w:rtl w:val="true"/>
          <w:lang w:bidi="ar-SA"/>
        </w:rPr>
        <w:t>من أنّ الاسم إنّما يستعمل في عنوان المسمّى أبداً، ولا يختلف المستعمل فيه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فيما ينطبق عليه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المأخوذ موضوعاً في القضية اللفظية، إن لم يكن له مدخلية في الحكم المتعلّق به، لا يدور الحكم مداره حدوثاً ولا بقاءً، ويكون الغرض منه تعريف الموضوع أو التنبيه على عموم الحكم أو أمر آخر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هذا الجالس، ويجب الصلاة على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من الأمثلة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له مدخليّة فيه فإن كان المبدأ من الأوصاف القائمة فالحكم يدور مدار وجود الوصف حدوثاً وبقاءً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العالم، وصَلّ خلف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المبدأ من الأفعال الحادثة فالحكم يثبت بحدوث المبدأ ولا يزول بزواله، كما أنه لا ينتفي صدق العنوان بانتفائه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ضارب زيد، وأكرم مكرمه، ولا حرمة لضارب بكر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هذا الباب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مِائَةَ جَلْدَةٍ</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وَالسَّارِقُ وَالسَّارِقَةُ فَاقْطَعُوا أَيْدِيَهُنا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يثبت الجلد والقطع بحدوث الزنا والسرقة ولا ينتفيان بزوالهما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البيان تبين لك أنّ ما ورد في الروايات من أن قوله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عَهْدِى الظَّالِمِينَ</w:t>
      </w:r>
      <w:r>
        <w:rPr>
          <w:rStyle w:val="FootnoteAnchor"/>
          <w:rtl w:val="true"/>
        </w:rPr>
        <w:footnoteReference w:id="130"/>
      </w:r>
      <w:r>
        <w:rPr>
          <w:rFonts w:ascii="Amiri" w:hAnsi="Amiri" w:eastAsia="Amiri" w:cs="Amiri"/>
          <w:color w:val="111111"/>
          <w:sz w:val="28"/>
          <w:sz w:val="28"/>
          <w:szCs w:val="28"/>
          <w:rtl w:val="true"/>
          <w:lang w:bidi="ar-SA"/>
        </w:rPr>
        <w:t>أبطل إمامة كلّ ظالم</w:t>
      </w:r>
      <w:r>
        <w:rPr>
          <w:rStyle w:val="FootnoteAnchor"/>
          <w:rtl w:val="true"/>
        </w:rPr>
        <w:footnoteReference w:id="131"/>
      </w:r>
      <w:r>
        <w:rPr>
          <w:rFonts w:ascii="IRNazanin" w:hAnsi="IRNazanin" w:eastAsia="IRNazanin"/>
          <w:color w:val="111111"/>
          <w:sz w:val="28"/>
          <w:sz w:val="28"/>
          <w:szCs w:val="28"/>
          <w:rtl w:val="true"/>
          <w:lang w:bidi="fa-IR"/>
        </w:rPr>
        <w:t>فمن عبد وثناً أو صنماً لا تناله</w:t>
      </w:r>
      <w:r>
        <w:rPr>
          <w:rStyle w:val="FootnoteAnchor"/>
          <w:rtl w:val="true"/>
        </w:rPr>
        <w:footnoteReference w:id="132"/>
      </w:r>
      <w:r>
        <w:rPr>
          <w:rFonts w:ascii="Amiri" w:hAnsi="Amiri" w:eastAsia="Amiri" w:cs="Amiri"/>
          <w:color w:val="111111"/>
          <w:sz w:val="28"/>
          <w:sz w:val="28"/>
          <w:szCs w:val="28"/>
          <w:rtl w:val="true"/>
          <w:lang w:bidi="ar-SA"/>
        </w:rPr>
        <w:t>، منطبق على القواعد اللفظية؛ لأنّ الظلم من الأفعال الحادثة، فيثبت الحكم بحدوثه ولا يزال بزواله، كما أنّه لا ينتفي صدق العنوان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يختلف باختلاف منشأ انتزاعه، فإن كان منتزعاً من الأفعال الحادثة، كالضرب بالقتل ونحوهما، يكون من قبيل الأفعال الحادثة، وإن كان منتزعاً من الأوصاف القائمة، كعبادة الوثن ونحوها يكون من قبيل الأوصاف القائمة، فالظلم المنتزع منها وصف يدور الحكم مداره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منتزع من حدوث المبدأ، سواء كان المبدأ وصفاً أم فعلاً؛ضرورة أنّه عبارة عن التجاوز عن الحق المنتزع من الحدوث، فيكون فعلاً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الإمامة عهد إلهي ثابت لمن ثبت له من حين التولد، فلا ينال الظالم، وإلا لزم أن يكون حال صدور الظلم منه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الفاعل موضوعة لاتصاف الذات بالمبدأ على وجه المنشأيّة، سواء كان المبدأ وصفاً قائماً بها، كالعلم والجهل والقيام والقعود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فعلاً صادراً منها كالضرب والقتل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بيناه يرجع ما ذهب إليه بعضهم من عدم اشتراط قيام المبدأ بالذات في صدق المشتق، مستدلاً عليه بصدق الضارب والمُؤلِم على الفاعل مع قيام الضرب والألم بالمفعول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خفي هذا المعنى على الأكثر واغتروا بما قرع سمعهم من مقالة أهل العربية من أنّ الفاعل لمن قام به المبدأ، فزعموا أن صيغته إنّما تفيد التلبس بالمبدأ على وجه القيام </w:t>
      </w:r>
    </w:p>
    <w:p>
      <w:pPr>
        <w:pStyle w:val="BookText"/>
        <w:rPr/>
      </w:pPr>
      <w:r>
        <w:rPr>
          <w:rFonts w:ascii="Amiri" w:hAnsi="Amiri" w:eastAsia="Amiri" w:cs="Amiri"/>
          <w:color w:val="111111"/>
          <w:sz w:val="28"/>
          <w:sz w:val="28"/>
          <w:szCs w:val="28"/>
          <w:rtl w:val="true"/>
          <w:lang w:bidi="ar-SA"/>
        </w:rPr>
        <w:t xml:space="preserve">فأُشكل عليهم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صفات الباري تعالى؛ حيث إنّ المبدأ فيه وهو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حادث ولا يجوز قيام الحادث بالقديم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لاستحالة أن يكون محلّاً للحوادث، فذهب الأشاعرة إلى أنّ الكلام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ونفسي مدلول لللفظي قائم بالنفس مغاير للعلم والإرادة والكراهة</w:t>
      </w:r>
      <w:r>
        <w:rPr>
          <w:rStyle w:val="FootnoteAnchor"/>
          <w:rtl w:val="true"/>
        </w:rPr>
        <w:footnoteReference w:id="134"/>
      </w:r>
      <w:r>
        <w:rPr>
          <w:rFonts w:ascii="Amiri" w:hAnsi="Amiri" w:eastAsia="Amiri" w:cs="Amiri"/>
          <w:color w:val="111111"/>
          <w:sz w:val="28"/>
          <w:sz w:val="28"/>
          <w:szCs w:val="28"/>
          <w:rtl w:val="true"/>
          <w:lang w:bidi="ar-SA"/>
        </w:rPr>
        <w:t xml:space="preserve">، وأنّ صدق المتكلّم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النفسي منه الذي هو قديم لا باعتبار اللفظي منه الذي هو حادث</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الحنابلة إلى أنّ الكلام اللفظى قديم وأفرط بعضهم فذهب إلى أنّ الجلد والغلاف قديمان فتوهّم أنّ اللفظ هو النقش المثبت في الجماد الحادث، ومع ذلك، الموصوف به هو تعالى</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الكرامية بحدوثه وقيامه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أن يكون القديم محلاً للحوادث</w:t>
      </w:r>
      <w:r>
        <w:rPr>
          <w:rStyle w:val="FootnoteAnchor"/>
          <w:rtl w:val="true"/>
        </w:rPr>
        <w:footnoteReference w:id="137"/>
      </w:r>
      <w:r>
        <w:rPr>
          <w:rFonts w:ascii="Amiri" w:hAnsi="Amiri" w:eastAsia="Amiri" w:cs="Amiri"/>
          <w:color w:val="111111"/>
          <w:sz w:val="28"/>
          <w:sz w:val="28"/>
          <w:szCs w:val="28"/>
          <w:rtl w:val="true"/>
          <w:lang w:bidi="ar-SA"/>
        </w:rPr>
        <w:t>، تعالى الله عمّا يقول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المعتزلة إلى حدوثه وقيامه بالملك وأنّ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باعتبار قيامه بالملك</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فاسد؛ أما ما ذهبت إليه الأشاعرة فلعدم ثبوت الكلام النفسي، وما قيل من أنّ الكلام لفي الفؤاد، مبني على المبالغة وإلا لاقتضى حصره في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القائم بالنفس الذي هو مدلول اللفظي منحصر في إحدى الصفات الثلاثة التي نفوها، وأما ما ذهبت إليه الحنابلة والكرامية ففساده أوضح من أن يبيّن، وأما ما ذهبت إليه المعتزلة فلا يوجب صدق المتكلّم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تحقق عنوان الفاعلية للذات إلا بقيام المبدأ بها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 هذا الإشكال الذي أوقعهم في الحيرة واضطربوا في دفعه جارٍ في سائر الأفعال من الخلق والرزق والإحياء والإماتة والإرادة والكراهة مع عدم تنبههم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ما حققناه من أنّ الفاعلية لا تدور مدار قيام المبدأ بل تدور مدار منشأيّة الذات له المتحققة في الأفعال بالإيجاد والصدور منها وفي الصفات بقيام المبدأ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قيام المبدأ شرطاً في 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لا يكون إطلاق العالم والقادر والحيّ ونحوها، من صفات الذات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 وإلا لزم القول بالمعاني</w:t>
      </w:r>
      <w:r>
        <w:rPr>
          <w:rStyle w:val="FootnoteAnchor"/>
          <w:rtl w:val="true"/>
        </w:rPr>
        <w:footnoteReference w:id="139"/>
      </w:r>
      <w:r>
        <w:rPr>
          <w:rFonts w:ascii="Amiri" w:hAnsi="Amiri" w:eastAsia="Amiri" w:cs="Amiri"/>
          <w:color w:val="111111"/>
          <w:sz w:val="28"/>
          <w:sz w:val="28"/>
          <w:szCs w:val="28"/>
          <w:rtl w:val="true"/>
          <w:lang w:bidi="ar-SA"/>
        </w:rPr>
        <w:t>، وهي زيادة الصفات على الذات، تعالى شأنه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العالم والقادر وسائر صفات الذات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سلب نقائضها وعدم تطرّقها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الصفات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أشرف وأرفع وأعلى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قبل العلم بغير علم وقادر قبل القدرة بغير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أنّ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لا أنّ هنا صفات قائمة بالذات وإلا لزم التركيب والمغايرة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 عن أن يكون محلاً للتركيب والمغايرة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وعلى أبنائه الطاهرين سلام الله الملك الأمين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وكمال الإخلاص له نفي الصفات عنه لشهادة كلّ صفة أنها غير الموصوف وشهادة كلّ موصوف أنّه غير الصفة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والكناية قسم من الحقيقة لا المجاز</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المشتق على ما انقضى عنه المبدأ إذا كان من قبيل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حدوث الفعل حال النطق في مورد الإخبار به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أو آكل، أو شارب، أو ضاحك، أو 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ضرورة أن صدق العنوان في حد نفسه على المتلبّس بالمبدأ وما ان عنه لا ينافي انصرافه إلى أحدهما لأجل خصوصية طارئة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انصراف هذه الموارد ونحوها، عند الإطلاق، إلى النطق، أن المبادي فيها لكونها من الأفعال الغالبة الوقوع لا يفيد الإخبارُ بوقوعها في الجملة فائدة للمخاطب فتنصرف إلى حال النطق من أجل أنّ الظاهر أنّ المخير في مقام الإخبار عمّا يفيد فائدة للمخاطب، ولا تحصل الفائدة منها عند الإخبار بها مطلقة إلّا إذا أريد بها الواقعة حال النطق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لا تنصرف إلى حال النطق إذا أخبر بها مقيّدة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عمرو، أو آكل التراب، أو شارب الدواء، أو ضاحك في وجه فلان، أو باكٍ على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توقف الاستفادة منها حينئذٍ على أن لا يكون المخبر بها هو الواقع حال النطق، بل الإفادة حينئذ حاصلة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مخبراً به، وأمّا إذا جعل مخبراً عنه فإن كان الوصف معرّفاً للموضوع ولم يكن حدوث المبدأ ولا وجوده دخيلاً في الحكم فإن توقف التعريف على تحقق التلبس حال النطق أو حال النسبة ينصرف المشتق إليه حينئذٍ ولكن لا يتوقف ترتب الحكم على التلبس بالمبدأ لا حدوثاً ولا وجوداً، سواء كان فعلاً أو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المبدأ دخيلاً في الحكم فإن كان من قبيل الأفعال يكفي في ترتب الحكم حدوث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يعمّ الحكم حينئذٍ ما انقضى عنه المبدأ ولا ينصرف إلى المتلبس به حال النطق أو حال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قبيل الأوصاف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وقلّده، وصلّ خلف العادل وأقبل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وجود المبدأ ولا يكفي في ترتب الحكم حدوث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ينصرف المشتق حينئذ إلى المتلبّس به حال النسبة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بطلان التفصيل بين كون المشتق محكوماً عليه وبه، والحكم بصدقه على ما انقضى عنه المبدأ في الصورة الأولى دون الثانية</w:t>
      </w:r>
      <w:r>
        <w:rPr>
          <w:rStyle w:val="FootnoteAnchor"/>
          <w:rtl w:val="true"/>
        </w:rPr>
        <w:footnoteReference w:id="141"/>
      </w:r>
      <w:r>
        <w:rPr>
          <w:rFonts w:ascii="Amiri" w:hAnsi="Amiri" w:eastAsia="Amiri" w:cs="Amiri"/>
          <w:color w:val="111111"/>
          <w:sz w:val="28"/>
          <w:sz w:val="28"/>
          <w:szCs w:val="28"/>
          <w:rtl w:val="true"/>
          <w:lang w:bidi="ar-SA"/>
        </w:rPr>
        <w:t>؛ لأن المبدأ إذا كان من قبيل الأفعال يكفي في صدق المشتق حدوث المبدأ، سواء كان محكوماً عليه أو محكوماً به،كما أنه يعتبر في صدقه وجود المبدأ إذا كان من قبيل الأوصاف، سواء كان محكوماً عليه أو محكوماً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 أنّ النسبة في الأولى على وجه الحدوث، وفي الثانية على وجه الوجود، فالتفصيل إنّما هو بين الأفعال والأوصاف لا بين وقوعه محكوماً عليه وبه</w:t>
      </w:r>
      <w:r>
        <w:rPr>
          <w:rFonts w:eastAsia="Amiri" w:cs="Amiri" w:ascii="Amiri" w:hAnsi="Amiri"/>
          <w:color w:val="111111"/>
          <w:sz w:val="28"/>
          <w:szCs w:val="28"/>
          <w:rtl w:val="true"/>
          <w:lang w:bidi="ar-SA"/>
        </w:rPr>
        <w:t xml:space="preserve">. </w:t>
      </w:r>
      <w:bookmarkStart w:id="77" w:name="pg9000_93950"/>
    </w:p>
    <w:p>
      <w:pPr>
        <w:pStyle w:val="Heading2"/>
        <w:numPr>
          <w:ilvl w:val="1"/>
          <w:numId w:val="1"/>
        </w:numPr>
        <w:rPr/>
      </w:pPr>
      <w:bookmarkStart w:id="78" w:name="__RefHeading___Toc1859602_2870459653"/>
      <w:bookmarkStart w:id="79" w:name="_Toc26"/>
      <w:bookmarkEnd w:id="77"/>
      <w:bookmarkEnd w:id="78"/>
      <w:r>
        <w:rPr>
          <w:rtl w:val="true"/>
        </w:rPr>
        <w:t>المقصد الأول في الأوامر</w:t>
      </w:r>
      <w:bookmarkEnd w:id="79"/>
    </w:p>
    <w:p>
      <w:pPr>
        <w:pStyle w:val="Heading3"/>
        <w:numPr>
          <w:ilvl w:val="2"/>
          <w:numId w:val="1"/>
        </w:numPr>
        <w:rPr/>
      </w:pPr>
      <w:bookmarkStart w:id="80" w:name="__RefHeading___Toc1859604_2870459653"/>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اعلم أن الحكم الشرعي ينقسم إلى تكليفي ووضعي، والأوّل إلى أمر ونهي وإباحة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إلى إيجاب وندب، والنهي إلى تحريم وتنزيه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 التكليفي ثلاثة باعتبار وخمسة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يطلق الأمر على ما يقابل النهي والإباحة كذلك يطلق على القول الدال عليه، بل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استقر عليه اصطلاح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الدين</w:t>
      </w:r>
    </w:p>
    <w:p>
      <w:pPr>
        <w:pStyle w:val="BookText"/>
        <w:rPr/>
      </w:pPr>
      <w:r>
        <w:rPr>
          <w:rFonts w:ascii="Amiri" w:hAnsi="Amiri" w:eastAsia="Amiri" w:cs="Amiri"/>
          <w:color w:val="111111"/>
          <w:sz w:val="28"/>
          <w:sz w:val="28"/>
          <w:szCs w:val="28"/>
          <w:rtl w:val="true"/>
          <w:lang w:bidi="ar-SA"/>
        </w:rPr>
        <w:t>والشرع مطلقاً، كما فسّر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وَالْأَمْرُ</w:t>
      </w:r>
      <w:r>
        <w:rPr>
          <w:rStyle w:val="FootnoteAnchor"/>
          <w:rtl w:val="true"/>
        </w:rPr>
        <w:footnoteReference w:id="142"/>
      </w:r>
      <w:r>
        <w:rPr>
          <w:rFonts w:ascii="IRNazanin" w:hAnsi="IRNazanin" w:eastAsia="IRNazanin"/>
          <w:color w:val="111111"/>
          <w:sz w:val="28"/>
          <w:sz w:val="28"/>
          <w:szCs w:val="28"/>
          <w:rtl w:val="true"/>
          <w:lang w:bidi="fa-IR"/>
        </w:rPr>
        <w:t>بمطلق الشرع</w:t>
      </w:r>
      <w:r>
        <w:rPr>
          <w:rStyle w:val="FootnoteAnchor"/>
          <w:rtl w:val="true"/>
        </w:rPr>
        <w:footnoteReference w:id="143"/>
      </w:r>
      <w:r>
        <w:rPr>
          <w:rFonts w:ascii="IRNazanin" w:hAnsi="IRNazanin" w:eastAsia="IRNazanin"/>
          <w:color w:val="111111"/>
          <w:sz w:val="28"/>
          <w:sz w:val="28"/>
          <w:szCs w:val="28"/>
          <w:rtl w:val="true"/>
          <w:lang w:bidi="fa-IR"/>
        </w:rPr>
        <w:t xml:space="preserve">ويقرب منه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رئيس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على ما يقابل السؤال، سواء كان طلب الفعل أم طلب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على الإخبار إذا استند إلى المخبر على وجه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على مطلق الفعل والشأن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الأخير يرجع إلى معنى واحد، وهو الشيء المرتبط بشيء في جهة العلوّ المعبّر عنه في 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و فرمایش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والموارد مصاديق له، والخصوصيات إنما تستفاد من خصوصيات الموارد والمقابلة للنهي والسؤال والخلق وهكذا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الأخير فيمكن أن يكون إطلاقه عليه من باب التوسع في التعبير كالتعبير بالشيء عن المفهوم الغير الموجود، وأن يكون معنى 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فتوهّم أنّ الأمر حقيقة في طلب الفعل؛ للتبادر، ومجاز في الفعل؛ لعدمه، </w:t>
      </w:r>
    </w:p>
    <w:p>
      <w:pPr>
        <w:pStyle w:val="BookText"/>
        <w:rPr/>
      </w:pPr>
      <w:r>
        <w:rPr>
          <w:rFonts w:ascii="Amiri" w:hAnsi="Amiri" w:eastAsia="Amiri" w:cs="Amiri"/>
          <w:color w:val="111111"/>
          <w:sz w:val="28"/>
          <w:sz w:val="28"/>
          <w:szCs w:val="28"/>
          <w:rtl w:val="true"/>
          <w:lang w:bidi="ar-SA"/>
        </w:rPr>
        <w:t>غير محله؛ لأنّ التبادر إنما هو في لسان القوم من جهة مقابلته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التجوز فرع العلاقة المصححة وهي في المقام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أنه لا مجال لتوهّم أخذ الوجوب في وضعه؛ إذ بعد ما تبين أن الطلب غير مأخوذ في وضعه لا يبقى مجال لأخذ خصوصيّته من الوجوب والندب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التوهّم إنّما حدث بين المتأخرين</w:t>
      </w:r>
      <w:r>
        <w:rPr>
          <w:rStyle w:val="FootnoteAnchor"/>
          <w:rtl w:val="true"/>
        </w:rPr>
        <w:footnoteReference w:id="144"/>
      </w:r>
      <w:r>
        <w:rPr>
          <w:rFonts w:ascii="Amiri" w:hAnsi="Amiri" w:eastAsia="Amiri" w:cs="Amiri"/>
          <w:color w:val="111111"/>
          <w:sz w:val="28"/>
          <w:sz w:val="28"/>
          <w:szCs w:val="28"/>
          <w:rtl w:val="true"/>
          <w:lang w:bidi="ar-SA"/>
        </w:rPr>
        <w:t>ولم يكن في كلمات المتقدمين عين ولا أثر منه، كما سيظهر</w:t>
      </w:r>
      <w:r>
        <w:rPr>
          <w:rStyle w:val="FootnoteAnchor"/>
          <w:rtl w:val="true"/>
        </w:rPr>
        <w:footnoteReference w:id="145"/>
      </w:r>
      <w:r>
        <w:rPr>
          <w:rFonts w:ascii="Amiri" w:hAnsi="Amiri" w:eastAsia="Amiri" w:cs="Amiri"/>
          <w:color w:val="111111"/>
          <w:sz w:val="28"/>
          <w:sz w:val="28"/>
          <w:szCs w:val="28"/>
          <w:rtl w:val="true"/>
          <w:lang w:bidi="ar-SA"/>
        </w:rPr>
        <w:t>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ما بيّناه فاعلم أنّ المبحوث عنه هو الأمر المقابل للنهي، لا المقابل للسؤال، كما زعمه بعض الأفاضل</w:t>
      </w:r>
      <w:r>
        <w:rPr>
          <w:rStyle w:val="FootnoteAnchor"/>
          <w:rtl w:val="true"/>
        </w:rPr>
        <w:footnoteReference w:id="146"/>
      </w:r>
      <w:r>
        <w:rPr>
          <w:rFonts w:ascii="Amiri" w:hAnsi="Amiri" w:eastAsia="Amiri" w:cs="Amiri"/>
          <w:color w:val="111111"/>
          <w:sz w:val="28"/>
          <w:sz w:val="28"/>
          <w:szCs w:val="28"/>
          <w:rtl w:val="true"/>
          <w:lang w:bidi="ar-SA"/>
        </w:rPr>
        <w:t>، كما هو ظاهر ، ويصرّح به تعاريفهم مع تشتتها واختلافها في سائر القيود؛ فعن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طلب فعل بالقول على جهة الاستعلاء</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وعن الآمدي كذلك بإسقاط القول</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الحاجبي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اقتضاء فعل غير كفّ على جهة الاستعلاء</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طلب الفعل على وجه يعدّ فاعله مطيعاً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وعن أكثر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القول المقتضي طاعة المأمور بفعل المأمور به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فإنّ طلب الفعل مأخوذ في الجميع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المبحوث عنه الأمر المقابل للسؤال لاختصّ بطلب العالي، سواء كان المطلوب </w:t>
      </w:r>
    </w:p>
    <w:p>
      <w:pPr>
        <w:pStyle w:val="BookText"/>
        <w:rPr/>
      </w:pPr>
      <w:r>
        <w:rPr>
          <w:rFonts w:ascii="Amiri" w:hAnsi="Amiri" w:eastAsia="Amiri" w:cs="Amiri"/>
          <w:color w:val="111111"/>
          <w:sz w:val="28"/>
          <w:sz w:val="28"/>
          <w:szCs w:val="28"/>
          <w:rtl w:val="true"/>
          <w:lang w:bidi="ar-SA"/>
        </w:rPr>
        <w:t>فعلاً أم تركاً، كما أنّ السؤال يختص بطلب الداني، سواء كان المسئول فعلاً أم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التحقيق أنه من قبيل المدلول لا الدال؛ لأنه قسم من الحكم التكليفي</w:t>
      </w:r>
      <w:r>
        <w:rPr>
          <w:rStyle w:val="FootnoteAnchor"/>
          <w:rtl w:val="true"/>
        </w:rPr>
        <w:footnoteReference w:id="152"/>
      </w:r>
      <w:r>
        <w:rPr>
          <w:rFonts w:ascii="Amiri" w:hAnsi="Amiri" w:eastAsia="Amiri" w:cs="Amiri"/>
          <w:color w:val="111111"/>
          <w:sz w:val="28"/>
          <w:sz w:val="28"/>
          <w:szCs w:val="28"/>
          <w:rtl w:val="true"/>
          <w:lang w:bidi="ar-SA"/>
        </w:rPr>
        <w:t>، فتعريف أكثر الأشاعرة إيَّاه بالقول المخصوص</w:t>
      </w:r>
      <w:r>
        <w:rPr>
          <w:rStyle w:val="FootnoteAnchor"/>
          <w:rtl w:val="true"/>
        </w:rPr>
        <w:footnoteReference w:id="153"/>
      </w:r>
      <w:r>
        <w:rPr>
          <w:rFonts w:ascii="Amiri" w:hAnsi="Amiri" w:eastAsia="Amiri" w:cs="Amiri"/>
          <w:color w:val="111111"/>
          <w:sz w:val="28"/>
          <w:sz w:val="28"/>
          <w:szCs w:val="28"/>
          <w:rtl w:val="true"/>
          <w:lang w:bidi="ar-SA"/>
        </w:rPr>
        <w:t>وموافقة بعض من لم يكن منهم</w:t>
      </w:r>
      <w:r>
        <w:rPr>
          <w:rStyle w:val="FootnoteAnchor"/>
          <w:rtl w:val="true"/>
        </w:rPr>
        <w:footnoteReference w:id="154"/>
      </w:r>
      <w:r>
        <w:rPr>
          <w:rFonts w:ascii="Amiri" w:hAnsi="Amiri" w:eastAsia="Amiri" w:cs="Amiri"/>
          <w:color w:val="111111"/>
          <w:sz w:val="28"/>
          <w:sz w:val="28"/>
          <w:szCs w:val="28"/>
          <w:rtl w:val="true"/>
          <w:lang w:bidi="ar-SA"/>
        </w:rPr>
        <w:t>معهم فيه إما مسامحة في التحديد وتقريب للمحدود في الجملة من جهة اتحاده مع المدلول، أو مبني على مذهبهم من القول بالكلام النفسي</w:t>
      </w:r>
      <w:r>
        <w:rPr>
          <w:rStyle w:val="FootnoteAnchor"/>
          <w:rtl w:val="true"/>
        </w:rPr>
        <w:footnoteReference w:id="155"/>
      </w:r>
      <w:r>
        <w:rPr>
          <w:rFonts w:ascii="Amiri" w:hAnsi="Amiri" w:eastAsia="Amiri" w:cs="Amiri"/>
          <w:color w:val="111111"/>
          <w:sz w:val="28"/>
          <w:sz w:val="28"/>
          <w:szCs w:val="28"/>
          <w:rtl w:val="true"/>
          <w:lang w:bidi="ar-SA"/>
        </w:rPr>
        <w:t>، وتبعهم فيه من لا يوافقهم فيه غفلة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تعريف الحكم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 الله المتعلّق بأفعال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156"/>
      </w:r>
      <w:r>
        <w:rPr>
          <w:rFonts w:ascii="Amiri" w:hAnsi="Amiri" w:eastAsia="Amiri" w:cs="Amiri"/>
          <w:color w:val="111111"/>
          <w:sz w:val="28"/>
          <w:sz w:val="28"/>
          <w:szCs w:val="28"/>
          <w:rtl w:val="true"/>
          <w:lang w:bidi="ar-SA"/>
        </w:rPr>
        <w:t>فإنّه من الغزالي</w:t>
      </w:r>
      <w:r>
        <w:rPr>
          <w:rStyle w:val="FootnoteAnchor"/>
          <w:rtl w:val="true"/>
        </w:rPr>
        <w:footnoteReference w:id="157"/>
      </w:r>
      <w:r>
        <w:rPr>
          <w:rFonts w:ascii="Amiri" w:hAnsi="Amiri" w:eastAsia="Amiri" w:cs="Amiri"/>
          <w:color w:val="111111"/>
          <w:sz w:val="28"/>
          <w:sz w:val="28"/>
          <w:szCs w:val="28"/>
          <w:rtl w:val="true"/>
          <w:lang w:bidi="ar-SA"/>
        </w:rPr>
        <w:t>بناءً على مذهبه السابق من الأشعريه وإن استبصر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من أنّ من معاني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وقعوا في إشكال اتحاد الدليل والمدلول وتحيّروا في رفعه</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أنه لا وجه لتحديد الأمر بالقول، لا وجه لأخذه في لأنّ حده، كما في النهایة</w:t>
      </w:r>
      <w:r>
        <w:rPr>
          <w:rStyle w:val="FootnoteAnchor"/>
          <w:rtl w:val="true"/>
        </w:rPr>
        <w:footnoteReference w:id="159"/>
      </w:r>
      <w:r>
        <w:rPr>
          <w:rFonts w:ascii="Amiri" w:hAnsi="Amiri" w:eastAsia="Amiri" w:cs="Amiri"/>
          <w:color w:val="111111"/>
          <w:sz w:val="28"/>
          <w:sz w:val="28"/>
          <w:szCs w:val="28"/>
          <w:rtl w:val="true"/>
          <w:lang w:bidi="ar-SA"/>
        </w:rPr>
        <w:t>طلب الفعل أمر دلّ عليه قول أو فعل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اختلف كلماتهم في اعتبار العلق والاستعلاء معاً في الأمر وعدمه، وفي معنى العلوّ والاستعلاء، فارتقت الأقوال في الاعتبار وعدمه إلى خمسة، وفي معنى العلوّ إلى قولين، وفي معنى الاستعلاء إلى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اعتبارهما في تحقق حقيقته، وأنّ المراد بالعلوّ الولاية الموجبة لوجوب طاعته عقلاً أو شرعاً لا العلوّ العرفي، وبالاستعلاء إعمال الولاية؛ ضرورة أن الطلب الصادر ممّن لا ولاية له استدعاء لا أمر وإن كان بصورة الأمر، كما أنّ الصادر من الولي لا في مقام إعمال الولاية كذلك؛ لأنّ الطلب الصادر من المولى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سألت بريرة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راجعي إلى زوجك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أتأمرني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بل أنا شافع</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ومعنى الشفاعة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مقام إعمال الولاية والأمر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اشتبه الأمر على الأكثر ولم يهتدوا إلى معنى العلوّ والاستعلاء ووجه اعتبارهما فيه، كما لا يخفى على من 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الأمر والنهي إنّما يتعلّقان بالطبيعة لا بالفعل والترك؛ لأنهما سنخان ونوعان متقابلان فلا يردان إلّا على محلّ واحد، وامتثال الأوّل لا يكون إلّا بالفعل، كما أنّ امتثال الثاني لا يكون إلا بالترك؛ ضرورة أن مقتضى الأمر الايتمار الذي لا يتحقق إلا بالفعل، كما أنّ مقتضى النهي الانتهاء الذي لا يتحقق إلا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الفعل لا يكون أمراً، كما لا يكون طلب الترك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هما من آثار الأمر والنهي ولوازمهما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فتعريف الأمر بطلب الفعل</w:t>
      </w:r>
      <w:r>
        <w:rPr>
          <w:rStyle w:val="FootnoteAnchor"/>
          <w:rtl w:val="true"/>
        </w:rPr>
        <w:footnoteReference w:id="161"/>
      </w:r>
      <w:r>
        <w:rPr>
          <w:rFonts w:ascii="Amiri" w:hAnsi="Amiri" w:eastAsia="Amiri" w:cs="Amiri"/>
          <w:color w:val="111111"/>
          <w:sz w:val="28"/>
          <w:sz w:val="28"/>
          <w:szCs w:val="28"/>
          <w:rtl w:val="true"/>
          <w:lang w:bidi="ar-SA"/>
        </w:rPr>
        <w:t>إمّا تعريف باللازم والخاصة، أو تعريف تام له إن قلنا بأنّ</w:t>
      </w:r>
    </w:p>
    <w:p>
      <w:pPr>
        <w:pStyle w:val="BookText"/>
        <w:rPr/>
      </w:pPr>
      <w:r>
        <w:rPr>
          <w:rFonts w:ascii="Amiri" w:hAnsi="Amiri" w:eastAsia="Amiri" w:cs="Amiri"/>
          <w:color w:val="111111"/>
          <w:sz w:val="28"/>
          <w:sz w:val="28"/>
          <w:szCs w:val="28"/>
          <w:rtl w:val="true"/>
          <w:lang w:bidi="ar-SA"/>
        </w:rPr>
        <w:t>إضافة الطلب إلى الفعل من قبيل إضافة الجنس إلى فصله لا من قبيل إضافة الشيء إلى متعلّقه، فمعنى طلب الفعل حينئذٍ أنه طلب فعلي، أي طلب يقتضي فعل المتعلّق في الخارج، كما أن معنى طلب الترك حينئذ طلب يقتضي ترك المتعلّق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في الفصول من أنّ المراد بالفعل مطلق الحدث؛ ليدخل في الحدّ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أمر به حقيقة وإن صدق باعتبار المقيد به أنه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نهي عن الترك وإن صدق عليه باعتبار الفعل المقيد به أنه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فهما داخلان في الأمر باعتبار وفي النهى باعتبار ومنهم من عين دخول الأول في النهي، والثاني في الأمر؛ جموداً على ظاهر الحد؛ نظراً إلى أن الفعل ظاهر في الأمر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مخالفة للعرف واللغة والاصطلاح</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تفسير الفعل بمطلق الحدث الشامل للترك موجب لارتفاع التقابل بين الأمر والنهي وصيرورته قسماً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منه ما توهمه من اندراج كلّ من الصيغتين في كلّ من الأمر والنهي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الغفلة خلطه الأمر والنهي المبحوث عنهما الذين هما قسمان من الحكم التكليفي بصيغتي الأمر والنهي في مصطلح أهل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ولا نهياً، وإنّما يكون نهياً بعد صدوره من السيد في مقام إعمال السيادة والولاية،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أمراً بعد صدوره من السيد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حينئذٍ مخالفة للعرف والاصطلاح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يخالف مصطلح أهل العربية وأمّا مخالفة اللغة فأجنبية عن المقام؛ إذ الكلام ليس في تفسير لفظ الأمر لغةً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مخالف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تحديد حقيقة الأمر والنهي المبحوث عنهما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أنهم بعد ما اتفقوا على أنّ الأمر متقوم بطلب الفعل، اختلفوا في أنّه يفارق الإرادة أم لا؟</w:t>
      </w:r>
    </w:p>
    <w:p>
      <w:pPr>
        <w:pStyle w:val="BookText"/>
        <w:rPr/>
      </w:pPr>
      <w:r>
        <w:rPr>
          <w:rFonts w:ascii="Amiri" w:hAnsi="Amiri" w:eastAsia="Amiri" w:cs="Amiri"/>
          <w:color w:val="111111"/>
          <w:sz w:val="28"/>
          <w:sz w:val="28"/>
          <w:szCs w:val="28"/>
          <w:rtl w:val="true"/>
          <w:lang w:bidi="ar-SA"/>
        </w:rPr>
        <w:t>المحكي عن أصحابنا والمعتزلة الثانى ن الأشاعرة الأوّل</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وفرّعوا عليه فروعاً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أمر الآمر مع العلم بانتفاء شرطه وجواز النسخ قبل حضور وقت العمل، وجواز التكليف بالمحال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ما اختاره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الطلب الذي يتقوم به الأمر المبحوث </w:t>
      </w:r>
    </w:p>
    <w:p>
      <w:pPr>
        <w:pStyle w:val="BookText"/>
        <w:rPr/>
      </w:pPr>
      <w:r>
        <w:rPr>
          <w:rFonts w:ascii="Amiri" w:hAnsi="Amiri" w:eastAsia="Amiri" w:cs="Amiri"/>
          <w:color w:val="111111"/>
          <w:sz w:val="28"/>
          <w:sz w:val="28"/>
          <w:szCs w:val="28"/>
          <w:rtl w:val="true"/>
          <w:lang w:bidi="ar-SA"/>
        </w:rPr>
        <w:t>عنه إنما هو النفسي الذي هو عين الإرادة، وما توهم مغايرته له إنّما هو الطلب الإنشائي المتحصل بالقول وما بمنزلته ، وهو ليس أمراً بالمعنى المبحوث عنه وإن صدق عليه الأمر بمفهومه اللغوي؛ لأنّ الأمر الذي هو قسم من أقسام الحكم التكليفي سابق على الطلب المتحصّل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به عليه استدلال المعلول على علّته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اشتبه الأمر على بعض الأفاضل فزعم أنّ حقيقة الحكم التكليفي هی التي تقتضيه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المفارقة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التحقيق أنّ مدلول الصيغة هو الطلب الإنشائي المعبّر عنه في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مع الإرادة وعدمها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ثم فرّع عليه جواز المسألتين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الاطّراد وسيظهر لك تفصيله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البعث المترتب عليه الطلب والتهديد والتعجيز والإباحة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الأغراض والدواعي، ولا يترتب عليه الطلب إلّا إذا كان الغرض منه إرادة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إنما يتولّد وينتزع من البعث إذا قارن إرادة الفعل، فلا يعقل مفارقته عنها وإلا لزم تحقق الأمر المنتزع من دون تحقق منشأ انتزاعه ،نعم، قد يكون الباعث في مقام إبراز الإرادة مع عدم ثبوتها في النفس فيكون الطلب حينئذٍ صوريّاً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المفهوم المتحصّل من الصيغة الذي سمّاه طلباً إنشائياً إن جعله حكماً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بداعي الانبعاث على الفعل لزم ثبوت التكليف في مقام التهديد والتعجيز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بديهي البطلان وإن جعله كذلك إذا كان بداعي الانبعاث على الفعل فلا مجال لما توهمه من جواز مفارقته عنها؛ ضرورة أنّ الانبعاث إنّما يكون داعياً إذا كان مراداً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المتقوم به الأمر المبحوث عنه الذي هو قسم من أقسام الحكم التكليفي، </w:t>
      </w:r>
      <w:bookmarkStart w:id="82" w:name="pg9000_93956"/>
    </w:p>
    <w:p>
      <w:pPr>
        <w:pStyle w:val="BookText"/>
        <w:rPr/>
      </w:pPr>
      <w:bookmarkEnd w:id="82"/>
      <w:r>
        <w:rPr>
          <w:rFonts w:ascii="Amiri" w:hAnsi="Amiri" w:eastAsia="Amiri" w:cs="Amiri"/>
          <w:color w:val="111111"/>
          <w:sz w:val="28"/>
          <w:sz w:val="28"/>
          <w:szCs w:val="28"/>
          <w:rtl w:val="true"/>
          <w:lang w:bidi="ar-SA"/>
        </w:rPr>
        <w:t xml:space="preserve">إنّما هي الإرادة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مدلول للصيغة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الطلب الإنشائي المتولد من البعث الحادث بالصيغة المتأخّر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أنّه عين التكليف في غاية السخافة وإلا لزم عدم تطرّق النسخ والتقييد بمدة فيه؛ لكونه غير قارّ، والرفع والتحديد إنّما يتطرّقان في الأمور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غاية الاتضاح اتحاد الطلب المتقوم به الأمر عندهم مع الإرادة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859606_2870459653"/>
      <w:bookmarkStart w:id="84" w:name="_Toc28"/>
      <w:bookmarkEnd w:id="83"/>
      <w:r>
        <w:rPr>
          <w:rtl w:val="true"/>
        </w:rPr>
        <w:t>تنبيهات</w:t>
      </w:r>
      <w:bookmarkEnd w:id="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ليس في أنّ اللفظين متغايران مفهوماً أم لا؟ ولا في أن الطلب المستفاد من الصيغة مغاير مع الإرادة أم لا؟ بل النزاع في أنّ الطلب المحدود به الأمر المبحوث عنه يغاير الإرادة ويفارقها أم لا؟</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النفسيّة التي تتقوم بها الأمر إنما هي الإرادة التشريعية لا التكوينية،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بيناه من تعلّق الإرادة التشريعية بالمأمورات الشرعية ما ورد وثبت بالدليل النقلي والعقلي من عدم صدور فعل من العبد طاعةً أو معصيةً إلّا بمشيّته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Style w:val="FootnoteAnchor"/>
          <w:rtl w:val="true"/>
        </w:rPr>
        <w:footnoteReference w:id="167"/>
      </w:r>
      <w:r>
        <w:rPr>
          <w:rFonts w:ascii="Amiri" w:hAnsi="Amiri" w:eastAsia="Amiri" w:cs="Amiri"/>
          <w:color w:val="111111"/>
          <w:sz w:val="28"/>
          <w:sz w:val="28"/>
          <w:szCs w:val="28"/>
          <w:rtl w:val="true"/>
          <w:lang w:bidi="ar-SA"/>
        </w:rPr>
        <w:t xml:space="preserve">لأن معناه أنّ اختيار العبد وقدرته تحت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قادراً على ما أراده ومختاراً فيه أطلق عنانه حتى يصدر منه، ولا ينافي إطلاق العنان في الفعل وإبقاء الاختيار له كونه محرّماً أو واجباً عليه وإذا لم يشاء ذلك حال بينه وبين ما أراد فلا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ظهر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اتضح ما حققناه فاعلم أنّ التحقيق أنّ الأمر لا يتقوم بطلب الفعل، بل قد </w:t>
      </w:r>
    </w:p>
    <w:p>
      <w:pPr>
        <w:pStyle w:val="BookText"/>
        <w:rPr/>
      </w:pPr>
      <w:r>
        <w:rPr>
          <w:rFonts w:ascii="Amiri" w:hAnsi="Amiri" w:eastAsia="Amiri" w:cs="Amiri"/>
          <w:color w:val="111111"/>
          <w:sz w:val="28"/>
          <w:sz w:val="28"/>
          <w:szCs w:val="28"/>
          <w:rtl w:val="true"/>
          <w:lang w:bidi="ar-SA"/>
        </w:rPr>
        <w:t>يجامع مع الكراهة وطلب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طلب فعلي اقتضاء كما أن النهي طلب تركي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الأمر يتوقف على تحقيق حقيقة الحكم التكليفي وبيان مراحله، فأقول بعون الله تعالى ومشيته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التكليفي سابق على الطلب والخطاب والإرادة، ويتقوم بتحيّث الواقعة بإحدى الحيثيات الخمسة في نظر المولى، بحيث إذا سأل عنها لبعث عليها أو زجر عنها أو رخّص فيها ولو لم يكن في نفس المولى إرادة فعليّة؛ فإنّ الإطاعة والعصيان إنّما يدوران مدار التحيّث المزبور لا الإرادة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اطلع العبد من حال مولاه أنه بحيث لو سأل عن إنقاذ ابنه أو إكرام ضيفه أو قتل عدوّه لأمر بها، ومع ذلك تركها، عد عاصياً، ولا يعذر بعدم الطلب والإرادة في نفس المولى؛ لأجل عدم خطور الواقعة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تحيث الوقائع بإحدى الحيثيات الخمسة في نظر المولى دائر مدار الصلاح والفساد إذا كان الحاكم حكيماً مراعياً للحكمة في حكمه، سواء كانا في المتعلّق أو الخارج، فالأحكام الابتلائية الصادرة من الحاكم حسب المصلحة الخارجية أحكام تكليفية حقيقية لا 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المولى في مقام إبراز الصورة اختياراً لحال عبده لا أنّ كلّ ما صدر منه ابتلاء واختباراً صورة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 مراحل الحكم وهي مرحلة التحقق وهو الشرع والدين، ولا يعتبر فيه وجود المكلّف واستجماعه لشرائط التعلّق وإن لم يكن الحكم إلا بلحاظه؛ فإنّ ثبوت شيء بلحاظ الشخص لا يوجب التوقف على وجوده،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جعل الشرع والدين إنّما هو للمكلّفين الموجودين حال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ثمّ كلّا؛ فإنّ الشريعة إنما شرعت لكافّة الناس الموجود والمعدوم فيها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والمرحلة الثانية مرحلة التعلّق بالأشخاص، ويعتبر فيها وجود المكلّف واستجماعه لشرائط التعلّق من البلوغ والعقل والأهلية في الجميع، ويعتبر في تعلّق النهي الابتلاء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هذه المرحلة القضاء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والمرحلة الثالثة مرحلة التنجز،ويعتبر فيها العلم والالفتات والقدرة التامة وعدم الابتلاء بالأهم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ترتب المراحل المذكورة وانفكاك بعضها عن بعض بمكان من الوضوح؛ ويتضح غاية الاتضاح بالنظر إلى الشرائط المعتبرة فيها والآثار المتفرعة عليها؛ فإنّ تأثير العلم إنما هو في تنجز الحكم لا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تعلّقه على الشخص وإلّا لزم التصويب الباطل بالضرورة عندنا، وعدم ثبوت القضاء على الجاهل؛ ضرورة أنه فرع الفوت عن الشخص، وهو فرع التعلّق والارتباط به، ولا ينافي ذلك كون القضاء بأمر جديد؛ إذ معناه أنه لولا الأمر الثاني لم يعلم ثبوت القضاء بالأمر الأوّل لا أنه حكم جديد وإلا لم يبق فرق بين القضاء والأداء، مع أنّ الجديد يؤذن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وتأثير العقل والبلوغ والأهليّة إنّما هو في تعلّق الحكم بالشخص ووقوعه طرفاً له، لا في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ثبوت القضاء على الصبي والمجنون ومن لا أهلية له، مع أن تعلّق الحكم بالأخيرين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التحقق؛ ضرورة عدم تأثيرها إلا في استكمال الشخص لقبول التكليف،مع أنّ تحقق الحكم للوقائع قبل وجود المكلفين واتصافهم بالصفات المذكورة من أوائل البديهيات؛ هل يتوهّم متوهّم بطلان الشرع والدين بفقد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ما حققناه فاعلم أنّ الإرادة وطلب الفعل إنّما تترتب على الأمر بعد بلوغه مرتبة التنجز، كما أنّ الكراهة وطلب الترك لا تترتب على النهي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يجتمع الأمر مع طلب الترك والنهي مع جواز الفعل؛ فإنّ صوم شهر رمضان واجب على المريض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لم يتنجز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عليهما قضائه بعد الحضور والبرء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يكون فعله مطلوباً منهما حال السفر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يجزي إتيانهما به كذلك، بل يوجب العصيان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والمضطرّ غير الباغي ولا العادي، مرخّص في أكل الميتة، مع أنه محرّم عليه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لم يتنجز عليه التحريم؛ لأجل تقديم وجوب حفظ النفس المحترمة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تنجز التحريم على الباغي والعادي؛ لعدم احترام نفسهما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الجاهل بالتحريم أو الغافل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يكون التحريم منجزاً ولا يترتب اً ولا يترتب عليه طلب الترك كمن توسط في أرض مغصوبة باختياره؛ فإنّه غير متمكن من الترك حينئذٍ حتّى يطلب منه، مع تنجز التحريم عليه؛ لاستناده إلى 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يظهر لك فساد ما حكي عن القاضي من أنه مأمور بالخروج ومنهي عنه، وأنه عاص بفعله وتركه</w:t>
      </w:r>
      <w:r>
        <w:rPr>
          <w:rStyle w:val="FootnoteAnchor"/>
          <w:rtl w:val="true"/>
        </w:rPr>
        <w:footnoteReference w:id="170"/>
      </w:r>
      <w:r>
        <w:rPr>
          <w:rFonts w:ascii="Amiri" w:hAnsi="Amiri" w:eastAsia="Amiri" w:cs="Amiri"/>
          <w:color w:val="111111"/>
          <w:sz w:val="28"/>
          <w:sz w:val="28"/>
          <w:szCs w:val="28"/>
          <w:rtl w:val="true"/>
          <w:lang w:bidi="ar-SA"/>
        </w:rPr>
        <w:t>، وعن قوم من أنه مأمور بالخروج وليس منهياً عنه ولا معصية عليه</w:t>
      </w:r>
      <w:r>
        <w:rPr>
          <w:rStyle w:val="FootnoteAnchor"/>
          <w:rtl w:val="true"/>
        </w:rPr>
        <w:footnoteReference w:id="171"/>
      </w:r>
      <w:r>
        <w:rPr>
          <w:rFonts w:ascii="Amiri" w:hAnsi="Amiri" w:eastAsia="Amiri" w:cs="Amiri"/>
          <w:color w:val="111111"/>
          <w:sz w:val="28"/>
          <w:sz w:val="28"/>
          <w:szCs w:val="28"/>
          <w:rtl w:val="true"/>
          <w:lang w:bidi="ar-SA"/>
        </w:rPr>
        <w:t>، وما ذهب إليه بعض من أنه مأمور به مطلقاً أو بقصد التخلّص وليس منهيّاً عنه حال كونه مأموراً به لنه عاص به بالنظر إلى النهي السابق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جميع هذه الكلمات الواهية التي لا يحتاج بطلانها إلى البيان إنّما نشأ من خفاء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تاب في هذا الحال يعذره الشارع بفضله فلا معصية عليه حينئذٍ في الخروج؛ للعذر لا لانتفاء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بيّناه أنّ حقيقة الأمر سابقة على الإرادة وإنّما تنبعث منه إذا بلغ مرتبة التنجز، وأما ما لم يبلغها فلا تنبعث منه الإرادة والطلب، بل قد يقارن المانع من الامتثال، كالحيض والمرض والسفر ، فيجتمع مع الكراهة وطلب الترك، فترتب الإرادة وطلب الفعل عليه اقتضائي لا فعلي، كما أن ترتب الكراهة وطلب الترك على النهي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الترك مطلوباً في هذا الحال يكون فعله محرّماً حينئذٍ لا محالة ، فلا يعقل بقاء الأمر حينئذ ولو في مرحلة التحقق وإلا لزم اجتماع الأمر والنهي على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حينئذٍ إنّما هو إيجاد الفعل لا نفس الطبيعة، فيختلف الموضوعان؛ لأنّ المأمور به نفس الطبيعة والمحرّم إيجادها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الأمر بالشيء إنّما هو الامتثال المتحقق بإيجاد المأمور به، فإذا صار محرماً فات الغرض منه، فلا يعقل تعلّقه بالطبيعة حينئذٍ وإلا لزم أن يكون لغواً </w:t>
      </w:r>
      <w:r>
        <w:rPr>
          <w:rFonts w:eastAsia="Amiri" w:cs="Amiri" w:ascii="Amiri" w:hAnsi="Amiri"/>
          <w:color w:val="111111"/>
          <w:sz w:val="28"/>
          <w:szCs w:val="28"/>
          <w:rtl w:val="true"/>
          <w:lang w:bidi="ar-SA"/>
        </w:rPr>
        <w:t xml:space="preserve">. </w:t>
      </w:r>
      <w:bookmarkStart w:id="85" w:name="pg9000_93960"/>
    </w:p>
    <w:p>
      <w:pPr>
        <w:pStyle w:val="BookText"/>
        <w:rPr/>
      </w:pPr>
      <w:bookmarkEnd w:id="8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يفوت الغرض ويكون الأمر بالطبيعة لغواً إذا لم يكن للامتثال سبيل أصلاً، وأما إذا جاز الامتثال ولو قضاءً فلا مانع منه،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الأمر بالشيء مطلقاً يقتضي تحقق الامتثال بإتيانه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الاقتران بما يمنع من تحقق الامتثال به أحياناً، كما لا ينافيه جعل شرط في تحقق الامتثال به، فلا محذور في ثبوت الأمر في مرحلة التحقق والتعلّق مع وجود المانع من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يجامع التنجز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يتوقف ترتب طلب الفعل على الإيجاب على بلوغه مرتبة التنجز، يتوقف بلوغه مرتبة الأمرية عليه أيضاً، فكما لا يتنجز وجوب الصوم حال المرض والسفر ، لا يصح الأمر به حينئذ؛ ضرورة عدم جواز أن يقال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صوما في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ينفك الأمر عن طلب الفعل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يصح بعث المريض والمسافر على الصوم حينئذٍ مع وجوبه عليهما، فالمنفي في حقهما إنما هو الأمر على وجه البعث والخطاب، لا الأمر المبحوث عنه الذي هو قسم من أقسام الحكم التكليفي المتحقق في مرحلة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توهّم صحة أمر الأمر مع العلم بانتفاء شرطه، وجواز النسخ قبل حضور وقت العمل، والتكليف بالمحال؛ بناءً على عدم أخذ الإرادة في حقيقة الأمر، باطل كما سنحققه في محلّه</w:t>
      </w:r>
      <w:r>
        <w:rPr>
          <w:rStyle w:val="FootnoteAnchor"/>
          <w:rtl w:val="true"/>
        </w:rPr>
        <w:footnoteReference w:id="17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قد تحققت لك حقيقة الأمر فاعلم أنّ له أحكاماً عديدة قد بحث عنها القوم ورتبوا لها أُصولاً ومسائل</w:t>
      </w:r>
    </w:p>
    <w:p>
      <w:pPr>
        <w:pStyle w:val="Heading3"/>
        <w:numPr>
          <w:ilvl w:val="2"/>
          <w:numId w:val="1"/>
        </w:numPr>
        <w:rPr/>
      </w:pPr>
      <w:bookmarkStart w:id="86" w:name="__RefHeading___Toc1859608_2870459653"/>
      <w:bookmarkStart w:id="87" w:name="_Toc29"/>
      <w:bookmarkEnd w:id="86"/>
      <w:r>
        <w:rPr>
          <w:rtl w:val="true"/>
        </w:rPr>
        <w:t>[</w:t>
      </w:r>
      <w:r>
        <w:rPr>
          <w:rtl w:val="true"/>
        </w:rPr>
        <w:t>الأصل</w:t>
      </w:r>
      <w:r>
        <w:rPr>
          <w:rtl w:val="true"/>
        </w:rPr>
        <w:t xml:space="preserve">] </w:t>
      </w:r>
      <w:r>
        <w:rPr>
          <w:rtl w:val="true"/>
        </w:rPr>
        <w:t>الأول</w:t>
      </w:r>
      <w:bookmarkEnd w:id="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للأمر صيغة تخصه بحيث متى ترد لغيره كانت مجازاً؟ </w:t>
      </w:r>
    </w:p>
    <w:p>
      <w:pPr>
        <w:pStyle w:val="BookText"/>
        <w:rPr/>
      </w:pPr>
      <w:r>
        <w:rPr>
          <w:rFonts w:ascii="Amiri" w:hAnsi="Amiri" w:eastAsia="Amiri" w:cs="Amiri"/>
          <w:color w:val="111111"/>
          <w:sz w:val="28"/>
          <w:sz w:val="28"/>
          <w:szCs w:val="28"/>
          <w:rtl w:val="true"/>
          <w:lang w:bidi="ar-SA"/>
        </w:rPr>
        <w:t>هكذا عنون البحث قدماء القوم</w:t>
      </w:r>
      <w:r>
        <w:rPr>
          <w:rStyle w:val="FootnoteAnchor"/>
          <w:rtl w:val="true"/>
        </w:rPr>
        <w:footnoteReference w:id="174"/>
      </w:r>
      <w:r>
        <w:rPr>
          <w:rFonts w:ascii="Amiri" w:hAnsi="Amiri" w:eastAsia="Amiri" w:cs="Amiri"/>
          <w:color w:val="111111"/>
          <w:sz w:val="28"/>
          <w:sz w:val="28"/>
          <w:szCs w:val="28"/>
          <w:rtl w:val="true"/>
          <w:lang w:bidi="ar-SA"/>
        </w:rPr>
        <w:t>، وغفل بعضهم عن أنّ الصيغة تخصّ الهيئة فخطّأ هذه الترجمة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ذلك ؛ لصحّة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و حتمت،وندبت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والحري جعل النزاع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بمعناه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وقد تبعه المتأخّرون في تغيير العنوان</w:t>
      </w:r>
      <w:r>
        <w:rPr>
          <w:rStyle w:val="FootnoteAnchor"/>
          <w:rtl w:val="true"/>
        </w:rPr>
        <w:footnoteReference w:id="176"/>
      </w:r>
      <w:r>
        <w:rPr>
          <w:rFonts w:ascii="Amiri" w:hAnsi="Amiri" w:eastAsia="Amiri" w:cs="Amiri"/>
          <w:color w:val="111111"/>
          <w:sz w:val="28"/>
          <w:sz w:val="28"/>
          <w:szCs w:val="28"/>
          <w:rtl w:val="true"/>
          <w:lang w:bidi="ar-SA"/>
        </w:rPr>
        <w:t xml:space="preserve">، ثمّ إنّي لم أظفر في كلام المتقدمين على القول باختصاص الصيغة بالإيجاب أو الندب، والبحث عنه، وما تداول في كلام المتأخرين من البحث عنه غفلة وخلط للمبحث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عن اقتضاء مطلق الأمر الإيجاب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عن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ما بيّناه غاية الإيضاح النظر إلى أدلّة الطرفين؛ فإنّ ما ذكر من حجج القولين</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تبادر الوجوب من أمر السيد عبده حال الإطلاق، وآيات الحذر</w:t>
      </w:r>
      <w:r>
        <w:rPr>
          <w:rStyle w:val="FootnoteAnchor"/>
          <w:rtl w:val="true"/>
        </w:rPr>
        <w:footnoteReference w:id="178"/>
      </w:r>
      <w:r>
        <w:rPr>
          <w:rFonts w:ascii="IRNazanin" w:hAnsi="IRNazanin" w:eastAsia="IRNazanin"/>
          <w:color w:val="111111"/>
          <w:sz w:val="28"/>
          <w:sz w:val="28"/>
          <w:szCs w:val="28"/>
          <w:rtl w:val="true"/>
          <w:lang w:bidi="fa-IR"/>
        </w:rPr>
        <w:t>والسجود</w:t>
      </w:r>
      <w:r>
        <w:rPr>
          <w:rStyle w:val="FootnoteAnchor"/>
          <w:rtl w:val="true"/>
        </w:rPr>
        <w:footnoteReference w:id="179"/>
      </w:r>
      <w:r>
        <w:rPr>
          <w:rFonts w:ascii="Amiri" w:hAnsi="Amiri" w:eastAsia="Amiri" w:cs="Amiri"/>
          <w:color w:val="111111"/>
          <w:sz w:val="28"/>
          <w:sz w:val="28"/>
          <w:szCs w:val="28"/>
          <w:rtl w:val="true"/>
          <w:lang w:bidi="ar-SA"/>
        </w:rPr>
        <w:t>والركوع</w:t>
      </w:r>
      <w:r>
        <w:rPr>
          <w:rStyle w:val="FootnoteAnchor"/>
          <w:rtl w:val="true"/>
        </w:rPr>
        <w:footnoteReference w:id="180"/>
      </w:r>
      <w:r>
        <w:rPr>
          <w:rFonts w:ascii="Amiri" w:hAnsi="Amiri" w:eastAsia="Amiri" w:cs="Amiri"/>
          <w:color w:val="111111"/>
          <w:sz w:val="28"/>
          <w:sz w:val="28"/>
          <w:szCs w:val="28"/>
          <w:rtl w:val="true"/>
          <w:lang w:bidi="ar-SA"/>
        </w:rPr>
        <w:t>، وحديث الاستطاعة</w:t>
      </w:r>
      <w:r>
        <w:rPr>
          <w:rStyle w:val="FootnoteAnchor"/>
          <w:rtl w:val="true"/>
        </w:rPr>
        <w:footnoteReference w:id="181"/>
      </w:r>
      <w:r>
        <w:rPr>
          <w:rFonts w:ascii="Amiri" w:hAnsi="Amiri" w:eastAsia="Amiri" w:cs="Amiri"/>
          <w:color w:val="111111"/>
          <w:sz w:val="28"/>
          <w:sz w:val="28"/>
          <w:szCs w:val="28"/>
          <w:rtl w:val="true"/>
          <w:lang w:bidi="ar-SA"/>
        </w:rPr>
        <w:t xml:space="preserve">، ومساوات الأمر مع السؤال إلا في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ساحة اختصاص الصيغة بأحدهما وضعاً بمراحل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آية الحذر وعمدة أدلّتهم على إفادة الصيغة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تبادره من أمر السيّد عبده حال الإطلاق الراجع إليه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ذكرهما السيد ابن زهرة في الغنية في المبحث الآتي</w:t>
      </w:r>
      <w:r>
        <w:rPr>
          <w:rStyle w:val="FootnoteAnchor"/>
          <w:rtl w:val="true"/>
        </w:rPr>
        <w:footnoteReference w:id="182"/>
      </w:r>
      <w:r>
        <w:rPr>
          <w:rFonts w:ascii="Amiri" w:hAnsi="Amiri" w:eastAsia="Amiri" w:cs="Amiri"/>
          <w:color w:val="111111"/>
          <w:sz w:val="28"/>
          <w:sz w:val="28"/>
          <w:szCs w:val="28"/>
          <w:rtl w:val="true"/>
          <w:lang w:bidi="ar-SA"/>
        </w:rPr>
        <w:t xml:space="preserve">ولم يتعرّض لهذا المبحث أصلاً، وإنّما بحث عن اختصاص صيغة </w:t>
      </w:r>
    </w:p>
    <w:p>
      <w:pPr>
        <w:pStyle w:val="BookText"/>
        <w:rPr/>
      </w:pPr>
      <w:r>
        <w:rPr>
          <w:rFonts w:ascii="IRNazanin" w:hAnsi="IRNazanin" w:eastAsia="IRNazanin"/>
          <w:color w:val="111111"/>
          <w:sz w:val="28"/>
          <w:sz w:val="28"/>
          <w:szCs w:val="28"/>
          <w:rtl w:val="true"/>
          <w:lang w:bidi="fa-IR"/>
        </w:rPr>
        <w:t>بالأمر وعدمه واختار العدم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توهّم اختصاص الصيغة بالندب وضعاً بحيث متى ترد للإيجاب كانت مجازاً، في غاية البعد بحيث لا يمكن صدوره عادة ممّن له أدنى دربة بالعربية فضلاً عن الفضلاء الباحثين عن دقائقها، فما ذكره صاحب المعالم ومن تبعه من ذهاب جمهور الأصوليين إلى اختصاص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بمعناه بالوجوب وضعاً</w:t>
      </w:r>
      <w:r>
        <w:rPr>
          <w:rStyle w:val="FootnoteAnchor"/>
          <w:rtl w:val="true"/>
        </w:rPr>
        <w:footnoteReference w:id="184"/>
      </w:r>
      <w:r>
        <w:rPr>
          <w:rFonts w:ascii="Amiri" w:hAnsi="Amiri" w:eastAsia="Amiri" w:cs="Amiri"/>
          <w:color w:val="111111"/>
          <w:sz w:val="28"/>
          <w:sz w:val="28"/>
          <w:szCs w:val="28"/>
          <w:rtl w:val="true"/>
          <w:lang w:bidi="ar-SA"/>
        </w:rPr>
        <w:t>، لم نحققه قولاً لأحد من القدماء المحصلين فضلاً عن ذهاب الجمهور إليه، بل لم يعلم ذهاب الأكثر إلى اختصاص الصيغة بالأمر الجامع بين الإيجاب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يوجد في كلام المتقدمين المؤسسين عين وأثر مما تداوله الأواخر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حدث هذا النزاع في كلماتهم غفلةً وخلطاً للمبحث الآتي بهذا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المتأخّرون هو عين ما ذكره المتقدمون؛ لأنهم مختلفون في أنّ الأمر للإيجاب أو الندب أو الطلب الجامع، فمن ذهب منهم إلى أنه للوجوب أو الندب واختار أنّ له صيغةً تخصه، حكم بأنها للوجوب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المقابل للنهي إنّما هو طلب الفعل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يتوهم أحد من القدماء اعتبار أحدهما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يعتبر أحد منهم الإيجاب أو الندب في حدّ الأمر مع كثرة التعاريف الصادرة منهم واهتمامهم في ذكر القيود المعتبرة فيه عندهم من القول والعلو والاستعلاء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الاستعلاء ملازم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اعتبره فيه اعتبر الوجوب فيه ومن لم يعتبره فيه جعله أعم منه ومن الندب، أو مختصاً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لأنّ الاستعلاء الذي هو عبارة عن إعمال المولوية معتبر في الحكم التكليفي مطلقاً حتى الإباحة؛ ضرورة استحالة تأثير حكم شخص ونفوذه في حق غيره من دون سلطنة وولاية عقلية أو شرعيّة، كما يستحيل صيرورته حكماً تكليفيّاً ما لم يستند إلى إعمال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ينته الأمر إلى ولي الأمر من جهة ولايته لا يعقل تعلّقه برقبة الشخص وتنجزه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هكذا الأمر بالنسبة إلى المرحلة الأولى؛ لأنّ الوقائع والأفعال إنّما ينفذ الحكم فيها أمراً أو نهياً أو ترخيصاً ، إذا كانت من جهات الحاكم وشئونه، ولا تكون كذلك إلا إذا تحققت له الولاية على من انتسبت إليه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اختلافهم في أنّ مطلقه يقتضي الإيجاب أو الندب أو الوقف فلا يرجع إلى الاقتضاء الوضعي بل إلى الإطلاقي، كما سيظهر 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الآتي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فالتحقيق أنه ليس للأمر صيغة تخصه وحيث اشتبه الأمر في المقام على غير واحد فلا بد لنا أوّلاً من بيان مرامهم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الأمر يتقوم بأمور ثلاثة طلب الفعل اقتضاء، وصدوره من العالي، وكونه في مقام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صيغة به بجميع قيوده غير متصوّر؛ ضرورة عدم اختصاص الصيغة بصدورها عن العالي وكونه في مقام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 اختصاص صيغة بالأمر إنّما هو الاختصاص به فيما يتصوّر اختصاصه به وهو مفهوم الطلب، فالقائل باختصاصها بالأمر</w:t>
      </w:r>
      <w:r>
        <w:rPr>
          <w:rStyle w:val="FootnoteAnchor"/>
          <w:rtl w:val="true"/>
        </w:rPr>
        <w:footnoteReference w:id="186"/>
      </w:r>
      <w:r>
        <w:rPr>
          <w:rFonts w:ascii="Amiri" w:hAnsi="Amiri" w:eastAsia="Amiri" w:cs="Amiri"/>
          <w:color w:val="111111"/>
          <w:sz w:val="28"/>
          <w:sz w:val="28"/>
          <w:szCs w:val="28"/>
          <w:rtl w:val="true"/>
          <w:lang w:bidi="ar-SA"/>
        </w:rPr>
        <w:t>إنما أراد اختصاصها به في مقابل من نفى الاختصاص وقال بعمومها له وللإباحة</w:t>
      </w:r>
      <w:r>
        <w:rPr>
          <w:rStyle w:val="FootnoteAnchor"/>
          <w:rtl w:val="true"/>
        </w:rPr>
        <w:footnoteReference w:id="187"/>
      </w:r>
      <w:r>
        <w:rPr>
          <w:rFonts w:ascii="Amiri" w:hAnsi="Amiri" w:eastAsia="Amiri" w:cs="Amiri"/>
          <w:color w:val="111111"/>
          <w:sz w:val="28"/>
          <w:sz w:val="28"/>
          <w:szCs w:val="28"/>
          <w:rtl w:val="true"/>
          <w:lang w:bidi="ar-SA"/>
        </w:rPr>
        <w:t>، كما يظهر لمن تأمل أطراف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توهّمه بعض من أنّ القائل باختصاص صيغة بالأمر قائل بدلالتها على علوّ المتكلّم أو كونه في مقام الاستعلاء</w:t>
      </w:r>
      <w:r>
        <w:rPr>
          <w:rStyle w:val="FootnoteAnchor"/>
          <w:rtl w:val="true"/>
        </w:rPr>
        <w:footnoteReference w:id="188"/>
      </w:r>
      <w:r>
        <w:rPr>
          <w:rFonts w:ascii="Amiri" w:hAnsi="Amiri" w:eastAsia="Amiri" w:cs="Amiri"/>
          <w:color w:val="111111"/>
          <w:sz w:val="28"/>
          <w:sz w:val="28"/>
          <w:szCs w:val="28"/>
          <w:rtl w:val="true"/>
          <w:lang w:bidi="ar-SA"/>
        </w:rPr>
        <w:t>، في غاية السخافة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الغرض من الاختصاص بالأمر الاختصاص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تجوز فيها إذا استعملت في مورد الدعاء أو الالتماس؛ لأنّ المنتفي فيهما إنّما هو العلق والاستعلاء لا الطلب الذي هو مفاد الصيغة عند القائل باختصاصها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مورد الإرشاد أيضاً إذا قارن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يلزمه القول بالتجوّز فيه إذا لم يقارنه وكان إرشاداً </w:t>
      </w:r>
    </w:p>
    <w:p>
      <w:pPr>
        <w:pStyle w:val="BookText"/>
        <w:rPr/>
      </w:pPr>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توهمه بعض من لزوم التجوز في الصور الثلاثة بناءً على القول بالاختصاص</w:t>
      </w:r>
      <w:r>
        <w:rPr>
          <w:rStyle w:val="FootnoteAnchor"/>
          <w:rtl w:val="true"/>
        </w:rPr>
        <w:footnoteReference w:id="189"/>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اختصاص الصيغة بالأمر يتصوّر في بدو النظر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للطلب الإنشائي الملازم له الكاشف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مستحيل؛ ضرورة أنّ الصيغة المتوهم اختصاصها به إنما هي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بمنزلتها، ومن المعلوم أنها موضوعة لإنشاء معنىً وإحداثه، لا بإزائه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مطلق الهيئات كالحروف إنما تحدث وتوجد معاني في غيرها فهي متكفّلة لأنحاء استعمال الموادّ أبداً، فلا يعقل أن تكون موضوعة بإزاء المعاني المدلول عليها فلا بد من حمل کلامهم على الوجه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البيان تبين لك أنّ ما تداول في لسان المتأخرين من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الطلب الجامع أو الوجوب أو الندب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غير محله؛ فإنّ الصيغة لا تستعمل في شيء منها حتّى تكون حقيقةً أو مجازاً فيها فالمعاني المذكورة لا تكون معاني حقيقيةً ولا مجازيّةً، وإنّما تستفاد من الصيغة بتوسط مفادها فالصحيح التعبير بالاختصاص كما عبر به القدماء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أخذ الوجوب أو الندب أو الطلب النفسي الجامع بينهما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قيداً في ما وضعت له الصيغة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وضعت لإنشاء الطلب اللمقرون بالإرادة الحتميّة أو الأعم فإذا استعملت الصيغة في المقيّد تكون حقيقةً وإذا استعملت في غيره تكون مجازاً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لا بد أن يكون من خصوصيات المقيّد وفي طوله فلا يصح جعل المعاني المدلول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الوجوب والندب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مفاد الصيغة الذي هو جهة حادثة بها ونحو من أنحاء استعمال 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اتضح لك مرام القوم فاعلم أنّ مفاد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بمنزلتها إنّما هو البعث على المادة والتحريك نحوها المترتب عليه الطلب والإباحة والتهديد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مفاد أداة النهى إنّما هو الزجر والمنع المترتب عليه التحريم والتنزيه والترخيص والبطلان 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على ما بيّناه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 فإنّ الذي تدور مداره الصيغة في تمام الموارد إنما هو البعث على المادة والتقريب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المعاني من الطلب والإباحة والتهديد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أغراض ومقاصد مترتبة عليه تستفاد من خصوصيات الموارد؛ فقد يكون الغرض من البعث على المادة الانبعاث عليها فيتولّد منه الطلب حينئذ، فإن كان الباعث عالياً وفي مقام الاستعلاء يتولّد منه الأمر إن كان المبعوث عليه فعلاً، والنهى إن كان تركاً ، وإلا يترتب عليه السؤال أو الالتماس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كالسؤال والالتماس، متأخّر عن مفادها بمرتبتين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قاصداً للإيجاب، يتولّد منه الإيجاب، وإلّا الندب، فالإيجاب والندب متأخران عن مفادها</w:t>
      </w:r>
    </w:p>
    <w:p>
      <w:pPr>
        <w:pStyle w:val="BookText"/>
        <w:rPr/>
      </w:pPr>
      <w:r>
        <w:rPr>
          <w:rFonts w:ascii="IRNazanin" w:hAnsi="IRNazanin" w:eastAsia="IRNazanin"/>
          <w:color w:val="111111"/>
          <w:sz w:val="28"/>
          <w:sz w:val="28"/>
          <w:szCs w:val="28"/>
          <w:rtl w:val="true"/>
          <w:lang w:bidi="fa-IR"/>
        </w:rPr>
        <w:t>بمراتب ثلاث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الغرض منه مجرّد الإرشاد، وقد يكون الغرض منه الترخيص في الفعل، سواء كان مسبوقاً بالحظر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r>
        <w:rPr>
          <w:rStyle w:val="FootnoteAnchor"/>
          <w:rtl w:val="true"/>
        </w:rPr>
        <w:footnoteReference w:id="190"/>
      </w:r>
      <w:r>
        <w:rPr>
          <w:rFonts w:ascii="Amiri" w:hAnsi="Amiri" w:eastAsia="Amiri" w:cs="Amiri"/>
          <w:color w:val="111111"/>
          <w:sz w:val="28"/>
          <w:sz w:val="28"/>
          <w:szCs w:val="28"/>
          <w:rtl w:val="true"/>
          <w:lang w:bidi="ar-SA"/>
        </w:rPr>
        <w:t xml:space="preserve">، أم لا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مِنْ رِزْقِهِ</w:t>
      </w:r>
      <w:r>
        <w:rPr>
          <w:rStyle w:val="FootnoteAnchor"/>
          <w:rtl w:val="true"/>
        </w:rPr>
        <w:footnoteReference w:id="191"/>
      </w:r>
      <w:r>
        <w:rPr>
          <w:rFonts w:ascii="Amiri" w:hAnsi="Amiri" w:eastAsia="Amiri" w:cs="Amiri"/>
          <w:color w:val="111111"/>
          <w:sz w:val="28"/>
          <w:sz w:val="28"/>
          <w:szCs w:val="28"/>
          <w:rtl w:val="true"/>
          <w:lang w:bidi="ar-SA"/>
        </w:rPr>
        <w:t>، وقد يكون الغرض منه التعجيز، أو التهديد، أو الحجيّة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أخبرك زيد بنبأ فخذ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عدمها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جَائَكُمْ فَاسِقٌ بِنَبَا فَتَبَيَّنُوا</w:t>
      </w:r>
      <w:r>
        <w:rPr>
          <w:rStyle w:val="FootnoteAnchor"/>
          <w:rtl w:val="true"/>
        </w:rPr>
        <w:footnoteReference w:id="192"/>
      </w:r>
      <w:r>
        <w:rPr>
          <w:rFonts w:ascii="Amiri" w:hAnsi="Amiri" w:eastAsia="Amiri" w:cs="Amiri"/>
          <w:color w:val="111111"/>
          <w:sz w:val="28"/>
          <w:sz w:val="28"/>
          <w:szCs w:val="28"/>
          <w:rtl w:val="true"/>
          <w:lang w:bidi="ar-SA"/>
        </w:rPr>
        <w:t>، أو صحة العقد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السؤال عن صحته وبطلانه، أو بطلانه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عنه بعد السؤال المزبور، أو نجاسة الشيء أو طهارته،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اغسل ثوبك، أو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فيه بعد السؤال عن نجاسته أو طهارته، أو الشرطية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وَأَيْدِيَكُمْ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يكون الغرض منه الإخبار،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وليمة فلان في جواب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دعاني إلى وليمته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سائر الموارد من الإهانة والتحقير والامتنان والتمنّي والتسوية والتسخير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الجميع أغراض ومقاصد 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أنّها معانٍ تستعمل فيها الصيغة حقيقةً أو مجازاً و في غاية السخافة، كما أنّ إنهائها إلى خمسة عشر كما عن النهاية</w:t>
      </w:r>
      <w:r>
        <w:rPr>
          <w:rStyle w:val="FootnoteAnchor"/>
          <w:rtl w:val="true"/>
        </w:rPr>
        <w:footnoteReference w:id="194"/>
      </w:r>
      <w:r>
        <w:rPr>
          <w:rFonts w:ascii="Amiri" w:hAnsi="Amiri" w:eastAsia="Amiri" w:cs="Amiri"/>
          <w:color w:val="111111"/>
          <w:sz w:val="28"/>
          <w:sz w:val="28"/>
          <w:szCs w:val="28"/>
          <w:rtl w:val="true"/>
          <w:lang w:bidi="ar-SA"/>
        </w:rPr>
        <w:t>كذلك أيضاً؛ إذ الدواعي لا تنحصر تحت حد معدود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التي ادّعي استعمال الصيغة فيها معان مختلفة متنافرة جدّاً، وليس بينها وبين الطلب علاقة مصححة للتجوّز حتّى يصح استعمال الصيغة فيها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الهيئات كالحروف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تحدث معاني في غيرها، فهي موجدة لمعانيها التي عيّنت لها دائماً ولا يتطرّق فيها التجوّز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الأمر أنّ محلّ المعاني الحرفية المتعاورة قد يكون محلاً لها تحقيقاً، وقد يكون محلّاً لها تنزيلاً ، فهيئة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لاستعمال المادة من حيث الإسناد إلى الفاعل، ولا تنفك عنه في مورد أصلاً، كما أنّ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لاستعمالها من حيث الإسناد إلى المفعول، ولا تنفك عنه في مورد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الأمر أنّ الفاعل والمفعول قد يكونان تحقيقيين وقد يكونان تنزيليين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ذكره أهل الصناعة من أنّ التجوز في الحروف إنّما هو بتبع المدخول</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فالتجوز في الحروف والهيئات لا يكون إلا على سبيل التنزيل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إلّا الظرفية، سواء كان المحلّ ظرفاً تحقيقاً أم تنزيلاً، 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إلّا الاستعلاء، سواء كان المدخول متصفاً به تحقيقاً أم تنزيلاً، لا أنهما ينفكان عن إفادة</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الظرفية والاستعلاء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فالتجوّز المتصوّر في المقام إنّما هو بالتنزيل، وهو جعل غير المطلوب منزلة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عدم ثبوت تنزيل غير المطلوب منزلته في مقام التهديد والتعجيز والسخرية والتهكم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أنك قد عرفت</w:t>
      </w:r>
      <w:r>
        <w:rPr>
          <w:rStyle w:val="FootnoteAnchor"/>
          <w:rtl w:val="true"/>
        </w:rPr>
        <w:footnoteReference w:id="196"/>
      </w:r>
      <w:r>
        <w:rPr>
          <w:rFonts w:ascii="Amiri" w:hAnsi="Amiri" w:eastAsia="Amiri" w:cs="Amiri"/>
          <w:color w:val="111111"/>
          <w:sz w:val="28"/>
          <w:sz w:val="28"/>
          <w:szCs w:val="28"/>
          <w:rtl w:val="true"/>
          <w:lang w:bidi="ar-SA"/>
        </w:rPr>
        <w:t>أنّ التجوّز مطلقاً لا يكون إلا بالتنزيل وأنه لا تجوز إلا في الاستعارة وأن الإرسال لا أصل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 لك بما بيّناه فساد القول باختصاص الصيغة بالأمر وضعاً، كالقول بالاشتراك اللفظي بينه وبين الإباحة أو سائر المعاني، بل المعنوي أيضاً؛ لأنّ المعاني المتوهّمة إنّما هي أغراض ومقاصد للبعث الذي هو مفاد الصيغة لا أفراد ومصاديق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تخص الأمر إطلاقاً إن كان المبعوث عليه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البعث ذاتاً يقتضي الانبعاث فيتبادر منها الطلب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خفي الأمر على بعضهم فزعم أنّ التبادر حاقي فحكم باختصاصها به وضعاً</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الإيجاب أو الندب فلا منشأ للانصراف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لم يتوهّم أحد من القدماء اختصاصها به وإنّما اشتبه الأمر على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بعضهم أنّ مفاد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 هو الطلب الإنشائي وسائر المعاني أغراض ودواع له</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واضح؛ لأنّ الطلب الإنشائي ليس إلا إبراز الإرادة النفسيّة، ومن المعلوم أنّ المهدّد والمعجز والمبيح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في مقام إظهار الإرادة بالنسبة إلى مفهوم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الثانياختلفوا في أنّ الأمر المطلق يقتضي الوجوب أو الندب أم لا؟ فقيل باقتضائه الوجوب، وقيل بأنه يقتضي الندب، وقيل بالوقف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عنون البحث قدماء القوم</w:t>
      </w:r>
      <w:r>
        <w:rPr>
          <w:rStyle w:val="FootnoteAnchor"/>
          <w:rtl w:val="true"/>
        </w:rPr>
        <w:footnoteReference w:id="199"/>
      </w:r>
      <w:r>
        <w:rPr>
          <w:rFonts w:ascii="Amiri" w:hAnsi="Amiri" w:eastAsia="Amiri" w:cs="Amiri"/>
          <w:color w:val="111111"/>
          <w:sz w:val="28"/>
          <w:sz w:val="28"/>
          <w:szCs w:val="28"/>
          <w:rtl w:val="true"/>
          <w:lang w:bidi="ar-SA"/>
        </w:rPr>
        <w:t xml:space="preserve">مؤخّراً عن البحث السابق، وليس هذا بحثاً عن مفاد الصيغة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درجه في المبحث السابق وجعلهما مبحثاً واحداً، كما صنعه المتأخرون</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بحثاً عن اعتبار أحدهما في حقيقة الأمر أو في وضع لفظه وإلّا وجب تقديمه على البحث السابق، مع أنّ اعتباره في وضع اللفظ أجنبي عن المقام؛ لأنّ المبحوث عنه هو الأمر المقابل للنهي والإباحة الذي هو قسم من أقسام الحكم التكليفي لا لفظ الأمر؛ إذ لا بحث لهم عن مادة الأمر من حيث الوضع، وإنّما بحثهم عن الأمر المقابل للنهي من جهة بيان الأحكام المتعلقة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وعمومه للوجوب والندب من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بما بيناه أيضاً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توهّم أخذ الندب في الصيغة أو مادة الأمر وضعاً واضح الفساد بحيث لا يجوز صدوره ممن له أدنى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اعتباره في حقيقة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احتجاجاتهم على اقتضاء الوجوب، أو الندب، أو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في إثبات ما ادعيناه من وقوع الخلط واشتباه الأمر على المتأخرين من ذكر شطر من كلمات المتقدمين وحيث إنّ كلمات السيد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كافية في إثبات المرام ومغنية عن ذكر سائر الكلمات اكتفينا بذكر كلماته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من باب القول عبارة عن قول القائل لمن هو دونه في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إرادة ما تعلّق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مشترك بين القولوالفعل وحقيقة فيهما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واستدل عليه بموارد الاستعمالات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له اعتبار الرتبة بين الآمر والمأمور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للأمر صيغة تخصه بحيث متى استعملت في غيره كانت مجازاً، بل صيغة مشتركة بينه وبين الإباحة، ولا يعلم أحدهما مع الإطلاق إلا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ذلك من حيث كانت هذه الصيغة مستعملة في الأمرين معاً؛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w:t>
      </w:r>
      <w:r>
        <w:rPr>
          <w:rStyle w:val="FootnoteAnchor"/>
          <w:rtl w:val="true"/>
        </w:rPr>
        <w:footnoteReference w:id="203"/>
      </w:r>
      <w:r>
        <w:rPr>
          <w:rFonts w:ascii="IRNazanin" w:hAnsi="IRNazanin" w:eastAsia="IRNazanin"/>
          <w:color w:val="111111"/>
          <w:sz w:val="28"/>
          <w:sz w:val="28"/>
          <w:szCs w:val="28"/>
          <w:rtl w:val="true"/>
          <w:lang w:bidi="fa-IR"/>
        </w:rPr>
        <w:t>وهو آمر،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حَلَلْتُمْ فَاصْطَادُوا</w:t>
      </w:r>
      <w:r>
        <w:rPr>
          <w:rStyle w:val="FootnoteAnchor"/>
          <w:rtl w:val="true"/>
        </w:rPr>
        <w:footnoteReference w:id="204"/>
      </w:r>
      <w:r>
        <w:rPr>
          <w:rFonts w:ascii="Amiri" w:hAnsi="Amiri" w:eastAsia="Amiri" w:cs="Amiri"/>
          <w:color w:val="111111"/>
          <w:sz w:val="28"/>
          <w:sz w:val="28"/>
          <w:szCs w:val="28"/>
          <w:rtl w:val="true"/>
          <w:lang w:bidi="ar-SA"/>
        </w:rPr>
        <w:t>وهو مبيح</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الصيغة إنّما تكون أمراً إذا كان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أعلى رتبةً من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لمثل ما قلنا في الدلالة على أنّ النهي إنما كان نهياً لكراهة المنهي عنه عند عنه عند الكلام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 الأمر لا يقتضي وجوباً ولا ندباً وإنّما يعلم كلّ واحد من الأمرين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وضع اللغة فأما في عرف الشرع فإنّه يجب حمل مطلقه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الوجوب وعلى الفور وعلى الإجزاء وتعلّق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النهي؛ فإنّه يقتضي بعرف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المنهي عنه، وفقد إجزائه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الأمر في وضع اللغة لا يحمل على وجوب ولا ندب إلا </w:t>
      </w:r>
    </w:p>
    <w:p>
      <w:pPr>
        <w:pStyle w:val="BookText"/>
        <w:rPr/>
      </w:pPr>
      <w:r>
        <w:rPr>
          <w:rFonts w:ascii="Amiri" w:hAnsi="Amiri" w:eastAsia="Amiri" w:cs="Amiri"/>
          <w:color w:val="111111"/>
          <w:sz w:val="28"/>
          <w:sz w:val="28"/>
          <w:szCs w:val="28"/>
          <w:rtl w:val="true"/>
          <w:lang w:bidi="ar-SA"/>
        </w:rPr>
        <w:t xml:space="preserve">بدليل، لأنه إذا ثبت أنّ الأمر إنما كان أمراً لإرادة المأمور به، فإرادة الحكيم له تدلّ على أنّ له صفةً زائدةً على حسنه، وأنه ممّا يستحق به المدح والثواب، وهذا يشترك فيه الواجب والندب معاً،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على أحدهما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استعملت لفظة الأمر في الإيجاب والندب، وظاهر الاستعمال دليل الحقيقة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من ذهب إلى أنّ مطلقه يقتضي الوجوب، بذم العقلاء العبد على مخالفة أمر مولاه، ولولا أنّ مطلقه يقتضي الإيجاب لما استحسنوا ذمّه، باطل؛ لأنا لا نسلّم أن كلّ عبد يستحق الذم على مخالفة أمر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تعلقهم بأنّ الأمر إذا احتمل الإيجاب والندب وجب حمله على الإيجاب؛ لأنه أعمّ فائدةً وأحوط في الدين، ظاهر الفساد؛ لأنه لا فرق بينهم وبين من عكس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الأمرين وجب حمله على الندب، وهو اليقين لأنه الأقل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وفصل الكلام في إبطاله وإبطال سائر الحجج القائل باقتضاء الوجوب،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من ذهب إلى أنّ مطلق الأمر يقتضي الندب، بأنّ ذلك هو المتيقن الذي لا بد أن يريده الحكيم من حيث كان أقل فائدةً؛ لأنّ الوجوب موقوف على العلم بكراهة الترك، باطل؛ لأنا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علمتم بأنه لم يكره ترك المأمور به، حتى قطعتم على الندب الذي هو أقل فائدةً؟</w:t>
      </w:r>
      <w:r>
        <w:rPr>
          <w:rStyle w:val="FootnoteAnchor"/>
          <w:rtl w:val="true"/>
        </w:rPr>
        <w:footnoteReference w:id="209"/>
      </w:r>
      <w:r>
        <w:rPr>
          <w:rFonts w:ascii="IRNazanin" w:hAnsi="IRNazanin" w:eastAsia="IRNazanin"/>
          <w:color w:val="111111"/>
          <w:sz w:val="28"/>
          <w:sz w:val="28"/>
          <w:szCs w:val="28"/>
          <w:rtl w:val="true"/>
          <w:lang w:bidi="fa-IR"/>
        </w:rPr>
        <w:t>انتهى ما أردناه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استدلاله على عدم حمل مطلقه على وجوب ولا ندب بما ذكره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إنما كان أمراً لإرادة المأمور به، وهذا يشترك فيه الواجب والندب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 النزاع ليس في وضع الصيغة ولا مادّة الأمر ولا في اعتبار أحدهما في حقيقته، بل في الاقتضاء الإطلاقي بعد التسالم على عدم تقومه إلّا بإرادة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الاشتراك في كلامه صريح في اشتراك الجامع بين النوعين لا 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بهذا البيان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وضع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تقتضيه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التبادر الإطلاقي، كما ادعاه القائلون باقتضاء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الوضع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أنّ 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فقد استعملت لفظة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تحقيق لعموم الأمر للأمرين؛ دفعاً لتوهّم من يتوهم اختصاصه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الاستعمال في مورد الإيجاب والندب لا الاستعمال فى كلّ من المعنيين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منه إثبات الاشتراك المعنوي المصرّح به في الحجّة الأولى، لا الاشتراك اللفظي كما توهّمه الأكثر</w:t>
      </w:r>
      <w:r>
        <w:rPr>
          <w:rStyle w:val="FootnoteAnchor"/>
          <w:rtl w:val="true"/>
        </w:rPr>
        <w:footnoteReference w:id="210"/>
      </w:r>
      <w:r>
        <w:rPr>
          <w:rFonts w:ascii="IRNazanin" w:hAnsi="IRNazanin" w:eastAsia="IRNazanin"/>
          <w:color w:val="111111"/>
          <w:sz w:val="28"/>
          <w:sz w:val="28"/>
          <w:szCs w:val="28"/>
          <w:rtl w:val="true"/>
          <w:lang w:bidi="fa-IR"/>
        </w:rPr>
        <w:t>وإلّا لنافى حجّته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احتجاج القائلين باقتضاء الوجوب بأنه أعم فائدةً وأحوط في الدين، وباقتضاء الندب بالأصل ووجوب الاقتصار على القدر المتيقن وعدم اعتراض صاحب الغنية عليهما بعدم ارتباطها بالمدعى صريح فيما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سائر الحجج كالتبادر وآيات الركوع</w:t>
      </w:r>
      <w:r>
        <w:rPr>
          <w:rStyle w:val="FootnoteAnchor"/>
          <w:rtl w:val="true"/>
        </w:rPr>
        <w:footnoteReference w:id="211"/>
      </w:r>
      <w:r>
        <w:rPr>
          <w:rFonts w:ascii="IRNazanin" w:hAnsi="IRNazanin" w:eastAsia="IRNazanin"/>
          <w:color w:val="111111"/>
          <w:sz w:val="28"/>
          <w:sz w:val="28"/>
          <w:szCs w:val="28"/>
          <w:rtl w:val="true"/>
          <w:lang w:bidi="fa-IR"/>
        </w:rPr>
        <w:t>والسجود</w:t>
      </w:r>
      <w:r>
        <w:rPr>
          <w:rStyle w:val="FootnoteAnchor"/>
          <w:rtl w:val="true"/>
        </w:rPr>
        <w:footnoteReference w:id="212"/>
      </w:r>
      <w:r>
        <w:rPr>
          <w:rFonts w:ascii="IRNazanin" w:hAnsi="IRNazanin" w:eastAsia="IRNazanin"/>
          <w:color w:val="111111"/>
          <w:sz w:val="28"/>
          <w:sz w:val="28"/>
          <w:szCs w:val="28"/>
          <w:rtl w:val="true"/>
          <w:lang w:bidi="fa-IR"/>
        </w:rPr>
        <w:t>والحذر</w:t>
      </w:r>
      <w:r>
        <w:rPr>
          <w:rStyle w:val="FootnoteAnchor"/>
          <w:rtl w:val="true"/>
        </w:rPr>
        <w:footnoteReference w:id="213"/>
      </w:r>
      <w:r>
        <w:rPr>
          <w:rFonts w:ascii="Amiri" w:hAnsi="Amiri" w:eastAsia="Amiri" w:cs="Amiri"/>
          <w:color w:val="111111"/>
          <w:sz w:val="28"/>
          <w:sz w:val="28"/>
          <w:szCs w:val="28"/>
          <w:rtl w:val="true"/>
          <w:lang w:bidi="ar-SA"/>
        </w:rPr>
        <w:t>إنما ترجع إلى ما بيّناه ، وأنّ المراد استفادة الوجوب من إطلاق الأمر لا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القول بالاشتراك والوقف يرجعان إلى أمر واحد وهو عدم اقتضاء الوجوب أحدهما</w:t>
      </w:r>
    </w:p>
    <w:p>
      <w:pPr>
        <w:pStyle w:val="BookText"/>
        <w:rPr/>
      </w:pPr>
      <w:r>
        <w:rPr>
          <w:rFonts w:ascii="Amiri" w:hAnsi="Amiri" w:eastAsia="Amiri" w:cs="Amiri"/>
          <w:color w:val="111111"/>
          <w:sz w:val="28"/>
          <w:sz w:val="28"/>
          <w:szCs w:val="28"/>
          <w:rtl w:val="true"/>
          <w:lang w:bidi="ar-SA"/>
        </w:rPr>
        <w:t>والندب؛ فإنّ مرجعهما إلى عموم الأمر لهما في حدّ نفسه وعدم ما يوجب ترجيح على الآخر من التبادر الإطلاقي أو الأصل أو القرائن العامة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الاشتراك قولاً، بل قولين بجعله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لفظياً ومعنوياً وإسناد كلّ منهما إلى قائل، والوقف قولاً آخر، وتفسيره بالجهل بحال الموضوع له</w:t>
      </w:r>
      <w:r>
        <w:rPr>
          <w:rStyle w:val="FootnoteAnchor"/>
          <w:rtl w:val="true"/>
        </w:rPr>
        <w:footnoteReference w:id="214"/>
      </w:r>
      <w:r>
        <w:rPr>
          <w:rFonts w:ascii="Amiri" w:hAnsi="Amiri" w:eastAsia="Amiri" w:cs="Amiri"/>
          <w:color w:val="111111"/>
          <w:sz w:val="28"/>
          <w:sz w:val="28"/>
          <w:szCs w:val="28"/>
          <w:rtl w:val="true"/>
          <w:lang w:bidi="ar-SA"/>
        </w:rPr>
        <w:t xml:space="preserve">، في غاية الغرابة؛ لأنّ إظهار </w:t>
      </w:r>
    </w:p>
    <w:p>
      <w:pPr>
        <w:pStyle w:val="BookText"/>
        <w:rPr/>
      </w:pPr>
      <w:r>
        <w:rPr>
          <w:rFonts w:ascii="Amiri" w:hAnsi="Amiri" w:eastAsia="Amiri" w:cs="Amiri"/>
          <w:color w:val="111111"/>
          <w:sz w:val="28"/>
          <w:sz w:val="28"/>
          <w:szCs w:val="28"/>
          <w:rtl w:val="true"/>
          <w:lang w:bidi="ar-SA"/>
        </w:rPr>
        <w:t>الجهل ليس قولاً والاشتراك اللفظي أجنبي عن المقام؛ لأنّ البحث إنّما هو عن الأمر الذي هو قسم من أقسام الحكم، وهو من قبيل المدلول لا الدال فلا يتطرّق فيه الاشتراك اللفظي والاشتراك المعنوي مسلّم عند الكلّ، وإنّما الكلام في اقتضائه الوجوب أو الندب بحسب الإطلاق أو الأصل أو القرائن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غاية الاتضاح أنّ موضع النزاع والبحث إنّما هو الأمر الذي هو قسم من الحكم التكليفي المقابل للنهي والإباحة المدلول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بمنزلتها أو الجملة الخبرية المستعملة في موضوع الإنشاء، وأنّ النزاع إنما هو في الاقتضاء الإطلاقي أو ما في حكمه لا في الاقتضاء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والمتأخرون لمّا رأوا أنّ للقدماء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 الأمر من جهة أنه يقتضي الوجوب أو الندب، وبحثاً في الصيغة من جهة اختصاصه بالأمر وعدمه، وزعموا أنّ البحث فيهما بحث عن مفادهما وضعاً، ولم يتنبهوا لما بيناه مع وضوحه وتصريح حججهم وكلماتهم به غيّروا ترتيب القوم؛ لعدم ملائمته على زعمهم، فقدّموا البحث عن الأمر على البحث عن الصيغة، وأسقطوا القول باقتضائه الندب لما رأوا أنّ القول به بعيد عن ساحة أهل العلم، بل من له أدنى دربة بالعربية، وجعلوا المسألة ذات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باقتضاء الوجوب، وقولاً بعدمه، ووسعوا البحث عن الصيغة، وجعلوه ذات أقوال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بالوضع للوجوب فقط، وقولاً بالوضع للندب فقط، وقولاً بالاشتراك اللفظي بينهما، وقولاً بالاشتراك المعنوي، وقولاً بالاشتراك بينهما وبين الإباحة لفظياً أو معنوياً، إلى غير ذلك من الأقوال، وساقوا أكثر الحجج المذكورة في مبحث الأمر إلى هذا المبحث؛ غفلةً وخلطاً، ولم يتفطنوا أنّ اختصاص الصيغة بالندب كاختصاص الأمر به لا ينبغي صدوره ممن له أدنى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بعض الأفاضل من المعاصرين وقوع الخلط في كلمات المتأخرين، ولكنّه لم يحط به تمام الإحاطة فاختلط عليه الأمر، كما اختلط عليهم، فزعم أنّ النزاع في وضع الصيغة لم يقع بين المتقدمين المحصلين أصلاً، وقال ما محصله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لهم فى الأمر المقابل للسؤال مباحث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تفسير لفظ الأمر لغةً </w:t>
      </w:r>
    </w:p>
    <w:p>
      <w:pPr>
        <w:pStyle w:val="BookText"/>
        <w:rPr/>
      </w:pPr>
      <w:r>
        <w:rPr>
          <w:rFonts w:ascii="Amiri" w:hAnsi="Amiri" w:eastAsia="Amiri" w:cs="Amiri"/>
          <w:color w:val="111111"/>
          <w:sz w:val="28"/>
          <w:sz w:val="28"/>
          <w:szCs w:val="28"/>
          <w:rtl w:val="true"/>
          <w:lang w:bidi="ar-SA"/>
        </w:rPr>
        <w:t xml:space="preserve">و تعداد معانيه، والثاني في تحديد هذا المفهوم المقابل للسؤال وتعريفه، والثالث في اعتبار الوجوب في مفهومه وعدمه، وأرجع القول باقتضاء الندب إلى عدم اعتبار الوجوب في مفهومه، والرابع في أنّه هل له صيغة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الاختصاص كان واضحاً عند جميع المحصلين من القدماء، ولذا لم يتعرّض له الأكثر وإنّما ذكره بعض الأشاعرة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كلامه مواضع من الخلط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خلط غريب؛ ضرورة أنّ المبحوث عنه هو الأمر المقابل للنهي والإباحة لا المقابل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والتحديد لا يكون إلا للأوّل</w:t>
      </w:r>
      <w:r>
        <w:rPr>
          <w:rStyle w:val="FootnoteAnchor"/>
          <w:rtl w:val="true"/>
        </w:rPr>
        <w:footnoteReference w:id="216"/>
      </w:r>
      <w:r>
        <w:rPr>
          <w:rFonts w:ascii="Amiri" w:hAnsi="Amiri" w:eastAsia="Amiri" w:cs="Amiri"/>
          <w:color w:val="111111"/>
          <w:sz w:val="28"/>
          <w:sz w:val="28"/>
          <w:szCs w:val="28"/>
          <w:rtl w:val="true"/>
          <w:lang w:bidi="ar-SA"/>
        </w:rPr>
        <w:t>فإنّ المقابل للسؤال كالسؤال يعمّ طلب الفعل والترك معاً وإنّما يفترقان في رتبة الطالب علوّاً ودنواً لا في المطلوب فعلاً وتركاً والافتراق في المطلوب إنما هو بين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مباحث الأمر لا تنحصر في أربعة؛ إذ جميع ما ذكروه في المقام من مباحثه،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القول باقتضاء الندب إلى عدم اعتبار الوجوب في مفهوم الأمر، في غير محله؛ لما عرفت وستعرف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اقتضاء الوجوب أو الندب أو عدمه إنما هو في الأمر المقابل للنهي من جهة الإطلاق أو الأصل لا في الأمر المقابل للسؤال من حيث الاعتبار في مفهومه وعدمه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وقوع النزاع في الصيغة أصلاً حتّى من جهة الاختصاص بالأمر وعدمه، وما ذكره من أنّ هذا إنّما ذكره بعض الأشاعرة، في غير محله؛ فإنّ عنوان البحث عند القدماء ليس إلا هذا وإنّما غيّر بعضهم العنوان بزعم قصور الترجمة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بمنزلتها، وتبعهم أكثر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الاختلاف في كون الصيغة حقيقة في الوجوب أو الندب، لا أصل له، وإنّما حدث بين المتأخرين غفلةً وخلطاً، كما عرفت</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الكلام في أطراف المقام وأوضحناه غاية الإيضاح في بعض تحريراتنا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اتضح لك ما حققناه فاعلم أنّ التحقيق أنّ مطلق الأمر يقتضي الحمل على الندب؛ لأنّ الوجوب أمر زائد والأصل عدمه وتوهّم أنّ الوجوب والندب نوعان متقابلان وأن فصل الوجوب المنع من الترك وفصل الندب الإذن فيه فلا يزيد أحدهما على الآخر، غفلة واضحة؛ لأنهما كناية عن شدة الطلب وضعفه فهما لازمان لهما لا داخلان في حقيقتهما؛ ضرورة أنّ الفصل لا بد أن يكون من الخصوصيات المتحدة مع الجنس في الخارج حتى يتحصل منهما النوع، والمنع والإذن متعلّقان بالترك فلا يعقل صيرورتهما فصلين للطلب المتعلّق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لو كانا فصلين للوجوب والندب لزم أن يكون الواجب والمندوب الفعل والترك معاً، وفساده أظهر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غاية الاتضاح أنهما خارجان عن حقيقة الحكمين حتى 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لو كانا فصلين لكانا جزئين تحليلاً فنفي جزئيتهما خارجاً، وإثباتها تحليلاً عين القول بكونهما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تبيّن لك فساد ما ذهب إليه علم الهدى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اقتضائه الوجوب والندب لغةً استناداً إلى عموم الأمر لهما المقتضي للوقف</w:t>
      </w:r>
      <w:r>
        <w:rPr>
          <w:rStyle w:val="FootnoteAnchor"/>
          <w:rtl w:val="true"/>
        </w:rPr>
        <w:footnoteReference w:id="218"/>
      </w:r>
      <w:r>
        <w:rPr>
          <w:rFonts w:ascii="Amiri" w:hAnsi="Amiri" w:eastAsia="Amiri" w:cs="Amiri"/>
          <w:color w:val="111111"/>
          <w:sz w:val="28"/>
          <w:sz w:val="28"/>
          <w:szCs w:val="28"/>
          <w:rtl w:val="true"/>
          <w:lang w:bidi="ar-SA"/>
        </w:rPr>
        <w:t xml:space="preserve">لأنّ العموم والاشتراك إنّما يقتضي الوقف وعدم الأخذ بأحد الطرفين إذا كانا متقابلين، وأما إذا كانا مترتبين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الأخذ بالمرتبة الأولى استناداً إلى الأصل كما بيناه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احتجاجهما على اقتضائه الوجوب شرعاً بحمل الصحابة الأوامر المطلقة عليه من غير نكير</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كاحتجاج القائلين باقتضائه الوجوب مطلقاً باستحقاق العبد الذمّ </w:t>
      </w:r>
      <w:bookmarkStart w:id="88" w:name="pg9000_93975"/>
    </w:p>
    <w:p>
      <w:pPr>
        <w:pStyle w:val="BookText"/>
        <w:rPr/>
      </w:pPr>
      <w:bookmarkEnd w:id="88"/>
      <w:r>
        <w:rPr>
          <w:rFonts w:ascii="IRNazanin" w:hAnsi="IRNazanin" w:eastAsia="IRNazanin"/>
          <w:color w:val="111111"/>
          <w:sz w:val="28"/>
          <w:sz w:val="28"/>
          <w:szCs w:val="28"/>
          <w:rtl w:val="true"/>
          <w:lang w:bidi="fa-IR"/>
        </w:rPr>
        <w:t>والعقاب عند العقلاء إذا خالف أمر المولى مطلقاً</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 محله؛ لأن الحمل على الوجوب واستحقاق العقاب شرعاً وعرفاً إنما يسلّم إذا فهم منه الوجوب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اقتضائه الوجوب بأنه طلب خالص ، والندب طلب مشوب بالإذن في الترك، فينصرف الأمر عنه عند الإطلاق إلى الطلب الخالص</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الندب ليس مشوباً بأمر آخر وإنّما هو طلب ضعيف ومجرّد الضعف لا يوجب الانصراف عنه إلى الفرد الشديد، وإنما يوجب الانصراف إذا كان ضعيفاً في الغاية بحيث يوجب سلب اسم الجامع عنه، والندب بالنسبة إلى الأمر ليس كذلك</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859610_2870459653"/>
      <w:bookmarkStart w:id="90" w:name="_Toc30"/>
      <w:bookmarkEnd w:id="89"/>
      <w:r>
        <w:rPr>
          <w:rtl w:val="true"/>
        </w:rPr>
        <w:t>و</w:t>
      </w:r>
      <w:r>
        <w:rPr>
          <w:rtl w:val="true"/>
        </w:rPr>
        <w:t>[</w:t>
      </w:r>
      <w:r>
        <w:rPr>
          <w:rtl w:val="true"/>
        </w:rPr>
        <w:t>الأصل</w:t>
      </w:r>
      <w:r>
        <w:rPr>
          <w:rtl w:val="true"/>
        </w:rPr>
        <w:t xml:space="preserve">] </w:t>
      </w:r>
      <w:r>
        <w:rPr>
          <w:rtl w:val="true"/>
        </w:rPr>
        <w:t>الثالث</w:t>
      </w:r>
      <w:bookmarkEnd w:id="90"/>
    </w:p>
    <w:p>
      <w:pPr>
        <w:pStyle w:val="BookText"/>
        <w:rPr/>
      </w:pPr>
      <w:r>
        <w:rPr>
          <w:rFonts w:ascii="Amiri" w:hAnsi="Amiri" w:eastAsia="Amiri" w:cs="Amiri"/>
          <w:color w:val="111111"/>
          <w:sz w:val="28"/>
          <w:sz w:val="28"/>
          <w:szCs w:val="28"/>
          <w:rtl w:val="true"/>
          <w:lang w:bidi="ar-SA"/>
        </w:rPr>
        <w:t xml:space="preserve">إذا ورد ما ظاهره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الحظر أو توهمه وسيق لرفعه فهو يفيد الإباحة بالمعنى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المنع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على ما عداها إلّا بالقرينة واستفادة حكم الوجوب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w:t>
      </w:r>
      <w:r>
        <w:rPr>
          <w:rStyle w:val="FootnoteAnchor"/>
          <w:rtl w:val="true"/>
        </w:rPr>
        <w:footnoteReference w:id="222"/>
      </w:r>
      <w:r>
        <w:rPr>
          <w:rFonts w:ascii="Amiri" w:hAnsi="Amiri" w:eastAsia="Amiri" w:cs="Amiri"/>
          <w:color w:val="111111"/>
          <w:sz w:val="28"/>
          <w:sz w:val="28"/>
          <w:szCs w:val="28"/>
          <w:rtl w:val="true"/>
          <w:lang w:bidi="ar-SA"/>
        </w:rPr>
        <w:t xml:space="preserve">والإباحة الخاصة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r>
        <w:rPr>
          <w:rStyle w:val="FootnoteAnchor"/>
          <w:rtl w:val="true"/>
        </w:rPr>
        <w:footnoteReference w:id="223"/>
      </w:r>
      <w:r>
        <w:rPr>
          <w:rFonts w:ascii="Amiri" w:hAnsi="Amiri" w:eastAsia="Amiri" w:cs="Amiri"/>
          <w:color w:val="111111"/>
          <w:sz w:val="28"/>
          <w:sz w:val="28"/>
          <w:szCs w:val="28"/>
          <w:rtl w:val="true"/>
          <w:lang w:bidi="ar-SA"/>
        </w:rPr>
        <w:t>إنما هي بالقرينة، وهي تعليق الأمر بزوال علة عروض النهي؛ فإنّ المستفاد منه عود الحكم السابق وجوباً أو ندباً أو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أن الحكم السابق لا يرتفع أصلاً بالنهي العارض في أمثال الموارد؛ فإنّ مدلوله إنّما هو المنع عن تأثير الحكم السابق لا زواله رأساً ، فهو ثابت تحققاً حال النهي، فلم يزل حتى يعود بعد زوال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لما ذكرت؛ لأنّ الأحكام الخمسة متضادّة لا يمكن اجتماع حکمین منها في موضوع واحد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السابق عارض على ماهيّة الفعل واللاحق على إيجاده فيختلف </w:t>
      </w:r>
      <w:bookmarkStart w:id="91" w:name="pg9000_93976"/>
    </w:p>
    <w:p>
      <w:pPr>
        <w:pStyle w:val="BookText"/>
        <w:rPr/>
      </w:pPr>
      <w:bookmarkEnd w:id="91"/>
      <w:r>
        <w:rPr>
          <w:rFonts w:ascii="Amiri" w:hAnsi="Amiri" w:eastAsia="Amiri" w:cs="Amiri"/>
          <w:color w:val="111111"/>
          <w:sz w:val="28"/>
          <w:sz w:val="28"/>
          <w:szCs w:val="28"/>
          <w:rtl w:val="true"/>
          <w:lang w:bidi="ar-SA"/>
        </w:rPr>
        <w:t>الموضوعان وإن اتّحد خارجاً، فلا مانع من اجتماعهما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الحكم الأولى من مطلوبيّة الفعل أو الترك أو تساوي الطرفين، يرتفع بالحكم الثانوي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كالأمر المبتداء فإن اقتضى وجوباً أو ندباً أو وقفاً فكذلك استناداً إلى وجود المقتضي وفقد المانع</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وفيه أن السوق لرفع الحظر مانع عن الانصراف إلى الوجوب والحمل على الندب</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859612_2870459653"/>
      <w:bookmarkStart w:id="93" w:name="_Toc31"/>
      <w:bookmarkEnd w:id="92"/>
      <w:r>
        <w:rPr>
          <w:rtl w:val="true"/>
        </w:rPr>
        <w:t>و</w:t>
      </w:r>
      <w:r>
        <w:rPr>
          <w:rtl w:val="true"/>
        </w:rPr>
        <w:t>[</w:t>
      </w:r>
      <w:r>
        <w:rPr>
          <w:rtl w:val="true"/>
        </w:rPr>
        <w:t>الأصل</w:t>
      </w:r>
      <w:r>
        <w:rPr>
          <w:rtl w:val="true"/>
        </w:rPr>
        <w:t xml:space="preserve">] </w:t>
      </w:r>
      <w:r>
        <w:rPr>
          <w:rtl w:val="true"/>
        </w:rPr>
        <w:t>الرابع</w:t>
      </w:r>
      <w:bookmarkEnd w:id="93"/>
    </w:p>
    <w:p>
      <w:pPr>
        <w:pStyle w:val="BookText"/>
        <w:rPr/>
      </w:pPr>
      <w:r>
        <w:rPr>
          <w:rFonts w:ascii="Amiri" w:hAnsi="Amiri" w:eastAsia="Amiri" w:cs="Amiri"/>
          <w:color w:val="111111"/>
          <w:sz w:val="28"/>
          <w:sz w:val="28"/>
          <w:szCs w:val="28"/>
          <w:rtl w:val="true"/>
          <w:lang w:bidi="ar-SA"/>
        </w:rPr>
        <w:t>اختلفوا في أنّ الأمر المطلق يقتضي المرّة أو التكرار أو لا يقتضي شيئاً منهما؟</w:t>
      </w:r>
    </w:p>
    <w:p>
      <w:pPr>
        <w:pStyle w:val="BookText"/>
        <w:rPr/>
      </w:pPr>
      <w:r>
        <w:rPr>
          <w:rFonts w:ascii="Amiri" w:hAnsi="Amiri" w:eastAsia="Amiri" w:cs="Amiri"/>
          <w:color w:val="111111"/>
          <w:sz w:val="28"/>
          <w:sz w:val="28"/>
          <w:szCs w:val="28"/>
          <w:rtl w:val="true"/>
          <w:lang w:bidi="ar-SA"/>
        </w:rPr>
        <w:t>والحق أنه لا يقتضي شيئاً منهما ولكن يتحقق الامتثال بإتيان المأمور به مرّةً واحدةً، فلا يجب الإتيان به ثانياً وإن جاز تكراره؛ لأنّ تحقق الامتثال إنما يوجب فراغ ذمّة المأمور عن المأمور به وزوال تعلّق الأمر عن رقبته لا زوال حكم الواقعة، فلا مانع من الامتثال ثانياً مع عدم المانع ومن هنا يجوز إعادة الصلاة الفريضة جماعة؛ فإنّها فريضة معادة لا صلاة مندوبة، وإنّما المندوب إعادتها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صدق الامتثال لا يدور مدار تعلّق الحكم وإنما يدور مدار تحقق الحكم للواقعة واجتماع شرائط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 بصحة عبادات الصبي المميز وأنها تشريعية لا تمرينيّة فقط، فما لم يظهر من قبل الشارع منع من تكرار الامتثال يصح التكرار ؛ لعدم المانع منه عقلاً ولا شرعاً حينئذ</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بيّناه أنّ القائل باقتضاء مطلق الأمر المرّة</w:t>
      </w:r>
      <w:r>
        <w:rPr>
          <w:rStyle w:val="FootnoteAnchor"/>
          <w:rtl w:val="true"/>
        </w:rPr>
        <w:footnoteReference w:id="225"/>
      </w:r>
      <w:r>
        <w:rPr>
          <w:rFonts w:ascii="Amiri" w:hAnsi="Amiri" w:eastAsia="Amiri" w:cs="Amiri"/>
          <w:color w:val="111111"/>
          <w:sz w:val="28"/>
          <w:sz w:val="28"/>
          <w:szCs w:val="28"/>
          <w:rtl w:val="true"/>
          <w:lang w:bidi="ar-SA"/>
        </w:rPr>
        <w:t>، إن أراد أن المرة كافية في الامتثال فهو حق، وإن أراد أنّ الامتثال مقيد بها بحيث لا يجوز التكرار فهو باطل؛ لأنّ مطلق الأمر لا يقتضي التقييد بشيء منهما، كما هو ظاهر</w:t>
      </w:r>
      <w:r>
        <w:rPr>
          <w:rFonts w:eastAsia="Amiri" w:cs="Amiri" w:ascii="Amiri" w:hAnsi="Amiri"/>
          <w:color w:val="111111"/>
          <w:sz w:val="28"/>
          <w:szCs w:val="28"/>
          <w:rtl w:val="true"/>
          <w:lang w:bidi="ar-SA"/>
        </w:rPr>
        <w:t xml:space="preserve">. </w:t>
      </w:r>
      <w:bookmarkStart w:id="94" w:name="pg9000_93977"/>
    </w:p>
    <w:p>
      <w:pPr>
        <w:pStyle w:val="BookText"/>
        <w:rPr/>
      </w:pPr>
      <w:bookmarkEnd w:id="94"/>
      <w:r>
        <w:rPr>
          <w:rFonts w:ascii="Amiri" w:hAnsi="Amiri" w:eastAsia="Amiri" w:cs="Amiri"/>
          <w:color w:val="111111"/>
          <w:sz w:val="28"/>
          <w:sz w:val="28"/>
          <w:szCs w:val="28"/>
          <w:rtl w:val="true"/>
          <w:lang w:bidi="ar-SA"/>
        </w:rPr>
        <w:t xml:space="preserve">ثمّ إنّ ما بيّناه من تطرّق التكرار في الامتثال إنّما هو فيما إذا لم يرتفع الموضوع به، وأمّا إذا كان كذلك كالدين والكفّارة المرتفعين بالأداء والإتيان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فيه للتكرار في الامتثال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ما بيّناه؛ لأنّ الكلام إنما هو فيما يقبل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اشتبه الأمر على المتأخرين فتوهّموا أنّ النزاع في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على المدّة أو التكرار وضعاً ؟</w:t>
      </w:r>
      <w:r>
        <w:rPr>
          <w:rStyle w:val="FootnoteAnchor"/>
          <w:rtl w:val="true"/>
        </w:rPr>
        <w:footnoteReference w:id="226"/>
      </w:r>
      <w:r>
        <w:rPr>
          <w:rFonts w:ascii="Amiri" w:hAnsi="Amiri" w:eastAsia="Amiri" w:cs="Amiri"/>
          <w:color w:val="111111"/>
          <w:sz w:val="28"/>
          <w:sz w:val="28"/>
          <w:szCs w:val="28"/>
          <w:rtl w:val="true"/>
          <w:lang w:bidi="ar-SA"/>
        </w:rPr>
        <w:t xml:space="preserve">فخلطوا الأمر المبحوث عنه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والاقتضاء الإطلاقي، بالوضعي، مع أنّ عدم دلالة الصيغة على أحد الأمرين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المادّة؛ فإنّ المادة السازجة إنّما تدلّ على الحدث الصرف بشهادة الاطراد، مع أنهما من صفات الإيجاد لا الحدث، فلا يعقل أخذهما في مفهوم المادّة التي لا نظر لها إلى الإيجاد أصلاً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859614_2870459653"/>
      <w:bookmarkStart w:id="96" w:name="_Toc32"/>
      <w:bookmarkEnd w:id="95"/>
      <w:r>
        <w:rPr>
          <w:rtl w:val="true"/>
        </w:rPr>
        <w:t>و</w:t>
      </w:r>
      <w:r>
        <w:rPr>
          <w:rtl w:val="true"/>
        </w:rPr>
        <w:t>[</w:t>
      </w:r>
      <w:r>
        <w:rPr>
          <w:rtl w:val="true"/>
        </w:rPr>
        <w:t>الأصل</w:t>
      </w:r>
      <w:r>
        <w:rPr>
          <w:rtl w:val="true"/>
        </w:rPr>
        <w:t xml:space="preserve">] </w:t>
      </w:r>
      <w:r>
        <w:rPr>
          <w:rtl w:val="true"/>
        </w:rPr>
        <w:t>الخامس</w:t>
      </w:r>
      <w:bookmarkEnd w:id="96"/>
    </w:p>
    <w:p>
      <w:pPr>
        <w:pStyle w:val="BookText"/>
        <w:rPr/>
      </w:pPr>
      <w:r>
        <w:rPr>
          <w:rFonts w:ascii="Amiri" w:hAnsi="Amiri" w:eastAsia="Amiri" w:cs="Amiri"/>
          <w:color w:val="111111"/>
          <w:sz w:val="28"/>
          <w:sz w:val="28"/>
          <w:szCs w:val="28"/>
          <w:rtl w:val="true"/>
          <w:lang w:bidi="ar-SA"/>
        </w:rPr>
        <w:t>والخامس أنّ الأمر المطلق لا يقتضي الفور،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امتثاله فيه،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على اقتضائه إياه بآيتي المسارعة</w:t>
      </w:r>
      <w:r>
        <w:rPr>
          <w:rStyle w:val="FootnoteAnchor"/>
          <w:rtl w:val="true"/>
        </w:rPr>
        <w:footnoteReference w:id="227"/>
      </w:r>
      <w:r>
        <w:rPr>
          <w:rFonts w:ascii="IRNazanin" w:hAnsi="IRNazanin" w:eastAsia="IRNazanin"/>
          <w:color w:val="111111"/>
          <w:sz w:val="28"/>
          <w:sz w:val="28"/>
          <w:szCs w:val="28"/>
          <w:rtl w:val="true"/>
          <w:lang w:bidi="fa-IR"/>
        </w:rPr>
        <w:t>والاستباق</w:t>
      </w:r>
      <w:r>
        <w:rPr>
          <w:rStyle w:val="FootnoteAnchor"/>
          <w:rtl w:val="true"/>
        </w:rPr>
        <w:footnoteReference w:id="228"/>
      </w:r>
      <w:r>
        <w:rPr>
          <w:rFonts w:ascii="Amiri" w:hAnsi="Amiri" w:eastAsia="Amiri" w:cs="Amiri"/>
          <w:color w:val="111111"/>
          <w:sz w:val="28"/>
          <w:sz w:val="28"/>
          <w:szCs w:val="28"/>
          <w:rtl w:val="true"/>
          <w:lang w:bidi="ar-SA"/>
        </w:rPr>
        <w:t>بتقريب أن المراد من المغفرة سببها، وهى فعل المأمور به، وأنّ صيغة الأمر للوجوب، فتجب المسارعة والاستباق إلى فعل المأمور به فلا يجوز التراخي</w:t>
      </w:r>
      <w:r>
        <w:rPr>
          <w:rStyle w:val="FootnoteAnchor"/>
          <w:rtl w:val="true"/>
        </w:rPr>
        <w:footnoteReference w:id="229"/>
      </w:r>
      <w:r>
        <w:rPr>
          <w:rFonts w:ascii="Amiri" w:hAnsi="Amiri" w:eastAsia="Amiri" w:cs="Amiri"/>
          <w:color w:val="111111"/>
          <w:sz w:val="28"/>
          <w:sz w:val="28"/>
          <w:szCs w:val="28"/>
          <w:rtl w:val="true"/>
          <w:lang w:bidi="ar-SA"/>
        </w:rPr>
        <w:t>، في غير محله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المسارعة إلى المغفرة واستباق الخيرات محبوبان ذاتاً ومطلوبان عقلاً، والبعث عليهما كما يحتمل أن يكون في مقام الأمر المولوي يحتمل أن يكون في مقام الإرشاد إلى ما فيهما من المصلحة الذاتية، بل الظاهر أنه كذلك وتحريص للعبد على اغتنام الفرصة والسعي في فكاك رقبته والفوز بمراتب القرب بالمسارعة والاستباق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أنّ البعث عليهما يفيد الأمر المولوي فلا يفيد الوجوب؛ لأنّ </w:t>
      </w:r>
    </w:p>
    <w:p>
      <w:pPr>
        <w:pStyle w:val="BookText"/>
        <w:rPr/>
      </w:pPr>
      <w:r>
        <w:rPr>
          <w:rFonts w:ascii="Amiri" w:hAnsi="Amiri" w:eastAsia="Amiri" w:cs="Amiri"/>
          <w:color w:val="111111"/>
          <w:sz w:val="28"/>
          <w:sz w:val="28"/>
          <w:szCs w:val="28"/>
          <w:rtl w:val="true"/>
          <w:lang w:bidi="ar-SA"/>
        </w:rPr>
        <w:t>الخيرات وسبب المغفرة تعمّان الواجب والمندوب وتخصيصها بالواجب لا يكون أولى من حمل الأمر على الندب، بل بقائهما على العموم أظهر؛ إذ الظاهر أنهما عنوانان للحكم لا معرّفان للموضوع، ومن المعلوم أنّ ظهور العنوان في العموم وحمل الأمر على الندب أقوى من ظهور الأمر في الإيجاب مع الالتزام بتخصيص الموضوع بأحد نوعيه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التخصيص بالواجب وانصراف الأمر إلى الإيجاب فلا تدلان على إفادة مطلق الأمر الفور، وتعيين امتثاله فيه إيجاباً كان أم ندباً، كما هو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تخصيص موضوع البحث بالأمر الإيجابي فلا تفيدانه أيضاً؛ لأنّ وجوب المسارعة لا يلازم تعيّن امتثاله في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أيضاً بأمور أُخر فسادها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اشتبه الأمر على المتأخرين في هذا الباب أيضاً فزعموا أن نزاعهم في مفاد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فنسبوا إلى علم الهدى لله هو القول بالاشتراك اللفظي في المبحثين، وإلى جماعة القول بالوقف بمعنى الجهل بالموضوع له</w:t>
      </w:r>
      <w:r>
        <w:rPr>
          <w:rStyle w:val="FootnoteAnchor"/>
          <w:rtl w:val="true"/>
        </w:rPr>
        <w:footnoteReference w:id="230"/>
      </w:r>
      <w:r>
        <w:rPr>
          <w:rFonts w:ascii="Amiri" w:hAnsi="Amiri" w:eastAsia="Amiri" w:cs="Amiri"/>
          <w:color w:val="111111"/>
          <w:sz w:val="28"/>
          <w:sz w:val="28"/>
          <w:szCs w:val="28"/>
          <w:rtl w:val="true"/>
          <w:lang w:bidi="ar-SA"/>
        </w:rPr>
        <w:t>، مع أن عنوان البحث في كلام السيد وسائر المتقدمين الأمر المطلق</w:t>
      </w:r>
      <w:r>
        <w:rPr>
          <w:rStyle w:val="FootnoteAnchor"/>
          <w:rtl w:val="true"/>
        </w:rPr>
        <w:footnoteReference w:id="231"/>
      </w:r>
      <w:r>
        <w:rPr>
          <w:rFonts w:ascii="Amiri" w:hAnsi="Amiri" w:eastAsia="Amiri" w:cs="Amiri"/>
          <w:color w:val="111111"/>
          <w:sz w:val="28"/>
          <w:sz w:val="28"/>
          <w:szCs w:val="28"/>
          <w:rtl w:val="true"/>
          <w:lang w:bidi="ar-SA"/>
        </w:rPr>
        <w:t xml:space="preserve">، لا صغية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منه الأمر المحدود في صدر المقصد</w:t>
      </w:r>
      <w:r>
        <w:rPr>
          <w:rStyle w:val="FootnoteAnchor"/>
          <w:rtl w:val="true"/>
        </w:rPr>
        <w:footnoteReference w:id="232"/>
      </w:r>
      <w:r>
        <w:rPr>
          <w:rFonts w:ascii="Amiri" w:hAnsi="Amiri" w:eastAsia="Amiri" w:cs="Amiri"/>
          <w:color w:val="111111"/>
          <w:sz w:val="28"/>
          <w:sz w:val="28"/>
          <w:szCs w:val="28"/>
          <w:rtl w:val="true"/>
          <w:lang w:bidi="ar-SA"/>
        </w:rPr>
        <w:t>بطلب الفعل، فلا يكون البحث عن الاقتضاء راجعاً إلى البحث عن حال اللفظ من جهة وضوح الموضوع 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بحثهم عن الاقتضاء الإطلاقي وعدمه، والمراد من الاشتراك والوقف عدم الاقتضاء وتساوي الطرفين بالنسبة إلى الأمر وعدم انصرافه إلى أحدهما، فاختلط الأمر على المتأخرين ووقعوا فيما وقعوا ونسبوا القول بدلالة الصيغة على الفور إلى جماعة مع أنّ عدم دلالتها عليه في غاية الوضوح بحيث لا ينبغي صدور خلافه ممن له أدنى معرفة</w:t>
      </w:r>
      <w:r>
        <w:rPr>
          <w:rFonts w:eastAsia="Amiri" w:cs="Amiri" w:ascii="Amiri" w:hAnsi="Amiri"/>
          <w:color w:val="111111"/>
          <w:sz w:val="28"/>
          <w:szCs w:val="28"/>
          <w:rtl w:val="true"/>
          <w:lang w:bidi="ar-SA"/>
        </w:rPr>
        <w:t xml:space="preserve">. </w:t>
      </w:r>
      <w:bookmarkStart w:id="97" w:name="pg9000_93979"/>
    </w:p>
    <w:p>
      <w:pPr>
        <w:pStyle w:val="Heading3"/>
        <w:numPr>
          <w:ilvl w:val="2"/>
          <w:numId w:val="1"/>
        </w:numPr>
        <w:rPr/>
      </w:pPr>
      <w:bookmarkStart w:id="98" w:name="__RefHeading___Toc1859616_2870459653"/>
      <w:bookmarkStart w:id="99" w:name="_Toc33"/>
      <w:bookmarkEnd w:id="97"/>
      <w:bookmarkEnd w:id="98"/>
      <w:r>
        <w:rPr>
          <w:rtl w:val="true"/>
        </w:rPr>
        <w:t>تنبیهان</w:t>
      </w:r>
      <w:bookmarkEnd w:id="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اقتضاء الفور وعدمه بعد ثبوت إطلاق الأمر اقتضاء بحيث يرجع الشك في التقييد وعدمه إلى مرحلة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رجع الشك إلى ثبوت مقتضى الإطلاق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أنّ وجوب ردّ السلام مطلق أم لا محلّ له إلّا عقيب السلام بحيث يتعقبه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الإطلاق فيجب الاقتصار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بأنّ الأمر يقتضى الفور، وأخلّ المأمور به، فهل عليه الإتيان بالمأمور به في الآن الثاني؟ مقتضى الأصل العدم؛ لأنّ وجوبه فرع شدّة نظر المولى إلى نفس المأمور به الموجبة لعدم سقوطه بسقوط قيده، والأصل عدمها، فيسقط بسقوط قيده إلّا إذا دلّ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اندفاع ما يتوهم من أنّ الأصل في القيد أن يكون ضعيفاً، لا شديداً، موجباً لعدم سقوط الأمر بسقوطه؛ لأنّ ضعف النظر إلى القيد مسبّب من شدّة النظر إلى المأمور به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859618_2870459653"/>
      <w:bookmarkStart w:id="101" w:name="_Toc34"/>
      <w:bookmarkEnd w:id="100"/>
      <w:r>
        <w:rPr>
          <w:rtl w:val="true"/>
        </w:rPr>
        <w:t>و</w:t>
      </w:r>
      <w:r>
        <w:rPr>
          <w:rtl w:val="true"/>
        </w:rPr>
        <w:t>[</w:t>
      </w:r>
      <w:r>
        <w:rPr>
          <w:rtl w:val="true"/>
        </w:rPr>
        <w:t>الأصل</w:t>
      </w:r>
      <w:r>
        <w:rPr>
          <w:rtl w:val="true"/>
        </w:rPr>
        <w:t xml:space="preserve">] </w:t>
      </w:r>
      <w:r>
        <w:rPr>
          <w:rtl w:val="true"/>
        </w:rPr>
        <w:t>السادس</w:t>
      </w:r>
      <w:bookmarkEnd w:id="101"/>
    </w:p>
    <w:p>
      <w:pPr>
        <w:pStyle w:val="BookText"/>
        <w:rPr/>
      </w:pPr>
      <w:r>
        <w:rPr>
          <w:rFonts w:ascii="Amiri" w:hAnsi="Amiri" w:eastAsia="Amiri" w:cs="Amiri"/>
          <w:color w:val="111111"/>
          <w:sz w:val="28"/>
          <w:sz w:val="28"/>
          <w:szCs w:val="28"/>
          <w:rtl w:val="true"/>
          <w:lang w:bidi="ar-SA"/>
        </w:rPr>
        <w:t>أنّهم قد قسّموا الأمر إلى تعبّدي وتوصلي، وزعموا أنّ التعبد بالعمل فرع للأمر به وأنه لا يحصل عنوان التعبد إلّا به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أشكل الأمر عليهم في اعتباره في متعلّق الأمر؛ لاستلزامه الدور المحال الموجب لتقدّم الشيء على نفسه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عنوان التعبدية لا يتوقف على الأمر وليس من فروعه، بل العمل قبل الأمر به قد يكون تعبّديّاً ومتمحّضاً في كونه عبادةً إمّا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والركوع والسجود والقيام قانتا؛ حيث إنّ مفاهيمها الأصلية لا تتحقق إلا بقصد التخضع والتذلّل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جعلاً، </w:t>
      </w:r>
    </w:p>
    <w:p>
      <w:pPr>
        <w:pStyle w:val="BookText"/>
        <w:rPr/>
      </w:pPr>
      <w:r>
        <w:rPr>
          <w:rFonts w:ascii="Amiri" w:hAnsi="Amiri" w:eastAsia="Amiri" w:cs="Amiri"/>
          <w:color w:val="111111"/>
          <w:sz w:val="28"/>
          <w:sz w:val="28"/>
          <w:szCs w:val="28"/>
          <w:rtl w:val="true"/>
          <w:lang w:bidi="ar-SA"/>
        </w:rPr>
        <w:t>كالصيام وكثير من مناسك الحج؛ فإنّ تحقق مفاهيمها الأصليّة لا يتوقف على قصد التعبّد والتذلّل، وإنما جعلها الشارع عبادات متمحضةً في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كونه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ذاتاً أو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به الأمر وقد يتعلّق به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المسافر الذي يجب عليه التقصير يحرم عليه صوم شهر رمضان الذي هو عبادة لا مجرّد الإمساك، والحائض منهيّة عن الصلاة والصوم لا عن إيقاع صورة 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عنوان العباديّة متوقفة على الأمر لم يعقل اجتماعها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غاية الاتضاح أنّ التعبدية جهة سابقة على الأمر معتبرة في الموضوع، والأمر لاحق عليها، فاندفع الدور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التعبد إن كان بمعنى إتيان الفعل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في الموضوع قبل تعلّق الأمر ممكن، ولكنّ التعبد بهذا المعنى غير معتبر في العبادات؛ لكفاية قصد الامتثال وإتيان الفعل بداعي الأمر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بمعنى قصد الامتثال فهو لا يتحقق إلا بالأمر؛ ضرورة أنّ عنوان الامتثال متفرّع عليه ومن لواحقه، فالتعبّد المعتبر في العبادات لا يتحقق إلا بالأمر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في غير محله؛ لأنّ كفاية قصد الامتثال في صحة العبادات لا تكون من جهة أن التعبد على قسمين والمعتبر منهما إنّما هو اللاحق على الأمر، بل من جهة أن عنوان التعبد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بإتيان الفعل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يحصل بقصد امتثال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بداعيه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اتضح لك ما بيّناه فقد اتضح لك أنّ الأصل عند الشك في كون متعلّق الأمر عبادة بجعل الشارع أم لا، عدم كونه عبادةً؛ لأنّ صفة التعبد أمر زائد مسبوق بالعدم فالأصل عدمه إلى أن يدلّ الدليل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الأمر مستفاداً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ثبت بدليل لبّي وشككنا في متعلقه فالوظيفة حينئذٍ هو الاحتياط؛ للعلم بالاشتغال وتردّد المأمور به في كونه العمل أو التعبد به، فيقع الشكّ في الفراغ، فلا بدّ عن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التعبد شرطاً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هو العمل على كل حال وإنّما الشك في اشتراطه بالتعبد وعدمه؛ إذ المأمور به في التعبدي حقيقةً إنّما هو التعبد بالعمل الخاص فالتردّد إنّما هو فى المأمور به حينئذ فلا مناص عن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صفة التعبّد للعمل بالجعل قبل تعلّق الأمر به يجوز أن يثبت له من قبل الأمر؛ فإنّ الأمر باعتبار غرض الأمر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المطلوب منه التعبد بالعمل والإتيان به على وجه التخضّع يصير العمل به تعبّدياً ولا يتحقق الامتثال حينئذ إلّا بالإتيان بالمأمور به متقرباً ، وإن كان المطلوب منه وجود المأمور به في الخارج، كيف اتفق، فهو توصلي يتحقق الامتثال بإيجاده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متقابلان لا يزيد أحدهما على الآخر؛ لأنّ النظر الأصيل في أحدهما إلى المأمور وتعبّده بالعمل ويكون العمل منظوراً تبعاً، وفي الآخر إلى نفس وجود العمل في الخارج ويكون المأمور منظوراً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متعاكسان، ولا يكون أحدهما مطابقاً للأصل والآخر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أمر بدليل لفظي أو لبّي وشكّ في أنّه تعبّدي أو توصلي فلا بدّ من الاحتياط بالإتيان به متقرّباً؛ للعلم بالاشتغال وعدم اليقين بالفراغ إلا بالإتيان به كذلك، ولا مجال للتمسك بإطلاق المأمور به في نفيه؛ لأنّ التعبّد حينئذٍ إنّما يجيء من قبل الحكم ولا يكون قيداً في المأمور به، فهو في الصورتين مطلق الفعل وإنّما يختلفان في مرحلة الامتثال من ناحية اختلاف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لما ذكرت إلّا أنّ النظر الأصيل إلى التعبد بالمبعوث عليه في القضيّة اللفظية يحتاج إلى قيد زائد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النظر إلى نفس المبعوث عليه فلا يحتاج إلى قيد زائد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ورد الأمر مطلقاً في القضيّة اللفظية ينصرف إلى التوصلي؛ لعدم احتياجه إلى قيد </w:t>
      </w:r>
      <w:bookmarkStart w:id="102" w:name="pg9000_93982"/>
    </w:p>
    <w:p>
      <w:pPr>
        <w:pStyle w:val="BookText"/>
        <w:rPr/>
      </w:pPr>
      <w:bookmarkEnd w:id="102"/>
      <w:r>
        <w:rPr>
          <w:rFonts w:ascii="Amiri" w:hAnsi="Amiri" w:eastAsia="Amiri" w:cs="Amiri"/>
          <w:color w:val="111111"/>
          <w:sz w:val="28"/>
          <w:sz w:val="28"/>
          <w:szCs w:val="28"/>
          <w:rtl w:val="true"/>
          <w:lang w:bidi="ar-SA"/>
        </w:rPr>
        <w:t>زائد، مع أنّ العبادية الحاصلة من قبل الأمر دائرة مداره وجوداً وعدماً، وليس في العبادات ما يدور عباديتها مدار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العبادة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التعبد به ويثاب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مدار مطلق الأمر ولو كان توصليّاً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859620_2870459653"/>
      <w:bookmarkStart w:id="104" w:name="_Toc35"/>
      <w:bookmarkEnd w:id="103"/>
      <w:r>
        <w:rPr>
          <w:rtl w:val="true"/>
        </w:rPr>
        <w:t>و</w:t>
      </w:r>
      <w:r>
        <w:rPr>
          <w:rtl w:val="true"/>
        </w:rPr>
        <w:t>[</w:t>
      </w:r>
      <w:r>
        <w:rPr>
          <w:rtl w:val="true"/>
        </w:rPr>
        <w:t>الأصل</w:t>
      </w:r>
      <w:r>
        <w:rPr>
          <w:rtl w:val="true"/>
        </w:rPr>
        <w:t xml:space="preserve">] </w:t>
      </w:r>
      <w:r>
        <w:rPr>
          <w:rtl w:val="true"/>
        </w:rPr>
        <w:t>السابع</w:t>
      </w:r>
      <w:bookmarkEnd w:id="104"/>
    </w:p>
    <w:p>
      <w:pPr>
        <w:pStyle w:val="BookText"/>
        <w:rPr/>
      </w:pPr>
      <w:r>
        <w:rPr>
          <w:rFonts w:ascii="Amiri" w:hAnsi="Amiri" w:eastAsia="Amiri" w:cs="Amiri"/>
          <w:color w:val="111111"/>
          <w:sz w:val="28"/>
          <w:sz w:val="28"/>
          <w:szCs w:val="28"/>
          <w:rtl w:val="true"/>
          <w:lang w:bidi="ar-SA"/>
        </w:rPr>
        <w:t>اختلفوا في أنّ الأمر بالشيء مطلقاً أمر بما لا يتم إلا به أم لا؟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والشرط فأثبت في الأول ونفى في الثاني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بالثبوت في الشرط الشرعي دون غيره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العدم مطلقاً؛ لأنّ الأمر المتوهّم عند من أثبته إنّما هو لأجل عنوان المقدّمية وتوقف المأمور به عليه، والتوقف والمقدّميّة إنّما هو في مرحلة الامتثال والإيجاد؛ بداهة أنّ نفس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توقف لها في حد نفسها على وجود المقدمة، والامتثال ليس مورداً للأمر الشرعي المولوي حتى يسري منه إلى وجود المقدّمة تبعاً؛ لأنه واجب بالذات عقلاً ولا يعقل إيجابه شرعاً وإلا لزم التسلسل في الأمر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الإيجاب العقلي إلى إدراكه أنه من وظائف العبودية بحيث يستحق العقاب على تركه لا إلى تكليف من قبل العقل؛ لأنّ ثبوت التكليف فرع الولاية وإعمالها، ولا ولاية للعقل على العقلاء حتى ينفذ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مطلوب للمولى قطعاً؛ إذ الأمر مقدّمة للامتثال فيسري منه الطلب إلى وجود المقدّمة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هذا الطلب ليس من سنخ الأمر والحكم التكليفي حتى يسري إلى المقدّمة تبعاً، وإنّما هو عبارة عن غرض الأمر، فالامتثال غاية للأمر لا موضوع ومتعلّق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الطلب الغائي لا يتعدّي عن الامتثال إلى مقدماته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اتصفت المقدّمة بعنوان الامتثال تبعاً، كما إذا أتى بها بداعي التوصل إلى ذيها وأوصلها به تصير مطلوبة حينئذ تبعاً بتبع تحقق موضوعه؛ ضرورة أنّ الإتيان بها كذلك شروع في الامتثال فتتصف به مراعى وتستقر فيه بالإيصال إلى ذيها فتصير مطلوبة حينئذٍ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لك بما بيّناه أنه لا مجال للقول بأنّ الأمر بالشيء أمر بما لا يتم إلا به مطلقاً، سبباً كان أم شرطاً شرعياً أو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وجه ما حكم به بعضهم من وجوب المقدّمة الموصلة دون غيرها</w:t>
      </w:r>
      <w:r>
        <w:rPr>
          <w:rStyle w:val="FootnoteAnchor"/>
          <w:rtl w:val="true"/>
        </w:rPr>
        <w:footnoteReference w:id="237"/>
      </w:r>
      <w:r>
        <w:rPr>
          <w:rFonts w:ascii="Amiri" w:hAnsi="Amiri" w:eastAsia="Amiri" w:cs="Amiri"/>
          <w:color w:val="111111"/>
          <w:sz w:val="28"/>
          <w:sz w:val="28"/>
          <w:szCs w:val="28"/>
          <w:rtl w:val="true"/>
          <w:lang w:bidi="ar-SA"/>
        </w:rPr>
        <w:t>، ووجوب ما أتى بها بداعي التوصل إلى ذيها دون غيره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 التفصيلين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لك أوّلاً من أنّ التفصيل إنّما هو في الاتصاف بعنوان الامتثال تبعاً وعدمه، لا في حكمه، فالطلب لم يتعد عن موضوعه وهو الامتثال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الساري على فرض تسلّمه إنّما هو الطلب الغائي لا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أيضاً أنّ تقسيم الأمر إلى الأصلي والتبعي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التبعية في النظر على وجه لا يوجب استحقاق العقاب على مخالفته كما صرحوا به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مع ثبوت الأمر المولوي، كما هو ظاهر والبعث عليها من المولى إرشاد إلى أنها مما لا بدّ منه الامتثال لا أمر تكليفى حتى يكون أصلياً أو تبعيّاً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مع قطع النظر عن الفعل والترك لا يعقل أن يتعلّق به حكم؛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الفعل والترك، ومن المعلوم أنّ ما هو أعم منهما لا يعقل أن يكون له حكم عقلي من حسن أو قبح، ولا شرعي من أمر أو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اشتهر أن الماهية من حيث الكلية هي ليست إلا هي، فالأمر إنّما يتعلّق بها باعتبار الفعل، كما أنّ النهي إنّما يتعلّق بها باعتبار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فالمأمور به في الحقيقة هو الفعل، فالتوقف ثابت بين نفس المأمور به والمقدمة، ولا يختص بمرحلة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المأمور به مع الامتثال إنما هو في </w:t>
      </w:r>
      <w:bookmarkStart w:id="105" w:name="pg9000_93984"/>
    </w:p>
    <w:p>
      <w:pPr>
        <w:pStyle w:val="BookText"/>
        <w:rPr/>
      </w:pPr>
      <w:bookmarkEnd w:id="105"/>
      <w:r>
        <w:rPr>
          <w:rFonts w:ascii="Amiri" w:hAnsi="Amiri" w:eastAsia="Amiri" w:cs="Amiri"/>
          <w:color w:val="111111"/>
          <w:sz w:val="28"/>
          <w:sz w:val="28"/>
          <w:szCs w:val="28"/>
          <w:rtl w:val="true"/>
          <w:lang w:bidi="ar-SA"/>
        </w:rPr>
        <w:t>والجزئيّة بالنسبة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انطباقه على فرد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والفعل الخاص المنطبق على فرد معين امتثال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الفعل والترك مورداً لا صدقاً، بمعنى أنها في حد نفسها خالية عن الفعل والترك، وقابلة لهما، ولا يكون أحدهما مأخوذاً فيها، لا أنّها صادقة عليهما؛ ضرورة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على تركها فهي لا تصدق أبداً إلا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والماهية حدّ للوجود مخرجة له عن الإبهام،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أو قبيحة أو سازجة ومورد للأمر والنهي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إنما يتصف بإحدى الصفات باعتبارها ولا حكم له مع قطع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أنّ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هي، إنما يرجع إلى ما بيناه، وقد اشتبه الأمر على أكثر مقاربي عصرنا، وزعموا أن عدم قبول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من الأحكام بديهي، وأنّ القضيّة المشهورة تنبيه عليه، وفرعوا عليه مسائل عديدة في أصول الفقه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859622_2870459653"/>
      <w:bookmarkStart w:id="107" w:name="_Toc36"/>
      <w:bookmarkEnd w:id="106"/>
      <w:r>
        <w:rPr>
          <w:rtl w:val="true"/>
        </w:rPr>
        <w:t>تنبيهات</w:t>
      </w:r>
      <w:bookmarkEnd w:id="1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ما يتوقف عليه الامتثال لا ما يتوقف عليه الأمر تعلّقاً أو تنجزاً؛ ضرورة أنّه لا يجب على المكلّف تحصيل شرائط التعلّق أو التنجز، بل لا استدامة ما 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يجوز للحاضر أن يسافر ويفطر صومه، وتقييدهم الأمر بالمطلق إنّما هو لذلك؛ فإنّ الأمر بالنسبة إلى شرائط تعلّقه أو تنجزه مشروط لا مطلق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الإتيان بالمقدّمة التعبّديّة، كالوضوء والغسل بداعي التوصل إلى ذيها قبل دخول وقته وبعده؛ لما ظهر لك</w:t>
      </w:r>
      <w:r>
        <w:rPr>
          <w:rStyle w:val="FootnoteAnchor"/>
          <w:rtl w:val="true"/>
        </w:rPr>
        <w:footnoteReference w:id="241"/>
      </w:r>
      <w:r>
        <w:rPr>
          <w:rFonts w:ascii="Amiri" w:hAnsi="Amiri" w:eastAsia="Amiri" w:cs="Amiri"/>
          <w:color w:val="111111"/>
          <w:sz w:val="28"/>
          <w:sz w:val="28"/>
          <w:szCs w:val="28"/>
          <w:rtl w:val="true"/>
          <w:lang w:bidi="ar-SA"/>
        </w:rPr>
        <w:t xml:space="preserve">من أنّ المقدّمة لا تعرضه الأمر المولوي التبعي </w:t>
      </w:r>
    </w:p>
    <w:p>
      <w:pPr>
        <w:pStyle w:val="BookText"/>
        <w:rPr/>
      </w:pP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للتفكيك بينهما بزعم ثبوت الأمر التبعي بعده لا قبله، فمرجع الإتيان بهما لأجل الصلاة إلى أنّ الداعي عليه توقف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 لا إلى إيجادهما لأجل الأمر المولوي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بهما على وجه التعبد فرع الأمر بهما، وهو فرع الأمر بالغاية المشروطة بأحدهما، فما لم يدخل وقت الصلاة لا أمر بهما حتى يصح التعبد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لا يدور مدار الأمر، كما عرفت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فهو دائر مدار الأمر النفسي؛ لانحصار الأمر المولوي فيه وفساد ما يتخيّل من الأمر التبعي، ولعدم جواز استناد اعتبار التعبد في العمل إلى الأمر التبعي على فرض تسلّمه لأنه توصلي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بالمقدّمة تابع لأمر ذيها في التعبدية والتوصليّة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مقدّمات الصلاة تعبّديّة، فتعبّديّتهما بالخصوص إنّما هى من قبل الأمر أن يكون جميع النفسي الندبي الثابت لهما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التعبد بهما من قبل الأمر النفسي كون الداعي على إيجادهما خصوص الصلاة أو إحدى الغايات الأخر من جهة اشتراطها بالطهارة الحاصلة من أحدهما صحةً أو كمالاً،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الأمر التبعي لا يعقل أن يتعبد بهما من قبله؛ لأنّ المقدمة إنّما هي الطهارة عن الطهارة عن الحدث المنتزعة من العمل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المقدمي التبعي على فرض ثبوته إنّما يتعلق بالعمل التعبدي الذي هو سبب للطهارة ومقدمة لها لا بمطلق الغسل والمسح الذي لا يكون سبباً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مأخوذ في موضوع هذا الأمر التبعي الثابت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يجتزي عنه بإيجادهما على وجه التعبد من قبل الأمر التبعي، وإلا لزم الدور المحال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تبيّن أنّ ما ذكره بعضهم من بطلان الوضوء التجديدي بعد ما ظهر كونه </w:t>
      </w:r>
    </w:p>
    <w:p>
      <w:pPr>
        <w:pStyle w:val="BookText"/>
        <w:rPr/>
      </w:pPr>
      <w:r>
        <w:rPr>
          <w:rFonts w:ascii="Amiri" w:hAnsi="Amiri" w:eastAsia="Amiri" w:cs="Amiri"/>
          <w:color w:val="111111"/>
          <w:sz w:val="28"/>
          <w:sz w:val="28"/>
          <w:szCs w:val="28"/>
          <w:rtl w:val="true"/>
          <w:lang w:bidi="ar-SA"/>
        </w:rPr>
        <w:t>محدثاً إذا كان النظر إلى التجديد على وجه التقييد ، باطل؛ لأنّ الغايات المنظورة مترتبة على الطهارة المترتبة على التعبّد المتقوّم به الوضوء والغسل فلا مجال لاحتمال تقييد التعبد بها وانتفائه بانتفاء الغاية المنظورة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تخلّف المنظور إنما يقدح إذا كان منوّعاً للعمل كالأمر الظهري والعصري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منوّعاً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لبطلان العمل أصلاً؛ ضرورة أن مجرد تخلّف الداعي لا يوجب 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المشروط ما يتوقف تعلّقه أو تنجزه على وجود الشرط، 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شيخنا العلّامة الأنصاري أن القيود والشروط لا ترجع إلا إلى المطلوب والمأمور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جائك ونحوه، وإن كان من قيود الهيئة</w:t>
      </w:r>
    </w:p>
    <w:p>
      <w:pPr>
        <w:pStyle w:val="BookText"/>
        <w:rPr/>
      </w:pPr>
      <w:r>
        <w:rPr>
          <w:rFonts w:ascii="Amiri" w:hAnsi="Amiri" w:eastAsia="Amiri" w:cs="Amiri"/>
          <w:color w:val="111111"/>
          <w:sz w:val="28"/>
          <w:sz w:val="28"/>
          <w:szCs w:val="28"/>
          <w:rtl w:val="true"/>
          <w:lang w:bidi="ar-SA"/>
        </w:rPr>
        <w:t>بحسب الظاهر إلا أنه يجب صرفه إلى المادة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العاقل يتصوّر أوّلاً الفعل وخصوصيّاته، فإن وافق غرضه مطلقاً يطلبه كذلك، وإلا يقيّده بما يوافق ،غرضه، ثمّ يطلبه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يطلبه</w:t>
      </w:r>
    </w:p>
    <w:p>
      <w:pPr>
        <w:pStyle w:val="BookText"/>
        <w:rPr/>
      </w:pPr>
      <w:r>
        <w:rPr>
          <w:rFonts w:ascii="Amiri" w:hAnsi="Amiri" w:eastAsia="Amiri" w:cs="Amiri"/>
          <w:color w:val="111111"/>
          <w:sz w:val="28"/>
          <w:sz w:val="28"/>
          <w:szCs w:val="28"/>
          <w:rtl w:val="true"/>
          <w:lang w:bidi="ar-SA"/>
        </w:rPr>
        <w:t>أولاً على وجه الإطلاق ثمّ يقيّد طلبه بقيد مخصوص</w:t>
      </w:r>
    </w:p>
    <w:p>
      <w:pPr>
        <w:pStyle w:val="BookText"/>
        <w:rPr/>
      </w:pPr>
      <w:r>
        <w:rPr>
          <w:rFonts w:ascii="Amiri" w:hAnsi="Amiri" w:eastAsia="Amiri" w:cs="Amiri"/>
          <w:color w:val="111111"/>
          <w:sz w:val="28"/>
          <w:sz w:val="28"/>
          <w:szCs w:val="28"/>
          <w:rtl w:val="true"/>
          <w:lang w:bidi="ar-SA"/>
        </w:rPr>
        <w:t>ولفظي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التقييد فرع تطرّق الإطلاق، ولا إطلاق في الفرد الموجود من الطلب المتعلّق بالفعل المنشأ بالهيئة حتّى يصح تقييده بشرط ونحوه، فالقيود جميعاً من قيود الموضوع وشرائطه في الحقيقة وإن كان من قيود الهيئة بحسب</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وفيه أنّ القيود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يعتبر في الموضوع، كخصوصيات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يعتبر في تعلّق الأمر أو تنجزه، كالصفات المعتبرة في المكلّف من البلوغ والعقل والقدرة والعلم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صفات المكلّف إنّما تؤثر في استكماله للطرفيّة تعلّقاً أو تنجزاً لا فى مطلوبية الفعل، فلا معنى لإرجاعها إلى 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العروة الوثقی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مستمسك العروة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التنبيه الأوّل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مقالات حول مباحث الألفاظ</w:t>
      </w:r>
    </w:p>
    <w:p>
      <w:pPr>
        <w:pStyle w:val="BookText"/>
        <w:rPr/>
      </w:pPr>
      <w:r>
        <w:rPr>
          <w:rFonts w:ascii="Amiri" w:hAnsi="Amiri" w:eastAsia="Amiri" w:cs="Amiri"/>
          <w:color w:val="111111"/>
          <w:sz w:val="28"/>
          <w:sz w:val="28"/>
          <w:szCs w:val="28"/>
          <w:rtl w:val="true"/>
          <w:lang w:bidi="ar-SA"/>
        </w:rPr>
        <w:t xml:space="preserve">ثمّ إنّ الصفات المعتبرة في الموضوع أيضاً قيود للأمر والطلب؛ ضرورة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كونه مطلوباً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مورداً للإطلاق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فاتصافه بهما إنّما هو باعتبار وصف المطلوبية واتصافه بهما بهذا الاعتبار عبارة أُخرى عن اتصاف الطلب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العاقل يتصوّر أوّلاً الفعل 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بيّناه؛ لأنّ</w:t>
      </w:r>
    </w:p>
    <w:p>
      <w:pPr>
        <w:pStyle w:val="BookText"/>
        <w:rPr/>
      </w:pPr>
      <w:r>
        <w:rPr>
          <w:rFonts w:ascii="Amiri" w:hAnsi="Amiri" w:eastAsia="Amiri" w:cs="Amiri"/>
          <w:color w:val="111111"/>
          <w:sz w:val="28"/>
          <w:sz w:val="28"/>
          <w:szCs w:val="28"/>
          <w:rtl w:val="true"/>
          <w:lang w:bidi="ar-SA"/>
        </w:rPr>
        <w:t>التقييد بما يوافق غرضه إنّما هو في مرحلة الطلب لا في مرحلة متقدمة،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يطلب الفعل أوّلاً على وجه الإطلاق ثمّ يقيده بقيد مخصوص فهو كذلك، ولا ينافي ما بيّناه أيضاً؛ لأنه بعد تصوّر الفعل لا يخلو طلبه من أن يكون مطلقاً أو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على كل حال يرجع إلى مدلول الهيئة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إباء الهيئة عن التقييد لفظاً ،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ليس حكماً تكليفياً ؛ لما عرفت من أنه ليس من قبيل المنشئات كالعقود والإيقاعات، وإلا لدارت آثار الحكم مدار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قد عرفت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تدور مدار ما في نفس المولى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الوقائع بإحدى الحيثيات الخمسة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يقبل الإطلاق والتقييد؛ فإنّ المنشأ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مطلق مع عدم لحوق قيد به في الكلام، وطلب مقيّد إنْ أُلحِق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فالمنشأ من أوّل الأمر ليس مستقراً في الإطلاق حتّى ينافيه التقييد، بل مراعى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يلحق به قيد يستقر في الإطلاق، وإلّا فيصير مقيداً من أوّله وقد اشتهر بينهم أنّ للمتكلّم مادام متشاغلاً بكلامه أن يلحق به ما شاء من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بيناه كون المنشأ جزئيّاً أبداً لا كليّاً؛ لأنه فرد إما للطلب المطلق أو</w:t>
      </w:r>
    </w:p>
    <w:p>
      <w:pPr>
        <w:pStyle w:val="BookText"/>
        <w:rPr/>
      </w:pPr>
      <w:r>
        <w:rPr>
          <w:rFonts w:ascii="Amiri" w:hAnsi="Amiri" w:eastAsia="Amiri" w:cs="Amiri"/>
          <w:color w:val="111111"/>
          <w:sz w:val="28"/>
          <w:sz w:val="28"/>
          <w:szCs w:val="28"/>
          <w:rtl w:val="true"/>
          <w:lang w:bidi="ar-SA"/>
        </w:rPr>
        <w:t>المقيّد، فلا يخلو على كل حال من أحد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أنه شرط للأمر تعلّقاً أو تنجزاً ولم يتبين الحال من الدليل فالأصل الإطلاق لأن التعلق والتنجز لهما موازين واقعية أولية وللشارع التصرف فيهما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المقصد الأول في الأوامر</w:t>
      </w:r>
    </w:p>
    <w:p>
      <w:pPr>
        <w:pStyle w:val="BookText"/>
        <w:rPr/>
      </w:pPr>
      <w:r>
        <w:rPr>
          <w:rFonts w:ascii="Amiri" w:hAnsi="Amiri" w:eastAsia="Amiri" w:cs="Amiri"/>
          <w:color w:val="111111"/>
          <w:sz w:val="28"/>
          <w:sz w:val="28"/>
          <w:szCs w:val="28"/>
          <w:rtl w:val="true"/>
          <w:lang w:bidi="ar-SA"/>
        </w:rPr>
        <w:t>بجعل شرط أو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اعتبار شرط في التعلّق أو التنجز شرعاً يرجع إلى الشكّ في تضييق دائر تهما بتصرّف الشارع وعدمه،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الشكّ في التعلّق أو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في عموم موضوع الحكم وخصوصه ولم يكن في البين إطلاق، فالأصل الاقتصار على القدر المتيقن وإن علم اعتباره إما في التعلّق أو التنجز ولم يظهر من الدليل اعتباره على وجه التعين فالأصل</w:t>
      </w:r>
    </w:p>
    <w:p>
      <w:pPr>
        <w:pStyle w:val="BookText"/>
        <w:rPr/>
      </w:pPr>
      <w:r>
        <w:rPr>
          <w:rFonts w:ascii="Amiri" w:hAnsi="Amiri" w:eastAsia="Amiri" w:cs="Amiri"/>
          <w:color w:val="111111"/>
          <w:sz w:val="28"/>
          <w:sz w:val="28"/>
          <w:szCs w:val="28"/>
          <w:rtl w:val="true"/>
          <w:lang w:bidi="ar-SA"/>
        </w:rPr>
        <w:t>الاقتصار على اعتباره في التنجز فقط؛ لأنه معلوم في الجملة والزائد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ضرب الوقت لأداء المأمور به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يعتبر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تعلّق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كأوقات الصلوات الخمس فيكون الأمر مشروطاً بدخول الوقت حينئذ، وقد يعتبر في صحة</w:t>
      </w:r>
    </w:p>
    <w:p>
      <w:pPr>
        <w:pStyle w:val="BookText"/>
        <w:rPr/>
      </w:pPr>
      <w:r>
        <w:rPr>
          <w:rFonts w:ascii="Amiri" w:hAnsi="Amiri" w:eastAsia="Amiri" w:cs="Amiri"/>
          <w:color w:val="111111"/>
          <w:sz w:val="28"/>
          <w:sz w:val="28"/>
          <w:szCs w:val="28"/>
          <w:rtl w:val="true"/>
          <w:lang w:bidi="ar-SA"/>
        </w:rPr>
        <w:t>الامتثال كأيام مناسك الحجّ فيكون الأمر مطلقاً متعلّقاً بالمستطيع قبل إدراك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عليه السير مع الرفقة قبل حلول شهر ذي حجّة الحرام ويستحق</w:t>
      </w:r>
    </w:p>
    <w:p>
      <w:pPr>
        <w:pStyle w:val="BookText"/>
        <w:rPr/>
      </w:pPr>
      <w:r>
        <w:rPr>
          <w:rFonts w:ascii="Amiri" w:hAnsi="Amiri" w:eastAsia="Amiri" w:cs="Amiri"/>
          <w:color w:val="111111"/>
          <w:sz w:val="28"/>
          <w:sz w:val="28"/>
          <w:szCs w:val="28"/>
          <w:rtl w:val="true"/>
          <w:lang w:bidi="ar-SA"/>
        </w:rPr>
        <w:t>العقاب لو تخلّف عن الرفقة وفات منه الحج، ولا يكون عدم</w:t>
      </w:r>
    </w:p>
    <w:p>
      <w:pPr>
        <w:pStyle w:val="BookText"/>
        <w:rPr/>
      </w:pPr>
      <w:r>
        <w:rPr>
          <w:rFonts w:ascii="IRNazanin" w:hAnsi="IRNazanin" w:eastAsia="IRNazanin"/>
          <w:color w:val="111111"/>
          <w:sz w:val="28"/>
          <w:sz w:val="28"/>
          <w:szCs w:val="28"/>
          <w:rtl w:val="true"/>
          <w:lang w:bidi="fa-IR"/>
        </w:rPr>
        <w:t>حلول الشهر عذراً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تمكنه منه بعد</w:t>
      </w:r>
    </w:p>
    <w:p>
      <w:pPr>
        <w:pStyle w:val="BookText"/>
        <w:rPr/>
      </w:pPr>
      <w:r>
        <w:rPr>
          <w:rFonts w:ascii="Amiri" w:hAnsi="Amiri" w:eastAsia="Amiri" w:cs="Amiri"/>
          <w:color w:val="111111"/>
          <w:sz w:val="28"/>
          <w:sz w:val="28"/>
          <w:szCs w:val="28"/>
          <w:rtl w:val="true"/>
          <w:lang w:bidi="ar-SA"/>
        </w:rPr>
        <w:t>والتحقيق أنه لا فرق في ذلك بين الأمر المشروط والمطلق، فمن علم بأنه لا يتمكن من الامتثال بعد حلول الوقت إلّا مع الإتيان بمقدّماته قبل حلوله، يتعين عليه الإتيان بها قبل الحلول ولو كان الواجب مشروطاً به فلو لم يأت بالمقدّمات حتى دخل الوقت فهو معاقب على ترك الواجب، ولا يكون عجزه عن الامتثال عذراً؛ لأنّ الامتناع بالاختيار لا ينافي الاختيار وما يرجع بالأخرة إلى الاختيار فهو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المقدّمة لا تتصف بالأمر المولوي أصلاً، فكما لا يكون العجز المستند إلى ترك المقدّمة بعد دخول الوقت عذراً فكذلك العجز المستند إلى تركها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أجنب في الليل مَن وجب عليه صوم شهر رمضان ولم يغتسل قبل طلوع الفجر لا يكون</w:t>
      </w:r>
    </w:p>
    <w:p>
      <w:pPr>
        <w:pStyle w:val="BookText"/>
        <w:rPr/>
      </w:pPr>
      <w:r>
        <w:rPr>
          <w:rFonts w:ascii="Amiri" w:hAnsi="Amiri" w:eastAsia="Amiri" w:cs="Amiri"/>
          <w:color w:val="111111"/>
          <w:sz w:val="28"/>
          <w:sz w:val="28"/>
          <w:szCs w:val="28"/>
          <w:rtl w:val="true"/>
          <w:lang w:bidi="ar-SA"/>
        </w:rPr>
        <w:t>معذوراً، مع أنه واجب مشروط بإدراك اليوم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الفصول الغروبة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بين</w:t>
      </w:r>
    </w:p>
    <w:p>
      <w:pPr>
        <w:pStyle w:val="BookText"/>
        <w:rPr/>
      </w:pPr>
      <w:r>
        <w:rPr>
          <w:rFonts w:ascii="IRNazanin" w:hAnsi="IRNazanin" w:eastAsia="IRNazanin"/>
          <w:color w:val="111111"/>
          <w:sz w:val="28"/>
          <w:sz w:val="28"/>
          <w:szCs w:val="28"/>
          <w:rtl w:val="true"/>
          <w:lang w:bidi="fa-IR"/>
        </w:rPr>
        <w:t>مقالات حول مباحث الألفاظ</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بعضهم أنّ الشرط ينقسم إلى متقدّم ومقارن ومتأخّر ، والنزاع يعمّ</w:t>
      </w:r>
    </w:p>
    <w:p>
      <w:pPr>
        <w:pStyle w:val="BookText"/>
        <w:rPr/>
      </w:pPr>
      <w:r>
        <w:rPr>
          <w:rFonts w:ascii="Amiri" w:hAnsi="Amiri" w:eastAsia="Amiri" w:cs="Amiri"/>
          <w:color w:val="111111"/>
          <w:sz w:val="28"/>
          <w:sz w:val="28"/>
          <w:szCs w:val="28"/>
          <w:rtl w:val="true"/>
          <w:lang w:bidi="ar-SA"/>
        </w:rPr>
        <w:t xml:space="preserve">الجميع ، ثمّ استشكل على نفسه بأنّ الشرط يجب أن يقارن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بأنّ الشرط إن كانت شرطاً للتكليف أو الوضع فالشرط إنّما هو تصوّر الوجودات الخارجيّة المقارن للحكم لا الوجودات الخارجيّة المتقدّمة أو المقارنة أو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بأن الحكم من الأفعال الاختيارية، والفعل الاختياري إنّما يتوقف على مبادي علميّة تصوّريّة أو تصديقية، ولا دخل لما سواها فيه؛ للزوم السنخية العلة والمعلول، ولا سنخيّة بين إرادة الشيء في النفس ووجود الدواعي في الخارج، وإنما السنخية بين وجودها العلمي القائم بالنفس والإرادة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شرطاً للمأمور به فالشرط هي الإضافة إليه الموجبة لحسن المأمور به وموافقته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المأمور به لا يكون شرطاً لذات المأمور به مع قطع النظر عن تعلّق الأمر به كما هو ظاهر ، فهو إما قيد في كونه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شرطاً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w:t>
      </w:r>
    </w:p>
    <w:p>
      <w:pPr>
        <w:pStyle w:val="BookText"/>
        <w:rPr/>
      </w:pPr>
      <w:r>
        <w:rPr>
          <w:rFonts w:ascii="Amiri" w:hAnsi="Amiri" w:eastAsia="Amiri" w:cs="Amiri"/>
          <w:color w:val="111111"/>
          <w:sz w:val="28"/>
          <w:sz w:val="28"/>
          <w:szCs w:val="28"/>
          <w:rtl w:val="true"/>
          <w:lang w:bidi="ar-SA"/>
        </w:rPr>
        <w:t>الامتثال والاجتزاء به، فيكون شرطاً للصحة التي هي من أحكام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حصول الإرادة في النفس على تصوّر أطراف المراد والتصديق بكون الحكم صلاحاً، مما لا شبهة فيه، ولكن نفي دخالة ما عداهما في الحكم باطل؛ إذ الباعث على جعل الأحكام إنّما هي المصالح الكامنة في المتعلّق أو الخارج، لا تصوّرها؛ ضرورة أن دخل تصوّر الدواعي والتصديق بالصلاح في جعل الحكم إنما هي على وجه</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الطريقيّة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أنك بعد أن تصوّرت مجيء زيد عندك وصدقت بأنه يوجب الإكرام فأمرت عبدك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جائني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تجعل مجيئه في الخارج سبباً لوجوب إكرامه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الأول في الأوامر </w:t>
      </w:r>
    </w:p>
    <w:p>
      <w:pPr>
        <w:pStyle w:val="BookText"/>
        <w:rPr/>
      </w:pPr>
      <w:r>
        <w:rPr>
          <w:rFonts w:ascii="Amiri" w:hAnsi="Amiri" w:eastAsia="Amiri" w:cs="Amiri"/>
          <w:color w:val="111111"/>
          <w:sz w:val="28"/>
          <w:sz w:val="28"/>
          <w:szCs w:val="28"/>
          <w:rtl w:val="true"/>
          <w:lang w:bidi="ar-SA"/>
        </w:rPr>
        <w:t>لا تصوّره في الذهن والتصوّر إنما يكون طريقاً لجعل الحكم لا موضوعاً له ولا معتبراً فيه،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تأثير التصوّر إنما هو في جعل الحكم لا في الحكم المجعول، وقد اختلط عليه الأمر اختلاطاً غريباً، مع أن مقتضى ما ذكره اطراده في كلّ شرط شرعي فيلزم أن يكون تصوّر الطهارة مبيحاً للدخول في الصلاة لا نفسها، وتصوّر الحدث ناقضاً لها لا نفسه، وهكذا في سائر الموارد، وهو خلاف الضرورة، ويلزم منه هدم أساس الفقه، ويلزم أيضاً أن يصح العقد الفضولي قبل لحوق الإجازة به مع فرض العلم بلحوقها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دخيل في الحكم بالصحة مع وجود المتصوّر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حينئذٍ أن يكون الوجود الخارجي أيضاً دخيلاً في الحكم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غرضه من تأثير التصوّر في الحكم تأثيره في مرحلة الجعل لا في الحكم المجعول، فلا يرد عليه ما أوردت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لما ذكرت؛ إذ يلزم حينئذ أن لا يكون الجواب جواباً عن الإشكال؛ ضرورة أنّ محلّ الإشكال إنّما هو الإجازة ونحوها مما يكون مؤثراً في الحكم الوضعي أو التكليفي ، وليس في الشرع ما يكون شرطاً شرعياً لجعل الحكم لا له نفسه، حتّى یصیر ما ذكره جواباً عن الإشكال المتطرّق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وأما ما ذكره من لوازم السنخيّة بين العلّة والمعلول فمما لا محصل له؛ لأنه إن أريد منها أنه يجب إذا كان المعلول من الكيفيات النفسانية أو من أفعال الجوارح أن تكون العلة كذلك فهو واضح الفساد؛ ضرورة أنّ الفعل الاختياري الصادر من الجوارح معلول عن الإرادة التي هي من الكيفيات النفسانية، فلو وجبت السنخيّة بالمعنى المذكور لزم بطلان العلية بينهما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على نفسه بأنّ ما ذكر خلاف ظاهر الأدلة الشرعية من أن الموجودات الخارجية شروط للأحكام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فأجاب أولاً بأنّ الأدلّة ظاهرة في أنّ الشرط إنّما هو الموجود، والوجود أعم من الخارجي والذهني، وثانياً أنه لو سلّم ظهورها في الوجود الخارجي يجب صرفها بالدليل العقلي إلى الوجود الذهني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ما ذكر من المقدّمة إنما تنتج أنّ الشرط هو التصوّر الذي هو موجود في الخارج لا المتصوّر بوجوده الذهني الذي هو وجود ظلّي ضعيف لا يترتب عليه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الوجود الذهني فاسد في أصله،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الضرورة قاضية بخلاف ما ذكره، فلا يعقل صرف الأدلّة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من حكم العقل بلزوم السنخيّة بين العلّة والمعلول بالمعنى الذي ذكره، خلاف الضرورة؛ فإنّ المصالح الواقعية الخارجيّة باعثة على 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مقتضية لا علل تامة، ومن شرائط تأثير هذه المقتضيات علم المولى بها مع كونه حكيماً مراعياً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فيما توهّم أنه من قبيل الشرط المتقدّم، كالوضوء والغسل بالنسبة إلى الصلاة، هو الأمر المنتزع منه، المقارن للمشروط، فالشرط في المثالين هي الطهارة المنتزعة منهما المقارنة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سمّي شرطاً متأخراً كالإجازة بالنسبة إلى العقد الفضولي لا يكون شرطاً أصلاً، وإنّما هي من العقد بمنزلة الروح من الجسد في وجه فلا تكون جزءً ولا شرطاً له، وهو مراعى متزلزل غير مستقرّ في الصحة والبطلان، وإنّما يستقرّ في الصحة بلحوق الإجازة من الأصيل، كما يستقرّ في البطلان بلحوق الردّ من قبله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في غاية الدقة بحيث التبس الأمر فيها على كثير من الأعلام، وقد فصلنا الكلام في أنّ لها منزلة بين المنزلتين ولا يكون شرطاً ولا جزء،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سائر الموارد التي ثبت تأثيرها في المتقدم وتوهم أنه من هذا الباب</w:t>
      </w:r>
      <w:r>
        <w:rPr>
          <w:rFonts w:eastAsia="Amiri" w:cs="Amiri" w:ascii="Amiri" w:hAnsi="Amiri"/>
          <w:color w:val="111111"/>
          <w:sz w:val="28"/>
          <w:szCs w:val="28"/>
          <w:rtl w:val="true"/>
          <w:lang w:bidi="ar-SA"/>
        </w:rPr>
        <w:t xml:space="preserve">. </w:t>
      </w:r>
      <w:bookmarkStart w:id="108" w:name="pg9000_93992"/>
    </w:p>
    <w:p>
      <w:pPr>
        <w:pStyle w:val="BookText"/>
        <w:rPr/>
      </w:pPr>
      <w:bookmarkEnd w:id="108"/>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توهّم أنّ إطلاق الواجب على الواجب المشروط مجاز بعلاقة الأول</w:t>
      </w:r>
      <w:r>
        <w:rPr>
          <w:rStyle w:val="FootnoteAnchor"/>
          <w:rtl w:val="true"/>
        </w:rPr>
        <w:footnoteReference w:id="245"/>
      </w:r>
      <w:r>
        <w:rPr>
          <w:rFonts w:ascii="Amiri" w:hAnsi="Amiri" w:eastAsia="Amiri" w:cs="Amiri"/>
          <w:color w:val="111111"/>
          <w:sz w:val="28"/>
          <w:sz w:val="28"/>
          <w:szCs w:val="28"/>
          <w:rtl w:val="true"/>
          <w:lang w:bidi="ar-SA"/>
        </w:rPr>
        <w:t>والمشارفة، وقد تبين ممّا بيّناه أنه لا تجوز فيه بوجه؛ لأنّ الاشتراط إنّما هو في مرحلة التعلّق أو التنجز، وأمّا في مرحلة التحقق فهو واجب فعلاً، فلا تجوز في إطلاقه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التجوّز لو كان فهو في الإسناد لا اللفظ، والأول كسائر العلائق المرسلة لا يكون مصححاً للاستعمال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بعضهم أنّ الأمر بالمسبّب أمر بالسبب تحقيقاً؛ لأنّ المسبب لا يكون مقدوراً، والقدرة شرط في التكليف، فيرجع الأمر به إلى الأمر بالسبب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المقدور بالواسطة مقدور ، فلا وجه لإرجاع الأمر به إلى الأمر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كذلك لزم أن لا يكون المسبب فعلاً للمكلّف، فيلزم أن لا يؤخذ بما يتبعه من الآثار، وهو ضروري البطلان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859624_2870459653"/>
      <w:bookmarkStart w:id="110" w:name="_Toc37"/>
      <w:bookmarkEnd w:id="109"/>
      <w:r>
        <w:rPr>
          <w:rtl w:val="true"/>
        </w:rPr>
        <w:t>و</w:t>
      </w:r>
      <w:r>
        <w:rPr>
          <w:rtl w:val="true"/>
        </w:rPr>
        <w:t>[</w:t>
      </w:r>
      <w:r>
        <w:rPr>
          <w:rtl w:val="true"/>
        </w:rPr>
        <w:t>الأصل</w:t>
      </w:r>
      <w:r>
        <w:rPr>
          <w:rtl w:val="true"/>
        </w:rPr>
        <w:t xml:space="preserve">] </w:t>
      </w:r>
      <w:r>
        <w:rPr>
          <w:rtl w:val="true"/>
        </w:rPr>
        <w:t>الثامن</w:t>
      </w:r>
      <w:bookmarkEnd w:id="110"/>
    </w:p>
    <w:p>
      <w:pPr>
        <w:pStyle w:val="BookText"/>
        <w:rPr/>
      </w:pPr>
      <w:r>
        <w:rPr>
          <w:rFonts w:ascii="Amiri" w:hAnsi="Amiri" w:eastAsia="Amiri" w:cs="Amiri"/>
          <w:color w:val="111111"/>
          <w:sz w:val="28"/>
          <w:sz w:val="28"/>
          <w:szCs w:val="28"/>
          <w:rtl w:val="true"/>
          <w:lang w:bidi="ar-SA"/>
        </w:rPr>
        <w:t>اختلفوا في أنّ الأمر بالشيء هل يقتضي النهي عن ضدّه العام أو الخاص أم لا؟</w:t>
      </w:r>
    </w:p>
    <w:p>
      <w:pPr>
        <w:pStyle w:val="BookText"/>
        <w:rPr/>
      </w:pPr>
      <w:r>
        <w:rPr>
          <w:rFonts w:ascii="Amiri" w:hAnsi="Amiri" w:eastAsia="Amiri" w:cs="Amiri"/>
          <w:color w:val="111111"/>
          <w:sz w:val="28"/>
          <w:sz w:val="28"/>
          <w:szCs w:val="28"/>
          <w:rtl w:val="true"/>
          <w:lang w:bidi="ar-SA"/>
        </w:rPr>
        <w:t>والتحقيق أنه لا يقتضي النهي عن الضدّ مطلقاً؛ لأنّ التضادّ إنّما هو في مرحلة الإيجاد، والإيجاد امتثال للأمر ولا يكون مأموراً به حتّى يسري ضد حكمه إلى ضدّه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والنهي حكمان متقابلان وسنخان متضادان متعلقان بنفس الطبيعة مختلفان في الأثر، فالأمر يقتضي إيجاد المأمور به، كما أن النهي يقتضي ترك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فالإيجاد متأخّر عن الأمر ومترتب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أن يكون متعلّقاً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الدور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لأمر مولوي آخر مماثل له، وإلا لزم التسلسل في الأمر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للحكم العقلي بمعنى أنّ العقل يستقل بوجوب امتثال أمر المولى، وأنّ العمل على وفقه وظيفة العبودية، وترك العمل به خروج عن وظيفتها ما لم يكن معذوراً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يكون مراداً ومطلوباً ، كما هو ظاهر ، فالمطلوب إما الفعل أو الترك، فالأمر والنهي وإن تعلّقا في الظاهر بنفس الطبيعة إلّا أنّهما في الحقيقة متعلّقان بالفعل والترك، فالمطلوب من الأمر الفعل، كما أنّ المطلوب من النهى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الفعل والترك متعلّق للحكم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المطلوب إما الفعل أو الترك؛ لأن الغرض من تعلّق الحكم بالماهية هو الامتثال، وهو في الأمر بالايتمار المتحقق بالفعل، وفي النهي بالانتهاء المتحقق بالترك، فهما مطلوبان من الأمر والنهي لا أنهما متعلقان له وإلا لزم أن لا يتقابلا حقيقة وأن يكون اختلافهما في المتعلّق فقط، وهو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والنهي إلّا كالحب والبغض فكما أنه لا يصح إرجاعهما إلى حبّ الفعل والترك لا يصح إرجاع الأمر والنهي إلى طلب الفعل والترك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بيّناه أنّ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منهياً عنه؛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التقابل والتضاد بينه وبين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في هذا الوجه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عصيان للأمر المولوي ويستقلّ العقل في حرمته ذاتاً، فلا يعقل ورود النهي المولوي عليه وإلّا لزم التسلسل في النهي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نهي المولى عنه صريحا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ما أمرتك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إرشاد إلى حكم العقل لا نهياً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توهّمه الأكثر من أنّ النهي عن الضدّ العام من لوازم الأمر الإيجابي</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اغتراراً بما اشتهر تحديد الوجوب به من طلب الفعل مع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لأنّ المنع من الترك تنبيه على أنّ ترك المأمور به حينئذٍ عصيان وخروج عن وظيفة العبودية فيكون ممنوعاً بحكم العقل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غرائب الأوهام ما ذكره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تضمّناً ؛اقتضائه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اغتراراً بالحدّ </w:t>
      </w:r>
    </w:p>
    <w:p>
      <w:pPr>
        <w:pStyle w:val="BookText"/>
        <w:rPr/>
      </w:pPr>
      <w:r>
        <w:rPr>
          <w:rFonts w:ascii="Amiri" w:hAnsi="Amiri" w:eastAsia="Amiri" w:cs="Amiri"/>
          <w:color w:val="111111"/>
          <w:sz w:val="28"/>
          <w:sz w:val="28"/>
          <w:szCs w:val="28"/>
          <w:rtl w:val="true"/>
          <w:lang w:bidi="ar-SA"/>
        </w:rPr>
        <w:t>وأنه كناية عن تأكد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والنهي متقابلان بالضرورة، فكيف يمكن دخول أحدهما في مفهوم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منه ما توهّمه صاحب الفصول من اقتضاء الأمر بالشيء النهي عن ضدّه العام على وجه العينية معنى؛ استناداً إلى أن معنى النهي طلب الترك وطلب ترك الترك عين طلب الفعل في المعنى</w:t>
      </w:r>
      <w:r>
        <w:rPr>
          <w:rStyle w:val="FootnoteAnchor"/>
          <w:rtl w:val="true"/>
        </w:rPr>
        <w:footnoteReference w:id="248"/>
      </w:r>
      <w:r>
        <w:rPr>
          <w:rFonts w:ascii="Amiri" w:hAnsi="Amiri" w:eastAsia="Amiri" w:cs="Amiri"/>
          <w:color w:val="111111"/>
          <w:sz w:val="28"/>
          <w:sz w:val="28"/>
          <w:szCs w:val="28"/>
          <w:rtl w:val="true"/>
          <w:lang w:bidi="ar-SA"/>
        </w:rPr>
        <w:t xml:space="preserve">؛ لاستحالة تعلّق النهي المولوي بترك المأمور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أحد المتقابلين إلى الآخر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واستلزام عدم الاقتضاء ثالثاً؛ ضرورة استحالة اقتضاء الشيء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اجتماع الأمر بالشيء مع النهي عن تركه، لزم اتحادهما في الغرض المطلوب، لا رجوع أحدهما إلى الآخر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الاجتماع مما لا شبهة فيه؛ ضرورة جواز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الزجر عن ترك الشيء هو الأمر به لا تحريم الترك والنهي عنه، كما أنّ الغرض من البعث على الترك فى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الزنا هو التحريم والنهي عنه لا الأمر بالترك، فلم يجتمع في أمثالهما أمر ونهي حتى يرجع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اختلط عليه الأمر والنهي المبحوث عنهما في الأصول، بالأمر والنهي في اصطلاح أهل العربية وهما صيغتا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باقتضائه النهي عن الضدّ الخاص تمسكوا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المأمور به وترك الضدّ متلازمان والتلازم في الوجود يقتضي عدم انفكاك أحدهما عن الآخر في الحكم، فيكون ترك الضدّ مطلوباً أيضاً، وطلب ترك الشيء عبارة عن النهي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إنّما هو بين إيجاد المأمور به وترك الضد، لا بينه وبين المأمور به، والإيجاد لا يكون مورداً للأمر المولوي حتى يتصف ملازمه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التلازم لا يوجب اتحاد المتلازمين في الحكم الشرعي أو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التنزّل لا يرجع الأمر </w:t>
      </w:r>
      <w:bookmarkStart w:id="111" w:name="pg9000_93995"/>
    </w:p>
    <w:p>
      <w:pPr>
        <w:pStyle w:val="BookText"/>
        <w:rPr/>
      </w:pPr>
      <w:bookmarkEnd w:id="111"/>
      <w:r>
        <w:rPr>
          <w:rFonts w:ascii="Amiri" w:hAnsi="Amiri" w:eastAsia="Amiri" w:cs="Amiri"/>
          <w:color w:val="111111"/>
          <w:sz w:val="28"/>
          <w:sz w:val="28"/>
          <w:szCs w:val="28"/>
          <w:rtl w:val="true"/>
          <w:lang w:bidi="ar-SA"/>
        </w:rPr>
        <w:t>بالترك إلى النهي عن الضدّ؛ لأنهما متقابلان، فلا يرجع أحدهما إلى الآخر وإن اتحدا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الترك أمر عدمي لا يعقل تعلّق الأمر به؛ ضرورة أنّ الأمر إنما يتعلق بأمر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الضدّ ممّا يتوقف عليه وجود المأمور به، فيكون مطلوباً تبعاً، فيكون إيجاده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لا يتوقف على ترك الضدّ بل يلازمه؛ ضرورة أن كلاً من المتقابلين في عرض الآخر، فوجود كلّ منهما إنّما هو مع عدم الآخر فهما متلازمان لا مترتبان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التنزّل فالتوقف إنّما هو بين الامتثال وترك الضد، وقد ظهر لك</w:t>
      </w:r>
      <w:r>
        <w:rPr>
          <w:rStyle w:val="FootnoteAnchor"/>
          <w:rtl w:val="true"/>
        </w:rPr>
        <w:footnoteReference w:id="250"/>
      </w:r>
      <w:r>
        <w:rPr>
          <w:rFonts w:ascii="Amiri" w:hAnsi="Amiri" w:eastAsia="Amiri" w:cs="Amiri"/>
          <w:color w:val="111111"/>
          <w:sz w:val="28"/>
          <w:sz w:val="28"/>
          <w:szCs w:val="28"/>
          <w:rtl w:val="true"/>
          <w:lang w:bidi="ar-SA"/>
        </w:rPr>
        <w:t>أنّ الامتثال لا يكون مورداً للحكم المولوي حتّى يسري إلى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التوقف كالتلازم لا يوجب اتحاد الطرفين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الأمر بترك الضدّ لا النهي عنه حينئذ</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859626_2870459653"/>
      <w:bookmarkStart w:id="113" w:name="_Toc38"/>
      <w:bookmarkEnd w:id="112"/>
      <w:r>
        <w:rPr>
          <w:rtl w:val="true"/>
        </w:rPr>
        <w:t>تنبيهات</w:t>
      </w:r>
      <w:bookmarkEnd w:id="1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النزاع تظهر عند الأكثر إذا كان المأمور به مضيّقاً والضدّ عبادة موسعة، فعلى القول بالاقتضاء تبطل بضميمة أنّ النهي في العبادات تقتضي الفساد، وعلى القول بالعدم تصح وإن كان آثماً في ترك المضيق</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موضع النزاع يختص به؛ إذ المأمور بهما إن كانا موسعين فلا مضادّة بينهما وإن كانا مضيّقين فمع تساويهما يتخيّر بينهما ولا مزاحمة حينئذٍ وإلا يقدّم الأهم ويسقط المهم، فينحصر محلّ النزاع بما إذا كان أحدهما مضيّقاً والآخر موسعاً </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التضادّ تضاد نفس الفعلين بحيث لا يجوز اجتماعهما في محلّ واحد، سواء أمكن الجمع بينهما في مرحلة الامتثال أم لا ، فهو جار في الموسعين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أنّ الأمر بأحدهما لا يقتضي النهي عن الآخر وإلا لكان كلّ منهما منهيّاً عنه؛ لاقتضاء الأمر بكلّ منهما النهي عن الآخر حينئذ؛ 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التضادّ في مرحلة الامتثال بحيث لا يمكن الجمع بينهما فحينئذٍ يختصّ بالمضيقين؛ إذ لا مزاحمة بين المضيّق والموسّع ؛ لتمكن المكلف من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لا يستقيم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أنهم أرادوا من التضادّ التضاد في مرحلة الامتثال، فيتوجّه عليهم أنّ التضادّ حينئذٍ مترتب على اجتماع أمرين مولويين ومزاحمة أحدهما الآخر، فلا يعقل أن يوجب سقوط أحدهما أو انقلابه إلى ضده، وهو النهي؛ إذ المتزاحمان إنّما يتزاحمان في التأثير المترتب عليهما، وهو التنجيز، فينفرد به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والأهم إن كان وإلّا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تأثيره في ارتفاع أحدهما أو انقلابه إلى النهي وإلا لزم أن يكون المعلول مزيلاً لعلّته، وهو ضروري البطلان فمرجع تقديم الأهمّ على المهم إلى اختصاص التنجيز به دون المهم، كما أنّ مرجع التخيير إلى ثبوت العذر عن الجمع وتنجيز واحد لا بعينه؛ 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أنه تظهر ثمرة النزاع في المضيّقين إذا كان أحدهما أهم، بل تختص به؛ لأنّ التضادّ في مرحلة الامتثال لا يكون إلا في المضيّقين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قلنا بعدم اقتضاء الأمر بالشيء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الإتيان بالمهم وإن كان آثماً ترك الأهم؛ لأنّ مرجع سقوطه بالأهم إلى العذر وعدم تنجزه، ومجرّد العذر وعدم التنجز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باقتضائه النهي عن ضدّه يبطل حينئذ؛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ظهر أيضاً أنّ ما ذكره بعض المحققين من أنه لو أبدل النهي عن الخاص بعدم الأمر به فيبطل لكان أقرب</w:t>
      </w:r>
      <w:r>
        <w:rPr>
          <w:rStyle w:val="FootnoteAnchor"/>
          <w:rtl w:val="true"/>
        </w:rPr>
        <w:footnoteReference w:id="253"/>
      </w:r>
      <w:r>
        <w:rPr>
          <w:rFonts w:ascii="Amiri" w:hAnsi="Amiri" w:eastAsia="Amiri" w:cs="Amiri"/>
          <w:color w:val="111111"/>
          <w:sz w:val="28"/>
          <w:sz w:val="28"/>
          <w:szCs w:val="28"/>
          <w:rtl w:val="true"/>
          <w:lang w:bidi="ar-SA"/>
        </w:rPr>
        <w:t>، في غير محل؛ لأنّ المزاحمة إنّما هي في مرحلة التنجز ومرجع عدم الأمر بالضدّ الخاص إلى العذر لا انتفاء الأمر رأساً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مزاحمة بين المضيق والموسع حتى في مرحلة التنجز كي يتنجز أحدهما </w:t>
      </w:r>
    </w:p>
    <w:p>
      <w:pPr>
        <w:pStyle w:val="BookText"/>
        <w:rPr/>
      </w:pPr>
      <w:r>
        <w:rPr>
          <w:rFonts w:ascii="Amiri" w:hAnsi="Amiri" w:eastAsia="Amiri" w:cs="Amiri"/>
          <w:color w:val="111111"/>
          <w:sz w:val="28"/>
          <w:sz w:val="28"/>
          <w:szCs w:val="28"/>
          <w:rtl w:val="true"/>
          <w:lang w:bidi="ar-SA"/>
        </w:rPr>
        <w:t>ويسقط الآخر؛ ضرورة أنّ الأمر بالموسع إنّما يقتضي عدم جواز الإخلال به في جميع الوقت، فلا يزاحم المضيّق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المتأخرين لما رأوا أن صحة العبادات الموسعة بل المهم المضيّق منها واضحة عند العقلاء وأهل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بالبطلان شبهة في مقابلة الضرورة</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تصدّوا لتصحيحهما بوجوه مختلفة، فمنهم من رام تصحيحها بالترتب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مانع من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عصيت الأمر بالأهم والمضيق فقد أمرتك بالمهم والموسع</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باطل جدّاً؛ لأنّ القول بالترتب إن كان مع البناء على القول باقتضاء الأمر بالنهي</w:t>
      </w:r>
    </w:p>
    <w:p>
      <w:pPr>
        <w:pStyle w:val="BookText"/>
        <w:rPr/>
      </w:pPr>
      <w:r>
        <w:rPr>
          <w:rFonts w:ascii="Amiri" w:hAnsi="Amiri" w:eastAsia="Amiri" w:cs="Amiri"/>
          <w:color w:val="111111"/>
          <w:sz w:val="28"/>
          <w:sz w:val="28"/>
          <w:szCs w:val="28"/>
          <w:rtl w:val="true"/>
          <w:lang w:bidi="ar-SA"/>
        </w:rPr>
        <w:t xml:space="preserve">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بعضهم</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الأمر بهما لا يجامع و النهي عنهما، و ترتب الأمر على عصيان الأمر بالأهم والمضيق لا يدفع محذور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لتوهم ارتفاع النهي حينئذ ؛ ضرورة عدم سقوط الأمر بالأهم والمضيق بالبناء على العصيان حتى يرتفع النهي عن ضدّ 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البناء على اقتضاء الأمر بهما عدم الأمر بضد يهما فهو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الأمر بالضدّ رأساً، وإنّما الساقط على فرض سقوطه التنجز وصحة الامتثال لا تدور مداره فلا حاجة إلى الالتزام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مزاحمة بين المضيّق والموسّع حتّى في مرحلة التنجز كي يلتزم بارتفاع أحدهما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بنينا على دوران صحة الامتثال مدار التنجز وقلنا بعدم تنجز الأمر بالموسّع مع تنجز الأمر بالمضيق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كالمهم مع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فالترتب لا يصححه؛ لاستحالة تنجز الحكمين مع عدم القدرة على امتثالهما والجمع بينها،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يلزم حينئذٍ أن يكون التارك للأهمّ معاقباً بعقابين، والالتزام به في غاية الشناعة؛ ضرورة أنّ استحقاق العقاب يدور مدار التنجز وتنجزهما معاً في الصورة المذكورة غير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فالعقلاء وأهل العرف إنّما يحكمون بالصحة فيهما؛ لما بيناه</w:t>
      </w:r>
      <w:r>
        <w:rPr>
          <w:rStyle w:val="FootnoteAnchor"/>
          <w:rtl w:val="true"/>
        </w:rPr>
        <w:footnoteReference w:id="257"/>
      </w:r>
      <w:r>
        <w:rPr>
          <w:rFonts w:ascii="Amiri" w:hAnsi="Amiri" w:eastAsia="Amiri" w:cs="Amiri"/>
          <w:color w:val="111111"/>
          <w:sz w:val="28"/>
          <w:sz w:val="28"/>
          <w:szCs w:val="28"/>
          <w:rtl w:val="true"/>
          <w:lang w:bidi="ar-SA"/>
        </w:rPr>
        <w:t>من عدم اقتضاء الأمر بالشيء النهي عن ضدّه وعدم دوران صحة الامتثال مدار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اقتضاء الأمر بالشيء النهي عن ضدّه الخاص في غاية الوضوح؛ إذ لو سئل المولى عن الإتيان بالموسّع والمهمّ مع مزاحمة المضيّق والأهم لنهى عنهما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لأنّ النهي المقطوع به إنّما هو النهي الإرشادي المنبه على وجوب تقديم الأهم والمضيّق لا النهي المولوي الكاشف عن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ظهر أنه لو نهى المولى عنهما صريحاً لا ينافي ما بيناه؛ لأنّ الظاهر منه حينئذٍ الإرشاد إلى وجوب تقديم المضيق والأهم عليهما ، فلا يدلّ على التحريم ولو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قد عرفت</w:t>
      </w:r>
      <w:r>
        <w:rPr>
          <w:rStyle w:val="FootnoteAnchor"/>
          <w:rtl w:val="true"/>
        </w:rPr>
        <w:footnoteReference w:id="258"/>
      </w:r>
      <w:r>
        <w:rPr>
          <w:rFonts w:ascii="Amiri" w:hAnsi="Amiri" w:eastAsia="Amiri" w:cs="Amiri"/>
          <w:color w:val="111111"/>
          <w:sz w:val="28"/>
          <w:sz w:val="28"/>
          <w:szCs w:val="28"/>
          <w:rtl w:val="true"/>
          <w:lang w:bidi="ar-SA"/>
        </w:rPr>
        <w:t>أنّ التبعية في النظر لا تجامع الإلزام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الكلام في اقتضاء النهي الذي هو من قبيل المدلول ومن أقسام الحكم التكليفي، لا النهي اللفظي المستعمل تارةً لإفادة التحريم ومرّةً للتنبيه على وجوب تقديم الأهم وأخرى لإفادة سائر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هذا المبحث كالمبحث السابق</w:t>
      </w:r>
      <w:r>
        <w:rPr>
          <w:rStyle w:val="FootnoteAnchor"/>
          <w:rtl w:val="true"/>
        </w:rPr>
        <w:footnoteReference w:id="259"/>
      </w:r>
      <w:r>
        <w:rPr>
          <w:rFonts w:ascii="Amiri" w:hAnsi="Amiri" w:eastAsia="Amiri" w:cs="Amiri"/>
          <w:color w:val="111111"/>
          <w:sz w:val="28"/>
          <w:sz w:val="28"/>
          <w:szCs w:val="28"/>
          <w:rtl w:val="true"/>
          <w:lang w:bidi="ar-SA"/>
        </w:rPr>
        <w:t xml:space="preserve">إنّما هو في الالتزام العقلي لا في دلالة لفظ الأمر أو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w:t>
      </w:r>
      <w:r>
        <w:rPr>
          <w:rStyle w:val="FootnoteAnchor"/>
          <w:rtl w:val="true"/>
        </w:rPr>
        <w:footnoteReference w:id="260"/>
      </w:r>
      <w:r>
        <w:rPr>
          <w:rFonts w:ascii="Amiri" w:hAnsi="Amiri" w:eastAsia="Amiri" w:cs="Amiri"/>
          <w:color w:val="111111"/>
          <w:sz w:val="28"/>
          <w:sz w:val="28"/>
          <w:szCs w:val="28"/>
          <w:rtl w:val="true"/>
          <w:lang w:bidi="ar-SA"/>
        </w:rPr>
        <w:t>من أنّ موضوع البحث والأحكام إنّما هو الأمر المقابل للنهي والإباحة الذي هو من قبيل المدلول لا الدال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عدم دلالة لفظ الأمر أو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على الضد، والأمر بما لا يتمّ المأمور به إلا به، من الواضحات التي لا ينبغي أن يبحث عنه جاهل فضلاً عن فاضل</w:t>
      </w:r>
      <w:r>
        <w:rPr>
          <w:rFonts w:eastAsia="Amiri" w:cs="Amiri" w:ascii="Amiri" w:hAnsi="Amiri"/>
          <w:color w:val="111111"/>
          <w:sz w:val="28"/>
          <w:szCs w:val="28"/>
          <w:rtl w:val="true"/>
          <w:lang w:bidi="ar-SA"/>
        </w:rPr>
        <w:t xml:space="preserve">. </w:t>
      </w:r>
      <w:bookmarkStart w:id="114" w:name="pg9000_93999"/>
    </w:p>
    <w:p>
      <w:pPr>
        <w:pStyle w:val="Heading3"/>
        <w:numPr>
          <w:ilvl w:val="2"/>
          <w:numId w:val="1"/>
        </w:numPr>
        <w:rPr/>
      </w:pPr>
      <w:bookmarkStart w:id="115" w:name="__RefHeading___Toc1859628_2870459653"/>
      <w:bookmarkStart w:id="116" w:name="_Toc39"/>
      <w:bookmarkEnd w:id="114"/>
      <w:bookmarkEnd w:id="115"/>
      <w:r>
        <w:rPr>
          <w:rtl w:val="true"/>
        </w:rPr>
        <w:t>و</w:t>
      </w:r>
      <w:r>
        <w:rPr>
          <w:rtl w:val="true"/>
        </w:rPr>
        <w:t>[</w:t>
      </w:r>
      <w:r>
        <w:rPr>
          <w:rtl w:val="true"/>
        </w:rPr>
        <w:t>الأصل</w:t>
      </w:r>
      <w:r>
        <w:rPr>
          <w:rtl w:val="true"/>
        </w:rPr>
        <w:t xml:space="preserve">] </w:t>
      </w:r>
      <w:r>
        <w:rPr>
          <w:rtl w:val="true"/>
        </w:rPr>
        <w:t>التاسع</w:t>
      </w:r>
      <w:bookmarkEnd w:id="116"/>
    </w:p>
    <w:p>
      <w:pPr>
        <w:pStyle w:val="BookText"/>
        <w:rPr/>
      </w:pPr>
      <w:r>
        <w:rPr>
          <w:rFonts w:ascii="Amiri" w:hAnsi="Amiri" w:eastAsia="Amiri" w:cs="Amiri"/>
          <w:color w:val="111111"/>
          <w:sz w:val="28"/>
          <w:sz w:val="28"/>
          <w:szCs w:val="28"/>
          <w:rtl w:val="true"/>
          <w:lang w:bidi="ar-SA"/>
        </w:rPr>
        <w:t>اختلفوا في أنّ الأمر بالشيء يقتضي الإجزاء إذا أتى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الأمر الواقعي يقتضي الإجزاء دون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امتثال للأمر قطعاً والامتثال مسقط للتعلّق بالضرورة، فوجب الإجزاء حينئذ، ولا مجال لعدمه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استحباب إعادة الامتثال لإدراك فضيلة فائتة كإعادة الفريضة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إيجابها عقوبة ، كمن أفسد حجّه حيث وجب عليه الإتمام والقضاء 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بيناه بين كون المأتي به واقعياً أولياً وثانوياً، فصلاة المتيمم مجزية ولا يجب عليه الإعادة في الوقت أو القضاء في خارجه إلّا إذا قلنا بأنّ صحة التيمم مراعاة بفقدان الماء في تمام الوقت، فيجب عليه الإعادة في الوقت إذا وجد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فى سائر الأبدال الاضطراريّة؛ فإنّها مجزية عن الواقع بمقتضى البدلية، سواء كانت للتقيّة أم لغيرها من صور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الظاهري فلا تقتضي الموافقة معه الإجزاء عن الواقع إذا انكشف الخلاف، سواء كان مؤدّى الأصول أو الأمارات؛ لبقاء الأمر الواقعي وعدم حصول الامتثال الموجب لإسقاطه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الموافقة مع الأمر الظاهري بدل عن الموافقة مع الأمر الواقعي فيجزي عنه، في غير محله؛ لأنّ مرجع الأمر الظاهري إلى تنزيل المجهول منزلة المعلوم وترتيب آثار العلم على الجهل، بل إلى إبقاء أثر العلم وعدم نقضه بالشك والجهل، كما أوضحناه في محله، فلا يقتضي إلّا تنجز الواقع مع المطابقة، ودفع التنجز مع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 ما ذكره بعضهم من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إجزاء الأمر الظاهري إذا استند إلى الأصل الجاري في موضوع التكليف وكان بلسان تحقق ما هو شرطه أو شطره، كقاعدة الطهارة أو الحلية، بل واستصحابهما في وجه قوي، ونحوها بالنسبة إلى كلّ ما اشترط بالطهارة أو الحلية، يجزي؛ فإنّ </w:t>
      </w:r>
    </w:p>
    <w:p>
      <w:pPr>
        <w:pStyle w:val="BookText"/>
        <w:rPr/>
      </w:pPr>
      <w:r>
        <w:rPr>
          <w:rFonts w:ascii="Amiri" w:hAnsi="Amiri" w:eastAsia="Amiri" w:cs="Amiri"/>
          <w:color w:val="111111"/>
          <w:sz w:val="28"/>
          <w:sz w:val="28"/>
          <w:szCs w:val="28"/>
          <w:rtl w:val="true"/>
          <w:lang w:bidi="ar-SA"/>
        </w:rPr>
        <w:t>دليله يكون حاكماً على دليل الاشتراط، ومبيّناً لدائرة الشرط، وأنّه أعم من الطهارة الواقعية والظاهرية، فانكشاف الخلاف فيه لا يكون موجباً لانكشاف فقدان العمل الشرطه، بل بالنسبة إليه يكون من قبيل ارتفاعه من حين ارتفاع</w:t>
      </w:r>
    </w:p>
    <w:p>
      <w:pPr>
        <w:pStyle w:val="BookText"/>
        <w:rPr/>
      </w:pP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بخلاف ما كان منها بلسان أنه ما هو الشرط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لسان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 فإنّ دليل حجيته حيث كان بلسان أنه ما هو الشرط الواقعي فبارتفاع الجهل ينكشف أنه لم يكن كذلك، بل كان لشرطه فاقداً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الأظهر الأقوى من أن حجيتها على وجه الطريقيّة، وأما بناءً على حجيتها من باب السببية فمؤداها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واجد له مع كونه فاقده، فيجزي لو كان الفاقد كالواجد في كونه وافياً بتمام الغرض وإلا وجب الإتيان بالواجد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لاستيفاء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وجب وأمكن استيفائه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غير محلّه؛ لأنّ أدلّة الأصول ناظرة إلى تنزيل المجهول منزلة المعلوم وترتيب آثار العلم على الجهل، لا إلى تحقق الواقع تعبّداً ، فلا يترتب عليها إلّا ما يترتب على الأصل من التنجيز مع المطابقة، والعذر مع المخالفة، فلا يعقل أن تكون ناظرةً إلى الأدلّة المبينة للشرط أو الشطر، وشارحةً له؛ ضرورة أنّ الأدلّة المبينة لأحدهما ناظرة إلى بيان ما يعتبر في موضوع الحكم أو كيفية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الأصول ناظرة إلى بيان ما يتحقق به تنجز الحكم أو العذر عنه، فكلّ منهما ناظر إلى مرحلة مغايرة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تكون إحداهما شارحةً للأخرى، وحاكمةً عليها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وأما ما ذكره في الأمارات بناءً على اعتبارها من باب السببية ففاسد أيضاً؛ لأنها إن أؤ جبت تنزيل مؤداها منزلة الواقع وجب الاجتزاء بها مطلقاً، وإلا لم يجز الاجتزاء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العفو عن الواقع حينئذٍ فالتفصيل بين وفائها بتمام الغرض وعدمه، في غير محله؛ إذ مع العلم بعدم وفاء الناقص بما يفي به التام لا ينافي الاجتزاء به في حال </w:t>
      </w:r>
    </w:p>
    <w:p>
      <w:pPr>
        <w:pStyle w:val="BookText"/>
        <w:rPr/>
      </w:pPr>
      <w:r>
        <w:rPr>
          <w:rFonts w:ascii="Amiri" w:hAnsi="Amiri" w:eastAsia="Amiri" w:cs="Amiri"/>
          <w:color w:val="111111"/>
          <w:sz w:val="28"/>
          <w:sz w:val="28"/>
          <w:szCs w:val="28"/>
          <w:rtl w:val="true"/>
          <w:lang w:bidi="ar-SA"/>
        </w:rPr>
        <w:t>الاضطرار من جهة أهمية إدراك وظيفة الوقت على إدراك العمل التام في نظر الشارع وإلّا لم يجعله بدلاً عن التام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ما ملخصه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يذهب عليك أنّ الإجزاء في بعض موارد الأصول والأمارات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التصويب المجمع على بطلانه في تلك الموارد؛ لأن الحكم الواقعي في مرتبة الإنشاء محفوظ فيها ، وهو الحكم المشترك بين العالم والجاهل والملتفت والغافل، الثابت للعناوين الأوّليّة بحسب ما فيها من المقتضيات، فالمنفي في موارد الأصول والأمارات إنما هو الحكم الفعلي البعثي الواقعي مع عدم الإصابة، سواء قلنا بالإجزاء أم لا، فلا فرق بين الإجزاء وعدمه إلا فى سقوط التكليف بالواقع بموافقة الأمر الظاهري وعدم سقوطه بعد انكشاف المخالفة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الجواب على ما 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الأُصول الجارية في الموضوع حاكمة على الأدلّة المبينة للشرط أو الشطر وتجعله أعم من الواقعي والظاهري، وأنّ مؤدّى الأمارات تجزي بناءً على حجيتها من باب السببية ووفائه بتمام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القول بالإجزاء حينئذٍ مع فعليّة الأمر الواقعي؛ لتحقق الامتثال بالنسبة إلى الأمر الواقعي في موارد الأُصول من حيث إن الشرط والشطر حينئذ أعم من الواقعي والظاهري وقد حصل، ولسقوطه في موارد الأمارات من دون امتثال؛ لأجل حصول الغرض من مؤدّى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غفل عمّا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جواباً عن لزوم التصويب فاسد لزوم التصويب فاسد من وجوه عديدة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المنشأت حتى يكون الإنشاء مرتبة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الإنشائي ما لم يصل مرتبة الفعلية لم يتعلق بالمكلّف أصلاً وإن كان ثابتاً للواقعة، وهو عين القول بالتصويب؛ فإنّ المصوّبة لا يقولون بخلو الوقائع عن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يقولون بعدم تعلّقها بالمكلّفين إلا بعد العلم بها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 الجاهل مع العالم في الحكم إنّما يصدق إذا تعلّق الحكم الواقعي به، وأما إذا كان الحكم الواقعي إنشائيّاً غير متعلّق به فهو غير محكوم بحكم الواقعة حينئذٍ حتى يشترك مع العالم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حينئذٍ عدم ثبوت القضاء على الجاهل والغافل؛ لأنه فرع الفوت، وهو فرع المتعلّق فمع عدم تعلّق الأداء عليهما لا مجال لوجوب القضاء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الحكم الواقعي متعلّق بالعالم والجاهل، وهما مشتركان فيه، واختلافهما إنّما هو في المرحلة المتأخّرة عنه، وهي مرحلة تنجز الحكم وعدمه؛ ضرورة أن تأثير العلم والجهل إنّما هو في هذه المرحلة لا في التعلّق وعدمه، فلا تأثير للأُصول والأمارات إلا في التنجيز وعدمه؛ لأنهما إنّما تعملان في مورد الجهل بالحكم؛ لبيان وظيفة الجاهل به، فمؤدّاهما إنّما هي وظيفة المكلف بالنسبة إلى الحكم الواقعي من حيث التنجيز أو العذر، لا ثبوت حكم آخر للواقعة حتى يرد عليه بأنه يلزم اجماع مثلين في محلّ واحد مع المطابقة، واجتماع ضدّين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قضيّتان مختلفتا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واشتراك وظائف المكلّف مع أحكام الوقائع في التعبير أوجب الغرور والوقوع في محذور اجتماع المثلين أو الضدّين، والتحيّر في الجواب عنه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ما أجاب به من أنّ الحكمين إنّما يجتمعان في مرتبة الإنشاء، ولا محذور في اجتماعهما كذلك، وإنّما المحذور في بلوغهما مرتبة الفعلية</w:t>
      </w:r>
      <w:r>
        <w:rPr>
          <w:rStyle w:val="FootnoteAnchor"/>
          <w:rtl w:val="true"/>
        </w:rPr>
        <w:footnoteReference w:id="265"/>
      </w:r>
      <w:r>
        <w:rPr>
          <w:rFonts w:ascii="Amiri" w:hAnsi="Amiri" w:eastAsia="Amiri" w:cs="Amiri"/>
          <w:color w:val="111111"/>
          <w:sz w:val="28"/>
          <w:sz w:val="28"/>
          <w:szCs w:val="28"/>
          <w:rtl w:val="true"/>
          <w:lang w:bidi="ar-SA"/>
        </w:rPr>
        <w:t xml:space="preserve">، ولا اجتماع لهما في هذه المرحلة أبداً؛ إذ الحكم الظاهري مع عدم الإصابة فعلي، والواقعي إنشائي،ومع الإصابة يصير فعلياً؛ لأنّ الحكم إن خرج بالإنشاء عن مرحلة الشأنية وصار متحققاً </w:t>
      </w:r>
      <w:bookmarkStart w:id="117" w:name="pg9000_94003"/>
    </w:p>
    <w:p>
      <w:pPr>
        <w:pStyle w:val="BookText"/>
        <w:rPr/>
      </w:pPr>
      <w:bookmarkEnd w:id="117"/>
      <w:r>
        <w:rPr>
          <w:rFonts w:ascii="Amiri" w:hAnsi="Amiri" w:eastAsia="Amiri" w:cs="Amiri"/>
          <w:color w:val="111111"/>
          <w:sz w:val="28"/>
          <w:sz w:val="28"/>
          <w:szCs w:val="28"/>
          <w:rtl w:val="true"/>
          <w:lang w:bidi="ar-SA"/>
        </w:rPr>
        <w:t xml:space="preserve">بالنسبة إلى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يتعلّق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اجماع مثلين أو ضدين منها على موضوع واحد، وإلّا يلزم خلوّ الواقعة عن الحكم حينئذ ، وهو التصويب الباطل بل أظهر بطلاناً منه؛ ضرورة عدم جواز خلوّ الواقعة من حيثية من الحيثيات الخمسة في نظر المولى</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859630_2870459653"/>
      <w:bookmarkStart w:id="119" w:name="_Toc40"/>
      <w:bookmarkEnd w:id="118"/>
      <w:r>
        <w:rPr>
          <w:rtl w:val="true"/>
        </w:rPr>
        <w:t>تنبیهان</w:t>
      </w:r>
      <w:bookmarkEnd w:id="1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الاضطراري يكتفى به عن المبدل في مرحلة الامتثال مع بقاء الأمر بالمبدل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الامتثال التام بالإتيان بنفس المأمور به اكتفي عنه بالامتثال الناقص بالإتيان ببدله؛ فإنّ البدل متحد مع المبدل، والإتيان به إتيان بالمبدل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به امتثال للأمر بالمبدل لا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وجب عليه قضاء الصلاة متطهراً بالطهارة المائية لو لم يأت بها متيمماً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سائر موارد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العذر عن الامتثال التام أوجب الاجتزاء بالامتثال الناقص والاكتفاء بالبدل، لا تبديل المأمور به والأمر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يأت به في الوقت وفات المأمور به أصلاً وبدلاً تعيّن عليه القضاء بالامتثال التام عند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الاجتزاء بالناقص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القضاء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المسافر ما فاتت منه في السفر تامّةً؛ لأنّ السفر عذر شرعي مانع عن الإتمام و موجب للاجتزاء بالقصر ولا يكون موضوعاً لحكم القصر وإلّا لوجب عليه القضاء قصراً إذا أتم صلاته جهلاً أو نسياناً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تصدّق من الله تعالى على العباد، كما هو صريح الروايات</w:t>
      </w:r>
      <w:r>
        <w:rPr>
          <w:rStyle w:val="FootnoteAnchor"/>
          <w:rtl w:val="true"/>
        </w:rPr>
        <w:footnoteReference w:id="266"/>
      </w:r>
      <w:r>
        <w:rPr>
          <w:rFonts w:ascii="Amiri" w:hAnsi="Amiri" w:eastAsia="Amiri" w:cs="Amiri"/>
          <w:color w:val="111111"/>
          <w:sz w:val="28"/>
          <w:sz w:val="28"/>
          <w:szCs w:val="28"/>
          <w:rtl w:val="true"/>
          <w:lang w:bidi="ar-SA"/>
        </w:rPr>
        <w:t>، فلا يجوز الإتمام ولو قضاء؛ لأنه موجب لردّ ما تصدّق به على العباد وهو حرام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إجزاء التمام جهلاً أو نسياناً؛ لعدم تحقق الردّ إلا مع العمد</w:t>
      </w:r>
      <w:r>
        <w:rPr>
          <w:rFonts w:eastAsia="Amiri" w:cs="Amiri" w:ascii="Amiri" w:hAnsi="Amiri"/>
          <w:color w:val="111111"/>
          <w:sz w:val="28"/>
          <w:szCs w:val="28"/>
          <w:rtl w:val="true"/>
          <w:lang w:bidi="ar-SA"/>
        </w:rPr>
        <w:t xml:space="preserve">. </w:t>
      </w:r>
      <w:bookmarkStart w:id="120" w:name="pg9000_94004"/>
    </w:p>
    <w:p>
      <w:pPr>
        <w:pStyle w:val="BookText"/>
        <w:rPr/>
      </w:pPr>
      <w:bookmarkEnd w:id="12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بما قطع أنه مأمور به لا يوجب الإجزاء إذا خالف الواقع ولو على القول بإجزاء الحكم الظاهري عن الواقع؛ لعدم ثبوت الحكم الظاهري، بالقطع المخالف، عندهم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859632_2870459653"/>
      <w:bookmarkStart w:id="122" w:name="_Toc41"/>
      <w:bookmarkEnd w:id="121"/>
      <w:r>
        <w:rPr>
          <w:rtl w:val="true"/>
        </w:rPr>
        <w:t>و</w:t>
      </w:r>
      <w:r>
        <w:rPr>
          <w:rtl w:val="true"/>
        </w:rPr>
        <w:t>[</w:t>
      </w:r>
      <w:r>
        <w:rPr>
          <w:rtl w:val="true"/>
        </w:rPr>
        <w:t>الأصل</w:t>
      </w:r>
      <w:r>
        <w:rPr>
          <w:rtl w:val="true"/>
        </w:rPr>
        <w:t xml:space="preserve">] </w:t>
      </w:r>
      <w:r>
        <w:rPr>
          <w:rtl w:val="true"/>
        </w:rPr>
        <w:t>العاشر</w:t>
      </w:r>
      <w:bookmarkEnd w:id="122"/>
    </w:p>
    <w:p>
      <w:pPr>
        <w:pStyle w:val="BookText"/>
        <w:rPr/>
      </w:pPr>
      <w:r>
        <w:rPr>
          <w:rFonts w:ascii="IRNazanin" w:hAnsi="IRNazanin" w:eastAsia="IRNazanin"/>
          <w:color w:val="111111"/>
          <w:sz w:val="28"/>
          <w:sz w:val="28"/>
          <w:szCs w:val="28"/>
          <w:rtl w:val="true"/>
          <w:lang w:bidi="fa-IR"/>
        </w:rPr>
        <w:t>قد نسب إلى بعض تعلّق الأمر بالفرد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الأحكام التكليفية كلّها من عوارض الماهية لا الوجود وإن كان المطلوب من الأمر الإيجاد، كما أنّ المطلوب من النهي الترك؛ ضرورة أنّ الغرض منهما إنّما هو الامتثال، وامتثال الأوّل لا يكون إلا بإيجاد المأمور به كما أن امتثال الثاني لا يكون إلا بترك المنهي عنه، والفرد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الطبيعة الموجودة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الإيجاد ولا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 من أنّ الكلّي الطبيعي لا وجود له في الخارج فيمتنع تعلّق الأمر به فتعين أن يكون المتعلّق هو الفرد، غلط ظاهر؛ لأنّ الموجود إنما هو الكلّي الطبيعي؛ فإنّ المفاهيم المتصوّرة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وعدم وماهيّة، والعدم لا يقبل الوجود وإلّا اتصف الشيء بنقيضه، وكذا الوجود وإلّا لزم عروض الشيء على نفسه، مع أنه لو جاز اتصاف الوجود بالوجود لزم جواز اتصافه بالعدم أيضاً؛ لأنّ كلّاً من المتقابلين إنّما يرد على ما يرد عليه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فيلزم اتصاف الشيء بنقيضه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يقبل الوجود إنّما هي الماهية وهي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العرض لماهية قبل الوجود غير متصوّر؛ ضرورة أن ثبوت شيء لشيء فرع ثبوت المثبت له، فالعرض لا يعرض إلّا على الموجود، وتقسيم العرض إلى عرض الماهيّة وعرض الوجود إنّما هو باعتبار عروضه على خصوص الوجود الخارجي أو الذهني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فالعارض على مطلق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ذهنياً كان أم خارجياً كزوجيّة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عرض الماهية والعارض على خصوص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كإحراق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خصوص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عرض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بالنسبة إلى الطبيعة ليس من قبيل الأوّل وإلا لزم أن يكون المأمور به مطلق الوجود فيلزم أن يتحقق الامتثال بالإيجاد الذهني واللازم واضح البطلان، فالمأمور به إنّما هي الطبيعة الموجودة في الخارج وهو الفرد، وهو المطلوب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توقف وجود الشيء على ثبوته، وإلا لزم توقف الشيء على نفسه، والمتفرّع على ثبوت المثبت له إنّما هو ثبوت شيء لشيء لا ثبوته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يتوقف ثبوت الشيء على إمكان الوجود وقبوله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عروض العرض على معروضه عبارة عن ارتباطه به لا ثبوته له حتّى يتفرّع على ثبوت 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والاغترار إنّما حصل من التعبير عنه بالكون في العروض غفلةً عن أن المراد منه الكون الربطي لا الوجود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الماهية ما كان عرضاً لها مع قطع النظر عن الوجود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توهم من تفرّعه على الوجود ذهناً أو خارجاً، في غير محله؛ ضرورة أن الأربعة زوج وإن لم يتصوّرها متصوّر ولم توجد في الخارج، ولو توقف عروض الزوجية عليها على وجودها في الخارج أو الذهن لزم أن يكون العارض كذلك فيلزم أن تكون الأربعة المتصوّرة في الذهن لا زوج ولا فرد ما لم يتصوّر الزوجية لها، ويلزم أن يكون في حدّ ذاتها قابلة للاتصاف بالوصفين؛ لأنّ ما جاز خلوّه عنهما يجوز تطرّق كلّ منهما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فساد ما توهّموه من توقف الاتصاف بعوارض الماهية على الوجود الذهني أو الخارجي</w:t>
      </w:r>
      <w:r>
        <w:rPr>
          <w:rStyle w:val="FootnoteAnchor"/>
          <w:rtl w:val="true"/>
        </w:rPr>
        <w:footnoteReference w:id="268"/>
      </w:r>
      <w:r>
        <w:rPr>
          <w:rFonts w:ascii="Amiri" w:hAnsi="Amiri" w:eastAsia="Amiri" w:cs="Amiri"/>
          <w:color w:val="111111"/>
          <w:sz w:val="28"/>
          <w:sz w:val="28"/>
          <w:szCs w:val="28"/>
          <w:rtl w:val="true"/>
          <w:lang w:bidi="ar-SA"/>
        </w:rPr>
        <w:t>،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الوجود الذهني بمعنى الوجود الظلي الضعيف فاسد في أصله وقد فصلنا الكلام فيه في محلّه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بما بيّناه أنّ الأمر إنّما يتعلّق بالماهية والطبيعة، والإيجاد امتثال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 ما بيناه ما اشتهر في الألسنة من أنّ الطبيعة من حيث هي ليست إلا هي فإنّ المقصود منه أنّ الطبيعة في حدّ ذاتها لا موجودة ولا معدومة لا أنّها ليست قابلة للحكم عليها؛ ضرورة أنّ البعث والزجر إنّما يتعلّقان بالماهيّة وإن كان الغرض منها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إنّما ينطبق عليها عنوان الامتثال فلا يكون مأموراً به وإنّما يكون مطلوباً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يتعلّق حكم ثانوي بإيجاد المأمور به فيصير محرّماً بالعرض، كصوم الحائض والمريض، فيمنع عن تنجز الحكم الأولي، أو مندوباً؛ لأجل فضيلة زائدة، كالصلاة في المسجد أو مع الجماعة، أو مكروهاً؛ لأجل منقصة طارئة، كالصلاة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يصير واجباً بالعرض، كالفريضة المنذورة، بناءً على صحة نذر الواجب، كما هو الأظهر؛ فإنّ الواجب بالنذر حينئذ إنّما هو إيجاد الفريضة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أن نذر النافلة لا يوجب انقلاب الحكم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الإيجاب؛ لأنّ المندوب إنّما هو نفس النافلة، والواجب بالنذر إنما هو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 لما سبق منك</w:t>
      </w:r>
      <w:r>
        <w:rPr>
          <w:rStyle w:val="FootnoteAnchor"/>
          <w:rtl w:val="true"/>
        </w:rPr>
        <w:footnoteReference w:id="269"/>
      </w:r>
      <w:r>
        <w:rPr>
          <w:rFonts w:ascii="Amiri" w:hAnsi="Amiri" w:eastAsia="Amiri" w:cs="Amiri"/>
          <w:color w:val="111111"/>
          <w:sz w:val="28"/>
          <w:sz w:val="28"/>
          <w:szCs w:val="28"/>
          <w:rtl w:val="true"/>
          <w:lang w:bidi="ar-SA"/>
        </w:rPr>
        <w:t xml:space="preserve">من أن إيجاد الواجب واجب بحكم العقل ولا يمكن أن يتعلّق به أمر مولوي وإلا لزم التسلسل في الأمر والامتثال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سابقاً إنما هو استحالة تعلّق أمر مولوي بإيجاد الواجب من حيث كونه امتثالاً للأمر، وأما تعلّق أمر مولوي به لأجل أمر خارج فلا، ولا ينافي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نسب إلى أكثر مخالفينا جواز أمر الأمر مع العلم بانتفاء شرطه</w:t>
      </w:r>
      <w:r>
        <w:rPr>
          <w:rStyle w:val="FootnoteAnchor"/>
          <w:rtl w:val="true"/>
        </w:rPr>
        <w:footnoteReference w:id="270"/>
      </w:r>
      <w:r>
        <w:rPr>
          <w:rFonts w:ascii="Amiri" w:hAnsi="Amiri" w:eastAsia="Amiri" w:cs="Amiri"/>
          <w:color w:val="111111"/>
          <w:sz w:val="28"/>
          <w:sz w:val="28"/>
          <w:szCs w:val="28"/>
          <w:rtl w:val="true"/>
          <w:lang w:bidi="ar-SA"/>
        </w:rPr>
        <w:t>، وقد حمل على جواز الأمر بأداء الفعل قبل وقته مع العلم بانتفاء شرطه في وقته</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فأقوى </w:t>
      </w:r>
    </w:p>
    <w:p>
      <w:pPr>
        <w:pStyle w:val="BookText"/>
        <w:rPr/>
      </w:pPr>
      <w:r>
        <w:rPr>
          <w:rFonts w:ascii="IRNazanin" w:hAnsi="IRNazanin" w:eastAsia="IRNazanin"/>
          <w:color w:val="111111"/>
          <w:sz w:val="28"/>
          <w:sz w:val="28"/>
          <w:szCs w:val="28"/>
          <w:rtl w:val="true"/>
          <w:lang w:bidi="fa-IR"/>
        </w:rPr>
        <w:t>حجتهم عليه أنه لو لم يصح لم يعلم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ذبح ولده؛ لانتفاء شرطه عند وقته، وهو عدم النسخ، وقد علم وإلا لم يقدم على ذبح ولده ولم يحتج إلى 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النسخ ليس شرطاً للأمر ، وإنّما النسخ مزيل له، فهو متفرّع على ثبوته، فكيف يتفرّع الأمر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ذبح الولد لم ينسخ، وإنما فداه الله بالكبش بسبب الذبح العظيم، والفداء ليس نسخاً؛ لأنه عبارة عن جعل بدل للمأمور به، فلا ينافي بقاء الأمر بالمبدل، بل مجامع له ومتفرع عليه؛ ضرورة أنّ الاكتفاء بالبدل إنّما هو في مرحلة الامتثال، فالأمر بالذبح باقٍ وإنّما رفع تنجيزه عليه بالاكتفاء بالبدل، فهو من باب الأمر بالشيء مع العلم بأنّه سيفديه ولا إشكال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ذكره في المعالم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 من تكليف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بالذبح الذي هو فري الأوداج، بل كلّف بمقدّماته كالاضطجاع وتناول المدية وما يجري مجرى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هذا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Style w:val="FootnoteAnchor"/>
          <w:rtl w:val="true"/>
        </w:rPr>
        <w:footnoteReference w:id="272"/>
      </w:r>
      <w:r>
        <w:rPr>
          <w:rFonts w:ascii="IRNazanin" w:hAnsi="IRNazanin" w:eastAsia="IRNazanin"/>
          <w:color w:val="111111"/>
          <w:sz w:val="28"/>
          <w:sz w:val="28"/>
          <w:szCs w:val="28"/>
          <w:rtl w:val="true"/>
          <w:lang w:bidi="fa-IR"/>
        </w:rPr>
        <w:t>، وأمّا جزعه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فلإشفاقه من أن يؤمر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مقدمات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نفسه لجريان العادة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الفداء فيجوز أن يكون عمّا ظنّ أنّه سيؤمر به من الذبح، أو عن مقدمات الذبح زيادة عمّا فعله لم يكن قد أمر بها؛ إذ لا يجب في الفدية أن يكون من جنس المفدي</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الفداء فعل الحق لا فعل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 فداءً عمّا ظنّه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غاية البشاعة، مع أنّ الفداء لا يتصوّر إلا عن المأمور به، فلا مجال لجعله بدلاً عن المظنون الذي لا أصل له، مع أنّ إرجاع الأمر بالذبح إلى الأمر بالمقدّمات لا يناسب امتحان مثل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وولده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واشتهارهما بالفضل لذلك وتلقبه بذبيح الله، ولا ما ورد </w:t>
      </w:r>
    </w:p>
    <w:p>
      <w:pPr>
        <w:pStyle w:val="BookText"/>
        <w:rPr/>
      </w:pPr>
      <w:r>
        <w:rPr>
          <w:rFonts w:ascii="Amiri" w:hAnsi="Amiri" w:eastAsia="Amiri" w:cs="Amiri"/>
          <w:color w:val="111111"/>
          <w:sz w:val="28"/>
          <w:sz w:val="28"/>
          <w:szCs w:val="28"/>
          <w:rtl w:val="true"/>
          <w:lang w:bidi="ar-SA"/>
        </w:rPr>
        <w:t>من أن المراد بذبح عظيم صار سبباً للفداء هو شهادة الحسين</w:t>
      </w:r>
      <w:r>
        <w:rPr>
          <w:rStyle w:val="FootnoteAnchor"/>
          <w:rtl w:val="true"/>
        </w:rPr>
        <w:footnoteReference w:id="274"/>
      </w:r>
      <w:r>
        <w:rPr>
          <w:rFonts w:ascii="Amiri" w:hAnsi="Amiri" w:eastAsia="Amiri" w:cs="Amiri"/>
          <w:color w:val="111111"/>
          <w:sz w:val="28"/>
          <w:sz w:val="28"/>
          <w:szCs w:val="28"/>
          <w:rtl w:val="true"/>
          <w:lang w:bidi="ar-SA"/>
        </w:rPr>
        <w:t>،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توهمه، في غير محله؛ إذ تصديق الرؤيا يتحقق بالتسليم والحضور للامتثال بإيجاد مقدمات الذبح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فالتحقيق أنه لا يجوز أمر الآمر مع العلم بانتفاء شرطه؛ ضرورة انتفاء المشروط بانتفاء شرطه، فلا مجال لإثباته قبل الوقت مع العلم بانتفاء شرطه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تعلّق الأمر بالمأمور مطلقاً مع العلم بانتفاء شرط التنجز ولا منافاة بينهما، وأما تنجيز الأمر مع العلم بانتفاء شرط التنجيز فغير متصوّر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توهم أنه من هذا القبيل كأمر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بذبح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بصيام من علم بحدوث المانع له في أثناء النهار من السفر والحيض والمرض، فليس من هذا الباب؛ لما ظهر لك من أنّ الأوّل من باب الأمر بشيء مع بناء الآمر على أن يفديه ببدل، فهو قبل الفداء منجز؛ لأنّ البناء على الفداء لا ينافي التنجيز الفعلي، وإنّما ينافيه إعماله، فإذا فداه يرتفع التنجيز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الأمر في الأمر بصيام من علم بأنه يسافر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بنائه على السفر لا ينافي تنجيز الصوم عليه حال حضوره، وإنّما ينافيه فعلية السفر قبل الزوال، فإذا سافر ارتفع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السفر فعل اختياري للمسافر وليس أمراً قهريّاً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للعلم بوقوعه قبل الزوال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قادراً على إتمام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البناء على السفر قادر على إتمام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إذا اختار السفر يرتفع عنه تنجز أمر الصوم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إرادة الآمر من المأمور فعل شيء مع بنائه على أن يفديه أو مع علمه بأنّ المأمور يختار ما ينافيه</w:t>
      </w:r>
      <w:r>
        <w:rPr>
          <w:rFonts w:eastAsia="Amiri" w:cs="Amiri" w:ascii="Amiri" w:hAnsi="Amiri"/>
          <w:color w:val="111111"/>
          <w:sz w:val="28"/>
          <w:szCs w:val="28"/>
          <w:rtl w:val="true"/>
          <w:lang w:bidi="ar-SA"/>
        </w:rPr>
        <w:t xml:space="preserve">. </w:t>
      </w:r>
      <w:bookmarkStart w:id="123" w:name="pg9000_94009"/>
    </w:p>
    <w:p>
      <w:pPr>
        <w:pStyle w:val="BookText"/>
        <w:rPr/>
      </w:pPr>
      <w:bookmarkEnd w:id="123"/>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الأمر والإرادة؛ لما عرفت</w:t>
      </w:r>
      <w:r>
        <w:rPr>
          <w:rStyle w:val="FootnoteAnchor"/>
          <w:rtl w:val="true"/>
        </w:rPr>
        <w:footnoteReference w:id="275"/>
      </w:r>
      <w:r>
        <w:rPr>
          <w:rFonts w:ascii="Amiri" w:hAnsi="Amiri" w:eastAsia="Amiri" w:cs="Amiri"/>
          <w:color w:val="111111"/>
          <w:sz w:val="28"/>
          <w:sz w:val="28"/>
          <w:szCs w:val="28"/>
          <w:rtl w:val="true"/>
          <w:lang w:bidi="ar-SA"/>
        </w:rPr>
        <w:t>من أنّ حقيقة الأمر سابقة على الطلب والإرادة ولا تتقوّم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بصيام من علم بأنه يصادفه المانع القهري من إتمام الصوم، كحيض أو مرض أو نفاس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بالإمساك لا بالصيام؛ ضرورة وجوب الإمساك قبل طرق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بالصيام حقيقة ولا مانع له؛ لأنّ الصوم أمر بسيط غير متوزّع على أجزاء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يجتزى بالنيّة قبل الزوال لمن نسيها ليلاً ولم يفطر في النهار، بل يجتزى بها في المندوب قبل الغروب لمن لم يفطر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المستجمع للشرائط وإن علم بطرق العذر المانع عن الإتمام في الأثناء؛ لعدم توقف تحقق الصيام حينئذٍ على إمساك اليوم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المنافي في الأثناء هادم ومزيل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859634_2870459653"/>
      <w:bookmarkStart w:id="125" w:name="_Toc42"/>
      <w:bookmarkEnd w:id="124"/>
      <w:r>
        <w:rPr>
          <w:rtl w:val="true"/>
        </w:rPr>
        <w:t>تنبیهان</w:t>
      </w:r>
      <w:bookmarkEnd w:id="1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أمر الآمر مع العلم بانتفاء شرطه لا يبتنى على تقوّم الأمر بالإرادة وعدم مفارقتها عن الطلب، كما نسب جوازه إلى أكثر المخالفين بناءً على ما توهموه من مفارقة الإرادة عن الطلب</w:t>
      </w:r>
      <w:r>
        <w:rPr>
          <w:rStyle w:val="FootnoteAnchor"/>
          <w:rtl w:val="true"/>
        </w:rPr>
        <w:footnoteReference w:id="276"/>
      </w:r>
      <w:r>
        <w:rPr>
          <w:rFonts w:ascii="Amiri" w:hAnsi="Amiri" w:eastAsia="Amiri" w:cs="Amiri"/>
          <w:color w:val="111111"/>
          <w:sz w:val="28"/>
          <w:sz w:val="28"/>
          <w:szCs w:val="28"/>
          <w:rtl w:val="true"/>
          <w:lang w:bidi="ar-SA"/>
        </w:rPr>
        <w:t>ضرورة أنّ انتفاء المشروط بانتفاء شرطه قاعدة عقليّة لا تقبل التخصيص فلا مجال لمنعه على تقدير دون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يتوهّم أنّ ذبح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يستقل العقل بقبحه فلا يعقل أن يؤمر به على وجه الحقيقة، فأمر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أمر صوري للامتحان والاختيار، فهو خارج عن موضوع البحث</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القبيح عقلاً إنّما هو الذبح المجرّد عن عنوان وأما الذبح بعنوان القربان للحق فهو حسن ذاتاً؛ لأنه عبارة عن بذل حياته وإفناء نفسه في جنب الحق، فالتذلل والتعبد فيه أكمل وأعظم، فهو من أعظم المقربات وأكمل أنحاء العبادات وأشدّها ولو استقلّ العقل </w:t>
      </w:r>
      <w:bookmarkStart w:id="126" w:name="pg9000_94010"/>
    </w:p>
    <w:p>
      <w:pPr>
        <w:pStyle w:val="BookText"/>
        <w:rPr/>
      </w:pPr>
      <w:bookmarkEnd w:id="126"/>
      <w:r>
        <w:rPr>
          <w:rFonts w:ascii="IRNazanin" w:hAnsi="IRNazanin" w:eastAsia="IRNazanin"/>
          <w:color w:val="111111"/>
          <w:sz w:val="28"/>
          <w:sz w:val="28"/>
          <w:szCs w:val="28"/>
          <w:rtl w:val="true"/>
          <w:lang w:bidi="fa-IR"/>
        </w:rPr>
        <w:t>بقبحه ولم يجز الأمر به واقعاً لم يكن فيه امتحان للخليل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يجوز خفاء ما هو كذلك على أوائل العقلاء، فكيف يخفى على مثل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مجال للفداء حينئذٍ ولا جعل ذبح عظيم سبباً له ولا افتخار إسماعيل بأنه ذبيح الله واشتهار الفضل له وللخليل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Heading3"/>
        <w:numPr>
          <w:ilvl w:val="2"/>
          <w:numId w:val="1"/>
        </w:numPr>
        <w:rPr/>
      </w:pPr>
      <w:bookmarkStart w:id="127" w:name="__RefHeading___Toc1859636_2870459653"/>
      <w:bookmarkStart w:id="128" w:name="_Toc43"/>
      <w:bookmarkEnd w:id="127"/>
      <w:r>
        <w:rPr>
          <w:rtl w:val="true"/>
        </w:rPr>
        <w:t>و</w:t>
      </w:r>
      <w:r>
        <w:rPr>
          <w:rtl w:val="true"/>
        </w:rPr>
        <w:t>[</w:t>
      </w:r>
      <w:r>
        <w:rPr>
          <w:rtl w:val="true"/>
        </w:rPr>
        <w:t>الأصل</w:t>
      </w:r>
      <w:r>
        <w:rPr>
          <w:rtl w:val="true"/>
        </w:rPr>
        <w:t xml:space="preserve">] </w:t>
      </w:r>
      <w:r>
        <w:rPr>
          <w:rtl w:val="true"/>
        </w:rPr>
        <w:t>الثاني عشر</w:t>
      </w:r>
      <w:bookmarkEnd w:id="128"/>
    </w:p>
    <w:p>
      <w:pPr>
        <w:pStyle w:val="BookText"/>
        <w:rPr/>
      </w:pPr>
      <w:r>
        <w:rPr>
          <w:rFonts w:ascii="Amiri" w:hAnsi="Amiri" w:eastAsia="Amiri" w:cs="Amiri"/>
          <w:color w:val="111111"/>
          <w:sz w:val="28"/>
          <w:sz w:val="28"/>
          <w:szCs w:val="28"/>
          <w:rtl w:val="true"/>
          <w:lang w:bidi="ar-SA"/>
        </w:rPr>
        <w:t>قد نسب إلى أكثر المخالفين أنّه إذا نسخ الوجوب يبقى الجواز</w:t>
      </w:r>
      <w:r>
        <w:rPr>
          <w:rStyle w:val="FootnoteAnchor"/>
          <w:rtl w:val="true"/>
        </w:rPr>
        <w:footnoteReference w:id="277"/>
      </w:r>
      <w:r>
        <w:rPr>
          <w:rFonts w:ascii="Amiri" w:hAnsi="Amiri" w:eastAsia="Amiri" w:cs="Amiri"/>
          <w:color w:val="111111"/>
          <w:sz w:val="28"/>
          <w:sz w:val="28"/>
          <w:szCs w:val="28"/>
          <w:rtl w:val="true"/>
          <w:lang w:bidi="ar-SA"/>
        </w:rPr>
        <w:t>استصحاباً؛ لأنّ نسخه، كما يصدق برفع جزئيه، يصدق برفع أحدهما وهو المنع من الترك، فلا دلالة للناسخ على رفع الجزئين، فيستصحب بقاء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 إنما يتم فى المركب من الأجزاء الخارجية، وأما المركب من الأجزاء العقلية فهو بسيط في الخارج، ولا يتصوّر رفع أحد جزئيه من دون الآخر، ولا تقوّم أحدهما بدون الآخر، وتركيب الوجوب من الجزئين إنّما هو من قبيل الثاني؛ ضرورة أنّ جزئيه إنّما هما الجنس والفصل، وهما جزء ان تحلیلیان عقليّان، فلا مجال للاستصحاب حينئذ؛ لعدم الشكّ في ارتفاع الجواز حينئذٍ حتّى يستصحب البقاء، فيرجع فيه إلى ما يقتضيه الأصل قبل النسخ</w:t>
      </w:r>
      <w:r>
        <w:rPr>
          <w:rFonts w:eastAsia="IRNazanin" w:cs="IRNazanin"/>
          <w:color w:val="111111"/>
          <w:sz w:val="28"/>
          <w:szCs w:val="28"/>
          <w:rtl w:val="true"/>
          <w:lang w:bidi="fa-IR"/>
        </w:rPr>
        <w:t>.</w:t>
      </w:r>
    </w:p>
    <w:p>
      <w:pPr>
        <w:pStyle w:val="Heading3"/>
        <w:numPr>
          <w:ilvl w:val="2"/>
          <w:numId w:val="1"/>
        </w:numPr>
        <w:rPr/>
      </w:pPr>
      <w:bookmarkStart w:id="129" w:name="__RefHeading___Toc1859638_2870459653"/>
      <w:bookmarkStart w:id="130" w:name="_Toc44"/>
      <w:bookmarkEnd w:id="129"/>
      <w:r>
        <w:rPr>
          <w:rtl w:val="true"/>
        </w:rPr>
        <w:t>و</w:t>
      </w:r>
      <w:r>
        <w:rPr>
          <w:rtl w:val="true"/>
        </w:rPr>
        <w:t>[</w:t>
      </w:r>
      <w:r>
        <w:rPr>
          <w:rtl w:val="true"/>
        </w:rPr>
        <w:t>الأصل</w:t>
      </w:r>
      <w:r>
        <w:rPr>
          <w:rtl w:val="true"/>
        </w:rPr>
        <w:t xml:space="preserve">] </w:t>
      </w:r>
      <w:r>
        <w:rPr>
          <w:rtl w:val="true"/>
        </w:rPr>
        <w:t>الثالث عشر</w:t>
      </w:r>
      <w:bookmarkEnd w:id="130"/>
    </w:p>
    <w:p>
      <w:pPr>
        <w:pStyle w:val="BookText"/>
        <w:rPr/>
      </w:pPr>
      <w:r>
        <w:rPr>
          <w:rFonts w:ascii="Amiri" w:hAnsi="Amiri" w:eastAsia="Amiri" w:cs="Amiri"/>
          <w:color w:val="111111"/>
          <w:sz w:val="28"/>
          <w:sz w:val="28"/>
          <w:szCs w:val="28"/>
          <w:rtl w:val="true"/>
          <w:lang w:bidi="ar-SA"/>
        </w:rPr>
        <w:t>ينقسم الأمر باعتبار المأمور إلى عيني وكفائي؛ فإن كان المأمور منظوراً بعينه فهو عيني لا يحصل الامتثال إلا بإتيانه بعينه للمأمور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استوى هو وغيره من أفراد المكلّفين في نظره فهو كفائي يرتبط إلى كلّ واحد منهم على سبيل البدل عن الآخر فيحصل الامتثال بإتيان كلّ واحد منهم ويسقط عن </w:t>
      </w:r>
      <w:bookmarkStart w:id="131" w:name="pg9000_94011"/>
    </w:p>
    <w:p>
      <w:pPr>
        <w:pStyle w:val="BookText"/>
        <w:rPr/>
      </w:pPr>
      <w:bookmarkEnd w:id="131"/>
      <w:r>
        <w:rPr>
          <w:rFonts w:ascii="Amiri" w:hAnsi="Amiri" w:eastAsia="Amiri" w:cs="Amiri"/>
          <w:color w:val="111111"/>
          <w:sz w:val="28"/>
          <w:sz w:val="28"/>
          <w:szCs w:val="28"/>
          <w:rtl w:val="true"/>
          <w:lang w:bidi="ar-SA"/>
        </w:rPr>
        <w:t>الآخرين، فإن أخلّوا به أثموا جميعاً، فالتكليف واحد حقيقةً والمكلّف متعدّد، فلا يقتضي إلا امتثالاً واحداً، فإن قام به بعض سقط عن الآخرين وإن أخلوا به أثم الجميع؛ لاشتغال ذمّة كلّ واحد منهم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باعتبار المأمور به إلى تعييني وتخييري؛ فإن تعلّق بعينه واقتصر نظر الأمر عليه فهو تعييني لا يتحقق الامتثال إلا بإتيانه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 بشيئين أو أشياء وكان النظر إلى كلّ واحد منها في عرض الآخر فهو تخييري يحصل الامتثال بإتيان واحد منها ويأثم بترك الجميع، فالكل متعلّق للأمر بتعلّق ضعيف ويكون كلّ واحد منها بدلاً عن الآخر وقائماً مقامه في الامتثال، ويتنزّل التعلّقات المتعدّدة بتعدد المأمور به بمنزلة تعلّق تام واحد تعييني، فلا يوجب إلا امتثالاً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واحد منها لا بمعنى أنّ المأمور به واحد لا بعينه، كما نسب إلى الأشاعرة</w:t>
      </w:r>
      <w:r>
        <w:rPr>
          <w:rStyle w:val="FootnoteAnchor"/>
          <w:rtl w:val="true"/>
        </w:rPr>
        <w:footnoteReference w:id="278"/>
      </w:r>
      <w:r>
        <w:rPr>
          <w:rFonts w:ascii="Amiri" w:hAnsi="Amiri" w:eastAsia="Amiri" w:cs="Amiri"/>
          <w:color w:val="111111"/>
          <w:sz w:val="28"/>
          <w:sz w:val="28"/>
          <w:szCs w:val="28"/>
          <w:rtl w:val="true"/>
          <w:lang w:bidi="ar-SA"/>
        </w:rPr>
        <w:t>فإنّه غير معقول؛ ضرورة استحالة تعلّق الغرض بالمبهم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859640_2870459653"/>
      <w:bookmarkStart w:id="133" w:name="_Toc45"/>
      <w:bookmarkEnd w:id="132"/>
      <w:r>
        <w:rPr>
          <w:rtl w:val="true"/>
        </w:rPr>
        <w:t>تنبیهان</w:t>
      </w:r>
      <w:bookmarkEnd w:id="1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قد يكون أصليّاً شرعياً كما في خصال الكفارات الثلاث بناءً على القول بالتخيير، وقد يكون عرضيّاً ناشئاً من التزاحم بين الواجبين وعدم أهمية أحدهما من الآخر؛ فإنّ وجوب كلّ واحد منهما تعييني في حد نفسه، وإنما طرء التخيير من قبل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حينئذٍ إنّما هو في مرحلة التنجز لا في مرحلة التحقق ولا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يسقط الآخر عن ذمّته بامتثال أحدهما ويجب قضائه إن كان له قضاء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لا يكون إلا بين متباينين ولا يعقل وقوعه بين الأقل والأكثر؛ إذ مع الإتيان بالأقل يتحقق الامتثال ويسقط الأمر فلا يبقى مجال لاشتغال الذمة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 أنّه من هذا القبيل فهو إما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بين القصر والإتمام في المواطن </w:t>
      </w:r>
      <w:bookmarkStart w:id="134" w:name="pg9000_94012"/>
    </w:p>
    <w:p>
      <w:pPr>
        <w:pStyle w:val="BookText"/>
        <w:rPr/>
      </w:pPr>
      <w:bookmarkEnd w:id="134"/>
      <w:r>
        <w:rPr>
          <w:rFonts w:ascii="Amiri" w:hAnsi="Amiri" w:eastAsia="Amiri" w:cs="Amiri"/>
          <w:color w:val="111111"/>
          <w:sz w:val="28"/>
          <w:sz w:val="28"/>
          <w:szCs w:val="28"/>
          <w:rtl w:val="true"/>
          <w:lang w:bidi="ar-SA"/>
        </w:rPr>
        <w:t>الأربع؛ فإنّه كما يستفاد من أخبار أهل بيت العصمة</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كناية عن التخيير بين الإقامة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راجع إلى استحباب الأكثر كالتخيير بين التسبيحة والتسبيحات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يمكن أن يكون المحصل للغرض فيما إذا وجد الأكثر هو الأكثر لا الأقل الذي في ضمنه، بمعنى أن يكون لجميع أجزائه حينئذٍ دخل في حصوله وإن كان الأقل لو لم يكن في ضمنه كافياً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ففي غیر محلّه؛ لأنه إن أريد منه أنّ الاجتزاء بالأقلّ مشروط بعدم الزائد كما ذكره صاحب الفصول</w:t>
      </w:r>
      <w:r>
        <w:rPr>
          <w:rStyle w:val="FootnoteAnchor"/>
          <w:rtl w:val="true"/>
        </w:rPr>
        <w:footnoteReference w:id="281"/>
      </w:r>
      <w:r>
        <w:rPr>
          <w:rFonts w:ascii="Amiri" w:hAnsi="Amiri" w:eastAsia="Amiri" w:cs="Amiri"/>
          <w:color w:val="111111"/>
          <w:sz w:val="28"/>
          <w:sz w:val="28"/>
          <w:szCs w:val="28"/>
          <w:rtl w:val="true"/>
          <w:lang w:bidi="ar-SA"/>
        </w:rPr>
        <w:t>فهو باطل؛ لأنّ الاشتراط بعدم الزائد إنّما يصح إذا كان قادحاً في مطلوبيّة الأقل، وأمّا إذا كان موجباً لفضيلة زائدة، كما في المقام، فلا مجال للاشتراط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أنّ المحصل للغرض المطلوب حينئذ هو الجامع بين الأقل والأكثر ، كما يظهر من تمثيله بالخط المرتسم تارة قصيراً وأُخرى طويلاً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فيما إذا كان الأكثر فرداً له ولا يكون الأقل الموجود في ضمنه فرداً مستقلاً كالمثال المذكور، وأما إذا كان الأقل فرداً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كالتسبيحة الموجودة في ضمن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الامتثال به ولا يبقى مجال لوجوب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حينئذٍ هو الكلّي الجامع بينهما بالوجوب التعييني، ولا تخيير بين الواجبين، والتخيير إنّما هو بين الفردين في مرحلة الامتثال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859642_2870459653"/>
      <w:bookmarkStart w:id="136" w:name="_Toc46"/>
      <w:bookmarkEnd w:id="135"/>
      <w:r>
        <w:rPr>
          <w:rtl w:val="true"/>
        </w:rPr>
        <w:t>و</w:t>
      </w:r>
      <w:r>
        <w:rPr>
          <w:rtl w:val="true"/>
        </w:rPr>
        <w:t>[</w:t>
      </w:r>
      <w:r>
        <w:rPr>
          <w:rtl w:val="true"/>
        </w:rPr>
        <w:t>الأصل</w:t>
      </w:r>
      <w:r>
        <w:rPr>
          <w:rtl w:val="true"/>
        </w:rPr>
        <w:t xml:space="preserve">] </w:t>
      </w:r>
      <w:r>
        <w:rPr>
          <w:rtl w:val="true"/>
        </w:rPr>
        <w:t>الرابع عشر</w:t>
      </w:r>
      <w:bookmarkEnd w:id="1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أنّ الأمر بالأمر بشيء أمر به أم لا؟ </w:t>
      </w:r>
      <w:bookmarkStart w:id="137" w:name="pg9000_94013"/>
    </w:p>
    <w:p>
      <w:pPr>
        <w:pStyle w:val="BookText"/>
        <w:rPr/>
      </w:pPr>
      <w:bookmarkEnd w:id="137"/>
      <w:r>
        <w:rPr>
          <w:rFonts w:ascii="Amiri" w:hAnsi="Amiri" w:eastAsia="Amiri" w:cs="Amiri"/>
          <w:color w:val="111111"/>
          <w:sz w:val="28"/>
          <w:sz w:val="28"/>
          <w:szCs w:val="28"/>
          <w:rtl w:val="true"/>
          <w:lang w:bidi="ar-SA"/>
        </w:rPr>
        <w:t>وفرعوا على الأوّل صحة عبادات الصبي وأنّها تشريعيّة، وعلى الثاني عدم صحتها وأنها تمرينيّة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مجرّد الأمر بالأمر بشيء ليس أمراً به، وأن عبادات الصبي صحيحة؛ لأن صحتها تابعة لاستجماع شرائط الامتثال، والبلوغ إنما يكون شرطاً في التعلّق، ولا تدور صحة الامتثال مدار التعلّق مع أنّ في الأخبار دلالة على صحة عبادات الصبي</w:t>
      </w:r>
      <w:r>
        <w:rPr>
          <w:rStyle w:val="FootnoteAnchor"/>
          <w:rtl w:val="true"/>
        </w:rPr>
        <w:footnoteReference w:id="283"/>
      </w:r>
      <w:r>
        <w:rPr>
          <w:rFonts w:ascii="Amiri" w:hAnsi="Amiri" w:eastAsia="Amiri" w:cs="Amiri"/>
          <w:color w:val="111111"/>
          <w:sz w:val="28"/>
          <w:sz w:val="28"/>
          <w:szCs w:val="28"/>
          <w:rtl w:val="true"/>
          <w:lang w:bidi="ar-SA"/>
        </w:rPr>
        <w:t>، كما لا يخفى على من راجعها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859644_2870459653"/>
      <w:bookmarkStart w:id="139" w:name="_Toc47"/>
      <w:bookmarkEnd w:id="138"/>
      <w:r>
        <w:rPr>
          <w:rtl w:val="true"/>
        </w:rPr>
        <w:t>و</w:t>
      </w:r>
      <w:r>
        <w:rPr>
          <w:rtl w:val="true"/>
        </w:rPr>
        <w:t>[</w:t>
      </w:r>
      <w:r>
        <w:rPr>
          <w:rtl w:val="true"/>
        </w:rPr>
        <w:t>الأصل</w:t>
      </w:r>
      <w:r>
        <w:rPr>
          <w:rtl w:val="true"/>
        </w:rPr>
        <w:t xml:space="preserve">] </w:t>
      </w:r>
      <w:r>
        <w:rPr>
          <w:rtl w:val="true"/>
        </w:rPr>
        <w:t>الخامس عشر</w:t>
      </w:r>
      <w:bookmarkEnd w:id="139"/>
    </w:p>
    <w:p>
      <w:pPr>
        <w:pStyle w:val="BookText"/>
        <w:rPr/>
      </w:pPr>
      <w:r>
        <w:rPr>
          <w:rFonts w:ascii="Amiri" w:hAnsi="Amiri" w:eastAsia="Amiri" w:cs="Amiri"/>
          <w:color w:val="111111"/>
          <w:sz w:val="28"/>
          <w:sz w:val="28"/>
          <w:szCs w:val="28"/>
          <w:rtl w:val="true"/>
          <w:lang w:bidi="ar-SA"/>
        </w:rPr>
        <w:t>المأمور به موقت إن ضرب لأدائه وقت معيّن وإلّا فلا، والموقت موسّع إن كان الوقت فاضلاً عنه، كالأوقات المضروبة للصلوات الخمس وإلا فمضيق، كأيّام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تفضيل الوقت على العمل معقول وواقع في الشرع، فلا مجال للتأمل فيه، وليس مرجع تفضيل الوقت إلى التخيير بين أفعال متماثلة متخالفة في الوقت؛ ضرورة أنّ الواجب فيه 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إنّما هو في الامتثال لا في أصل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لإيجاب العزم على أداء الفعل في ثاني الحال بدلاً عنه إذا أخره عن أوّل الوقت أو وسطه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859646_2870459653"/>
      <w:bookmarkStart w:id="141" w:name="_Toc48"/>
      <w:bookmarkEnd w:id="140"/>
      <w:r>
        <w:rPr>
          <w:rtl w:val="true"/>
        </w:rPr>
        <w:t>و</w:t>
      </w:r>
      <w:r>
        <w:rPr>
          <w:rtl w:val="true"/>
        </w:rPr>
        <w:t>[</w:t>
      </w:r>
      <w:r>
        <w:rPr>
          <w:rtl w:val="true"/>
        </w:rPr>
        <w:t>الأصل</w:t>
      </w:r>
      <w:r>
        <w:rPr>
          <w:rtl w:val="true"/>
        </w:rPr>
        <w:t xml:space="preserve">] </w:t>
      </w:r>
      <w:r>
        <w:rPr>
          <w:rtl w:val="true"/>
        </w:rPr>
        <w:t>السادس عشر</w:t>
      </w:r>
      <w:bookmarkEnd w:id="141"/>
    </w:p>
    <w:p>
      <w:pPr>
        <w:pStyle w:val="BookText"/>
        <w:rPr/>
      </w:pPr>
      <w:r>
        <w:rPr>
          <w:rFonts w:ascii="Amiri" w:hAnsi="Amiri" w:eastAsia="Amiri" w:cs="Amiri"/>
          <w:color w:val="111111"/>
          <w:sz w:val="28"/>
          <w:sz w:val="28"/>
          <w:szCs w:val="28"/>
          <w:rtl w:val="true"/>
          <w:lang w:bidi="ar-SA"/>
        </w:rPr>
        <w:t>أنّ مطلق الأمر بالموقت لا يقتضي القضاء خارج الوقت إذا فات منه المأمور به في الوقت؛ لأنّ التقييد بالوقت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النظر إليه ضعيفاً بحيث لا يزول الموقت بزواله فيقتضي القضاء، وقد يكون النظر إليه شديداً بحيث يزول الموقت بزواله فلا يقتضى القضاء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فمطلق التقييد لا يدلّ على أحد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النظر إلى القيد منتزع من من إطلاق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إلى المأمور به وشدّة اهتمام المولى بالنسبة إليه بحيث يكون مطلوباً له مع زوال القيد، وهو خلاف الأصل، فيقتصر على القدر المتيقن، فلا يحكم بالقضاء إلّا مع قيام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أنّ القضاء بأمر جديد لا بالأمر الأوّل</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000_94016"/>
      <w:bookmarkStart w:id="143" w:name="pg9000_94016"/>
      <w:bookmarkEnd w:id="143"/>
    </w:p>
    <w:p>
      <w:pPr>
        <w:pStyle w:val="Heading2"/>
        <w:numPr>
          <w:ilvl w:val="1"/>
          <w:numId w:val="1"/>
        </w:numPr>
        <w:rPr/>
      </w:pPr>
      <w:bookmarkStart w:id="144" w:name="pg9000_94016"/>
      <w:bookmarkStart w:id="145" w:name="__RefHeading___Toc1859648_2870459653"/>
      <w:bookmarkStart w:id="146" w:name="_Toc49"/>
      <w:bookmarkEnd w:id="144"/>
      <w:bookmarkEnd w:id="145"/>
      <w:r>
        <w:rPr>
          <w:rtl w:val="true"/>
        </w:rPr>
        <w:t>المقصد الثاني في النواهي</w:t>
      </w:r>
      <w:bookmarkEnd w:id="146"/>
    </w:p>
    <w:p>
      <w:pPr>
        <w:pStyle w:val="Heading3"/>
        <w:numPr>
          <w:ilvl w:val="2"/>
          <w:numId w:val="1"/>
        </w:numPr>
        <w:rPr/>
      </w:pPr>
      <w:bookmarkStart w:id="147" w:name="__RefHeading___Toc1859650_2870459653"/>
      <w:bookmarkStart w:id="148" w:name="_Toc50"/>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اعلم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الزجر والمنع ، كما يشهد به الاطراد في موارد الاستعمالات؛ فإنّ إطلاقه على ما يقابل الأمر من الحكم التكليفي المبحوث عنه في المقام إنّما هو باعتبار كونه منعاً عن الفعل، كما أنّ إطلاقه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استقر عليه اصطلاح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آلة للزجر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إطلاق النهية على العقل؛ فإنّه باعتبار كونه مانعاً من ارتكاب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النهاية على آخر الشيء إنّما هو باعتبار عدم التجاوز عنه والمنع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النهايات على حدود الدار بهذا الاعتبار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إطلاق الإنهاء على الإبلاغ والإعلام؛ لأنه غاية قصد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بيّناه يظهر حال سائر موارد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فالمبحوث عنه هو النهي المقابل للأمر والإباحة الذي هو قسم من الحكم التكليفي ومن قبيل المعاني، فتعريفه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القائل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جرى مجراه على سبيل الاستعلاء مع كراهة المنهي مع كراهة المنهي عنه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غفلة أو توسع في التعريف بالتقريب في الجملة، كما أنّ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الترك بالقول على جهة الاستعلاء</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كذلك أيضاً؛ فإنّ المدلول بغير القول نهى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أنه منع تكليفي يترتب عليه طلب الترك وكراهة المنهي عنه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تحقيقه في مبحث الأمر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49" w:name="pg9000_94017"/>
    </w:p>
    <w:p>
      <w:pPr>
        <w:pStyle w:val="BookText"/>
        <w:rPr/>
      </w:pPr>
      <w:bookmarkEnd w:id="149"/>
      <w:r>
        <w:rPr>
          <w:rFonts w:ascii="Amiri" w:hAnsi="Amiri" w:eastAsia="Amiri" w:cs="Amiri"/>
          <w:color w:val="111111"/>
          <w:sz w:val="28"/>
          <w:sz w:val="28"/>
          <w:szCs w:val="28"/>
          <w:rtl w:val="true"/>
          <w:lang w:bidi="ar-SA"/>
        </w:rPr>
        <w:t>وكلامهم في اعتبار العلو والاستعلاء فيه نظير كلامهم في الأمر، والتحقيق اعتبارهما معاً فيه كالأمر؛ ضرورة أن تحقق التكليف بل الحكم التكليفي مطلقاً فرع ولاية المكلّف عقلاً أو شرعاً وكونه في مقام إعمال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عدم اعتبارهما فيه أو اعتبار أحدهما فيه عيناً أو تخييراً،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 إنّما نشأت من خفاء موضوع البحث عليهم فزعموا أنّ الكلام في اعتبار الأمرين أو أحدهما يرجع إلى اعتبارهما أو أحدهما في مفهومي الأمر والنهي لغةً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ما بيناه فاعلم أنّ لهم هنا مباحث</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859652_2870459653"/>
      <w:bookmarkStart w:id="151" w:name="_Toc51"/>
      <w:bookmarkEnd w:id="150"/>
      <w:r>
        <w:rPr>
          <w:rtl w:val="true"/>
        </w:rPr>
        <w:t>[</w:t>
      </w:r>
      <w:r>
        <w:rPr>
          <w:rtl w:val="true"/>
        </w:rPr>
        <w:t>المبحث الأول</w:t>
      </w:r>
      <w:r>
        <w:rPr>
          <w:rtl w:val="true"/>
        </w:rPr>
        <w:t>]</w:t>
      </w:r>
      <w:bookmarkEnd w:id="15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بالنهي ما هو ؟ الترك أو الكف؟ نسب الثاني إلى الأكثر</w:t>
      </w:r>
      <w:r>
        <w:rPr>
          <w:rStyle w:val="FootnoteAnchor"/>
          <w:rtl w:val="true"/>
        </w:rPr>
        <w:footnoteReference w:id="287"/>
      </w:r>
      <w:r>
        <w:rPr>
          <w:rFonts w:ascii="Amiri" w:hAnsi="Amiri" w:eastAsia="Amiri" w:cs="Amiri"/>
          <w:color w:val="111111"/>
          <w:sz w:val="28"/>
          <w:sz w:val="28"/>
          <w:szCs w:val="28"/>
          <w:rtl w:val="true"/>
          <w:lang w:bidi="ar-SA"/>
        </w:rPr>
        <w:t>محتجين عليه بأنّ النهي تكليف ولا تكليف إلا بمقدور للمكلّف، وترك الفعل لا يتعلّق به القدرة، لكونه عدماً أصليّاً سابقاً على القدرة، فلا يكون المطلوب إلّا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المطلوب بالنهي الترك؛ إذ به يتحقق الامتثال قطعاً ولا يعتبر فيه أزيد منه، وما احتج به على أنه الكفّ، في غير محله؛ لأنّ نسبة القدرة إلى الوجود والعدم سواء، فلو لم يكن ترك الفعل مقدوراً لم يكن إيجاده مقدوراً ، فتأثير القدرة في الوجود فقط موجب لانقلاب القدرة بالوجوب، وهو خلف للفرض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النهي كالأمر إنّما يتعلّق بالطبيعة، والترك إنّما يكون امتثالاً له لا متعلّقاً للتكليف، والطلب المتعلّق به ليس طلباً مولويّاً تكليفياً ، بل طلباً غائياً، فهو مقصود من النهي، كما أنّ الفعل مقصود من الأمر</w:t>
      </w:r>
      <w:r>
        <w:rPr>
          <w:rFonts w:eastAsia="Amiri" w:cs="Amiri" w:ascii="Amiri" w:hAnsi="Amiri"/>
          <w:color w:val="111111"/>
          <w:sz w:val="28"/>
          <w:szCs w:val="28"/>
          <w:rtl w:val="true"/>
          <w:lang w:bidi="ar-SA"/>
        </w:rPr>
        <w:t xml:space="preserve">. </w:t>
      </w:r>
      <w:bookmarkStart w:id="152" w:name="pg9000_94018"/>
    </w:p>
    <w:p>
      <w:pPr>
        <w:pStyle w:val="Heading3"/>
        <w:numPr>
          <w:ilvl w:val="2"/>
          <w:numId w:val="1"/>
        </w:numPr>
        <w:rPr/>
      </w:pPr>
      <w:bookmarkStart w:id="153" w:name="__RefHeading___Toc1859654_2870459653"/>
      <w:bookmarkStart w:id="154" w:name="_Toc52"/>
      <w:bookmarkEnd w:id="152"/>
      <w:bookmarkEnd w:id="153"/>
      <w:r>
        <w:rPr>
          <w:rtl w:val="true"/>
        </w:rPr>
        <w:t>[</w:t>
      </w:r>
      <w:r>
        <w:rPr>
          <w:rtl w:val="true"/>
        </w:rPr>
        <w:t>المبحث الثاني</w:t>
      </w:r>
      <w:r>
        <w:rPr>
          <w:rtl w:val="true"/>
        </w:rPr>
        <w:t>]</w:t>
      </w:r>
      <w:bookmarkEnd w:id="15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له صيغة تخصه بحيث متى ترد لغيره كانت مجازاً؟</w:t>
      </w:r>
    </w:p>
    <w:p>
      <w:pPr>
        <w:pStyle w:val="BookText"/>
        <w:rPr/>
      </w:pPr>
      <w:r>
        <w:rPr>
          <w:rFonts w:ascii="Amiri" w:hAnsi="Amiri" w:eastAsia="Amiri" w:cs="Amiri"/>
          <w:color w:val="111111"/>
          <w:sz w:val="28"/>
          <w:sz w:val="28"/>
          <w:szCs w:val="28"/>
          <w:rtl w:val="true"/>
          <w:lang w:bidi="ar-SA"/>
        </w:rPr>
        <w:t xml:space="preserve">والتحقيق أنه كالأمر ليس له صغية ولا أداة تخصة وضعاً؛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إنما تفيد الزجر والردع المترتب عليه التحريم والتنزيه والتهديد والبطلان وسائر الأغراض المختلفة باختلاف المقامات فلا تخصه وضعاً وإنّما تخصه انصرافاً، كما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الأمر كذلك، كما مر</w:t>
      </w:r>
      <w:r>
        <w:rPr>
          <w:rStyle w:val="FootnoteAnchor"/>
          <w:rtl w:val="true"/>
        </w:rPr>
        <w:footnoteReference w:id="288"/>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859656_2870459653"/>
      <w:bookmarkStart w:id="156" w:name="_Toc53"/>
      <w:bookmarkEnd w:id="155"/>
      <w:r>
        <w:rPr>
          <w:rtl w:val="true"/>
        </w:rPr>
        <w:t>[</w:t>
      </w:r>
      <w:r>
        <w:rPr>
          <w:rtl w:val="true"/>
        </w:rPr>
        <w:t>المبحث الثالث</w:t>
      </w:r>
      <w:r>
        <w:rPr>
          <w:rtl w:val="true"/>
        </w:rPr>
        <w:t>]</w:t>
      </w:r>
      <w:bookmarkEnd w:id="15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النهي هل يقتضي التحريم أو الكراهة أو لا يقتضي شيء منهما؟</w:t>
      </w:r>
    </w:p>
    <w:p>
      <w:pPr>
        <w:pStyle w:val="BookText"/>
        <w:rPr/>
      </w:pPr>
      <w:r>
        <w:rPr>
          <w:rFonts w:ascii="Amiri" w:hAnsi="Amiri" w:eastAsia="Amiri" w:cs="Amiri"/>
          <w:color w:val="111111"/>
          <w:sz w:val="28"/>
          <w:sz w:val="28"/>
          <w:szCs w:val="28"/>
          <w:rtl w:val="true"/>
          <w:lang w:bidi="ar-SA"/>
        </w:rPr>
        <w:t>والتحقيق أنه يقتضي الكراهة بمعنى أنها القدر المتيقن من النهي فيحكم بها إلى أن يدل الدليل على أزيد منه، وقد اختلط الأمر على المتأخرين في هذا المبحث، كما اختلط عليهم الأمر في الأمر</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59658_2870459653"/>
      <w:bookmarkStart w:id="158" w:name="_Toc54"/>
      <w:bookmarkEnd w:id="157"/>
      <w:r>
        <w:rPr>
          <w:rtl w:val="true"/>
        </w:rPr>
        <w:t>[</w:t>
      </w:r>
      <w:r>
        <w:rPr>
          <w:rtl w:val="true"/>
        </w:rPr>
        <w:t>المبحث الرابع</w:t>
      </w:r>
      <w:r>
        <w:rPr>
          <w:rtl w:val="true"/>
        </w:rPr>
        <w:t>]</w:t>
      </w:r>
      <w:bookmarkEnd w:id="15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النهي هل يقتضي الدوام والتكرار أم لا؟</w:t>
      </w:r>
    </w:p>
    <w:p>
      <w:pPr>
        <w:pStyle w:val="BookText"/>
        <w:rPr/>
      </w:pPr>
      <w:r>
        <w:rPr>
          <w:rFonts w:ascii="Amiri" w:hAnsi="Amiri" w:eastAsia="Amiri" w:cs="Amiri"/>
          <w:color w:val="111111"/>
          <w:sz w:val="28"/>
          <w:sz w:val="28"/>
          <w:szCs w:val="28"/>
          <w:rtl w:val="true"/>
          <w:lang w:bidi="ar-SA"/>
        </w:rPr>
        <w:t xml:space="preserve">والتحقيق أنه يفيده؛ لأنّ النهي المطلق يقتضي الانتهاء مطلقاً، والانتهاء كذلك لا يصدق إلا بترك المنهي عنه وعدم إيجاده دائماً، فلو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النهي وعصى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يكون صدق الامتثال دائراً مدار ترك المنهي عنه دائماً بحيث لو خالف وأتى به مرّةً لم يكن مجال لامتثال النهي فلا يكون تركه بعد العصيان مطلوباً بالنهي، أو يصدق بالترك مطلقاً؟ غاية الأمر أنّ امتثال النهي ليس كامتثال الأمر موجباً لسقوط التعلّق حتى لا يجب الامتثال ثانياً</w:t>
      </w:r>
      <w:r>
        <w:rPr>
          <w:rFonts w:eastAsia="Amiri" w:cs="Amiri" w:ascii="Amiri" w:hAnsi="Amiri"/>
          <w:color w:val="111111"/>
          <w:sz w:val="28"/>
          <w:szCs w:val="28"/>
          <w:rtl w:val="true"/>
          <w:lang w:bidi="ar-SA"/>
        </w:rPr>
        <w:t xml:space="preserve">. </w:t>
      </w:r>
      <w:bookmarkStart w:id="159" w:name="pg9000_94019"/>
    </w:p>
    <w:p>
      <w:pPr>
        <w:pStyle w:val="BookText"/>
        <w:rPr/>
      </w:pPr>
      <w:bookmarkEnd w:id="159"/>
      <w:r>
        <w:rPr>
          <w:rFonts w:ascii="Amiri" w:hAnsi="Amiri" w:eastAsia="Amiri" w:cs="Amiri"/>
          <w:color w:val="111111"/>
          <w:sz w:val="28"/>
          <w:sz w:val="28"/>
          <w:szCs w:val="28"/>
          <w:rtl w:val="true"/>
          <w:lang w:bidi="ar-SA"/>
        </w:rPr>
        <w:t xml:space="preserve">والظاهر بل المتعيّن هو الثاني فما ذكره بعضهم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أن يكون المطلوب ترك المنهي عنه في جميع الآنات على وجه الوحدة في المطلوب فلا يتحقق الامتثال حينئذٍ إلا بالترك في جميع الآنات، وأن يكون المطلوب الترك في كل من الآنات على وجه التعدّد في المطلوب، فلا يحمل على أحدهما إلا بدليل</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في غير محله؛ لأنّ طلب الترك في النهي ليس طلباً ابتدائياً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يحتمل الأمرين، وإلّا لرجع النهي عن الشيء إلى الأمر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مترتباً على كون الفعل مبغوضاً للمولى، بل راجعاً إليه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المنهي عنه ترك للمبغوض لا إتيان بالمطلوب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المنهيّ عنه مبغوض للمولى في كلّ من الآنات فيكون تركه مطلوباً كذلك فلا مجال لاحتمال كون الترك مطلوباً في جميع الآنات على وجه الوحدة في المطلوب</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859660_2870459653"/>
      <w:bookmarkStart w:id="161" w:name="_Toc55"/>
      <w:bookmarkEnd w:id="160"/>
      <w:r>
        <w:rPr>
          <w:rtl w:val="true"/>
        </w:rPr>
        <w:t>[</w:t>
      </w:r>
      <w:r>
        <w:rPr>
          <w:rtl w:val="true"/>
        </w:rPr>
        <w:t>المبحث الخامس</w:t>
      </w:r>
      <w:r>
        <w:rPr>
          <w:rtl w:val="true"/>
        </w:rPr>
        <w:t>]</w:t>
      </w:r>
      <w:bookmarkEnd w:id="16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الشيء هل يكون أمراً بضده؟</w:t>
      </w:r>
    </w:p>
    <w:p>
      <w:pPr>
        <w:pStyle w:val="BookText"/>
        <w:rPr/>
      </w:pPr>
      <w:r>
        <w:rPr>
          <w:rFonts w:ascii="Amiri" w:hAnsi="Amiri" w:eastAsia="Amiri" w:cs="Amiri"/>
          <w:color w:val="111111"/>
          <w:sz w:val="28"/>
          <w:sz w:val="28"/>
          <w:szCs w:val="28"/>
          <w:rtl w:val="true"/>
          <w:lang w:bidi="ar-SA"/>
        </w:rPr>
        <w:t>والتحقيق عدم كونه أمراً بضده بتقريب ما مر</w:t>
      </w:r>
      <w:r>
        <w:rPr>
          <w:rStyle w:val="FootnoteAnchor"/>
          <w:rtl w:val="true"/>
        </w:rPr>
        <w:footnoteReference w:id="290"/>
      </w:r>
      <w:r>
        <w:rPr>
          <w:rFonts w:ascii="Amiri" w:hAnsi="Amiri" w:eastAsia="Amiri" w:cs="Amiri"/>
          <w:color w:val="111111"/>
          <w:sz w:val="28"/>
          <w:sz w:val="28"/>
          <w:szCs w:val="28"/>
          <w:rtl w:val="true"/>
          <w:lang w:bidi="ar-SA"/>
        </w:rPr>
        <w:t>في عكسه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859662_2870459653"/>
      <w:bookmarkStart w:id="163" w:name="_Toc56"/>
      <w:bookmarkEnd w:id="162"/>
      <w:r>
        <w:rPr>
          <w:rtl w:val="true"/>
        </w:rPr>
        <w:t>[</w:t>
      </w:r>
      <w:r>
        <w:rPr>
          <w:rtl w:val="true"/>
        </w:rPr>
        <w:t xml:space="preserve">المبحث السادس </w:t>
      </w:r>
      <w:r>
        <w:rPr>
          <w:rtl w:val="true"/>
        </w:rPr>
        <w:t>]</w:t>
      </w:r>
      <w:bookmarkEnd w:id="16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اجتماع الأمر والنهي على شيء واحد أم لا؟</w:t>
      </w:r>
    </w:p>
    <w:p>
      <w:pPr>
        <w:pStyle w:val="BookText"/>
        <w:rPr/>
      </w:pPr>
      <w:r>
        <w:rPr>
          <w:rFonts w:ascii="Amiri" w:hAnsi="Amiri" w:eastAsia="Amiri" w:cs="Amiri"/>
          <w:color w:val="111111"/>
          <w:sz w:val="28"/>
          <w:sz w:val="28"/>
          <w:szCs w:val="28"/>
          <w:rtl w:val="true"/>
          <w:lang w:bidi="ar-SA"/>
        </w:rPr>
        <w:t>والتعبير قاصر عن تأدية المطلب، والمراد أنّ اجتماع المأمور به والمنهي عنه في وجود واحد وتصادقهما على فرد واحد هل يوجب اجتماع الأمر والنهي عليه أم لا؟ فمَن قال بأنه يوجبه قال بعدم الجواز، ومن قال بأنه لا يوجبه قال بالجواز</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تصادق المأمور به والمنهي عنه على فرد واحد إنّما يوجب اجتماع عنواني </w:t>
      </w:r>
    </w:p>
    <w:p>
      <w:pPr>
        <w:pStyle w:val="BookText"/>
        <w:rPr/>
      </w:pPr>
      <w:r>
        <w:rPr>
          <w:rFonts w:ascii="Amiri" w:hAnsi="Amiri" w:eastAsia="Amiri" w:cs="Amiri"/>
          <w:color w:val="111111"/>
          <w:sz w:val="28"/>
          <w:sz w:val="28"/>
          <w:szCs w:val="28"/>
          <w:rtl w:val="true"/>
          <w:lang w:bidi="ar-SA"/>
        </w:rPr>
        <w:t>الامتثال والعصيان على فرد واحد، والامتثال والعصيان لا يكونان مورداً للأمر والنهي المولويين، كما عرفت</w:t>
      </w:r>
      <w:r>
        <w:rPr>
          <w:rStyle w:val="FootnoteAnchor"/>
          <w:rtl w:val="true"/>
        </w:rPr>
        <w:footnoteReference w:id="291"/>
      </w:r>
      <w:r>
        <w:rPr>
          <w:rFonts w:ascii="Amiri" w:hAnsi="Amiri" w:eastAsia="Amiri" w:cs="Amiri"/>
          <w:color w:val="111111"/>
          <w:sz w:val="28"/>
          <w:sz w:val="28"/>
          <w:szCs w:val="28"/>
          <w:rtl w:val="true"/>
          <w:lang w:bidi="ar-SA"/>
        </w:rPr>
        <w:t>، ولا يمتنع اجتماعهما على محلّ واحد باعتبار تعدّد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المرام غاية الإيضاح يتوقف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الأحكام المولويّة إنّما هي الطبائع لا الأفراد ابتداءً ولا سرايةً ولا إيجاد الطبيعة أو تركها؛ لأنّ الغرض من جعل الأحكام للوقائع الامتثال بإيجادها أو تركها، فهو في مرتبة متأخرة عنها، فلا يعقل أن تكون موضوعاً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تعلّقها بالأفراد ولو سراية فهو أوضح؛ ضرورة أنّ الفرد هي الطبيعة الموجودة، فلا يقبل الإيجاد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الفصول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الأمر والنهي مشتركان في طلب الماهية فلا يتمايزان ما لم يعتبر مطلوبيّة المهيّة في أحدهما من حيث الوجود وفي الآخر من حيث العدم، وأيضاً الماهية من حيث هي ليست إلا هى فلا يعقل طلبها من المكلّف، وأيضاً لا تأثير للقدرة إلّا في الوجود والعدم فلا يصح التكليف إلا بهما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في غير محله؛ لأنّ التمايز بينهما إنما هو باعتبار التقابل بينهما في نفسهما لا في المتعلّق؛ ضرورة أنّ الأمر بعث على الطبيعة، والنهي زجر عنها، فأحدهما طلب فعليّ والآخر طلب تركي، فهما سنخان من الطلب يختلف آثارهما في مرحلة الامتثال؛ فأحدهما يستدعى الإيجاد والآخر الترك، ولو لم يختلفا إلّا في المتعلّق لزم اتحادهما نوعاً وعدم التقابل بينهما في حدّ أنفسهما، وهو بديهي البطلان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أنّ المهيّة من حيث هي ليست إلا هي، فقد مر</w:t>
      </w:r>
      <w:r>
        <w:rPr>
          <w:rStyle w:val="FootnoteAnchor"/>
          <w:rtl w:val="true"/>
        </w:rPr>
        <w:footnoteReference w:id="293"/>
      </w:r>
      <w:r>
        <w:rPr>
          <w:rFonts w:ascii="Amiri" w:hAnsi="Amiri" w:eastAsia="Amiri" w:cs="Amiri"/>
          <w:color w:val="111111"/>
          <w:sz w:val="28"/>
          <w:sz w:val="28"/>
          <w:szCs w:val="28"/>
          <w:rtl w:val="true"/>
          <w:lang w:bidi="ar-SA"/>
        </w:rPr>
        <w:t>أن معناه أن المهيّة من حيث هي لا موجودة ولا معدومة، فلا ينافي تعلّق الحكم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من عدم تأثير القدرة إلا في الوجود والعدم فأعجب؛ ضرورة أن تأثير القدرة في الفعل والترك عبارة أخرى عن تأثيرها في الطبيعة؛ فإنّ غير المقدور ما لا يكون فعله وتركه تحت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ذكره بعض الأفاضل من أنّ الأحكام الشرعية من عوارض الوجود الخارجي مدعياً فيه الضرورة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تصوّر فعله لا يتصف بالوجوب حتى يكون من عوارض الماهية أو من عوارض الوجود الذهني</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غفلة عن أنه لو كان كذلك لزم أن لا يكون أمر ولا نهى قبل وجود المأمور به أو المنهي عنه في الخارج؛ ضرورة استحالة ثبوت المحمول قبل 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ثبوت الأحكام الشرعيّة قبل وجود الأفعال في الخارج من أوائل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التزام المكلف بالفعل في مورد الأمر وبالترك في مورد النهي إنّما يجيء من قبل الأمر والنهي، ولولا ثبوتهما قبل الوجود لم يتحقق الالتزام بالفعل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المطلوب من الأمر وجود المأمور به في الخارج من جهة أنه امتثال له، كما أنّ المطلوب من النهي ترك المنهي عنه لأجل أنه امتثال له، فالفعل والترك مأخوذان في مرحلة الغرض من الحكم لا في موضوعه ومتعلّقه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اختلط عليه مرحلة الامتثال بمرحلة الموضوع والمتعلّق، فالطلب المتعلّق بهما طلب غالي لا طلب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تعلّق الحكم بالمهيّة تحقق الامتثال بتصوّر الفعل أيضاً؛ لأنه إيجاد للماهية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منافاة بين تعلّق الحكم بالمهيّة وكون الغرض منه إيجاد المأمور به في الخارج لا مطلق الإيجاد، كما هو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أنّ تصوّر المأمور به في الذهن ليس إيجاداً له حقيقةً، والتعبير عنه بالوجود </w:t>
      </w:r>
    </w:p>
    <w:p>
      <w:pPr>
        <w:pStyle w:val="BookText"/>
        <w:rPr/>
      </w:pPr>
      <w:r>
        <w:rPr>
          <w:rFonts w:ascii="Amiri" w:hAnsi="Amiri" w:eastAsia="Amiri" w:cs="Amiri"/>
          <w:color w:val="111111"/>
          <w:sz w:val="28"/>
          <w:sz w:val="28"/>
          <w:szCs w:val="28"/>
          <w:rtl w:val="true"/>
          <w:lang w:bidi="ar-SA"/>
        </w:rPr>
        <w:t>الذهني كالتعبير عن اللفظ بالوجود اللفظي وعن الكتب بالوجود الكتبي توسع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شاع بين الأواخر من وجود الأشياء بحقائقها في الذهن فغلط بيّن، وإلّا لزم انقلاب العين إلى العرض في الذهن بل انقلاب الجميع إلى مقولة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منشأ للقول بالوجود الذهني إلا توقف صدق القضايا الحقيقية عليه عندهم وهو غفلة واضحة؛ إذ ثبوت المحمولات للحقائق ليس وجوداً أصيلاً حتى يتوقف على ثبوتها في الخارج أو الذهن، بل وجوداً ربطياً ثابتاً للموضوعات قبل وجودها في الخارج أو تصوّرها في الذهن؛ ضرورة أنّ ثبوت الزوجية للأربعة، كما لا يتوقف على وجودها في الخارج، كذلك لا يتوقف على تصوّرها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التصوّر لو كان وجوداً حقيقياً للمتصوّر لزم ثبوت آثاره في الذهن ولو على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وجود ظلّي ضعيف بحيث لا يترتب عليه أثر أصلاً</w:t>
      </w:r>
      <w:r>
        <w:rPr>
          <w:rStyle w:val="FootnoteAnchor"/>
          <w:rtl w:val="true"/>
        </w:rPr>
        <w:footnoteReference w:id="295"/>
      </w:r>
      <w:r>
        <w:rPr>
          <w:rFonts w:ascii="Amiri" w:hAnsi="Amiri" w:eastAsia="Amiri" w:cs="Amiri"/>
          <w:color w:val="111111"/>
          <w:sz w:val="28"/>
          <w:sz w:val="28"/>
          <w:szCs w:val="28"/>
          <w:rtl w:val="true"/>
          <w:lang w:bidi="ar-SA"/>
        </w:rPr>
        <w:t>، في غير محله؛ إذ ضعف الوجود لا يوجب انتفاء الآثار رأساً، وإنما يوجب الضعف في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كان كذلك لزم عدم ثبوت المحمولات له أيضاً؛ لأنه من جملة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بترتب المحمولات عليه مع الالتزام بعدم ترتب أثر عليه أصلاً؛ لأنه وجود ظلّي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بطلان القول بالوجود الذهني في غاية الوضوح، وقد فصلنا الكلام في إبطاله في محلّه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الطبيعي موجود في الخارج بل لا موجود في الخارج سواه؛ لأنّ المفاهيم منحصرة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وعدم وماهيّة، والوجود لا يقبل الوجود وإلا لزم اتصاف الشيء بنفسه، كما أنّ العدم لا يقبله وإلا لزم اتصاف الشيء بنقيضه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الموجود في الخارج إنما هي الطبيعة والماهية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تبين أن القول بأنّ الكلّي الطبيعي موجود في ضمن الفرد أو موجود بوجوده</w:t>
      </w:r>
      <w:r>
        <w:rPr>
          <w:rStyle w:val="FootnoteAnchor"/>
          <w:rtl w:val="true"/>
        </w:rPr>
        <w:footnoteReference w:id="2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غلط وإنّما الفرد هي الطبيعة الموجودة، والفرديّة إنما جائت من قبل الوجود؛ لأنّ التشخّص يساوق الوجود، كما أن الوجود يساوق التشخّص، وقد اشتهر أنّ الشيء ما لم يتشخّص لم يوجد، كما أنه ما لم يوجد لم يتشخّص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يتصف موجود واحد بأمرين متضادين اعتباريين باعتبار تعدّد منشأ الانتزاع، كالفوقية والتحتية العارضتين على جسم واحد باعتبار محاذاته لما تحته وما فوقه، وكالإطاعة والعصيان المنتزعين من إيجاد المأمور به والمنهي عنه في فعل واحد، كالكون المجامع لعنواني الصلاة والغصب؛ فإنّه إطاعة للأمر من حيث إنه إيجاد للصلاة، وعصيان للنهي من حيث إنّه إيجاد للغصب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ما بيّناه فقد اتضح لك أنّه لا مانع من اجتماع المأمور به والمنهي عنه في موجود واحد وأنه لا يوجب اجتماع الأمر والنهي على شيء واحد حتى يحكم بالبطلان؛ لما اتضح لك من أنّ الأمر والنهي إنّما يتعلّقان بالطبيعة لا بإيجادها أو تركها، والإيجاد إنما يكون إطاعةً للأمر وعصياناً للنهى حينئذ، واجتماعهما على موجود واحد باعتبار تعدّد منشأ الانتزاع لا مانع منه، كسائر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الفعل الواحد إذا اشتمل على جهات مختلفة متضادة فلا بد فيه من تعارض الجهات الموجب للكسر والانكسار وعدم بقاء كلّ جهة على مقتضاها حتى يكون مطلوباً ومكروهاً معاً ويجتمع فيه ملاك الأمر والنهي، في غير محله؛ لأنّ ما ذكر إنّما يتمّ إذا كان ذلك في موضوع الحكم، وأمّا في إيجاد الموضوع المتأخّر عن الحكم فلا يعقل تأثيره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انحصر امتثال الأمر في الفرد المجامع لإيجاد المنهي عنه يقع التزاحم بين الأمر والنهي في مرحلة الامتثال ، فيتخيّر المكلّف حينئذٍ مع التكافؤ بين الفعل والترك، ويتنجز الأهم إن لم يتكافئا، ولا يكون عدم تنجز المهم حينئذ موجباً لبطلانه لو كان عبادةً، كما مرّ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مع عدم الانحصار والجمع بينهما بسوء اختياره فلا مزاحمة بينهما أصلاً ويكون كلّ من الحكمين منجزاً، ولا مقتضى لبطلان العمل أصلاً، وإنّما يعاقب على ارتكاب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للشارع التصرّف في مرحلة الامتثال تصرّفاً وضعيّاً بجعل الجمع بين المأمور به والمنهي عنه في وجود واحد مانعاً عن الامتثال، فلو ثبت التصرّف المزبور وجب الحكم بالبطلان لو جمع بينهما، سواء كان عمداً أو سهواً، عالماً بالحكم والموضوع أم جاهلاً بهما أو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يعلم التصرّف فلا يمكن الحكم بالبطلان مطلقاً؛ إذ مجرّد النهي عن الغصب مثلاً لا يقتضي المنع عن الامتثال، بل لو صرّح الشارع بالنهي عن الصلاة في الدار المغصوبة لا يقتضي البطلان أيضاً؛ لأنّ النهي في مثله إنّما يفيد التحريم لأجل الغصب، وهو مسلّم، ولا يدلّ على التصرّف الوضعي في مرحلة الامتثال حتّى نحكم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لا يمكن قصد التقرب والتعبد بالمأمور به حينئذ لاجتماعه مع المحرّم في الوجود؛ إذ لا مانع من الإتيان بالمأمور به على وجه التعبد ولو كان مجامعاً مع المحرّم، وإنّما الممتنع قصد التعبد بالمأمور به والمنهي عنه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إنّ المسألة من العويصات وقد التبس الأمر فيها على الأكثر فلا بأس بذكر ما احتج به بعض المتأخرين على الامتناع وتخيّل أنه أتى بتمام الحجة وبيان ما فيه قال ما محصله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شبهة في أنّ متعلّق الأحكام هو فعل المكلّف الصادر عنه في الخارج، لا ما هو اسمه ولا ما هو عنوانه المنتزع منه بحيث لولا انتزاعه تصوّراً واختراعه ذهناً لما كان بحذائه شيء خارجاً ويكون خارج المحمول كالملكية والزوجية والغصب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الاعتبارات والإضافات؛ ضرورة أنّ البعث ليس عليه والزجر لا يكون عنه، وإنّما يؤخذ في متعلّق الأحكام آلةً للحاظ متعلقاتها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يو جب تعدّد العنوان تعدّد المعنون؛ إذ ربّما تنطبق المفاهيم المتعدّدة على </w:t>
      </w:r>
    </w:p>
    <w:p>
      <w:pPr>
        <w:pStyle w:val="BookText"/>
        <w:rPr/>
      </w:pPr>
      <w:r>
        <w:rPr>
          <w:rFonts w:ascii="Amiri" w:hAnsi="Amiri" w:eastAsia="Amiri" w:cs="Amiri"/>
          <w:color w:val="111111"/>
          <w:sz w:val="28"/>
          <w:sz w:val="28"/>
          <w:szCs w:val="28"/>
          <w:rtl w:val="true"/>
          <w:lang w:bidi="ar-SA"/>
        </w:rPr>
        <w:t>البسيط من جميع الجهات، كالواجب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يكون للموجود بوجود واحد إلا حقيقة واحدة فالفرد متحد وجوداً و حقيقةً، وتصادق المفاهيم المختلفة والعناوين المتعدّدة عليه لا ينبئ عن أنّ له حقائق متعدّدةً منطبقةً عليه؛ ضرورة استحالة أن يكون للفرد الواحد مقائق متعدّدة وأنواع متكثّرة، فلا يجوز أن يتعلّق به الأمر والنهي باعتبار العنوانين المنطبقين عليه؛ إذ لا يوجب تعدّد العنوان تعدّد المعنون، 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متعلّق بالعنوان دون المعنون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w:t>
      </w:r>
      <w:r>
        <w:rPr>
          <w:rStyle w:val="FootnoteAnchor"/>
          <w:rtl w:val="true"/>
        </w:rPr>
        <w:footnoteReference w:id="299"/>
      </w:r>
      <w:r>
        <w:rPr>
          <w:rFonts w:ascii="Amiri" w:hAnsi="Amiri" w:eastAsia="Amiri" w:cs="Amiri"/>
          <w:color w:val="111111"/>
          <w:sz w:val="28"/>
          <w:sz w:val="28"/>
          <w:szCs w:val="28"/>
          <w:rtl w:val="true"/>
          <w:lang w:bidi="ar-SA"/>
        </w:rPr>
        <w:t>أنّ الحكم إنّما يتعلّق بنفس الطبيعة ولا يجوز أن يتعلّق بالفعل إ الخارجي وإلّا امتنع الامتثال فعلاً وتركاً، وما ذكره من أنّ العناوين الانتزاعيّة لا وجود لها إلا في الذهن ويمتنع تعلّق الحكم بها إلا على وجه الآلية للحاظ متعلقاتها الخارجية، باطل؛ لأنّ الأمر الاعتباري إنّما يتميّز عن غيره بأنه لا استقلال له في الوجود وأن وجوده بوجود منشأ انتزاعه، فلا يكون موجوداً في الخارج، بمعنى عدم استقلاله في الوجود، لا بمعنى أنه لا يكون موجوداً إلّا في الذهن، وإلّا لزم أن يتوقف الاتصاف بها على أن يتصوّره متصوّر، وأن لا يتصف الموجود الخارجي بها؛ لاستحالة مخالفة طرفي القضيّة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استقلاله في الوجود لا يكون قادحاً في تعلّق الحكم به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التعليم والتعلم والقتل والإحراق والتزويج والتزوّج والتذكية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الأفعال التوليدية والأُمور الانتزاعيّة، موضوعات للأحكام بنفسها؛ لأنّ مصلحة الحكم إنّما هي فيها لا فيما تولّدت وانتزعت منها،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 من الآثار والأحكام الشرعية والعقلية إنما تترتب على الأمور الاعتبارية؛ فإن أحكام السيادة والعبودية والأبوة والبنوة والأُخوّة، من التكليفية والوضعيّة، كوجوب الطاعة والوراثة وسائر الحقوق والأحكام إنما تترتب على الأُمور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زعمه من عدم جواز تعلّق الحكم بالأُمور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جهة عدم وجودها في الخارج، كما هو ظاهر كلامه، أو من جهة عدم استقلاله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لك فساده وأنه لا ينافي عدم استقلاله في الوجود، مع ترتب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جهة عدم القدرة على إيجاده ابتداءً فهو باطل أيضاً؛ إذ يكفي القدرة على الفعل ولو بواسطة في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تعدّد العنوان لا يوجب تعدّد المعنون فإن أُريد به المصداق فبديهي ولكنّه لا ينفعه؛ لما عرفت</w:t>
      </w:r>
      <w:r>
        <w:rPr>
          <w:rStyle w:val="FootnoteAnchor"/>
          <w:rtl w:val="true"/>
        </w:rPr>
        <w:footnoteReference w:id="300"/>
      </w:r>
      <w:r>
        <w:rPr>
          <w:rFonts w:ascii="Amiri" w:hAnsi="Amiri" w:eastAsia="Amiri" w:cs="Amiri"/>
          <w:color w:val="111111"/>
          <w:sz w:val="28"/>
          <w:sz w:val="28"/>
          <w:szCs w:val="28"/>
          <w:rtl w:val="true"/>
          <w:lang w:bidi="ar-SA"/>
        </w:rPr>
        <w:t>من أنّ الأحكام إنما تتعلّق بالعناوين الكلية لا بالمصاديق، والمصداق مطلوب من حيث إنّه امتثال للأمر لا من حيث إنّه 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الموجود الواحد لا يكون له إلّا حقيقة واحدة فهو كذلك ولا ينفعه أيضاً؛ لأنّ الحقيقة والماهيّة تختص بالجواهر والأعيان، وأمّا الأعراض والأفعال فإنّما هي شئون وجهات لها فلا حقيقة لها ولا ماهيّة، والتعبير بالحقيقة والماهية فيها إنّما هو على وجه التشبيه والتنزيل، فلا مانع من اجتماع جهتين أو جهات منها في 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أنّ الأعراض كالجواهر لها حقائق ذاتية والعناوين المأخوذة في موضوع الحكم عناوين عرضيّة طارئة عليها، فلا دليل على أن الموضوع للحكم إنما هي الأفعال بحقائقها الذاتية، بل يدور مدار نظر الحاكم، فقد يجعل العنوان العرضي موضوعاً بحيث يدور الحكم مداره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كالفقراء والمساكين وسائر العناوين المأخوذة في موضوع استحقاق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يجعل العنوان العرضي معرّفاً للموضوع بحيث لا يدور الحكم مداره،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الجالس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والأغلب في عناوين الأفعال أنها موضوع للأحكام على الوجه الأوّل، كالصلاة والغصب؛ فإنّ الواجب والمحرّم إنّما هما؛ العنوانان لا الكون المنطبق عليه أحدهما؛ إذ لولاه لا وجه لإيجاب الكون أو تحريمه </w:t>
      </w:r>
      <w:r>
        <w:rPr>
          <w:rFonts w:eastAsia="Amiri" w:cs="Amiri" w:ascii="Amiri" w:hAnsi="Amiri"/>
          <w:color w:val="111111"/>
          <w:sz w:val="28"/>
          <w:szCs w:val="28"/>
          <w:rtl w:val="true"/>
          <w:lang w:bidi="ar-SA"/>
        </w:rPr>
        <w:t xml:space="preserve">. </w:t>
      </w:r>
      <w:bookmarkStart w:id="164" w:name="pg9000_94027"/>
    </w:p>
    <w:p>
      <w:pPr>
        <w:pStyle w:val="BookText"/>
        <w:rPr/>
      </w:pPr>
      <w:bookmarkEnd w:id="164"/>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أخذ العناوين معرفة أخذها كذلك بالنسبة إلى الموجود منها لا محلّ انطباقها المجامع لها تارةً والمفارق عنها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باطل أيضاً؛ لما ظهر لك عن أن الحكم إنّما يتعلق بالكلي ولا يعقل أن يتعلّق بالموجود في الخارج</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859664_2870459653"/>
      <w:bookmarkStart w:id="166" w:name="_Toc57"/>
      <w:bookmarkEnd w:id="165"/>
      <w:r>
        <w:rPr>
          <w:rtl w:val="true"/>
        </w:rPr>
        <w:t>تنبيهات</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مرجع القول بجواز اجتماع الأمر والنهي إلى أنّ اجتماع المأمور به والمنهي عنه وتصادقهما على محلّ واحد لا يوجب اجتماع الأمر والنهي على محلّ واحد حتى يكون ممتنعاً؛ لأنّ الأمر والنهي إنّما يتعلقان بالطبيعة ولا يسريان إلى ما تصادق عليه الطبيعتان؛ لمنافاة الصدق في الخارج، مع بقاء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في الألسنة من أن المجوّزين يجوّزون اجتماع الأمر والنهي على محلّ واحد مع تعدد الجهة، ليس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واعترض عليه بأنّ التعدّد المجوّز للاجتماع إنّما هو تعدّد الجهة التقييديّة الموجب لتعدّد الموضوع في الخارج وهو منتفٍ في المقام، وتعدد الجهة التعليلية غير نافع لبقاء الموضوع على وحدته مع تعدّدها</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أدلتهم على الجواز تنادي بأنهم إنّما يقولون بتعلّق الأحكام بالطبائع لا بالمصاديق حتّى يلزم محذور اجتماع الضدّين على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 ما ذكره بعضهم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النزاع في تعلّق الأمر والنهي بواحد ذا وجهين ومندرجاً تحت عنوانين بأحدهما كان مورداً للأمر وبالآخر للنهي وإن كان كلياً مقولاً على كثيرين، كالصلاة في المغصوب</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 ضرورة عدم جواز اجتماع الأمر والنهي على محلّ واحد ولو مع تعدّد الجهة؛ لأنه تكليف بالمحال من حيث استلزامه الالتزام بالفعل والترك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جواز اجتماع المأمور به والمنهي عنه وتصادقهما على مصداق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الأمر والنهي على الطبيعتين؛ لعدم المانع من بقائهما كذلك، 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الامتثال والاجتزاء به ولو انحصر المأمور به في فرد المحرّم وكان أهم؛ لأنّ الساقط حينئذ هو تنجز الأمر لا غير، وسقوطه موجب لعدم وجوب الامتثال لا عدم صحته، إلا أن يتصرّف الشارع في مرحلة الامتثال ويجعل الجمع بين الواجب والحرام في مصداق واحد مانعاً عن الامتثال مطلقاً أو في صورة الانحصار، فيبطل حينئذ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القول بعدم الجواز البطلان وعدم الاجتزاء به إلّا إذا انحصر الامتثال في فرد المحرّم ولم يكن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بعدم الجواز إنّما يقول بسراية الأمر والنهي المتعلّق بالعناوين إلى مصاديقها، ومع اتحاد المصداق لا يعقل سراية الحكمين وإلّا لزم اجتماع المتضادين على محلّ واحد فحينئذٍ لا يسري إلى المصداق الجامع للعنوانين إلا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النهي يقتضي ترك الطبيعة يتوقف امتثاله على ترك هذا المصداق أيضاً ، وأما الأمر فحيث لا يقتضي إلّا إيجاد الطبيعة المتحقق في ضمن مصداق واحد لا بعينه لا يتوقف امتثاله عليه، فيتقدّم النهي ولا يزاحمه الأمر، فلا يكون إيجاده مأموراً به وامتثالاً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ينحصر امتثال المأمور به فيه، وأما إذا انحصر فيه فيتزاحم الأمر والنهي، فإن لم يكن أحدهما أهم من الآخر يتخيّر المكلّف بين الفعل والترك؛ لاستواء سراية كلّ من الحكمين إليه، وإلّا يتعيّن الأهم ويسقط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التزاحم في الامتثال في صورة الانحصار على المختار إنّما يؤثر في تنجيز الحكم وعدمه لا في ثبوت أصل الحكم وسقوطه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حكمنا بصحة الامتثال مطلقاً ما لم يعلم تصرّف من الشارع في مرحلة الامتثال على خلاف مقتضاه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قول المانعين فهو مؤثر في ثبوت نفس الحكم وعدمه بالنسبة إلى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يلزمهم الحكم بالبطلان في صورة تقدّم النهي لأهميته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فالتزاحم بناءً على قول </w:t>
      </w:r>
    </w:p>
    <w:p>
      <w:pPr>
        <w:pStyle w:val="BookText"/>
        <w:rPr/>
      </w:pPr>
      <w:r>
        <w:rPr>
          <w:rFonts w:ascii="Amiri" w:hAnsi="Amiri" w:eastAsia="Amiri" w:cs="Amiri"/>
          <w:color w:val="111111"/>
          <w:sz w:val="28"/>
          <w:sz w:val="28"/>
          <w:szCs w:val="28"/>
          <w:rtl w:val="true"/>
          <w:lang w:bidi="ar-SA"/>
        </w:rPr>
        <w:t>المانعين مشابه للتعارض من حيث تأثيره في نفس الحكم وعدمه لا في التنجيز وعدمه، كما هو الغالب على باب التزاحم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قيد المندوحة في الامتثال في محلّ النزاع كما عن بعض</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لأنّ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مع عدم المندوحة في الامتثال يتخيّر المكلّف في امتثال أحدهما إن تكافئا، وإلّا يتنجز الأهمّ عليه ويصير معذوراً بالنسبة إلى المهم، لا أنه يسقط المهم رأساً، وعلى القول بامتناعه ممتنع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لاعتبار قيد المندوحة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البطلان وعدم الاجتزاء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ما إذا جهل الموضوع أو الحكم قاصراً أو مقصراً أو نسيه؛ لأنّ سراية النهي إلى الفرد لا يختص بصورة العلم بالموضوع أو الحكم وتذكره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فإيجاد الفرد المجامع للعنوانين حينئذٍ يكون مبغوضاً ومنهيّاً عنه؛ لما عرفت</w:t>
      </w:r>
      <w:r>
        <w:rPr>
          <w:rStyle w:val="FootnoteAnchor"/>
          <w:rtl w:val="true"/>
        </w:rPr>
        <w:footnoteReference w:id="304"/>
      </w:r>
      <w:r>
        <w:rPr>
          <w:rFonts w:ascii="Amiri" w:hAnsi="Amiri" w:eastAsia="Amiri" w:cs="Amiri"/>
          <w:color w:val="111111"/>
          <w:sz w:val="28"/>
          <w:sz w:val="28"/>
          <w:szCs w:val="28"/>
          <w:rtl w:val="true"/>
          <w:lang w:bidi="ar-SA"/>
        </w:rPr>
        <w:t>من تقدّم النهي على الأمر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بينهم من الحكم بالصحة في صورة النسيان أو الجهل بالموضوع أو الحكم عن قصور، في غير محله؛ لأنهما إنّما يوجبان العذر لا رفع النهي تحققاً أو تعلّقاً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w:t>
      </w:r>
    </w:p>
    <w:p>
      <w:pPr>
        <w:pStyle w:val="BookText"/>
        <w:rPr/>
      </w:pPr>
      <w:r>
        <w:rPr>
          <w:rFonts w:ascii="Amiri" w:hAnsi="Amiri" w:eastAsia="Amiri" w:cs="Amiri"/>
          <w:color w:val="111111"/>
          <w:sz w:val="28"/>
          <w:sz w:val="28"/>
          <w:szCs w:val="28"/>
          <w:rtl w:val="true"/>
          <w:lang w:bidi="ar-SA"/>
        </w:rPr>
        <w:t>أن صدوره حينئذٍ لا يكون مبغوضاً بل حسناً؛ لأجل العذر عن النهي، ومشتملاً على المصلحة؛ لكونه مصداقاً للطبيعة المأمور بها وإن لم يعمه الأمر لأجل وجود المانع فيصح قصد التقرّب به لكونه صالحاً له بالاقتضاء فيسقط به الأمر لوفائه بغرض المولى</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البشاعة؛ لأنّ العذر إنما يدفع استحقاق العقوبة على الفعل فلا يرفع المبغوضيّة </w:t>
      </w:r>
    </w:p>
    <w:p>
      <w:pPr>
        <w:pStyle w:val="BookText"/>
        <w:rPr/>
      </w:pPr>
      <w:r>
        <w:rPr>
          <w:rFonts w:ascii="Amiri" w:hAnsi="Amiri" w:eastAsia="Amiri" w:cs="Amiri"/>
          <w:color w:val="111111"/>
          <w:sz w:val="28"/>
          <w:sz w:val="28"/>
          <w:szCs w:val="28"/>
          <w:rtl w:val="true"/>
          <w:lang w:bidi="ar-SA"/>
        </w:rPr>
        <w:t>المانعة عن صحة الامتثال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المأمور به في الحقيقة عنده إنّما هو الفرد لا الطبيعة، وأخذها في موضوع الأمر عنده إنما هو على وجه الآلية، فكونه مصداقاً للعنوان الذي لم يتعلّق به الأمر على وجه الحقيقة، لا يؤثر في حصول التقرّب به مع تعلّق النهي به وعدم تعلق الأمر به، فهو كما لم يكن مأموراً به لم يكن مصداقاً له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قلنا بأنّ بطلان الصلاة في الدار المغصوبة مثلاً ليس من جهة عدم جواز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اجتماع عنواني الإطاعة والعصيان على مصداق واحد، المؤثر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ما ذكروه من الحكم بالصحة في صورة النسيان أو الجهل عن قصور؛ لعدم اجتماع العصيان مع الإطاعة حينئذٍ بواسطة العذر، ولكن لا يتم حكمهم بالبطلان في صورة العلم والالتفات؛ لما عرفت</w:t>
      </w:r>
      <w:r>
        <w:rPr>
          <w:rStyle w:val="FootnoteAnchor"/>
          <w:rtl w:val="true"/>
        </w:rPr>
        <w:footnoteReference w:id="306"/>
      </w:r>
      <w:r>
        <w:rPr>
          <w:rFonts w:ascii="Amiri" w:hAnsi="Amiri" w:eastAsia="Amiri" w:cs="Amiri"/>
          <w:color w:val="111111"/>
          <w:sz w:val="28"/>
          <w:sz w:val="28"/>
          <w:szCs w:val="28"/>
          <w:rtl w:val="true"/>
          <w:lang w:bidi="ar-SA"/>
        </w:rPr>
        <w:t>من جواز اجتماع الإطاعة والعصيان على مصداق واحد باعتبار تعدّد منشأ انتزاعهما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بامتناع اجتماع الأمرين الاعتباريين المتضادين على موضوع واحد ولو مع تعدّد منشأ انتزاعهما، لزم الحكم بالبطلان في صورة الجهل بالغصب أو النسيان أيضاً؛ لأنّ مخالفة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للموافقة مع الأمر، فلا يجتمعان على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في مكان مغصوب على عذر ولا يمكنه التخلّص منها إلا بعد مضيّ مقدار ما يسع الصلاة، فإن كان الوقت متسعاً بحيث يمكنه أدائها في المكان المباح تبطل صلاته فيها بناءً على عدم جواز اجتماع الأمر والنهي؛ لأنّ مجرّد العذر عن النهي لا يمنع سريان النهي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كلام بعضهم من عدم الإشكال في الصحة حتى على القول بامتناع اجتماع الأمر والنهي؛ لارتفاع النهي حينئذ أو لثبوت العذر عنه</w:t>
      </w:r>
      <w:r>
        <w:rPr>
          <w:rStyle w:val="FootnoteAnchor"/>
          <w:rtl w:val="true"/>
        </w:rPr>
        <w:footnoteReference w:id="307"/>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ضاق الوقت تصح؛ للتزاحم بينهما، وتقدَّمَ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لتنجزه وتعيّن امتثاله في هذا </w:t>
      </w:r>
    </w:p>
    <w:p>
      <w:pPr>
        <w:pStyle w:val="BookText"/>
        <w:rPr/>
      </w:pP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حينئذ؛ لعدم تنجزه، فيسري الأمر إلى الفرد دون النهي، فلا يكون منهياً عنه بل لا يكون غصباً أيضاً؛ لأنّ تقدّم الأمر موجب للرخصة الشرعية ومعها لا غصب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توسط أرضاً مغصوبة باختياره، وضاق الوقت، تنجز عليه الأمر والنهي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تنجزهما معاً عليه، مع عدم تمكنه من الجمع بين المأمور به والمنهي عنه؛ لأنّ ما بالاختيار لا ينافي الاختيار، فهو في حكم القادر على امتثال الحكمين، فلو أتى بالمأمور به أجزئه وإن كان معاقباً على ارتكاب المنهي عنه ولو حال الخروج، وإلّا استحق العقابان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حرمة الغصب عليه حينئذٍ يستلزم النهي عن البقاء والخروج معاً، والخطاب بتركهما ، وهو باطل؛ لأنه طلب للمحال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Style w:val="FootnoteAnchor"/>
          <w:rtl w:val="true"/>
        </w:rPr>
        <w:footnoteReference w:id="308"/>
      </w:r>
      <w:r>
        <w:rPr>
          <w:rFonts w:ascii="Amiri" w:hAnsi="Amiri" w:eastAsia="Amiri" w:cs="Amiri"/>
          <w:color w:val="111111"/>
          <w:sz w:val="28"/>
          <w:sz w:val="28"/>
          <w:szCs w:val="28"/>
          <w:rtl w:val="true"/>
          <w:lang w:bidi="ar-SA"/>
        </w:rPr>
        <w:t>أنّ الحكم التكليفي ليس من مقولة الخطاب ولا ممّا يستلزمه، وإنما يقتضي صحة الخطاب على وفقه إن لم يقترن بما يمنع عنه، فقد يجامع مع الخطاب بالخلاف، كوجوب صوم المسافر والمريض والحائض والنفساء تعلّقاً مع الخطاب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وجوب الصوم شأني لا فعلي، وهم وإلا لم يترتب عليه القضاء؛ ضرورة أنّ القضاء فرع الفوت وهو فرع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اخترناه، وأما على ما ذهب إليه المانعون من عدم تعلّق الأمر بالطبائع إلّا توطئة للأفراد والمصاديق، فيشكل الأمر؛ لعدم جواز اجتماع الأمر والنهي تعييناً على مصداق واحد، وعدم تطرّق التخيير بينهما؛ لتنجزهما معاً، وعدم ثبوت العذر عن واحد منهما، وعدم جواز تقديم أحدهما معيناً؛ لانتفاء المرجّح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أنه مأمور بالخروج وليس منهيّاً عنه حال كونه مأموراً به وأنما يكون عاصياً به بالنظر إلى النهي السابق فتصح صلاته حينئذٍ حين الخروج، في غير محله؛ لأن تحقق العصيان به لا يجامع مع زوال النهي وكونه مأموراً به، وتأثير النهي الزائل للعصيان غير معقول، وما يترائى من الأمر بالخروج حينئذٍ فهو إرشاد من العقل إلى أن المكلّف عند دوران أمره بين المحذورين يتعين عليه ارتكاب أخفّهما، لا أمر مولوي منافٍ للنهى ومزيل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تاب المكلّف في هذا الحال يعذره الشارع بفضله، ويصير معذوراً في الخروج ولا يكون عاصياً به، فتصح صلاته حينئذٍ حتى على القول بالامتناع؛ لتقدّم الأمر على النهي حينئذٍ بالنسبة إلى الخروج؛ لثبوت العذر عن النهي دون الأمر، بل لا يتحقق الغصب بالخروج حينئذ لثبوت الرخصة الشرعية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أنك قد عرفت</w:t>
      </w:r>
      <w:r>
        <w:rPr>
          <w:rStyle w:val="FootnoteAnchor"/>
          <w:rtl w:val="true"/>
        </w:rPr>
        <w:footnoteReference w:id="309"/>
      </w:r>
      <w:r>
        <w:rPr>
          <w:rFonts w:ascii="Amiri" w:hAnsi="Amiri" w:eastAsia="Amiri" w:cs="Amiri"/>
          <w:color w:val="111111"/>
          <w:sz w:val="28"/>
          <w:sz w:val="28"/>
          <w:szCs w:val="28"/>
          <w:rtl w:val="true"/>
          <w:lang w:bidi="ar-SA"/>
        </w:rPr>
        <w:t>أنّ الأمر والنهي المبحوث عنهما من قبيل المدلول لا الدليل، فهما من قبيل المتزاحمين بالنسبة إلى المصداق الجامع للطبيعتين بناءً على سراية الحكم إلى المصاديق، فلا مجال لتوهم المعارضة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مجال لتوهّم المعارضة بين الدليلين الدالين على الحكمين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نظر للدليلين إلّا إلى حكم نفسي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وسراية الحكم بالنسبة إلى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بالالتزام العقلى لا بدلالة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بعضهم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الدليلين إن كانا ناظرين إلى بيان الحكم الاقتضائي فهما من قبيل المتزاحمين يؤخذ بأهمّ الحكمين منهما، وإن كانا ناظرين إلى بيان الحكم الفعلي فإن أحرز أن أحدهما أهم من الآخر فهما كذلك أيضاً وإلا فهما متعارضان يؤخذ بالأقوى منهما دلالةً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الإنّ يحرز به أنّ مدلوله أقوى مقتضياً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تساويا تساقطا فيرجع إلى الأصول العملية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باطل من وجوه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مقدّم على الأمر أبداً مع وجود المندوحة في الامتثال، سواء كان النهي لا؛ أهمّ أم لا ؛ لما ظهر لك</w:t>
      </w:r>
      <w:r>
        <w:rPr>
          <w:rStyle w:val="FootnoteAnchor"/>
          <w:rtl w:val="true"/>
        </w:rPr>
        <w:footnoteReference w:id="311"/>
      </w:r>
      <w:r>
        <w:rPr>
          <w:rFonts w:ascii="Amiri" w:hAnsi="Amiri" w:eastAsia="Amiri" w:cs="Amiri"/>
          <w:color w:val="111111"/>
          <w:sz w:val="28"/>
          <w:sz w:val="28"/>
          <w:szCs w:val="28"/>
          <w:rtl w:val="true"/>
          <w:lang w:bidi="ar-SA"/>
        </w:rPr>
        <w:t>من توقف امتثال النهي على ترك الطبيعة في جميع الموارد وعدم توقف امتثال الأمر إلا على وجود فرد ما منها، فلا يزاحم الأمر النهي حتّى يتقدّم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المندوحة لا بد من تقدّم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الأحكام دائماً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أنها ناظرة إلى بيان أحكام الوقائع في حدّ أنفسها، ولا نظر لها إلى مرحلة الامتثال ، وأنها جامعة للشروط فاقدة للموانع والمزاحم أبداً،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تسلّم أنها قد تكون مبيّنة للأحكام الفعلية، فالتفكيك بين إحراز أهمية أحد الحكمين وعدمه بجعل الصورة الثانية من قبيل المتعارضين دون الأولى،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إحراز أهمية أحد الحكمين يوجب الحكم بتخصيص دليل المهم بدليل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رجحان أحد الدليلين على الآخر دلالةً أو سنداً لا يلازم كون مدلوله أقوى مقتضياً فلا مجال لجعل الأوّل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تنقسم إلى أوّليّة وثانوية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بطبائع الأفعال و ماهيّاتها، ولا يعقل خلوّ طبيعة من الطبائع من حكم من الأحكام الخمسة التكليفية؛ إذ ما من ماهيّة وطبيعة من طبائع الأفعال إلا وهي متحيّثة بحيثيّة من الحيثيات الخمسة في نظر المولى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بالإيجاد أو الترك ولكن إيجاد الطبيعة أو تركها من حيث مطلقاً هو لا يتعلّق به الحكم الشرعي مماثلاً للحكم الأولي أو مخالفاً له؛ لأنّ الطبيعة إن كانت مباحةً فمقتضاها الرخصة في الفعل والترك، ولا مجال لجعل إباحة أخرى بالنسبة إليهما ولا لجعل حكم مخالف لها على وجه الإطلاق وإلّا لغى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مأموراً بها أو منهيّاً عنها يكون كلّ من فعلها وتركها معنوناً بعنوان الإطاعة أو العصيان للحكم الأوّلي لا محالة والعقل يستقل في حكم الإطاعة والعصيان، ولا يعقل جعل حكم مخالف لحكم العقل بالنسبة إلى مطلق الإيجاد أو الترك؛ ضرورة استحالته مع بقاء العنوانين، ومع ارتفاعهما به يلزم صيرورة الأوّل لغواً بل منتفياً، ولا حكم مماثل له كذلك وإلا لزم التسلسل في الحكم والإطاعة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فالبعث على الإطاعة والزجر عن المعصية إرشاد محض ولا يكون حكماً مولويّاً، فالحكم الثانوي إنّما يتعلق بإيجاد أو ترك خاص مماثلاً للحكم الأوّلي أم مخالفاً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تماثلا كالواجب المنذور يترتب على كلّ من الفعل والترك أثر كلّ من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تخالفا يتنجز الثاني دون الأوّل إن كان مانعاً عنه، كما إذا كان الأوّل أمراً والثاني تحريماً أو الأوّل تحريماً والثاني أمراً أو إباحةً، ولكن لا يرتفع أثر الحكم الأوّل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عليه قضاء المأمور به بعد رفع العذر إن كان له قضاء، كصوم الحائض والمريض والمسافر، وإن لم يكن مانعاً عنه، كما إذا كان الأوّل إيجاباً والثاني كراهةً كالصلاة في الحمام، أو ندباً كالصلاة جماعةً أو في المسجد، يترتب على كلّ من الحكمين تمام آثارهما فيجتزي بالصلاة في الحمام من حيث كونه أداءً للواجب مع غضاضة فيه من حيث الكراهة، وتحصل فضيلة زائدة على فضيلة أصل الصلاة في الصلاة جماعةً أو في المسجد من قبل الندب الطاري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يجوز أن يخالف حكم إيجاد خاص مع حكم الطبيعة، فقد يصير إيجاد الواجب باعتبار الخصوصية الطارئة محرّماً أو مكروهاً أو مندوباً، وإيجاد المندوب كذلك واجباً أو محرماً أو مكروهاً، وإيجاد المباح الذاتي كذلك واجباً أو محرماً أو مندوباً أو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لاختلاف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وتأثير التحريم الطاري على الأمر في العذر وبطلان المأمور به دون تحريم العنوان المجامع للمأمور به في الوجود إنما هو لأجل ترتب موضوعه على موضوع الحكم الأولي، فيقيّد عنوان الإطاعة والامتثال بغير موضوع التحريم، وأما العنوان المحرّم الذي هو في عرض العنوان الواجب فلا يوجب التقييد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أنّ المقامين مختلفان فالاستدلال على جواز اجتماع الأمر والنهي في شيء واحد باجتماع الأمر مع الكراهة في العبادات المكروهة مما لا ينبغي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بما بيّناه أيضاً أنّ إرجاع الكراهة في العبادات إلى مجرد النقص في الثواب من ضيق الخناق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يصح الاستدلال به على المطلوب؛ لأن مناط المنع عند المانعين اتحاد متعلّق الحكمين في الخارج، وهو موجود في المقام؛ ضرورة اتحاد الوجود مع الماهية في الخارج، بل اتحادهما أشدّ من اتحاد العنوانين المنطبقين على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ممتنعاً لزم امتناعه، والحال أنه واقع 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bookmarkStart w:id="167" w:name="pg9000_94035"/>
    </w:p>
    <w:p>
      <w:pPr>
        <w:pStyle w:val="BookText"/>
        <w:rPr/>
      </w:pPr>
      <w:bookmarkEnd w:id="167"/>
      <w:r>
        <w:rPr>
          <w:rFonts w:ascii="Amiri" w:hAnsi="Amiri" w:eastAsia="Amiri" w:cs="Amiri"/>
          <w:color w:val="111111"/>
          <w:sz w:val="28"/>
          <w:sz w:val="28"/>
          <w:szCs w:val="28"/>
          <w:rtl w:val="true"/>
          <w:lang w:bidi="ar-SA"/>
        </w:rPr>
        <w:t>كما ظهر أنّ الحكم الثانوي لا ينافي مع بقاء الحكم الأوّلي، وإنما ينافي بعض مراتبه، وهو التنجيز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يترتب على النافلة المنذورة أحكام الندب من عدم وجوب السورة فيها وجريان الشكّ فيها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وعلى الفريضة المعادة أحكام الفرض من انعقادها جماعةً وعدم جريان الشكّ في الأُوليين منها وعدم الاكتفاء بمطلق الظنّ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يتوهّم من ارتفاع الحكم الأوّلي بطرق الثانوي،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المزبورة أصوليّة لا فقهيّة؛ لأنّ البحث فيها عن سراية الحكم المتعلّق بالعناوين إلى المصاديق وعدمها المستنبط منها حكم المصداق المنطبق عليه العنوانان المختلفان في الحكم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859666_2870459653"/>
      <w:bookmarkStart w:id="169" w:name="_Toc58"/>
      <w:bookmarkEnd w:id="168"/>
      <w:r>
        <w:rPr>
          <w:rtl w:val="true"/>
        </w:rPr>
        <w:t>[</w:t>
      </w:r>
      <w:r>
        <w:rPr>
          <w:rtl w:val="true"/>
        </w:rPr>
        <w:t>المبحث السابع</w:t>
      </w:r>
      <w:r>
        <w:rPr>
          <w:rtl w:val="true"/>
        </w:rPr>
        <w:t>]</w:t>
      </w:r>
      <w:bookmarkEnd w:id="16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هل يقتضي فساد المنهي عنه ؟ فاختلفوا فيه على أقوال، ثالثها أنّه يقتضيه في العبادات دون المعاملات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أنّ النهي التحريمي يقتضي البطلان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الحال يتوقف على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المتنازع فيه هو النهي الذي هو من قبيل المعاني؛ لما عرفت من أنّ المبحوث عنه إنما هو المقابل للأمر والإباحة الذي هو قسم من أقسام الحكم التكليفي فالمراد بالاقتضاء إنّما هو الاقتضاء العقلي لا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بالعبادة في المقام هي العمل الممحض للتعبد به الذي لا يصح إلا بقصد التقرب لا مطلق العمل الذي يصح أن يتقرب به، كما هو ظاهر، وإلا لم تقابل بالمعاملة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بالفساد في المقام هو البطلان وعدم ترتب الأثر فهو معنى منتزع </w:t>
      </w:r>
    </w:p>
    <w:p>
      <w:pPr>
        <w:pStyle w:val="BookText"/>
        <w:rPr/>
      </w:pPr>
      <w:r>
        <w:rPr>
          <w:rFonts w:ascii="Amiri" w:hAnsi="Amiri" w:eastAsia="Amiri" w:cs="Amiri"/>
          <w:color w:val="111111"/>
          <w:sz w:val="28"/>
          <w:sz w:val="28"/>
          <w:szCs w:val="28"/>
          <w:rtl w:val="true"/>
          <w:lang w:bidi="ar-SA"/>
        </w:rPr>
        <w:t>من عدم استكمال الأجزاء والشرائط، كما أنّ الصحة المقابلة له منتزعة من استكمالهما غالباً وإن ترتبت على ناقص الأجزاء أيضاً إذا اكتفى به بملاحظة تقديم جهة على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فتعريف الصحة في العبادات بموافقة المأتي به للمأمور به على وجهه كما عن المتكلمين</w:t>
      </w:r>
      <w:r>
        <w:rPr>
          <w:rStyle w:val="FootnoteAnchor"/>
          <w:rtl w:val="true"/>
        </w:rPr>
        <w:footnoteReference w:id="313"/>
      </w:r>
      <w:r>
        <w:rPr>
          <w:rFonts w:ascii="Amiri" w:hAnsi="Amiri" w:eastAsia="Amiri" w:cs="Amiri"/>
          <w:color w:val="111111"/>
          <w:sz w:val="28"/>
          <w:sz w:val="28"/>
          <w:szCs w:val="28"/>
          <w:rtl w:val="true"/>
          <w:lang w:bidi="ar-SA"/>
        </w:rPr>
        <w:t>، تعريف بما هو الغالب، كما أنّ تعريفها بسقوط الإعادة والقضاء كما عن الفقهاء</w:t>
      </w:r>
      <w:r>
        <w:rPr>
          <w:rStyle w:val="FootnoteAnchor"/>
          <w:rtl w:val="true"/>
        </w:rPr>
        <w:footnoteReference w:id="314"/>
      </w:r>
      <w:r>
        <w:rPr>
          <w:rFonts w:ascii="Amiri" w:hAnsi="Amiri" w:eastAsia="Amiri" w:cs="Amiri"/>
          <w:color w:val="111111"/>
          <w:sz w:val="28"/>
          <w:sz w:val="28"/>
          <w:szCs w:val="28"/>
          <w:rtl w:val="true"/>
          <w:lang w:bidi="ar-SA"/>
        </w:rPr>
        <w:t>، تعريف باللازم؛ ضرورة استحالة لزوم الإعادة أو القضاء مع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افتراقها عنه فيما لو صلّى مستصحب الطهارة ثمّ انكشف خلافها، في غير محله؛ إذ بانكشاف المخالفة انكشف عدم الموافقة والأمر الظاهري ليس أمراً؛ لما عرفت</w:t>
      </w:r>
      <w:r>
        <w:rPr>
          <w:rStyle w:val="FootnoteAnchor"/>
          <w:rtl w:val="true"/>
        </w:rPr>
        <w:footnoteReference w:id="315"/>
      </w:r>
      <w:r>
        <w:rPr>
          <w:rFonts w:ascii="Amiri" w:hAnsi="Amiri" w:eastAsia="Amiri" w:cs="Amiri"/>
          <w:color w:val="111111"/>
          <w:sz w:val="28"/>
          <w:sz w:val="28"/>
          <w:szCs w:val="28"/>
          <w:rtl w:val="true"/>
          <w:lang w:bidi="ar-SA"/>
        </w:rPr>
        <w:t>من رجوع الأحكام الظاهرية إلى التنجيز أو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الموافقة للأمر الظاهري إنّما تقتضي سقوط الإعادة والقضاء بالنسبة إليه، فلا ينافي عدم السقوط من طرف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أنّ الصحة والفساد ليسا حكمين شرعيين مجعولين؛ لما عرفت</w:t>
      </w:r>
      <w:r>
        <w:rPr>
          <w:rStyle w:val="FootnoteAnchor"/>
          <w:rtl w:val="true"/>
        </w:rPr>
        <w:footnoteReference w:id="316"/>
      </w:r>
      <w:r>
        <w:rPr>
          <w:rFonts w:ascii="Amiri" w:hAnsi="Amiri" w:eastAsia="Amiri" w:cs="Amiri"/>
          <w:color w:val="111111"/>
          <w:sz w:val="28"/>
          <w:sz w:val="28"/>
          <w:szCs w:val="28"/>
          <w:rtl w:val="true"/>
          <w:lang w:bidi="ar-SA"/>
        </w:rPr>
        <w:t>من أنّ الصحة صفة منتزعة من استكمال الأجزاء والشرائط تحقيقاً أو تنزيلاً، والفساد من عدمه، فهما صفتان منتزعتان من منشأهما من دون توقيف على تصرف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بصحة الصلاة الفاقدة للأجزاء الغير الركنيّة نسياناً إنّما يتوقف على جعل الشارع من جهة تحقق المنشأ لانتزاعها، وهو كون الإحرام أهم منها، لا من جهة انتزاع الصحة بعد تحقق أن الإحرام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في العبادات والمعاملات الفساد لأنّ الأحكام الشرعيّة كلّها توقيفية، ومنها الصحة، والأصل عدمها، وعدمها يكفي في ثبوت الفساد</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أنّ الأصل في المعاملات الصحة إن كان الشكّ في صحة نوع منها بعد إحراز ما يعتبر في صحته عرفاً؛ لأنّ مرجع الشكّ حينئذ إلى الشكّ في تصرّف الشارع بإبطاله رأساً أو بتضييق دائرته بجعل شرط أو مانع،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في الحكم بالصحة إلى إحراز التقرير بعد العلم بمقتضى الصحة من ولاية الشخص على نفسه وماله؛ إذ التقرير ليس شرطاً للصحة وإنما الردع 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صحة المصداق من جهة التردّد في انطباق النوع عليه، فإن كان الشكّ في المانع بعد إحراز المقتضي كان شكّ في كون المبيع مرهوناً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الصحة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المقتضي كان شكّ في كمال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من أنّ قول مدّعي الصحة مقدّم مطلقاً،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العبادات فإن كان الشكّ في اختراع نوع للتعبّديّة فالأصل الفساد، وإن كان الشكّ في المصداق فمع إحراز المقتضي للصحة فالأصل الصحة، وإلا فالفساد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المنهي عنه بحسب الأصل لا ينافي مع اقتضاء النهي الفساد وعدمه، كما هو ظاهر، فتقييد محلّ النزاع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تعلّق النهي بشيء بعد ما ورد عن الشارع له جهة صحة ثمّ ورد النهي عن بعض أفراده أو خوطب به عامة المكلّفين ثمّ استثنى عنه بعضهم</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تقييده بما إذا كان المنهي عنه قابلاً للصحة والفساد</w:t>
      </w:r>
      <w:r>
        <w:rPr>
          <w:rStyle w:val="FootnoteAnchor"/>
          <w:rtl w:val="true"/>
        </w:rPr>
        <w:footnoteReference w:id="319"/>
      </w:r>
      <w:r>
        <w:rPr>
          <w:rFonts w:ascii="Amiri" w:hAnsi="Amiri" w:eastAsia="Amiri" w:cs="Amiri"/>
          <w:color w:val="111111"/>
          <w:sz w:val="28"/>
          <w:sz w:val="28"/>
          <w:szCs w:val="28"/>
          <w:rtl w:val="true"/>
          <w:lang w:bidi="ar-SA"/>
        </w:rPr>
        <w:t>، لا وجه له أيضاً؛ ضرورة أنّ عدم قابليّة المحلّ للانفعال لا ينافي مع وجود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اتضحت لك هذه الأُمور فاعلم أنّ النهي في المعاملات مطلقاً لا يقتضي البطلان والفساد؛ لأنّ النهي حكم تكليفي والبطلان حكم وضعي ولا ملازمة بينهما،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البيع وقت النداء محرم ولا يكون باطلاً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في العبادات فإن كان تنزيهياً فكذلك؛ لمجامعته مع الأمر، وعدم منعه من </w:t>
      </w:r>
    </w:p>
    <w:p>
      <w:pPr>
        <w:pStyle w:val="BookText"/>
        <w:rPr/>
      </w:pPr>
      <w:r>
        <w:rPr>
          <w:rFonts w:ascii="Amiri" w:hAnsi="Amiri" w:eastAsia="Amiri" w:cs="Amiri"/>
          <w:color w:val="111111"/>
          <w:sz w:val="28"/>
          <w:sz w:val="28"/>
          <w:szCs w:val="28"/>
          <w:rtl w:val="true"/>
          <w:lang w:bidi="ar-SA"/>
        </w:rPr>
        <w:t>الامتثال؛ لأنّ النهي في العبادات إنما يتعلّق بإيجاد المأمور به، والأمر متعلّق بنفس الطبيعة، فلا يتنافيان وأمّا عدم المنع من الامتثال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النهي متعلّق بما تعلّق به الأمر فلا يجتمعان للتضاد فيرتفع الأمر حينئذ فتبطل العبادة، وهم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تحريميّاً يقتضي البطلان؛ لأن المحرّم حينئذ إيجاد المأمور به فلا يتحقق به الامتثال؛ ضرورة أنّ الإيجاد المحرم مبغوض للمولى، فينحصر الامتثال حينئذٍ في غير الإيجاد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التحريمي ينافي الأمر، كما زعمه الأكثر</w:t>
      </w:r>
      <w:r>
        <w:rPr>
          <w:rStyle w:val="FootnoteAnchor"/>
          <w:rtl w:val="true"/>
        </w:rPr>
        <w:footnoteReference w:id="320"/>
      </w:r>
      <w:r>
        <w:rPr>
          <w:rFonts w:ascii="Amiri" w:hAnsi="Amiri" w:eastAsia="Amiri" w:cs="Amiri"/>
          <w:color w:val="111111"/>
          <w:sz w:val="28"/>
          <w:sz w:val="28"/>
          <w:szCs w:val="28"/>
          <w:rtl w:val="true"/>
          <w:lang w:bidi="ar-SA"/>
        </w:rPr>
        <w:t>غفلة عن أن الأمر متعلّق بنفس الطبيعة، والتحريم بإيجادها الخاص، فلا يتنافيان؛ لاختلاف 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ينا في النهي التحريمي تنجز الأمر حينئذ لا أصل الأمر، بل لا ينافي التعلّق حينئذ، ولذا يجب على المسافر والمريض والحائض والنفساء قضاء صوم شهر رمضان مع النهي عنه في هذه الأحوال، والقضاء فرع الفوت، والفوت فرع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لا يتحقق بالإيجاد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النهي المبحوث عنه الذي هو من قبيل المدلول والمعنى وقسم من أقسام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النهي الذي هو من باب القول، وهو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بمنزلته فلا يدلّ على التحريم حتّى يدلّ على البطلان؛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آلة وأداة للزجر والمنع الصالح لأغراض شتّى، فقد يكون الغرض من الزجر عن العبادة حتماً العبادة حتماً هو الإرشاد إلى وجوب تقديم الأهم كقولك عند معارضة الآيات مع اليوميّة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الآيات وصلّ 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تنجز الحرام المجامع لها واستحقاق العقوبة عليه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تحريم امتثال المهم والمجامع للحرام حتى يلزم منه 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النهي اللفظي المتعلّق بالعبادات أو المعاملات لا يدلّ على تحريم المتعلّق حتّى يدلّ على البطلان بالملازمة مطلقاً أو في بعض الموارد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الغرض من النهي عن المعاملة هو البطلان ابتداءً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تبع هذا </w:t>
      </w:r>
      <w:bookmarkStart w:id="170" w:name="pg9000_94039"/>
    </w:p>
    <w:p>
      <w:pPr>
        <w:pStyle w:val="BookText"/>
        <w:rPr/>
      </w:pPr>
      <w:bookmarkEnd w:id="170"/>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 السائل عن صحته وبطلانه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المعاملة عند الإطلاق ينصرف إلى البطلان؛ إذ الغرض المقصود منها إنّما هو ترتب الأثر فالنهي عنها إطلاقاً ينصرف إلى سلب الأثر المقصود منها</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859668_2870459653"/>
      <w:bookmarkStart w:id="172" w:name="_Toc59"/>
      <w:bookmarkEnd w:id="171"/>
      <w:r>
        <w:rPr>
          <w:rtl w:val="true"/>
        </w:rPr>
        <w:t>تنبيهات</w:t>
      </w:r>
      <w:bookmarkEnd w:id="1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جزء العبادة أو كيفيتها، كالجهر والإخفات، موجب لبطلانهما المستلزم لبطلان العبادة مع الاقتصار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التدارك بما لا يكون محرّماً لا يوجب بطلان العبادة إلّا مع استلزامه محذوراً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العبادة فإن كان عبادة فتحريمه مستلزم لبطلانه المستلزم لبطلان المشروط؛ لانتفائه بانتفاء شرطه وإن لم يكن عبادة فلا يوجب بطلانه حتّى يوجب بطلان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اللفظي عن العبادة لجزئها أو وصفها أو شرطها إن كان راجعاً إلى تحريم الجزء أو الوصف أو الشرط فلا أثر له مزيداً على ما بيّناه، وإن كان الغرض منه تحريم المنهي عنه وإن كان الواسطة في ثبوت الحكم هو الجزء أو الوصف أو الشرط فتبطل العبادة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هذا المبحث والمبحث السابق في غاية الوضوح؛ لما عرفت</w:t>
      </w:r>
      <w:r>
        <w:rPr>
          <w:rStyle w:val="FootnoteAnchor"/>
          <w:rtl w:val="true"/>
        </w:rPr>
        <w:footnoteReference w:id="321"/>
      </w:r>
      <w:r>
        <w:rPr>
          <w:rFonts w:ascii="Amiri" w:hAnsi="Amiri" w:eastAsia="Amiri" w:cs="Amiri"/>
          <w:color w:val="111111"/>
          <w:sz w:val="28"/>
          <w:sz w:val="28"/>
          <w:szCs w:val="28"/>
          <w:rtl w:val="true"/>
          <w:lang w:bidi="ar-SA"/>
        </w:rPr>
        <w:t>من أنّ النزاع في المبحث السابق إنّما هو في أنّ الجمع بين العنوانين في مصداق واحد يوجب اجتماع الأمر والنهي عليه وتعلقهما به أم لا؟ والنزاع في هذا المبحث في أنّ المنهي عنه بعد الفراغ عن تعلّق النهي به باطل مطلقاً أم لا مطلقاً أم فيه تفصيل؟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أبي حنيفة وصاحبيه أنّ النهي عن شيء يقتضي صحته</w:t>
      </w:r>
      <w:r>
        <w:rPr>
          <w:rStyle w:val="FootnoteAnchor"/>
          <w:rtl w:val="true"/>
        </w:rPr>
        <w:footnoteReference w:id="322"/>
      </w:r>
      <w:r>
        <w:rPr>
          <w:rFonts w:ascii="Amiri" w:hAnsi="Amiri" w:eastAsia="Amiri" w:cs="Amiri"/>
          <w:color w:val="111111"/>
          <w:sz w:val="28"/>
          <w:sz w:val="28"/>
          <w:szCs w:val="28"/>
          <w:rtl w:val="true"/>
          <w:lang w:bidi="ar-SA"/>
        </w:rPr>
        <w:t>، و هو صحيح بمعنى التمامية في الأجزاء؛ لأنّ النهي عن شيء كالأمر به فرع تطرّق وجود الموضوع ولكنّه خارج عن موضوع النزاع؛ لما عرفت</w:t>
      </w:r>
      <w:r>
        <w:rPr>
          <w:rStyle w:val="FootnoteAnchor"/>
          <w:rtl w:val="true"/>
        </w:rPr>
        <w:footnoteReference w:id="323"/>
      </w:r>
      <w:r>
        <w:rPr>
          <w:rFonts w:ascii="Amiri" w:hAnsi="Amiri" w:eastAsia="Amiri" w:cs="Amiri"/>
          <w:color w:val="111111"/>
          <w:sz w:val="28"/>
          <w:sz w:val="28"/>
          <w:szCs w:val="28"/>
          <w:rtl w:val="true"/>
          <w:lang w:bidi="ar-SA"/>
        </w:rPr>
        <w:t>من أنّ المراد بالفساد في المقام هو البطلان، والصحة المقابلة له التماميّة في الأجزاء والشرائط معاً لا التمامية في الأجزاء فقط</w:t>
      </w:r>
      <w:r>
        <w:rPr>
          <w:rFonts w:eastAsia="Amiri" w:cs="Amiri" w:ascii="Amiri" w:hAnsi="Amiri"/>
          <w:color w:val="111111"/>
          <w:sz w:val="28"/>
          <w:szCs w:val="28"/>
          <w:rtl w:val="true"/>
          <w:lang w:bidi="ar-SA"/>
        </w:rPr>
        <w:t xml:space="preserve">. </w:t>
      </w:r>
      <w:bookmarkStart w:id="173" w:name="pg9000_94040"/>
    </w:p>
    <w:p>
      <w:pPr>
        <w:pStyle w:val="Heading2"/>
        <w:numPr>
          <w:ilvl w:val="1"/>
          <w:numId w:val="1"/>
        </w:numPr>
        <w:rPr/>
      </w:pPr>
      <w:bookmarkStart w:id="174" w:name="__RefHeading___Toc1859670_2870459653"/>
      <w:bookmarkStart w:id="175" w:name="_Toc60"/>
      <w:bookmarkEnd w:id="173"/>
      <w:bookmarkEnd w:id="174"/>
      <w:r>
        <w:rPr>
          <w:rtl w:val="true"/>
        </w:rPr>
        <w:t>المقصد الثالث في المفاهيم</w:t>
      </w:r>
      <w:bookmarkEnd w:id="175"/>
    </w:p>
    <w:p>
      <w:pPr>
        <w:pStyle w:val="Heading3"/>
        <w:numPr>
          <w:ilvl w:val="2"/>
          <w:numId w:val="1"/>
        </w:numPr>
        <w:rPr/>
      </w:pPr>
      <w:bookmarkStart w:id="176" w:name="__RefHeading___Toc1859672_2870459653"/>
      <w:bookmarkStart w:id="177" w:name="_Toc6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اعلم أن مدلول الكلام ينقسم عندهم إلى منطوق ومفهوم فإن كان موضوعه مذكوراً في الكلام فمنطوق وإلا فمفهوم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المفهوم إلى مفهوم موافقة ومفهوم مخالفة فإن وافق المنطوق إيجاباً أو سلباً يسمّى مفهوم 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ثبوته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Style w:val="FootnoteAnchor"/>
          <w:rtl w:val="true"/>
        </w:rPr>
        <w:footnoteReference w:id="324"/>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خالفه إيجاباً أو سلباً يسمّى 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ثبوته في مواضع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859674_2870459653"/>
      <w:bookmarkStart w:id="179" w:name="_Toc62"/>
      <w:bookmarkEnd w:id="178"/>
      <w:r>
        <w:rPr>
          <w:rtl w:val="true"/>
        </w:rPr>
        <w:t>[</w:t>
      </w:r>
      <w:r>
        <w:rPr>
          <w:rtl w:val="true"/>
        </w:rPr>
        <w:t>الموضع الأوّل</w:t>
      </w:r>
      <w:r>
        <w:rPr>
          <w:rtl w:val="true"/>
        </w:rPr>
        <w:t>]</w:t>
      </w:r>
      <w:bookmarkEnd w:id="179"/>
    </w:p>
    <w:p>
      <w:pPr>
        <w:pStyle w:val="BookText"/>
        <w:rPr/>
      </w:pPr>
      <w:r>
        <w:rPr>
          <w:rFonts w:ascii="Amiri" w:hAnsi="Amiri" w:eastAsia="Amiri" w:cs="Amiri"/>
          <w:color w:val="111111"/>
          <w:sz w:val="28"/>
          <w:sz w:val="28"/>
          <w:szCs w:val="28"/>
          <w:rtl w:val="true"/>
          <w:lang w:bidi="ar-SA"/>
        </w:rPr>
        <w:t>منها تقييد الحكم بالشرط بإحدى أدواته فذهب جماعة إلى أنّ المتبادر منه انتفاء الحكم بانتفائه استناداً إلى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زيداً درهماً إن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العرف مجرى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إعطائه إكرامك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ما ذهب إليه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دلالته على انحصار سبب سبب الحكم في الشرط </w:t>
      </w:r>
      <w:r>
        <w:rPr>
          <w:rStyle w:val="FootnoteAnchor"/>
          <w:rtl w:val="true"/>
        </w:rPr>
        <w:footnoteReference w:id="325"/>
      </w:r>
      <w:r>
        <w:rPr>
          <w:rFonts w:ascii="Amiri" w:hAnsi="Amiri" w:eastAsia="Amiri" w:cs="Amiri"/>
          <w:color w:val="111111"/>
          <w:sz w:val="28"/>
          <w:sz w:val="28"/>
          <w:szCs w:val="28"/>
          <w:rtl w:val="true"/>
          <w:lang w:bidi="ar-SA"/>
        </w:rPr>
        <w:t>ضرورة أنّ أدوات الشرط إنّما تفيد تقييد الحكم بالشرط وتسبّبه عنه، وأمّا انحصار السبب فيه فلا تفيده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أنّه لا منافاة بين 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إن آتاك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في الجمع بين الكلامين توسّع أبداً ولا ارتكاب لخلاف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التحقيق أنّ أدوات الشرط لا تفيد وضعاً إلّا تعليق الجزاء على الشرط وهو كما يكون للتقييد فقد يكون للتعميم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رحمك إن قطعك، وأحسن إلى أخيك إن أسائك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لبيان تحقق الموضوع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 وإن جائك فاسق بنبأ فتبيّن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الأدوات إنما هو التعليق والتقييد من جملة الأغراض والدواعي لا أنّ الأدوات موضوعة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ينصرف التعليق إلى التقييد فيما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إشعار في أدوات الشرط إلى حصر القيد في الشرط وكونه سبباً للحكم لا غير، حتّى يفهم منه انتفاء الحكم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أنّه يتمّ المفهوم بضميمة أصالة عدم قيام سبب آخر مقام الشرط</w:t>
      </w:r>
      <w:r>
        <w:rPr>
          <w:rStyle w:val="FootnoteAnchor"/>
          <w:rtl w:val="true"/>
        </w:rPr>
        <w:footnoteReference w:id="326"/>
      </w:r>
      <w:r>
        <w:rPr>
          <w:rFonts w:ascii="IRNazanin" w:hAnsi="IRNazanin" w:eastAsia="IRNazanin"/>
          <w:color w:val="111111"/>
          <w:sz w:val="28"/>
          <w:sz w:val="28"/>
          <w:szCs w:val="28"/>
          <w:rtl w:val="true"/>
          <w:lang w:bidi="fa-IR"/>
        </w:rPr>
        <w:t>، في غیر محله؛ لأنّ الاستناد في انتفاء الحكم إلى ما ذكر قصر للحكم على القدر المحقق منه وركون إلى أصل عملي، فلا يثبت به مفهوم لللفظ، كما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لو سلّم ظهور التقييد في حصر السبب في الشرط فعد انتفاء الحكم بانتفاء الشرط من المفاهيم لا وجه له؛ إذ مقتضى التقييد حينئذٍ دوران الحكم مدار القيد وهو الشرط وجوداً وعدماً، فالقضيّة الواحدة باعتبار اشتمالها على التقييد المزبور تنحل إلى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عند الثبوت وانتفاء عند الانتفاء، فلا مجال للتفكيك بينهما بجعل أحدهما منطوقاً والآخر مفهوماً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القضيّة اللفظية إنّما تدلّ على الثبوت عند الثبوت ابتداءً وعلى الانتفاء بالانتفاء استتباعاً فيكون الأوّل منطوقاً دون الثاني، في دون الثاني، في غير محله؛ لأنّ القضيّة الشرطيّة بناءً على دلالتها على الانتفاء بالانتفاء إنّما تدلّ على التقييد الموجب لدوران الحكم مدار الشرط وجوداً وعدماً، ولو دلّت على مجرّد الثبوت عند الثبوت ابتداءً ولم تدلّ على التقييد لم تستتبع الدلالة على الانتفاء عند الانتفاء</w:t>
      </w:r>
      <w:r>
        <w:rPr>
          <w:rFonts w:eastAsia="Amiri" w:cs="Amiri" w:ascii="Amiri" w:hAnsi="Amiri"/>
          <w:color w:val="111111"/>
          <w:sz w:val="28"/>
          <w:szCs w:val="28"/>
          <w:rtl w:val="true"/>
          <w:lang w:bidi="ar-SA"/>
        </w:rPr>
        <w:t xml:space="preserve">. </w:t>
      </w:r>
      <w:bookmarkStart w:id="180" w:name="pg9000_94042"/>
    </w:p>
    <w:p>
      <w:pPr>
        <w:pStyle w:val="BookText"/>
        <w:rPr/>
      </w:pPr>
      <w:bookmarkEnd w:id="180"/>
      <w:r>
        <w:rPr>
          <w:rFonts w:ascii="Amiri" w:hAnsi="Amiri" w:eastAsia="Amiri" w:cs="Amiri"/>
          <w:color w:val="111111"/>
          <w:sz w:val="28"/>
          <w:sz w:val="28"/>
          <w:szCs w:val="28"/>
          <w:rtl w:val="true"/>
          <w:lang w:bidi="ar-SA"/>
        </w:rPr>
        <w:t>مع أنّ مجرّد الاستتباع لا يوجب عده من المفاهيم وإلا لزم أن يكون المدلول بالدلالة الالتزامية مطلقاً مندرجاً تحت المفهوم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859676_2870459653"/>
      <w:bookmarkStart w:id="182" w:name="_Toc63"/>
      <w:bookmarkEnd w:id="181"/>
      <w:r>
        <w:rPr>
          <w:rtl w:val="true"/>
        </w:rPr>
        <w:t>تنبيهات</w:t>
      </w:r>
      <w:bookmarkEnd w:id="18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مقتضى القول بعدم مفهوم للشرط تعدية الحكم إلى غير صورة الشرط؛ إذ تعدية الحكم إليه يحتاج إلى دليل فيقتصر على محلّ الشرط، سواء قلنا بأنّ له مفهوماً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الشرط وارداً مورد الغالب ينصرف التعليق به إلى أنه من باب الغلبة ولا يوجب تقييداً للحكم فيعمّ مورد الشرط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تبيّن لك أنّ ما ذكره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تمهيد القواعد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إشكال في دلالة الشرط والوصف على الانتفاء بالانتفاء في مثل الوقف والوصايا والنذور والأيمان،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على أولادي الفقراء أو إن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فی غیرمحلّه؛ لأنّ القصر على مورد الشرط والوصف مقتضى منطوق الكلام، والحكم بالانتفاء عند الانتفاء قطعاً إنّما هو للعلم بعدم ما يوجب التعدية؛ لعدم تطرّق انعقاد صيغة أخرى بعد إحدى الصيغ المذكورة مع اتحاد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تعدّد الشرط،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 زيد فأكرمه، وإذا أكرمك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معارضة بينهما حتّى يجمع بينهما بما أمكن أو يحكم بالتساقط للتعادل أو بترجيح أحدهما لوجود مرجّح سنداً أو دلالةً؛ لما اتضح لك من عدم دلالة أدوات الشرط على الحصر والانتفاء عند الانتفاء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يعلم من الخارج أنّ مرجع الشروط المتعدّدة إلى أمر واحد فيجمع بينها حينئذٍ مثل جعل خفاء الأذان وتواري البيوت موجبين للقصر؛ فإنّ حدّ الترخص أمر </w:t>
      </w:r>
    </w:p>
    <w:p>
      <w:pPr>
        <w:pStyle w:val="BookText"/>
        <w:rPr/>
      </w:pPr>
      <w:r>
        <w:rPr>
          <w:rFonts w:ascii="Amiri" w:hAnsi="Amiri" w:eastAsia="Amiri" w:cs="Amiri"/>
          <w:color w:val="111111"/>
          <w:sz w:val="28"/>
          <w:sz w:val="28"/>
          <w:szCs w:val="28"/>
          <w:rtl w:val="true"/>
          <w:lang w:bidi="ar-SA"/>
        </w:rPr>
        <w:t>واحد محدود بحدّ واحد وإنما جعل كلّ من خفاء الأذان وتواري الجدران معرفاً له فيجمع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بعضهم أنّه إذا تعدّد الشرط واتّحد الجزاء ولم نقيّد إطلاق أحدهما بالآخر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مجموع الأمرين أو الأمور، فهل يحكم بتعدد الجزاء حسب الشرط أو بالتداخل والاجتزاء بمرّة واحدة؟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التداخل، وعن جماعة منهم المحقق الخوانساري التداخل</w:t>
      </w:r>
      <w:r>
        <w:rPr>
          <w:rStyle w:val="FootnoteAnchor"/>
          <w:rtl w:val="true"/>
        </w:rPr>
        <w:footnoteReference w:id="328"/>
      </w:r>
      <w:r>
        <w:rPr>
          <w:rFonts w:ascii="Amiri" w:hAnsi="Amiri" w:eastAsia="Amiri" w:cs="Amiri"/>
          <w:color w:val="111111"/>
          <w:sz w:val="28"/>
          <w:sz w:val="28"/>
          <w:szCs w:val="28"/>
          <w:rtl w:val="true"/>
          <w:lang w:bidi="ar-SA"/>
        </w:rPr>
        <w:t>وعن الحلّي التفصيل بين اتحاد جنس الشروط وتعدّده</w:t>
      </w:r>
      <w:r>
        <w:rPr>
          <w:rStyle w:val="FootnoteAnchor"/>
          <w:rtl w:val="true"/>
        </w:rPr>
        <w:footnoteReference w:id="329"/>
      </w:r>
      <w:r>
        <w:rPr>
          <w:rFonts w:ascii="IRNazanin" w:hAnsi="IRNazanin" w:eastAsia="IRNazanin"/>
          <w:color w:val="111111"/>
          <w:sz w:val="28"/>
          <w:sz w:val="28"/>
          <w:szCs w:val="28"/>
          <w:rtl w:val="true"/>
          <w:lang w:bidi="fa-IR"/>
        </w:rPr>
        <w:t xml:space="preserve">، ثم قال ما محصله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لمّا كان الأخذ بظاهر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حدوث الجزاء عند حدوث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الجزاء على وحدته مستحيل؛ لاستلزامه اتصاف الحقيقة الواحدة بحكمين متماثلين، وجب الحكم بتعدّد الجزاء حسب تعدّد الشرط بالالتزام بكون المحكوم عند كلّ شرط فرداً من الجزاء بقرينة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إبقاء الجزاء على وحدته المستلزم للتداخل فلا يتم إلا بأحد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التصرف في الشرط بجعله دالاً على مجرّد الثبوت، وإما الالتزام بكون الجزاء حينئذ واحداً صورةً، متعدّداً حقيقةً حسب تعدّد الشرط، متصادقةً على واحد، أو بحدوث الحكم عند حدوث الشرط الأول و التأكد عند حدوث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بكلّ من الوجوه الثلاثة ارتكاب لخلاف الظاهر من غير دليل بخلاف</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بتعدّد الجزاء؛ فإنّه بملاحظة اقتضاء تعدّد الشرط إيّاه موافق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المجدي للقول بالتداخل هو أحد الوجوه التي ذكرناه لا مجرد كون الأسباب الشرعيّة معرّفات لا مؤثّرات، فلا وجه لما عن الفخر وغيره من ابتناء المسألة على أنّها معرّفات أو مؤثرات</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أدوات الشرط وضعاً إنّما هو تعلّق الجزاء بالشرط المنصرف إطلاقاً إلى التسبّب، فالمستفاد منها عند الإطلاق ليس إلا سببية الشرط للجزاء المستلزمة لحدوثه بحدوث الشرط اقتضاء لا فعلاً، فلا ينافي ذلك مع تعدّد الأسباب واجتماعها على مسبب واحد حتى يجب التأويل في الشرط أو الجزاء حينئذ، فإذا تعددت الأسباب وتواردت على مسبّب واحد فإن تقارنت اشتركت في حدوثه، وإلا فالأثر للمتقدم ويسقط اللاحق عن التأثير رأساً أو يوجب التأكد إن كان المورد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الاشتراك في التأثير مع التقارن وسقوط اللاحق أو إيجابه التأكد مع مفاد القضيّة الشرطيّة وهو استقلال كلّ منها في التأثير لو انفرد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بيّناه أنّ ما استظهره من عدم التداخل بزعم اقتضاء تعدّد الشرط تعدّد الجزاء؛ من أجل ظهور القضية الشرطيّة في حدوث الجزاء عند حدوث الشرط فعلاً، في غاية السخافة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ما ذكره من ابتناء التداخل على أحد الوجوه المتقدمة وما نقله عن فخر الدين من ابتنائه على جعل الأسباب معرّفات لا مؤثرات في غير محله؛ لما عرفت من أنّ التداخل مقتضى توارد الأسباب واجتماعها على مسبّب واحد من دون تأويل في الشرط أو الجزاء، أو إخراج السبب عن كونه سبباً وجعله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التصرّف في الشرط بجعله دالاً على مجرّد الثبوت راجع إلى جعل السبب معرفاً أو قريباً منه فجعل أحدهما كافياً للتداخل دون الآخر،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اتضح لك ما حققناه من أنّ التداخل لا يبتني على ما توهموه ويكفي فيه اجتماع أسباب متعدّدة على مسبّب واحد، فاعلم أنه ليس من باب التداخل اجتماع أسباب متعاقبة على مفهوم واحد قابل لوجودات متعدّدة متعاقبة؛ لأنّ كلّ واحد من الأسباب المتعاقبة حال ثبوته منفرداً عن الآخر يستقلّ في التأثير، ولا يزاحمه ولا يشاركه السبب المتقدّم أو المتأخّر، حتّى يتداخلا ويشتركا في أثر واحد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الأمر كذلك في اجتماع أسباب متقارنة على مفهوم واحد قابل لوجودات </w:t>
      </w:r>
    </w:p>
    <w:p>
      <w:pPr>
        <w:pStyle w:val="BookText"/>
        <w:rPr/>
      </w:pPr>
      <w:r>
        <w:rPr>
          <w:rFonts w:ascii="Amiri" w:hAnsi="Amiri" w:eastAsia="Amiri" w:cs="Amiri"/>
          <w:color w:val="111111"/>
          <w:sz w:val="28"/>
          <w:sz w:val="28"/>
          <w:szCs w:val="28"/>
          <w:rtl w:val="true"/>
          <w:lang w:bidi="ar-SA"/>
        </w:rPr>
        <w:t>متعدّدة؛ إذ التزاحم والتداخل في التأثير إنّما هو فيما إذا لم يحتمل المورد وجودات متعدّدة متقارنة أم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احتملها فلا مجال للتزاحم والتداخل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توهّم التداخل فيما إذا تكرّر السبب الموجب للكفارّة في يوم واحد مطلقاً أو مع عدم تخلّل التكفير بينها، في غير محله؛ لأنّ كلاً من الوجودات المتكرّرة يستقلّ في وجوب التكفير فيجتمع عليه أوامر متعدّدة تعدّد الموجب وتكرّره، وكلّ من حسب الأوامر يقتضي إيجاداً مستقلاً وامتثالاً على حدة، فلا يجتزي بتكفير واحد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في كلّ من موارد السبب مفهوم واحد، وهو مطلق صادق على كلّ فرد من الأفراد، فيجب الاجتزاء بفرد واحد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إنّما يكون ناظراً إلى أنّ الإتيان بالمفطر أو المبطل عمداً موجب للتكفير، وأما التكرّر بتكرّر السبب أو عدم التكرّر بتكرّره فلا نظر إليه أصلاً فهو من هذه الجهة مهمل لا مطلق فلا مجال للأخذ بالإطلاق، والتكرّر بتكرّر السبب إنّما هو مقتضى السببية ولا حاجة له إلى دليل آخر بعد الدلالة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مفهوم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يرد عليه أوامر متعدّدة وإلّا لزم اتصافه بأحكام متماثلة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الطبيعة الواحدة بأوامر متعدّدة مستقلة بحيث يقتضي كلّ منها امتثالاً مستقلاً، جائز بالضرورة؛ إذ لا مانع من اجتماعها على طبيعة واحدة مع أنّ المطلوب من كلّ منها إيجاد مستقل، وتعدّد المطلوب مع اتحاد المأمور به يوجب تنزيل المأمور به منزلة المتعدّد، فلا حاجة إلى تقييده في كلّ من الأوامر بقيد يوجب مغايرة كلّ من متعلّق الأوامر للآخر، كما زعم بعضهم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 من اقتضاء الأوامر المتعدّدة المسبّبة عن أسباب متعدّدة تعدّد الامتثال، يقتضي أن لا يتداخل الأغسال والوضوئات</w:t>
      </w:r>
      <w:r>
        <w:rPr>
          <w:rFonts w:eastAsia="Amiri" w:cs="Amiri" w:ascii="Amiri" w:hAnsi="Amiri"/>
          <w:color w:val="111111"/>
          <w:sz w:val="28"/>
          <w:szCs w:val="28"/>
          <w:rtl w:val="true"/>
          <w:lang w:bidi="ar-SA"/>
        </w:rPr>
        <w:t xml:space="preserve">. </w:t>
      </w:r>
      <w:bookmarkStart w:id="183" w:name="pg9000_94046"/>
    </w:p>
    <w:p>
      <w:pPr>
        <w:pStyle w:val="BookText"/>
        <w:rPr/>
      </w:pPr>
      <w:bookmarkEnd w:id="1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في الأغسال إنّما هو الأمر المنتزع منها وهي الطهارة الكبرى، كما أنه في الوضوئات أيضاً إنّما هو الأمر المنتزع منها وهي الطهارة الصغرى، فالمأمور به في كلّ منهما إنّما هي الطهارة وهي أمر واحد غير قابل للتعدّد والتكرّر ، فهي كما لا تقبل التعدد في الوجود لا تقبل الأوامر المتعدّدة، فالمأمور به أمر واحد، كما أنّ الأمر المتعلّق به أمر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تعدّد في السبب الموجب لها؛ لأنّ التعدّد إنّما هو في الأسباب الموجبة للحدث الأصغر والأكبر، والموجب للطهارة إنّما هو الحدث المنتزع منها وهو كالطهارة أمر واحد غير قابل للتعدّد والتكرّر ، فلا تعدّد في المسبّب ولا في السبب، بل الموجب للأمر بالطهارة إنّما هو توقف صحة الصلاة والصوم ونحوهما عليها لا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التداخل في الوضوئات والأغسال الواجبة المنتزعة منهما الطهارة، وأمّا في الأغسال المندوبة المقصود منها نفسها لا الطهارة؛ لعدم إيجابها إيّاها،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كالوضوء حقيقة واحدة لا تختلف باختلاف الوجوب والندب، فهو منشأ لانتزاع الطهارة مطلقاً، كما اختاره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تنتقض بالحدث وتتداخل مع الغسل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الكلام في الفقه في إبطال ما ذهب إليه الأكثر من التفصيل بين الغسل الواجب والمندوب وجعل الأوّل طهارة دون الثاني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859678_2870459653"/>
      <w:bookmarkStart w:id="185" w:name="_Toc64"/>
      <w:bookmarkEnd w:id="184"/>
      <w:r>
        <w:rPr>
          <w:rtl w:val="true"/>
        </w:rPr>
        <w:t>[</w:t>
      </w:r>
      <w:r>
        <w:rPr>
          <w:rtl w:val="true"/>
        </w:rPr>
        <w:t>الموضع الثاني</w:t>
      </w:r>
      <w:r>
        <w:rPr>
          <w:rtl w:val="true"/>
        </w:rPr>
        <w:t>]</w:t>
      </w:r>
      <w:bookmarkEnd w:id="185"/>
    </w:p>
    <w:p>
      <w:pPr>
        <w:pStyle w:val="BookText"/>
        <w:rPr/>
      </w:pPr>
      <w:r>
        <w:rPr>
          <w:rFonts w:ascii="Amiri" w:hAnsi="Amiri" w:eastAsia="Amiri" w:cs="Amiri"/>
          <w:color w:val="111111"/>
          <w:sz w:val="28"/>
          <w:sz w:val="28"/>
          <w:szCs w:val="28"/>
          <w:rtl w:val="true"/>
          <w:lang w:bidi="ar-SA"/>
        </w:rPr>
        <w:t>ومنها تعليق الحكم على الوصف، فقد ذهب بعض إلى أنه يفيد انتفاء الحكم بانتفاء الوصف</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العدم، كما اختاره الأكثر؛ لأنّ فهم الانتفاء عند الانتفاء منه موقوف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التعليق للتقييد والتعليل وحصر القيد والعلّة في الوصف، وكلاهما ممنوع؛ أمّا الأوّل فلأن فوائد التعليق متعدّدة</w:t>
      </w:r>
      <w:r>
        <w:rPr>
          <w:rFonts w:eastAsia="Amiri" w:cs="Amiri" w:ascii="Amiri" w:hAnsi="Amiri"/>
          <w:color w:val="111111"/>
          <w:sz w:val="28"/>
          <w:szCs w:val="28"/>
          <w:rtl w:val="true"/>
          <w:lang w:bidi="ar-SA"/>
        </w:rPr>
        <w:t xml:space="preserve">: </w:t>
      </w:r>
      <w:bookmarkStart w:id="186" w:name="pg9000_94047"/>
    </w:p>
    <w:p>
      <w:pPr>
        <w:pStyle w:val="BookText"/>
        <w:rPr/>
      </w:pPr>
      <w:bookmarkEnd w:id="186"/>
      <w:r>
        <w:rPr>
          <w:rFonts w:ascii="Amiri" w:hAnsi="Amiri" w:eastAsia="Amiri" w:cs="Amiri"/>
          <w:color w:val="111111"/>
          <w:sz w:val="28"/>
          <w:sz w:val="28"/>
          <w:szCs w:val="28"/>
          <w:rtl w:val="true"/>
          <w:lang w:bidi="ar-SA"/>
        </w:rPr>
        <w:t>منها شدّة الاهتمام ببيان حكم محلّ الوصف إمّا لاحتياج السامع إلى بيانه أو لدفع توهم عدم شمول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اقتضاء المصلحة إعلام حكم الصفة بالنص وما عداها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مطابقة الجواب للسؤال، كما إذا كان جواباً للسؤال عن محلّ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تقييد الحكم به وكونه علة له، إلى غير ذلك من الفوائد، وليس ظاهراً في التقييد بل مشعراً به، وليس الإشعار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فالأمر فيه أظهر؛ ضرورة عدم اقتضاء التعليق حصر السبب في الوصف، فلو أُحرز أنّ الوصف في مقام التقييد والتعليل فلا يحكم بانتفاء الحكم بانتفائه؛ لتفرّعه على حصر السبب فيه، ومجرّد التقييد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به حينئذٍ بمعونة الأصل</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859680_2870459653"/>
      <w:bookmarkStart w:id="188" w:name="_Toc65"/>
      <w:bookmarkEnd w:id="187"/>
      <w:r>
        <w:rPr>
          <w:rtl w:val="true"/>
        </w:rPr>
        <w:t>تنبیهان</w:t>
      </w:r>
      <w:bookmarkEnd w:id="1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بثبوت المفهوم للوصف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غنم سائمة فيه الزكاة</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المعلوفة فيه الزكاة؛ لما ظهر لك</w:t>
      </w:r>
      <w:r>
        <w:rPr>
          <w:rStyle w:val="FootnoteAnchor"/>
          <w:rtl w:val="true"/>
        </w:rPr>
        <w:footnoteReference w:id="335"/>
      </w:r>
      <w:r>
        <w:rPr>
          <w:rFonts w:ascii="Amiri" w:hAnsi="Amiri" w:eastAsia="Amiri" w:cs="Amiri"/>
          <w:color w:val="111111"/>
          <w:sz w:val="28"/>
          <w:sz w:val="28"/>
          <w:szCs w:val="28"/>
          <w:rtl w:val="true"/>
          <w:lang w:bidi="ar-SA"/>
        </w:rPr>
        <w:t>من أنّ الحكم بالانتفاء عند الانتفاء من قبل التعليق فرع اقتضاء الحصر ومقتضى حصر السبب في الوصف عدم ثبوت حكم الزكاة في شيء من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مفهوم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حيوان مأكول اللحم يتوضأ من سؤره ويشرب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لا شيء ممّا لا يؤكل لحمه يتوضأ من سؤره ويشرب منه</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محلّه، فردّ بعضهم عليه بأنّ مفهومه ليس كلّ ما لا يؤكل لحمه كذلك وهو يصدق بأن </w:t>
      </w:r>
      <w:bookmarkStart w:id="189" w:name="pg9000_94048"/>
    </w:p>
    <w:p>
      <w:pPr>
        <w:pStyle w:val="BookText"/>
        <w:rPr/>
      </w:pPr>
      <w:bookmarkEnd w:id="189"/>
      <w:r>
        <w:rPr>
          <w:rFonts w:ascii="Amiri" w:hAnsi="Amiri" w:eastAsia="Amiri" w:cs="Amiri"/>
          <w:color w:val="111111"/>
          <w:sz w:val="28"/>
          <w:sz w:val="28"/>
          <w:szCs w:val="28"/>
          <w:rtl w:val="true"/>
          <w:lang w:bidi="ar-SA"/>
        </w:rPr>
        <w:t>يكون بعضها ليس كذلك وبعضها يكون كذلك</w:t>
      </w:r>
      <w:r>
        <w:rPr>
          <w:rStyle w:val="FootnoteAnchor"/>
          <w:rtl w:val="true"/>
        </w:rPr>
        <w:footnoteReference w:id="337"/>
      </w:r>
      <w:r>
        <w:rPr>
          <w:rFonts w:ascii="Amiri" w:hAnsi="Amiri" w:eastAsia="Amiri" w:cs="Amiri"/>
          <w:color w:val="111111"/>
          <w:sz w:val="28"/>
          <w:sz w:val="28"/>
          <w:szCs w:val="28"/>
          <w:rtl w:val="true"/>
          <w:lang w:bidi="ar-SA"/>
        </w:rPr>
        <w:t>، في غير محله؛ لمنافاته للحصر المبتني عليه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باقتضاء التعليق على الوصف التقييد وحصر القيد فيه فالحكم بالانتفاء عند الانتفاء كالثبوت عند الثبوت من قبيل المنطوق لا المفهوم، كما هو ظاهر</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859682_2870459653"/>
      <w:bookmarkStart w:id="191" w:name="_Toc66"/>
      <w:bookmarkEnd w:id="190"/>
      <w:r>
        <w:rPr>
          <w:rtl w:val="true"/>
        </w:rPr>
        <w:t>[</w:t>
      </w:r>
      <w:r>
        <w:rPr>
          <w:rtl w:val="true"/>
        </w:rPr>
        <w:t>الموضع الثالث</w:t>
      </w:r>
      <w:r>
        <w:rPr>
          <w:rtl w:val="true"/>
        </w:rPr>
        <w:t>]</w:t>
      </w:r>
      <w:bookmarkEnd w:id="191"/>
    </w:p>
    <w:p>
      <w:pPr>
        <w:pStyle w:val="BookText"/>
        <w:rPr/>
      </w:pPr>
      <w:r>
        <w:rPr>
          <w:rFonts w:ascii="Amiri" w:hAnsi="Amiri" w:eastAsia="Amiri" w:cs="Amiri"/>
          <w:color w:val="111111"/>
          <w:sz w:val="28"/>
          <w:sz w:val="28"/>
          <w:szCs w:val="28"/>
          <w:rtl w:val="true"/>
          <w:lang w:bidi="ar-SA"/>
        </w:rPr>
        <w:t>ومنها التحديد بإحدى أدوات الغاية، فنسب إلى الأكثر دلالته على مخالفة ما بعدها لما قبلها في الحكم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ما اختاره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اقتضائه المخالفة وضعاً</w:t>
      </w:r>
      <w:r>
        <w:rPr>
          <w:rStyle w:val="FootnoteAnchor"/>
          <w:rtl w:val="true"/>
        </w:rPr>
        <w:footnoteReference w:id="339"/>
      </w:r>
      <w:r>
        <w:rPr>
          <w:rFonts w:ascii="Amiri" w:hAnsi="Amiri" w:eastAsia="Amiri" w:cs="Amiri"/>
          <w:color w:val="111111"/>
          <w:sz w:val="28"/>
          <w:sz w:val="28"/>
          <w:szCs w:val="28"/>
          <w:rtl w:val="true"/>
          <w:lang w:bidi="ar-SA"/>
        </w:rPr>
        <w:t xml:space="preserve">لأنّ التحديد بالمنتهى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كالتحديد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يكشف عن أن منظور المتكلّم إنّما هو بيان المحدود لا أن الحكم لا يتجاوز عن الحدّ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أنه يصح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البصرة إلى الكوفة ومنها إلى الحلب ومنه إلى الشام،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تأويل وارتكاب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القول بانصراف إطلاق التحديد إلى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الغاية إن كانت قيداً للحكم بحسب القواعد العربية،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حلال حتّى تعرف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فهي دالّة على ارتفاع الحكم عندها وإن كانت قيداً للموضوع،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فحالها حال الوصف في عدم الدلالة وإن كان تحديده بها بملاحظة حكمه وتعلّق الطلب به</w:t>
      </w:r>
      <w:r>
        <w:rPr>
          <w:rFonts w:eastAsia="Amiri" w:cs="Amiri" w:ascii="Amiri" w:hAnsi="Amiri"/>
          <w:color w:val="111111"/>
          <w:sz w:val="28"/>
          <w:szCs w:val="28"/>
          <w:rtl w:val="true"/>
          <w:lang w:bidi="ar-SA"/>
        </w:rPr>
        <w:t>.</w:t>
      </w:r>
      <w:r>
        <w:rPr>
          <w:rStyle w:val="FootnoteAnchor"/>
          <w:rtl w:val="true"/>
        </w:rPr>
        <w:footnoteReference w:id="342"/>
      </w:r>
      <w:bookmarkStart w:id="192" w:name="pg9000_94049"/>
    </w:p>
    <w:p>
      <w:pPr>
        <w:pStyle w:val="BookText"/>
        <w:rPr/>
      </w:pPr>
      <w:bookmarkEnd w:id="192"/>
      <w:r>
        <w:rPr>
          <w:rFonts w:ascii="Amiri" w:hAnsi="Amiri" w:eastAsia="Amiri" w:cs="Amiri"/>
          <w:color w:val="111111"/>
          <w:sz w:val="28"/>
          <w:sz w:val="28"/>
          <w:szCs w:val="28"/>
          <w:rtl w:val="true"/>
          <w:lang w:bidi="ar-SA"/>
        </w:rPr>
        <w:t xml:space="preserve">وهو وهم؛ لأنّ وضع اللفظ لا يختلف باختلاف التراكيب، وكما يتصوّر ثبوت المحدود بعد الغاية في الأفعال فكذلك يتصوّر ثبوته بعدها في الأحكام،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الحاضر الإتمام إلى أن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سافر وخرج عن حدّ الترخص وجب عليه التقصير إلا أن يكون عاصياً في سفره أو كثير السفر فيجب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المثالين فإنّما لا يتصوّر ثبوت الحكم فيهما بعد الحد؛ لأنه محدود بضده ومن المعلوم أنه لا يعقل ثبوت الحكم حينئذٍ وإلا اجتمع الضدّان، والاغترار إنّما حصل له من قبل المثالين</w:t>
      </w:r>
    </w:p>
    <w:p>
      <w:pPr>
        <w:pStyle w:val="BookText"/>
        <w:rPr/>
      </w:pPr>
      <w:r>
        <w:rPr>
          <w:rFonts w:ascii="Amiri" w:hAnsi="Amiri" w:eastAsia="Amiri" w:cs="Amiri"/>
          <w:color w:val="111111"/>
          <w:sz w:val="28"/>
          <w:sz w:val="28"/>
          <w:szCs w:val="28"/>
          <w:rtl w:val="true"/>
          <w:lang w:bidi="ar-SA"/>
        </w:rPr>
        <w:t>هذا بالنسبة إلى ما بعد الغاية وأمّا نفس الغاية فقد اختلفوا في دخولها في المغيّى وعدمه على أقوال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إذا كانت من جنس المغتى،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وَأَيْدِيَكُمْ إِلَى الْمَرَافِق</w:t>
      </w:r>
      <w:r>
        <w:rPr>
          <w:rStyle w:val="FootnoteAnchor"/>
          <w:rtl w:val="true"/>
        </w:rPr>
        <w:footnoteReference w:id="344"/>
      </w:r>
      <w:r>
        <w:rPr>
          <w:rFonts w:ascii="Amiri" w:hAnsi="Amiri" w:eastAsia="Amiri" w:cs="Amiri"/>
          <w:color w:val="111111"/>
          <w:sz w:val="28"/>
          <w:sz w:val="28"/>
          <w:szCs w:val="28"/>
          <w:rtl w:val="true"/>
          <w:lang w:bidi="ar-SA"/>
        </w:rPr>
        <w:t xml:space="preserve">وإلا فلا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الواقعة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بالأوّل في الأوّل وبالثاني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أنّ التحديد صالح للأمرين، فمع عدم الدليل على الدخول يحكم بالخروج، والحكم بالدخول في الآية الكريمة ونحوها إنّما هو من جهة أنّ العلم باتصال الغاية فيها لا يتحقق إلا بإدخالها في المحدود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859684_2870459653"/>
      <w:bookmarkStart w:id="194" w:name="_Toc67"/>
      <w:bookmarkEnd w:id="193"/>
      <w:r>
        <w:rPr>
          <w:rtl w:val="true"/>
        </w:rPr>
        <w:t>[</w:t>
      </w:r>
      <w:r>
        <w:rPr>
          <w:rtl w:val="true"/>
        </w:rPr>
        <w:t>الموضع الرابع</w:t>
      </w:r>
      <w:r>
        <w:rPr>
          <w:rtl w:val="true"/>
        </w:rPr>
        <w:t>]</w:t>
      </w:r>
      <w:bookmarkEnd w:id="19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إثبات الحكم لموضوع، فنسب إلى بعض العامة دلالته على نفي الحكم عمّا </w:t>
      </w:r>
      <w:bookmarkStart w:id="195" w:name="pg9000_94050"/>
    </w:p>
    <w:p>
      <w:pPr>
        <w:pStyle w:val="BookText"/>
        <w:rPr/>
      </w:pPr>
      <w:bookmarkEnd w:id="195"/>
      <w:r>
        <w:rPr>
          <w:rFonts w:ascii="IRNazanin" w:hAnsi="IRNazanin" w:eastAsia="IRNazanin"/>
          <w:color w:val="111111"/>
          <w:sz w:val="28"/>
          <w:sz w:val="28"/>
          <w:szCs w:val="28"/>
          <w:rtl w:val="true"/>
          <w:lang w:bidi="fa-IR"/>
        </w:rPr>
        <w:t>عداه</w:t>
      </w:r>
      <w:r>
        <w:rPr>
          <w:rStyle w:val="FootnoteAnchor"/>
          <w:rtl w:val="true"/>
        </w:rPr>
        <w:footnoteReference w:id="346"/>
      </w:r>
      <w:r>
        <w:rPr>
          <w:rFonts w:ascii="Amiri" w:hAnsi="Amiri" w:eastAsia="Amiri" w:cs="Amiri"/>
          <w:color w:val="111111"/>
          <w:sz w:val="28"/>
          <w:sz w:val="28"/>
          <w:szCs w:val="28"/>
          <w:rtl w:val="true"/>
          <w:lang w:bidi="ar-SA"/>
        </w:rPr>
        <w:t>مستدلاً عليه بأنّ التخصيص بالذكر لا بد له من مخصص ونفي الحكم عن غيره صالح له، والأصل عدم غيره، وهو المعبّر عندهم بمفهوم اللقب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باطل جداً؛ إذ يكفي في التخصيص تعلّق الإرادة ببيان حكمه دون غيره، ومن البديهيات عدم إشعار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 أو جاهل غني أو فقير قائم أو قاعد، وهكذا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بنفي الصفات المذكورة عن غيره فضلاً عن الدلالة عليه، وإلا لكان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 لاستلزامهما نفي الصانع ونبوة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تعليق الحكم على عدد مخصوص؛ فإنّه لا يدلّ على نفيه عمّا زاد عنه بالضرورة والنفي في بعض الموارد ثابت بالدليل، فالقول بحجيّة مفهوم العدد كما عن بعضهم</w:t>
      </w:r>
      <w:r>
        <w:rPr>
          <w:rStyle w:val="FootnoteAnchor"/>
          <w:rtl w:val="true"/>
        </w:rPr>
        <w:footnoteReference w:id="347"/>
      </w:r>
      <w:r>
        <w:rPr>
          <w:rFonts w:ascii="Amiri" w:hAnsi="Amiri" w:eastAsia="Amiri" w:cs="Amiri"/>
          <w:color w:val="111111"/>
          <w:sz w:val="28"/>
          <w:sz w:val="28"/>
          <w:szCs w:val="28"/>
          <w:rtl w:val="true"/>
          <w:lang w:bidi="ar-SA"/>
        </w:rPr>
        <w:t>بمكان من الوهن والبطلان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859686_2870459653"/>
      <w:bookmarkStart w:id="197" w:name="_Toc68"/>
      <w:bookmarkEnd w:id="196"/>
      <w:r>
        <w:rPr>
          <w:rtl w:val="true"/>
        </w:rPr>
        <w:t>[</w:t>
      </w:r>
      <w:r>
        <w:rPr>
          <w:rtl w:val="true"/>
        </w:rPr>
        <w:t>الموضع الخامس</w:t>
      </w:r>
      <w:r>
        <w:rPr>
          <w:rtl w:val="true"/>
        </w:rPr>
        <w:t>]</w:t>
      </w:r>
      <w:bookmarkEnd w:id="197"/>
    </w:p>
    <w:p>
      <w:pPr>
        <w:pStyle w:val="BookText"/>
        <w:rPr/>
      </w:pPr>
      <w:r>
        <w:rPr>
          <w:rFonts w:ascii="Amiri" w:hAnsi="Amiri" w:eastAsia="Amiri" w:cs="Amiri"/>
          <w:color w:val="111111"/>
          <w:sz w:val="28"/>
          <w:sz w:val="28"/>
          <w:szCs w:val="28"/>
          <w:rtl w:val="true"/>
          <w:lang w:bidi="ar-SA"/>
        </w:rPr>
        <w:t>ومنها تصدير الكلام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 المسند إذا كان وصفاً محلّى باللام أو مضافاً ولا عهد، فقد اختلفوا في أنهما يفيدان الحصر المستتبع لنفي المقصور عمّا عدا المقصور عليه أو لنفي ما عدا المقصور عليه عن المقصور، أم لا؟</w:t>
      </w:r>
    </w:p>
    <w:p>
      <w:pPr>
        <w:pStyle w:val="BookText"/>
        <w:rPr/>
      </w:pPr>
      <w:r>
        <w:rPr>
          <w:rFonts w:ascii="Amiri" w:hAnsi="Amiri" w:eastAsia="Amiri" w:cs="Amiri"/>
          <w:color w:val="111111"/>
          <w:sz w:val="28"/>
          <w:sz w:val="28"/>
          <w:szCs w:val="28"/>
          <w:rtl w:val="true"/>
          <w:lang w:bidi="ar-SA"/>
        </w:rPr>
        <w:t>والتحقيق أنهما يفيدانه بشهادة التبادر، كما عليه الأكثر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خلاف فيها وإنما الخلاف في أنّ دلالتهما عليه من باب المنطوق أو المفهوم</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والتحقيق في ذلك أن يتكل على العرف، ولا ريب أن عرفهم يساعد على تسميته مفهوماً لا منطوقاً وإن انطبق عليه حدّ المنطوق لا المفهوم؛ فإنّ حدودهم مؤوّلة أو غير مستقيمة</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أنه من باب المنطوق لا المفهوم؛ لأنّ الحصر مفهوم بسيط ينحلّ إلى إثبات وسلب فلا مجال لجعل أحدهما منطوقاً والآخر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وإيكاله إلى العرف لا وجه له؛ لأنّ التقسيم إلى المنطوق والمفهوم أمر اصطلاحي معلوم تفصيلاً يرجع فيه إلى ما جعلوه ميزاناً له في اصطلاحهم لا عرفي واقعي معلوم ارتكازاً حتّى يرجع فيه إلى فهم العرف</w:t>
      </w:r>
      <w:r>
        <w:rPr>
          <w:rFonts w:eastAsia="Amiri" w:cs="Amiri" w:ascii="Amiri" w:hAnsi="Amiri"/>
          <w:color w:val="111111"/>
          <w:sz w:val="28"/>
          <w:szCs w:val="28"/>
          <w:rtl w:val="true"/>
          <w:lang w:bidi="ar-SA"/>
        </w:rPr>
        <w:t xml:space="preserve">. </w:t>
      </w:r>
      <w:bookmarkStart w:id="198" w:name="pg9000_94052"/>
    </w:p>
    <w:p>
      <w:pPr>
        <w:pStyle w:val="Heading2"/>
        <w:numPr>
          <w:ilvl w:val="1"/>
          <w:numId w:val="1"/>
        </w:numPr>
        <w:rPr/>
      </w:pPr>
      <w:bookmarkStart w:id="199" w:name="__RefHeading___Toc1859688_2870459653"/>
      <w:bookmarkStart w:id="200" w:name="_Toc69"/>
      <w:bookmarkEnd w:id="198"/>
      <w:bookmarkEnd w:id="199"/>
      <w:r>
        <w:rPr>
          <w:rtl w:val="true"/>
        </w:rPr>
        <w:t>المقصد الرابع في العموم والخصوص</w:t>
      </w:r>
      <w:bookmarkEnd w:id="200"/>
    </w:p>
    <w:p>
      <w:pPr>
        <w:pStyle w:val="Heading3"/>
        <w:numPr>
          <w:ilvl w:val="2"/>
          <w:numId w:val="1"/>
        </w:numPr>
        <w:rPr/>
      </w:pPr>
      <w:bookmarkStart w:id="201" w:name="__RefHeading___Toc1859690_2870459653"/>
      <w:bookmarkStart w:id="202" w:name="_Toc70"/>
      <w:bookmarkEnd w:id="201"/>
      <w:r>
        <w:rPr>
          <w:rtl w:val="true"/>
        </w:rPr>
        <w:t>[</w:t>
      </w:r>
      <w:r>
        <w:rPr>
          <w:rtl w:val="true"/>
        </w:rPr>
        <w:t>الفصل</w:t>
      </w:r>
      <w:r>
        <w:rPr>
          <w:rtl w:val="true"/>
        </w:rPr>
        <w:t xml:space="preserve">] </w:t>
      </w:r>
      <w:r>
        <w:rPr>
          <w:rtl w:val="true"/>
        </w:rPr>
        <w:t>الأول</w:t>
      </w:r>
      <w:bookmarkEnd w:id="202"/>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هل للعموم صيغة تخصه بحيث متى ترد لغيره كانت مجازاً؟ فقيل نعم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وقيل لا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والتحقيق العدم؛ توضيح الكلام فيه يتوقف على بيان المراد من العموم في المقام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ومشيّته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العموم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يكون في الموضوع يكون في أيضاً وإن كان العموم فيه تابعاً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العموم في المقام إنّما هو العموم في الحكم بقرينة أنّ من جملة الفصول المعقودة للعموم في كتب القوم مبحث التخصيص والقابل للتخصيص إنّما هو العموم في الحكم؛ ضرورة أنّ التخصيص قصر للحكم على بعض أفراد الموضوع لا قصر للموضوع على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بوصف أنه موضوع مقصور على بعض الأفراد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الموضوع كذلك عبارة أخرى عن قصر الحكم ولا يكون قصراً آخر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لك ما بيّناه اتضح لك أنّ ألفاظ العموم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لا تخصّ العموم المبحوث عنه وضعاً؛ إذ لا يعقل أن تكون الألفاظ الدالة على الموضوع ناظرة إلى </w:t>
      </w:r>
    </w:p>
    <w:p>
      <w:pPr>
        <w:pStyle w:val="BookText"/>
        <w:rPr/>
      </w:pPr>
      <w:r>
        <w:rPr>
          <w:rFonts w:ascii="Amiri" w:hAnsi="Amiri" w:eastAsia="Amiri" w:cs="Amiri"/>
          <w:color w:val="111111"/>
          <w:sz w:val="28"/>
          <w:sz w:val="28"/>
          <w:szCs w:val="28"/>
          <w:rtl w:val="true"/>
          <w:lang w:bidi="ar-SA"/>
        </w:rPr>
        <w:t>الحكم فضلاً عن كيفيته من العموم أو الخصوص، فلا يكون العموم مستفاداً من الموضوع حتّى تكون بالوضع أم لا، وإنما هو مستفاد من الهيئة التركيبية ومقتضى الوضع والحمل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لا اختلاف في وضع التركيب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ضرورة عدم اختلاف وضع التركيب باختلاف الطرف، فهو إنما يفيد الإسناد في الموردين وضعاً، وعموم الحكم أو خصوصه إنّما استفيد من اختلاف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وقدماء الأصوليين تنبهوا لاستفادته من الهيئة لا اللفظ؛ حيث جعلوا البحث في الصيغة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للعموم صيغة تخصه بحيث متى ترد لغيره كانت مجازاً</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والعجب أنّ المتأخرين مع محافظتهم على عنوان المتقدمين، والتعبير عن موضوع البحث بالصيغة اختلط عليهم الأمر وزعموا أنّ النزاع في أنه هل للعموم لفظ يختص به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أنّ القائلين بثبوت لفظ يختص به لغةً استدلوا بتبادر العموم عرفاً من النكرة الواقعة في سياق النفي،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التبادر دليل الحقيقة فيكون كذلك لغة؛ لأصالة عدم النقل</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فإنّ تبادر العموم من النكرة حينئذٍ إنّما هو من قبل وقوعها في سياق النفي، ومن الواضح أنه لا يختلف وضع النكرة باختلاف وقوعها بعد الإثبات والنفي، فالوضع واحد في المقامين بل لا اختلاف في المستعمل فيه أيضاً، والاختلاف في تبادر العموم وعدمه إنما جاء من قبل اختلاف الحكمين، فلا يكون التبادر حاقياً مستنداً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ذكره بعضهم من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العموم قد يستفاد من جهة وضع اللفظ كلفظ الكلّ وما يرادفه، وقد يستفاد من القضيّة عقلاً كالنكرة الواقعة في سياق النفي، وقد يستفاد من جهة الإطلاق مع وجود مقدّماته</w:t>
      </w:r>
      <w:r>
        <w:rPr>
          <w:rFonts w:eastAsia="Amiri" w:cs="Amiri" w:ascii="Amiri" w:hAnsi="Amiri"/>
          <w:color w:val="111111"/>
          <w:sz w:val="28"/>
          <w:szCs w:val="28"/>
          <w:rtl w:val="true"/>
          <w:lang w:bidi="ar-SA"/>
        </w:rPr>
        <w:t>.</w:t>
      </w:r>
      <w:r>
        <w:rPr>
          <w:rStyle w:val="FootnoteAnchor"/>
          <w:rtl w:val="true"/>
        </w:rPr>
        <w:footnoteReference w:id="355"/>
      </w:r>
      <w:bookmarkStart w:id="203" w:name="pg9000_94054"/>
    </w:p>
    <w:p>
      <w:pPr>
        <w:pStyle w:val="BookText"/>
        <w:rPr/>
      </w:pPr>
      <w:bookmarkEnd w:id="203"/>
      <w:r>
        <w:rPr>
          <w:rFonts w:ascii="Amiri" w:hAnsi="Amiri" w:eastAsia="Amiri" w:cs="Amiri"/>
          <w:color w:val="111111"/>
          <w:sz w:val="28"/>
          <w:sz w:val="28"/>
          <w:szCs w:val="28"/>
          <w:rtl w:val="true"/>
          <w:lang w:bidi="ar-SA"/>
        </w:rPr>
        <w:t>؛ لأنه إن أُريد من العموم العموم في الحكم فاستفادته من جهة وضع اللفظ له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العموم في الموضوع ففيه أنّ الموضوع في مثل أَحَلَّ اللَّهُ الْبَيْعَ</w:t>
      </w:r>
      <w:r>
        <w:rPr>
          <w:rStyle w:val="FootnoteAnchor"/>
          <w:rtl w:val="true"/>
        </w:rPr>
        <w:footnoteReference w:id="3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جائني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عاماً وإنما العموم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تبيّن فساد القول بوضع صيغة للعموم تبيّن فساد القول بوضعها للخصوص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بعض</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وبالاشتراك لفظاً بل معنى أيضاً؛ لما تبيّن لك من أنّ الهيئة التركيبية إنّما تفيد الإسناد ذاتاً أو وضعاً، والعموم والخصوص کيفيتان طارئتان عليه من قبل المورد وخصوصيّة الطرف، فلا نظر للصيغة وضعاً أو ذاتاً إلى الحالة الطارئة الجامعة بين الكيفيتين حتّى تكون مشتركة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تبيّن أنّ عموم الحكم لا يستند إلى وضع لفظ ولا صيغة، تبين لك أنّ أنحائه من الشمولي والبدلي والجنسي والمجموعي كذلك أيضاً، فلم يتعيّن لفظ ولا صيغة لأحد الأنحاء وضعاً حتى يكون استعماله في خلافه موجباً للتجوّز</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859692_2870459653"/>
      <w:bookmarkStart w:id="205" w:name="_Toc71"/>
      <w:bookmarkEnd w:id="204"/>
      <w:r>
        <w:rPr>
          <w:rtl w:val="true"/>
        </w:rPr>
        <w:t>تنبيه</w:t>
      </w:r>
      <w:bookmarkEnd w:id="205"/>
    </w:p>
    <w:p>
      <w:pPr>
        <w:pStyle w:val="BookText"/>
        <w:rPr/>
      </w:pPr>
      <w:r>
        <w:rPr>
          <w:rFonts w:ascii="Amiri" w:hAnsi="Amiri" w:eastAsia="Amiri" w:cs="Amiri"/>
          <w:color w:val="111111"/>
          <w:sz w:val="28"/>
          <w:sz w:val="28"/>
          <w:szCs w:val="28"/>
          <w:rtl w:val="true"/>
          <w:lang w:bidi="ar-SA"/>
        </w:rPr>
        <w:t>كما يعم الحكم تبعاً لعموم متعلّقه كذلك قد يعم لخصوصية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قبوله السريان في الأجزاء مع كون المتعلّق فرداً واحداً بعينه،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عبدي أو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 فإنّ الحكم يعمّ الأجزاء على وجه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استثناء الثلث والربع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الكسور، مع أنّ المتعلق فرد خاص لا يتطرق فيه التعدّد من حيث الأفراد بوجه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كونه سلبيّاً مع عموم المتعلّق على وجه البدليّة لا الشمول،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جائني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النكرة تدلّ على فرد واحد لا بعينه في المقام وسلب المجيء عنه لا يصدق إلا بسلبه عن جميع الأفراد، فالنكرة باقية على معناها الأصلي من إفادة الطبيعة الموجودة في ضمن فرد واحد لا بعينه، ومع ذلك يعمّ الحكم السلبي جميع الأفراد</w:t>
      </w:r>
      <w:r>
        <w:rPr>
          <w:rFonts w:eastAsia="Amiri" w:cs="Amiri" w:ascii="Amiri" w:hAnsi="Amiri"/>
          <w:color w:val="111111"/>
          <w:sz w:val="28"/>
          <w:szCs w:val="28"/>
          <w:rtl w:val="true"/>
          <w:lang w:bidi="ar-SA"/>
        </w:rPr>
        <w:t xml:space="preserve">. </w:t>
      </w:r>
      <w:bookmarkStart w:id="206" w:name="pg9000_94055"/>
    </w:p>
    <w:p>
      <w:pPr>
        <w:pStyle w:val="BookText"/>
        <w:rPr/>
      </w:pPr>
      <w:bookmarkEnd w:id="206"/>
      <w:r>
        <w:rPr>
          <w:rFonts w:ascii="Amiri" w:hAnsi="Amiri" w:eastAsia="Amiri" w:cs="Amiri"/>
          <w:color w:val="111111"/>
          <w:sz w:val="28"/>
          <w:sz w:val="28"/>
          <w:szCs w:val="28"/>
          <w:rtl w:val="true"/>
          <w:lang w:bidi="ar-SA"/>
        </w:rPr>
        <w:t xml:space="preserve">أو من كونه من عوارض الماهية مع كون الموضوع اسم جنس معرّفاً باللام أم لا،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وَحَرَّمَ الرِّبَا</w:t>
      </w:r>
      <w:r>
        <w:rPr>
          <w:rStyle w:val="FootnoteAnchor"/>
          <w:rtl w:val="true"/>
        </w:rPr>
        <w:footnoteReference w:id="358"/>
      </w:r>
      <w:r>
        <w:rPr>
          <w:rFonts w:ascii="Amiri" w:hAnsi="Amiri" w:eastAsia="Amiri" w:cs="Amiri"/>
          <w:color w:val="111111"/>
          <w:sz w:val="28"/>
          <w:sz w:val="28"/>
          <w:szCs w:val="28"/>
          <w:rtl w:val="true"/>
          <w:lang w:bidi="ar-SA"/>
        </w:rPr>
        <w:t>، فإنّ الأحكام الوضعية من عوارض الماهية لا الوجود فيسري إلى جميع الأفراد</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859694_2870459653"/>
      <w:bookmarkStart w:id="208" w:name="_Toc72"/>
      <w:bookmarkEnd w:id="207"/>
      <w:r>
        <w:rPr>
          <w:rtl w:val="true"/>
        </w:rPr>
        <w:t>أصل</w:t>
      </w:r>
      <w:bookmarkEnd w:id="208"/>
    </w:p>
    <w:p>
      <w:pPr>
        <w:pStyle w:val="BookText"/>
        <w:rPr/>
      </w:pPr>
      <w:r>
        <w:rPr>
          <w:rFonts w:ascii="Amiri" w:hAnsi="Amiri" w:eastAsia="Amiri" w:cs="Amiri"/>
          <w:color w:val="111111"/>
          <w:sz w:val="28"/>
          <w:sz w:val="28"/>
          <w:szCs w:val="28"/>
          <w:rtl w:val="true"/>
          <w:lang w:bidi="ar-SA"/>
        </w:rPr>
        <w:t>تعلّق الحكم بالجمع المحلى باللام يقتضي الاستيعاب والعموم لجميع الأفراد المندرجة تحته حيث لا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أنّ أداة الجمع تُبيّن أنّ متعلّق الحكم هو الجنس الموجود في أكثر من فرد أو فردين، واللام تتكفّل الإشارة إليه، فإن كان في البين معهود ينصرف إليه وإلا يعمّ الجميع؛ لأنّ تخصيص بعض مراتب الجمع دون بعض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والعموم قد يكون أفراديّاً شموليّاً بحيث يكون كلّ واحد من أفراده مورداً للامتثال بعينه بحيث لو أخل بواحد منها عصى وإن تحقق الامتثال بالنسبة إلى سائر الأفراد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منه العموم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أفراديّاً بدليّاً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المقصود منه ليس تقليد جميعهم فلو قلّد واحداً منهم تحقق الامتثال ولا يجوز له الجمع بين تقليد فقيهين في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العموم جنسيّاً،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قُلُوبُهُمْإلى آخر الآية الكريمة</w:t>
      </w:r>
      <w:r>
        <w:rPr>
          <w:rStyle w:val="FootnoteAnchor"/>
          <w:rtl w:val="true"/>
        </w:rPr>
        <w:footnoteReference w:id="359"/>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الأبكار ولا تتزوّج الثيبات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وصاحب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الأمثلة؛ فإنّ المقصود في هذه الموارد وأمثالها إنّما هو إثبات الحكم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يجب الاستيعاب بالنسبة إلى كلّ صنف من أصناف المستحقين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فالتعبير بصيغة الجمع المحلّى باللام حينئذ إنّما هو للتنبيه على عدم التفاوت بين </w:t>
      </w:r>
      <w:bookmarkStart w:id="209" w:name="pg9000_94056"/>
    </w:p>
    <w:p>
      <w:pPr>
        <w:pStyle w:val="BookText"/>
        <w:rPr/>
      </w:pPr>
      <w:bookmarkEnd w:id="209"/>
      <w:r>
        <w:rPr>
          <w:rFonts w:ascii="Amiri" w:hAnsi="Amiri" w:eastAsia="Amiri" w:cs="Amiri"/>
          <w:color w:val="111111"/>
          <w:sz w:val="28"/>
          <w:sz w:val="28"/>
          <w:szCs w:val="28"/>
          <w:rtl w:val="true"/>
          <w:lang w:bidi="ar-SA"/>
        </w:rPr>
        <w:t>الأفراد وأنّ الحكم متعلّق بالجنس في أي فرد تحقق من دون نظر إلى الاقتصار على فرد واحد أو استيعاب الأفراد، فالحكم يعمّ جميع الأفراد في جميع الصور وإن اختلفت أنحائه من حيث الشمول والبدلية والجنسية باختلاف الموارد مع بقاء الجمع المحلى باللام على مفاده الأصلي من إفادة استغراق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بين كون الموضوع عاماً مستغرقاً جميع أفراده على وجه الشمول لا البدلية وكون الحكم المتعلّق به عاماً على وجه البدليّة أو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انسلاخ الجمع عن معنى الجمعية حينئذٍ بزعم انتفاء العموم رأساً أو انتفائه بالنسبة إلى معنى الجمعية،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انسلاخ الجمع عن معنى الجمعية غير متصوّر؛ فإنّ الأداة وما في حكمها من الهيئات الاشتقاقية أو التركيبية لا تنفك عن مفادها أبداً، فالجمع في جميع الموارد يفيد معناه الأصلي، والحكم يعمّ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تختلف كيفيته باختلاف الموارد لا أنه يختص بالعموم بالشمولي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ينصرف العموم فيه إلى الشمولي حيث لا قرينة على كونه بدليّاً أو جنسياً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يكون العموم مجموعيّاً بقرينة المورد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الحصن لا يفتحه إلّا الأشدّاء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الطعام لا يشبع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قليل بالنسبة إلى سائر الموارد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859696_2870459653"/>
      <w:bookmarkStart w:id="211" w:name="_Toc73"/>
      <w:bookmarkEnd w:id="210"/>
      <w:r>
        <w:rPr>
          <w:rtl w:val="true"/>
        </w:rPr>
        <w:t>تنبيهات</w:t>
      </w:r>
      <w:bookmarkEnd w:id="21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 الجمع المحلّى باللام في سياق النفي،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أتزوّج الثيبات ولا أزور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المفهوم منه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يحنث إذا تزوّج ثيبةً أو زار فاسقاً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ينافي مع ما اتفقوا عليه من أنه يفيد العموم؛ فإنّ مقتضاه حينئذ سلب العموم المستلزم </w:t>
      </w:r>
    </w:p>
    <w:p>
      <w:pPr>
        <w:pStyle w:val="BookText"/>
        <w:rPr/>
      </w:pPr>
      <w:r>
        <w:rPr>
          <w:rFonts w:ascii="Amiri" w:hAnsi="Amiri" w:eastAsia="Amiri" w:cs="Amiri"/>
          <w:color w:val="111111"/>
          <w:sz w:val="28"/>
          <w:sz w:val="28"/>
          <w:szCs w:val="28"/>
          <w:rtl w:val="true"/>
          <w:lang w:bidi="ar-SA"/>
        </w:rPr>
        <w:t>لسلب الجزئي لا السلب الكلّي،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بأنه محمول على إرادة الجنس،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يركب الخيل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الجواب أن الجمع المحلّى باللام إنّما يقتضي العموم في الحكم المتعلّق به سلباً كان أو إيجاباً؛ لأنه إنما يستفاد منه العموم بمعونة اللام وأداة الجمع المبينتان لوجه استعمال المفرد في مقام الحكم عليه، فليس حاله كحال العام المسوّر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يفيد العموم في الموضع قبل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الجمع المحلّى باللام أن يكون لاستغراق الجماعات دون الآحاد؛ لأنّ مدلول الجمع جنس الجماعة فإذا عرف باللام وأُريد منه الاستغراق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استغراقه لجميع ما يصدق عليه مدخوله من الجماعات إلا أن الاتفاق والتبادر أخرجاه عن ذلك إلى العموم الأفرادي بسلخ معنى الجمع عنه، والظاهر أن معناه الأصلي قد هجر وأنّ الهيئة التركيبية وضعت للعموم الأفرادي</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وفيه أنّ مدلول الجمع إنّما هو الجنس الموجود فيما فوق الواحد أو اثنين، فموضوع الحكم إنّما هو الجنس الساري في الأفراد لا الجماعة فيكون العموم حينئذ أفراديّاً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كون متعلّق الحكم هو الجماعة لا ينافي مع كون عمومه أفراديّاً، كما أن تعلّق الحكم بالكل لا ينافي مع سريانه في الأجزاء وعمومه إياها عموماً أفراديّاً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أنّ اسم الجمع كالقوم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مدوله الجماعة لا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المتعلّق به عاماً أفراديّاً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مراتب صيغة الجمع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تنصرف إلى الثلاثة بملاحظة مقابلتها لصيغة التثنية، والدليل عليه إطلاقها على الفردين كثيراً مع عدم العلاقة، وعلاقة الجزء والكل باطلة وإلّا لصح استعمال الكلّ في الجزء والعكس مطّرداً، مع أن التجوز لا يجري في الحروف وما بمنزلتها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العموم في كلماتهم عند الإطلاق هو العموم الشمولي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اتفقوا على أنّ المفرد المنكر لا يفيد العموم إلا في سياق النفي واختلفوا في أنّ المفرد المعرّف هل يفيد العموم أم لا ؟ واشتهر بينهم أنّ الجمع المنكر لا يفيد العموم</w:t>
      </w:r>
      <w:r>
        <w:rPr>
          <w:rStyle w:val="FootnoteAnchor"/>
          <w:rtl w:val="true"/>
        </w:rPr>
        <w:footnoteReference w:id="363"/>
      </w:r>
      <w:r>
        <w:rPr>
          <w:rFonts w:ascii="Amiri" w:hAnsi="Amiri" w:eastAsia="Amiri" w:cs="Amiri"/>
          <w:color w:val="111111"/>
          <w:sz w:val="28"/>
          <w:sz w:val="28"/>
          <w:szCs w:val="28"/>
          <w:rtl w:val="true"/>
          <w:lang w:bidi="ar-SA"/>
        </w:rPr>
        <w:t>خلافاً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إفادة العموم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 المنكر والمعرف باللام حيث لا عهد بالنسبة إلى الأفراد وفي الجمع المنكر بالنسبة إلى أقل مراتب الجمع حقيقةً أو انصرافاً، ممّا لا يقبل الإنكار وإنّما الاختلاف في العموم الشمولي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عند الإطلاق والتجرّد عن القرينة لا يكون العموم في الموارد الثلاثة إلا بدليّاً ولا حجّة فيما احتج به على إفادة المعرف باللام العموم، من جواز وصفه بالجمع المحلّى باللام فيما حكي</w:t>
      </w:r>
      <w:r>
        <w:rPr>
          <w:rStyle w:val="FootnoteAnchor"/>
          <w:rtl w:val="true"/>
        </w:rPr>
        <w:footnoteReference w:id="365"/>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الدرهم البيض والدينار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الاستثناء منه،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Style w:val="FootnoteAnchor"/>
          <w:rtl w:val="true"/>
        </w:rPr>
        <w:footnoteReference w:id="366"/>
      </w:r>
      <w:r>
        <w:rPr>
          <w:rFonts w:ascii="Amiri" w:hAnsi="Amiri" w:eastAsia="Amiri" w:cs="Amiri"/>
          <w:color w:val="111111"/>
          <w:sz w:val="28"/>
          <w:sz w:val="28"/>
          <w:szCs w:val="28"/>
          <w:rtl w:val="true"/>
          <w:lang w:bidi="ar-SA"/>
        </w:rPr>
        <w:t>لأنّ عموم الجمع في قولهم إنّما هو العموم الجنسي المطابق لعموم المفرد لا العموم الشمولي المنصرف إليه الجمع عند الإطلاق ضرورة أنّ المراد هلاك الناس بهذين الجنسين؛ لإهلاكهم بكل فرد من أفرادهما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الاستثناء فهي دالّة على أنّ المراد منه العموم في هذا المورد لا على إفادته إيّاه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الأحكام تنقسم إلى قسمين عارض الوجود وعارض الماهية وما ذكرناه من حمل العموم في الموارد الثلاثة على العموم البدلي عند الإطلاق إنما هو بالنسبة إلى القسم الأوّل، كالمجيء والقيام والقعود وهكذا</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فإن لم يناف الوجود، كالأحكام الوضعية نحو حلية البيع وحرمة </w:t>
      </w:r>
    </w:p>
    <w:p>
      <w:pPr>
        <w:pStyle w:val="BookText"/>
        <w:rPr/>
      </w:pPr>
      <w:r>
        <w:rPr>
          <w:rFonts w:ascii="Amiri" w:hAnsi="Amiri" w:eastAsia="Amiri" w:cs="Amiri"/>
          <w:color w:val="111111"/>
          <w:sz w:val="28"/>
          <w:sz w:val="28"/>
          <w:szCs w:val="28"/>
          <w:rtl w:val="true"/>
          <w:lang w:bidi="ar-SA"/>
        </w:rPr>
        <w:t>الربا وعاصميّة الكرّ من الانفعال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سارية في جميع الأفراد على وجه الشمول؛ لأنه مقتضى عروضها على الماهية وعدم منافاتها مع الوجود، وإن نافي الوجود، كالأحكام التكليفية، فهي لا تعمّ الأفراد لا على وجه الشمول ولا على وجه البدلية؛ ضرورة أنه بعد الإتيان بالفرد في الخارج لا يبقى أمر ولا نهي بالنسبة إليه؛ لأنّ الغرض منهما إنّما هو الامتثال بالفعل أو الترك، والفرد لا يكون مورداً للفعل ولا للترك،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أنّ ما ذكره في المعالم في المفرد المعرف باللام من أنّ القرينة الحالية قائمة في الأحكام الشرعيّة غالباً على إرادة العموم منه حيث لا عهد خارجي</w:t>
      </w:r>
      <w:r>
        <w:rPr>
          <w:rStyle w:val="FootnoteAnchor"/>
          <w:rtl w:val="true"/>
        </w:rPr>
        <w:footnoteReference w:id="367"/>
      </w:r>
      <w:r>
        <w:rPr>
          <w:rFonts w:ascii="Amiri" w:hAnsi="Amiri" w:eastAsia="Amiri" w:cs="Amiri"/>
          <w:color w:val="111111"/>
          <w:sz w:val="28"/>
          <w:sz w:val="28"/>
          <w:szCs w:val="28"/>
          <w:rtl w:val="true"/>
          <w:lang w:bidi="ar-SA"/>
        </w:rPr>
        <w:t>فمثل بالأمثلة المتقدّمة،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قيام القرينة على ذلك امتناع إرادة الماهية والحقيقة؛ إذ الأحكام الشرعية إنّما تجري على الكليات باعتبار وجودها، كما علم آنفاً، وحينئذ فإما أن يراد الوجود الحاصل بجميع الأفراد أو ببعض غير معيّن، لكن إرادة البعض تنافي الحكمة؛ إذ لا معنى لتحليل بيع من البيوع وتحريم فرد من الربا وعدم تنجيس مقدار الكرّ من بعض الماء، إلى غير ذلك من موارد استعماله في الكتاب والسنة، فتعين في هذا كله إرادة الجميع، وهو معنى العموم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في غير محله؛ أما أوّلاً فلما تبين لك</w:t>
      </w:r>
      <w:r>
        <w:rPr>
          <w:rStyle w:val="FootnoteAnchor"/>
          <w:rtl w:val="true"/>
        </w:rPr>
        <w:footnoteReference w:id="369"/>
      </w:r>
      <w:r>
        <w:rPr>
          <w:rFonts w:ascii="Amiri" w:hAnsi="Amiri" w:eastAsia="Amiri" w:cs="Amiri"/>
          <w:color w:val="111111"/>
          <w:sz w:val="28"/>
          <w:sz w:val="28"/>
          <w:szCs w:val="28"/>
          <w:rtl w:val="true"/>
          <w:lang w:bidi="ar-SA"/>
        </w:rPr>
        <w:t>من أنّ الأحكام الشرعية التكليفية إنما تتعلّق بالطبائع ولا سراية لها إلى الأفراد أصلاً، والفرد إنما يكون امتثالاً للأمر وعصياناً للنهي والوضعيّة متعلّقة بها ابتداءً وتعمّ الأفراد تبعاً من دون حاجة إلى ملاحظة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لا يختص ذلك بالمفرد المعرف باللام بل يجري في المفرد والجمع المنكرين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عنونوا الكلام في المقام في أنّ الخطابات الشفاهية هل يعم الغائبين عن مجلس الخطاب من الموجودين والمعدومين ؟ نسب إلى بعض أهل الخلاف العموم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والتحقيق أنه إن أُريد منه أن مدلول الخطابات من أحكام الوقائع يعم فهو كذلك؛ لما عرفت</w:t>
      </w:r>
      <w:r>
        <w:rPr>
          <w:rStyle w:val="FootnoteAnchor"/>
          <w:rtl w:val="true"/>
        </w:rPr>
        <w:footnoteReference w:id="371"/>
      </w:r>
      <w:r>
        <w:rPr>
          <w:rFonts w:ascii="Amiri" w:hAnsi="Amiri" w:eastAsia="Amiri" w:cs="Amiri"/>
          <w:color w:val="111111"/>
          <w:sz w:val="28"/>
          <w:sz w:val="28"/>
          <w:szCs w:val="28"/>
          <w:rtl w:val="true"/>
          <w:lang w:bidi="ar-SA"/>
        </w:rPr>
        <w:t xml:space="preserve">من أنّ حكم الواقعة ثابت قبل وجود المكلّف واتصافه بشرائط التكليف، والمتوقف على الأمرين إنما هو تعلّق الحكم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استحالة وجود الطلب قبل وجود المطلوب منه</w:t>
      </w:r>
      <w:r>
        <w:rPr>
          <w:rStyle w:val="FootnoteAnchor"/>
          <w:rtl w:val="true"/>
        </w:rPr>
        <w:footnoteReference w:id="372"/>
      </w:r>
      <w:r>
        <w:rPr>
          <w:rFonts w:ascii="Amiri" w:hAnsi="Amiri" w:eastAsia="Amiri" w:cs="Amiri"/>
          <w:color w:val="111111"/>
          <w:sz w:val="28"/>
          <w:sz w:val="28"/>
          <w:szCs w:val="28"/>
          <w:rtl w:val="true"/>
          <w:lang w:bidi="ar-SA"/>
        </w:rPr>
        <w:t>، لا ينافي ما بيناه؛ لأنّ حكم الواقعة ليس من مقولة الطلب والإرادة بل عبارة عن تحيّث الواقعة بإحدى الحيثيات الخمسة بحيث لو سئل عنها لأمر بها أو لنهى عنها أو لرخص فيها، وإنما يترتب عليه الطلب بعد بلوغه 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أنّ نفس الخطابات تعمّ فهو كذلك أيضاً في خصوص خطابات القرآن؛ لأنها تصنيفيّة لا شفاهيّة؛ ضرورة أنّ تأليف القرآن سابق على مجلس الخطاب فهو من قبيل الكتب المصنّفة لا يخاطب بخطاباته مخاطب خاص، وأما الخطابات الواقعة في الروايات فهي مختصة بالمشافهين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بعضهم أنّ ثمرة الخلاف تظهر في مقامين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حجيّة ظهور خطابات الكتاب والسنّة بالمشافهين بناءً على اختصاص الخطاب بهم وعدم الاختصاص بهم بناءً على القول بعموم الخطابات لهم ولغيرهم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بإطلاقات الخطابات بناءً على التعميم وعدمها بناءً على الاختصاص إلا بعد إحراز اتحادهم مع المشافهين في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 لأنّ الأوّل مبني على اختصاص حجيّة ظواهر الألفاظ بالمخاطبين الذين قصد إفهامهم بها، وهو في غير محله، كما سننبه عليه في محلّه، إن شاء الله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لا معنى له؛ لأنّ المقصود من الاتحاد في الصنف إن كان الاتحاد في الصفة المعتبرة في الحكم فهو معتبر على التقديرين، وإن كان المقصود منه الاتحاد فيما يحتمل اعتباره فيه فهو غير معتبر على التقديرين؛ لاندفاعه بالأصل مع وجود الإطلاق</w:t>
      </w:r>
      <w:r>
        <w:rPr>
          <w:rFonts w:eastAsia="Amiri" w:cs="Amiri" w:ascii="Amiri" w:hAnsi="Amiri"/>
          <w:color w:val="111111"/>
          <w:sz w:val="28"/>
          <w:szCs w:val="28"/>
          <w:rtl w:val="true"/>
          <w:lang w:bidi="ar-SA"/>
        </w:rPr>
        <w:t xml:space="preserve">. </w:t>
      </w:r>
      <w:bookmarkStart w:id="212" w:name="pg9000_94061"/>
    </w:p>
    <w:p>
      <w:pPr>
        <w:pStyle w:val="Heading3"/>
        <w:numPr>
          <w:ilvl w:val="2"/>
          <w:numId w:val="1"/>
        </w:numPr>
        <w:rPr/>
      </w:pPr>
      <w:bookmarkStart w:id="213" w:name="__RefHeading___Toc1859698_2870459653"/>
      <w:bookmarkStart w:id="214" w:name="_Toc74"/>
      <w:bookmarkEnd w:id="212"/>
      <w:bookmarkEnd w:id="213"/>
      <w:r>
        <w:rPr>
          <w:rtl w:val="true"/>
        </w:rPr>
        <w:t>[</w:t>
      </w:r>
      <w:r>
        <w:rPr>
          <w:rtl w:val="true"/>
        </w:rPr>
        <w:t>الفصل الثاني</w:t>
      </w:r>
      <w:r>
        <w:rPr>
          <w:rtl w:val="true"/>
        </w:rPr>
        <w:t>]</w:t>
      </w:r>
      <w:bookmarkEnd w:id="214"/>
    </w:p>
    <w:p>
      <w:pPr>
        <w:pStyle w:val="BookText"/>
        <w:rPr/>
      </w:pPr>
      <w:r>
        <w:rPr>
          <w:rFonts w:ascii="Amiri" w:hAnsi="Amiri" w:eastAsia="Amiri" w:cs="Amiri"/>
          <w:color w:val="111111"/>
          <w:sz w:val="28"/>
          <w:sz w:val="28"/>
          <w:szCs w:val="28"/>
          <w:rtl w:val="true"/>
          <w:lang w:bidi="ar-SA"/>
        </w:rPr>
        <w:t>في التخصيص وهو قصر الحكم العام على بعض أفراد الموضوع أو أجزائه، وما قيل من أنه قصر العام أو حكمه على بعض ما يتناوله</w:t>
      </w:r>
      <w:r>
        <w:rPr>
          <w:rStyle w:val="FootnoteAnchor"/>
          <w:rtl w:val="true"/>
        </w:rPr>
        <w:footnoteReference w:id="374"/>
      </w:r>
      <w:r>
        <w:rPr>
          <w:rFonts w:ascii="Amiri" w:hAnsi="Amiri" w:eastAsia="Amiri" w:cs="Amiri"/>
          <w:color w:val="111111"/>
          <w:sz w:val="28"/>
          <w:sz w:val="28"/>
          <w:szCs w:val="28"/>
          <w:rtl w:val="true"/>
          <w:lang w:bidi="ar-SA"/>
        </w:rPr>
        <w:t>، فاسد؛ لاستحالة قصر الموضوع على بعض ما يتناوله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يتوهّم من أنّ استعمال اللفظ الموضوع للعام في بعض ما يتناوله تخصيص وقصر له، في غير محله؛ لأنّ الاستعمال في الخاص لا يوجب التخصيص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توهّم استعمال اللفظ في الخاص في موارد التخصيص، باطل كما سننبه عليه</w:t>
      </w:r>
      <w:r>
        <w:rPr>
          <w:rStyle w:val="FootnoteAnchor"/>
          <w:rtl w:val="true"/>
        </w:rPr>
        <w:footnoteReference w:id="375"/>
      </w:r>
      <w:r>
        <w:rPr>
          <w:rFonts w:ascii="IRNazanin" w:hAnsi="IRNazanin" w:eastAsia="IRNazanin"/>
          <w:color w:val="111111"/>
          <w:sz w:val="28"/>
          <w:sz w:val="28"/>
          <w:szCs w:val="28"/>
          <w:rtl w:val="true"/>
          <w:lang w:bidi="fa-IR"/>
        </w:rPr>
        <w:t>،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اتضحت لك حقيقة التخصيص فاعلم أنّ لهم فيه مباحث</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859700_2870459653"/>
      <w:bookmarkStart w:id="216" w:name="_Toc75"/>
      <w:bookmarkEnd w:id="215"/>
      <w:r>
        <w:rPr>
          <w:rtl w:val="true"/>
        </w:rPr>
        <w:t>[</w:t>
      </w:r>
      <w:r>
        <w:rPr>
          <w:rtl w:val="true"/>
        </w:rPr>
        <w:t>المبحث</w:t>
      </w:r>
      <w:r>
        <w:rPr>
          <w:rtl w:val="true"/>
        </w:rPr>
        <w:t xml:space="preserve">] </w:t>
      </w:r>
      <w:r>
        <w:rPr>
          <w:rtl w:val="true"/>
        </w:rPr>
        <w:t>الأول</w:t>
      </w:r>
      <w:bookmarkEnd w:id="216"/>
    </w:p>
    <w:p>
      <w:pPr>
        <w:pStyle w:val="BookText"/>
        <w:rPr/>
      </w:pPr>
      <w:r>
        <w:rPr>
          <w:rFonts w:ascii="Amiri" w:hAnsi="Amiri" w:eastAsia="Amiri" w:cs="Amiri"/>
          <w:color w:val="111111"/>
          <w:sz w:val="28"/>
          <w:sz w:val="28"/>
          <w:szCs w:val="28"/>
          <w:rtl w:val="true"/>
          <w:lang w:bidi="ar-SA"/>
        </w:rPr>
        <w:t>في أنّ منتهى التخصيص إلى كم هو ؟ فذهب الشيخ</w:t>
      </w:r>
      <w:r>
        <w:rPr>
          <w:rStyle w:val="FootnoteAnchor"/>
          <w:rtl w:val="true"/>
        </w:rPr>
        <w:footnoteReference w:id="376"/>
      </w:r>
      <w:r>
        <w:rPr>
          <w:rFonts w:ascii="IRNazanin" w:hAnsi="IRNazanin" w:eastAsia="IRNazanin"/>
          <w:color w:val="111111"/>
          <w:sz w:val="28"/>
          <w:sz w:val="28"/>
          <w:szCs w:val="28"/>
          <w:rtl w:val="true"/>
          <w:lang w:bidi="fa-IR"/>
        </w:rPr>
        <w:t>وعلم الهدى</w:t>
      </w:r>
      <w:r>
        <w:rPr>
          <w:rStyle w:val="FootnoteAnchor"/>
          <w:rtl w:val="true"/>
        </w:rPr>
        <w:footnoteReference w:id="377"/>
      </w:r>
      <w:r>
        <w:rPr>
          <w:rFonts w:ascii="Amiri" w:hAnsi="Amiri" w:eastAsia="Amiri" w:cs="Amiri"/>
          <w:color w:val="111111"/>
          <w:sz w:val="28"/>
          <w:sz w:val="28"/>
          <w:szCs w:val="28"/>
          <w:rtl w:val="true"/>
          <w:lang w:bidi="ar-SA"/>
        </w:rPr>
        <w:t>وأبو المكارم بن زهرة</w:t>
      </w:r>
      <w:r>
        <w:rPr>
          <w:rStyle w:val="FootnoteAnchor"/>
          <w:rtl w:val="true"/>
        </w:rPr>
        <w:footnoteReference w:id="378"/>
      </w:r>
      <w:r>
        <w:rPr>
          <w:rFonts w:ascii="Amiri" w:hAnsi="Amiri" w:eastAsia="Amiri" w:cs="Amiri"/>
          <w:color w:val="111111"/>
          <w:sz w:val="28"/>
          <w:sz w:val="28"/>
          <w:szCs w:val="28"/>
          <w:rtl w:val="true"/>
          <w:lang w:bidi="ar-SA"/>
        </w:rPr>
        <w:t>إلى جوازه حتّى يبقى واحد ، وقيل إثنان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وقيل ثلاثة</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ونسب إلى الأكثر أنّه لا بدّ من بقاء جمع يقرب من مدلول العام إلا أن يستعمل في حق الواحد على سبيل التعظيم</w:t>
      </w:r>
      <w:r>
        <w:rPr>
          <w:rStyle w:val="FootnoteAnchor"/>
          <w:rtl w:val="true"/>
        </w:rPr>
        <w:footnoteReference w:id="381"/>
      </w:r>
      <w:r>
        <w:rPr>
          <w:rFonts w:ascii="Amiri" w:hAnsi="Amiri" w:eastAsia="Amiri" w:cs="Amiri"/>
          <w:color w:val="111111"/>
          <w:sz w:val="28"/>
          <w:sz w:val="28"/>
          <w:szCs w:val="28"/>
          <w:rtl w:val="true"/>
          <w:lang w:bidi="ar-SA"/>
        </w:rPr>
        <w:t>، وفصل بعض بين الجمع وغيره فاعتبر الثلاثة في الأوّل وأجاز في غيره إلى الواحد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هو الأوّل؛ لأنّ التخصيص لا يوجب تجوّزاً في اللفظ ولا في الهيئة التركيبية، </w:t>
      </w:r>
    </w:p>
    <w:p>
      <w:pPr>
        <w:pStyle w:val="BookText"/>
        <w:rPr/>
      </w:pPr>
      <w:r>
        <w:rPr>
          <w:rFonts w:ascii="Amiri" w:hAnsi="Amiri" w:eastAsia="Amiri" w:cs="Amiri"/>
          <w:color w:val="111111"/>
          <w:sz w:val="28"/>
          <w:sz w:val="28"/>
          <w:szCs w:val="28"/>
          <w:rtl w:val="true"/>
          <w:lang w:bidi="ar-SA"/>
        </w:rPr>
        <w:t>كما تبيّن لك</w:t>
      </w:r>
      <w:r>
        <w:rPr>
          <w:rStyle w:val="FootnoteAnchor"/>
          <w:rtl w:val="true"/>
        </w:rPr>
        <w:footnoteReference w:id="383"/>
      </w:r>
      <w:r>
        <w:rPr>
          <w:rFonts w:ascii="IRNazanin" w:hAnsi="IRNazanin" w:eastAsia="IRNazanin"/>
          <w:color w:val="111111"/>
          <w:sz w:val="28"/>
          <w:sz w:val="28"/>
          <w:szCs w:val="28"/>
          <w:rtl w:val="true"/>
          <w:lang w:bidi="fa-IR"/>
        </w:rPr>
        <w:t>إجمالاً وسنوضحه</w:t>
      </w:r>
      <w:r>
        <w:rPr>
          <w:rStyle w:val="FootnoteAnchor"/>
          <w:rtl w:val="true"/>
        </w:rPr>
        <w:footnoteReference w:id="384"/>
      </w:r>
      <w:r>
        <w:rPr>
          <w:rFonts w:ascii="Amiri" w:hAnsi="Amiri" w:eastAsia="Amiri" w:cs="Amiri"/>
          <w:color w:val="111111"/>
          <w:sz w:val="28"/>
          <w:sz w:val="28"/>
          <w:szCs w:val="28"/>
          <w:rtl w:val="true"/>
          <w:lang w:bidi="ar-SA"/>
        </w:rPr>
        <w:t xml:space="preserve">لك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لإنهائه إلى حد يقرب من العام أو اثنين أو ثلاثة، ولا حجّة فيما احتج به الأكثر من قبح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كلّ رمانة في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آلاف وقد أكل واحدة أو ثلاثة،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كلّ ما في الصندوق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ألف وقد أخذ ديناراً أو ثلاثة،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دخل داري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جائك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بواحد أو ثلاثة، ولا كذلك لو أُريد من اللفظ في جميعها كثرة قريبة من مدلوله؛ لأنّ القبح حينئذٍ من جهة التصريح بالعموم؛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إنّما يؤتى بها للتصريح والتنصيص على عموم الحكم ودفع توهم التخصيص فلا بد حينئذٍ من تحقق العموم تحقيقاً أو تنزيلاً فمع التصريح بالعموم و تخصيص الحكم إلى واحد أو ثلاثة، مناقضة في القول 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ظهور القضيّة في العموم،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جائك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قبح في تخصيصه مطلقاً إذا نصب المتكلّم قرينة صارفةً عن العموم، ولا حاجة معه إلى ملاحظة علاقة ومناسبة بين الخاص والعام؛ لاتحاد المستعمل فيه في المقامين، والاختلاف من حيث العموم والخصوص إنّما ينشأ من قبل اختلاف كيفية الاستعمال إطلاقاً وتقييداً، وأمّا مع عدم نصب قرينة صارفة عن العموم فإرادة الخاص منه قبيح مطلقاً، كما أنّ إرادة المعنى المجازي من اللفظ قبيح مع عدم نصب قرينة صارفة عن المعنى الحقيقي؛ إذ وجه الحاجة إلى القرينة الصارفة هو الانصراف، سواء كان ناشئاً من قبل الإطلاق أو من قبل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بعض مراتب تخصيص الأكثر مستهجناً بحيث يكون الكلام معه خارجاً عن الموازين العرفية الجارية بين أهل اللسان وإن لم يكن غلطاً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تخصيصاً حقيقياً، وأما إذا كان تضييق دائرة الحكم بسبب جعل شروط وموانع له موجب لإخراج الأكثر بالغاً ما بلغ عن تحت الحكم الفعلي مع ثبوته اقتضاء على وجه العموم فلا قبح فيه مطلقاً ولا استهجان</w:t>
      </w:r>
      <w:r>
        <w:rPr>
          <w:rFonts w:eastAsia="Amiri" w:cs="Amiri" w:ascii="Amiri" w:hAnsi="Amiri"/>
          <w:color w:val="111111"/>
          <w:sz w:val="28"/>
          <w:szCs w:val="28"/>
          <w:rtl w:val="true"/>
          <w:lang w:bidi="ar-SA"/>
        </w:rPr>
        <w:t xml:space="preserve">. </w:t>
      </w:r>
      <w:bookmarkStart w:id="217" w:name="pg9000_94063"/>
    </w:p>
    <w:p>
      <w:pPr>
        <w:pStyle w:val="BookText"/>
        <w:rPr/>
      </w:pPr>
      <w:bookmarkEnd w:id="217"/>
      <w:r>
        <w:rPr>
          <w:rFonts w:ascii="Amiri" w:hAnsi="Amiri" w:eastAsia="Amiri" w:cs="Amiri"/>
          <w:color w:val="111111"/>
          <w:sz w:val="28"/>
          <w:sz w:val="28"/>
          <w:szCs w:val="28"/>
          <w:rtl w:val="true"/>
          <w:lang w:bidi="ar-SA"/>
        </w:rPr>
        <w:t>والحاصل أنه لا مجال للتفصيل بين صور التخصيص بعد أن تبين أن التخصيص لا يوجب تجوّزاً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في التخصيص بمعنى قصر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النزاع في التخصيص بمعنى استعمال العام في الخاص الموجب للتجوّز في لفظ العام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وهو باطل أيضاً؛ لما عرفت</w:t>
      </w:r>
      <w:r>
        <w:rPr>
          <w:rStyle w:val="FootnoteAnchor"/>
          <w:rtl w:val="true"/>
        </w:rPr>
        <w:footnoteReference w:id="386"/>
      </w:r>
      <w:r>
        <w:rPr>
          <w:rFonts w:ascii="Amiri" w:hAnsi="Amiri" w:eastAsia="Amiri" w:cs="Amiri"/>
          <w:color w:val="111111"/>
          <w:sz w:val="28"/>
          <w:sz w:val="28"/>
          <w:szCs w:val="28"/>
          <w:rtl w:val="true"/>
          <w:lang w:bidi="ar-SA"/>
        </w:rPr>
        <w:t>من أنه ليس تخصيصاً ، وأن توهم استعمال العام في الخاص في موارد التخصيص لا أصل له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859702_2870459653"/>
      <w:bookmarkStart w:id="219" w:name="_Toc76"/>
      <w:bookmarkEnd w:id="218"/>
      <w:r>
        <w:rPr>
          <w:rtl w:val="true"/>
        </w:rPr>
        <w:t>و</w:t>
      </w:r>
      <w:r>
        <w:rPr>
          <w:rtl w:val="true"/>
        </w:rPr>
        <w:t>[</w:t>
      </w:r>
      <w:r>
        <w:rPr>
          <w:rtl w:val="true"/>
        </w:rPr>
        <w:t>المبحث</w:t>
      </w:r>
      <w:r>
        <w:rPr>
          <w:rtl w:val="true"/>
        </w:rPr>
        <w:t xml:space="preserve">] </w:t>
      </w:r>
      <w:r>
        <w:rPr>
          <w:rtl w:val="true"/>
        </w:rPr>
        <w:t>الثاني</w:t>
      </w:r>
      <w:bookmarkEnd w:id="219"/>
    </w:p>
    <w:p>
      <w:pPr>
        <w:pStyle w:val="BookText"/>
        <w:rPr/>
      </w:pPr>
      <w:r>
        <w:rPr>
          <w:rFonts w:ascii="Amiri" w:hAnsi="Amiri" w:eastAsia="Amiri" w:cs="Amiri"/>
          <w:color w:val="111111"/>
          <w:sz w:val="28"/>
          <w:sz w:val="28"/>
          <w:szCs w:val="28"/>
          <w:rtl w:val="true"/>
          <w:lang w:bidi="ar-SA"/>
        </w:rPr>
        <w:t>أنّ التخصيص هل يوجب التجوز في العام؟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مطلقاً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وفصل ثالث فاختار أنه حقيقة إن كان الباقي غیر منحصر وإلا فمجاز</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ورابع بين مخصص لا يستقل بنفسه من شرط أو صفة أو استثناء أو غاية وما يستقل بنفسه من سمع أو عقل فذهب إلى أنه حقيقة في الصورة الأُولى ومجاز في الثانية</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عنهم تفاصيل أُخر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أنه لا يوجب التجوّز مطلقاً لا في اللفظ ولا في الصيغة والهيئة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التخصيص لا يرجع إلى مدلول اللفظ؛ ضرورة أنّ التخصيص الثابت فى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 وأكرم العلماء العدول أو أكر مهم إن كانوا عدولاً أو إلى أن يفسقوا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تخصيص الحكم لا الموضوع</w:t>
      </w:r>
      <w:r>
        <w:rPr>
          <w:rFonts w:eastAsia="Amiri" w:cs="Amiri" w:ascii="Amiri" w:hAnsi="Amiri"/>
          <w:color w:val="111111"/>
          <w:sz w:val="28"/>
          <w:szCs w:val="28"/>
          <w:rtl w:val="true"/>
          <w:lang w:bidi="ar-SA"/>
        </w:rPr>
        <w:t xml:space="preserve">. </w:t>
      </w:r>
      <w:bookmarkStart w:id="220" w:name="pg9000_94064"/>
    </w:p>
    <w:p>
      <w:pPr>
        <w:pStyle w:val="BookText"/>
        <w:rPr/>
      </w:pPr>
      <w:bookmarkEnd w:id="220"/>
      <w:r>
        <w:rPr>
          <w:rFonts w:ascii="Amiri" w:hAnsi="Amiri" w:eastAsia="Amiri" w:cs="Amiri"/>
          <w:color w:val="111111"/>
          <w:sz w:val="28"/>
          <w:sz w:val="28"/>
          <w:szCs w:val="28"/>
          <w:rtl w:val="true"/>
          <w:lang w:bidi="ar-SA"/>
        </w:rPr>
        <w:t>وتوهّم أنّ اللفظ حينئذٍ مستعمل فيما عدا المخصص، باطل؛ أما أوّلاً فلعدم العلاقة المصححة بين المعنيين وإلّا لصح استعمال الخاص في العام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فلانه يلزم حينئذ أن يكون الاستثناء منقطعاً بل غلطاً؛ لعدم توهم الدخول بعد العدول عن استعماله في مفهومه العام إلى الخاص، وأن تكون الصفة والشرط قيداً توضيحياً لا احترازياً، مع وضوح كونه احترازياً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ثالثاً فلعدم الداعي على هذا التكلّف على فرض صحته مع جواز رجوع التخصيص إلى الحكم وظهوره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الهيئة التركيبية إنما هي بمنزلة الحروف، فلا تفيد إلا وجه استعمال الكلمة، ولا استعمال لها حتى يتطرّق التجوّز فيها ، فلا تنفك أبداً عما تتكفّل له من إيجاد النسبة الخاصة بين الكلمتين إضافية أو توصيفيّة أو حمليّة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يختلف باختلاف الموارد إنّما هو ما استند إلى الإطلاق والتقييد أو خصوصيات الموارد؛ فإنّ العموم إنّما يستفاد عند الإطلاق إمّا تبعاً لعموم المسند إليه، أو لخصوصية في الحكم من قبوله السريان في الأجزاء مع كون الموضوع ذا أجزاء صالحة السريان الحكم إليها، أو كونه سلبياً مع كون المتعلّق نكرة أو اسم جنس، أو كونه من عوارض الماهية مع كون المتعلّق اسم جنس، معرّفاً باللام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إنّما يستند إلى تقييد الإسناد والحكم، فلا يزول به إلّا العموم المستفاد من قبل الإطلاق ولا يوجب تصرّفاً في مدلول اللفظ ولا في 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بما بيّناه أنه لا مجال للتفاصيل المذكورة ولا للتفصيل بين التخصيص في الحكم والتخصيص في الموضوع؛ لما تبيّن لك</w:t>
      </w:r>
      <w:r>
        <w:rPr>
          <w:rStyle w:val="FootnoteAnchor"/>
          <w:rtl w:val="true"/>
        </w:rPr>
        <w:footnoteReference w:id="392"/>
      </w:r>
      <w:r>
        <w:rPr>
          <w:rFonts w:ascii="Amiri" w:hAnsi="Amiri" w:eastAsia="Amiri" w:cs="Amiri"/>
          <w:color w:val="111111"/>
          <w:sz w:val="28"/>
          <w:sz w:val="28"/>
          <w:szCs w:val="28"/>
          <w:rtl w:val="true"/>
          <w:lang w:bidi="ar-SA"/>
        </w:rPr>
        <w:t>من عدم تطرّق التخصيص فيه أبداً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859704_2870459653"/>
      <w:bookmarkStart w:id="222" w:name="_Toc77"/>
      <w:bookmarkEnd w:id="221"/>
      <w:r>
        <w:rPr>
          <w:rtl w:val="true"/>
        </w:rPr>
        <w:t>تنبيهات</w:t>
      </w:r>
      <w:bookmarkEnd w:id="2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كما يعمّ أفراد الموضوع أو أجزائه كذلك يعم ويشمل توابعه؛ فإنّ </w:t>
      </w:r>
    </w:p>
    <w:p>
      <w:pPr>
        <w:pStyle w:val="BookText"/>
        <w:rPr/>
      </w:pPr>
      <w:r>
        <w:rPr>
          <w:rFonts w:ascii="Amiri" w:hAnsi="Amiri" w:eastAsia="Amiri" w:cs="Amiri"/>
          <w:color w:val="111111"/>
          <w:sz w:val="28"/>
          <w:sz w:val="28"/>
          <w:szCs w:val="28"/>
          <w:rtl w:val="true"/>
          <w:lang w:bidi="ar-SA"/>
        </w:rPr>
        <w:t>حكم المجيء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يعمّ أفراد القوم يعم غلمانهم ودوابهم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التابع كاستثناء الفرد أو الجزء تخصيص في الحكم فلا يكون منقطعاً عن موضوع الحكم وإن كان منقطعاً عن المعنى المطابقي والتضمّني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أنّ أداة الاستثناء في المستثنى المنقطع مجاز لا حقيقة، في غير محله؛ لأنها إنّما وضعت لإخراج ما لولاه لدخل أي لَعَمّه الحكمُ وشمله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التجوّز لا يجري في الحروف أصلاً؛ لأنها إنما يتبيّن وجه استعمال المدخول فلا استعمال لها حتى تكون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أشكل عليهم الأمر فى الاستثناء فزعموا أنه يقتضي اجتماع حكمين متناقضين على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دخوله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ونقيضه من حيث خروجه عنه بالاستثناء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الإخراج واقع قبل الحكم والإسناد، فلا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منه مستعمل في ما عدا الاستثناء، والقرينة عليه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منه والأداة والمستثنى اسم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 أنه لا مخلص عن الإشكال إلا بأحد الوجوه الثلاثة ولا رابع فرجّح الوسط</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وسخافة الوجوه الثلاثة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فلاستحالة وقوع الإخراج قبل الحكم؛ ضرورة أنّ المستثنى المتصل خارج عن حكم المستثنى منه لا عن ذاته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ففيه أولاً أنّ استعمال العام في الباقي لا يصح؛ لعدم العلاقة المصححة، كما </w:t>
      </w:r>
    </w:p>
    <w:p>
      <w:pPr>
        <w:pStyle w:val="BookText"/>
        <w:rPr/>
      </w:pPr>
      <w:r>
        <w:rPr>
          <w:rFonts w:ascii="IRNazanin" w:hAnsi="IRNazanin" w:eastAsia="IRNazanin"/>
          <w:color w:val="111111"/>
          <w:sz w:val="28"/>
          <w:sz w:val="28"/>
          <w:szCs w:val="28"/>
          <w:rtl w:val="true"/>
          <w:lang w:bidi="fa-IR"/>
        </w:rPr>
        <w:t>مرا</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استثناء المستثنى عنه لا يلائم مع استعماله في الباقي فكيف يكون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أنه يلزم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الجارية إلّا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المستغرق إن رجع الضمير إلى الجارية بمعناها الحقيقي على سبيل الاستخدام، فكأنك قلت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نصف الجارية إلّا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قيل برجوع الضمير إلى المراد منها في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الباقي بعد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التسلسل؛ لرجوع النصف إلى الربع حينئذ، وإذا كان المراد بالنصف الربع فيكون المراد بالربع المستثنى منه الثمن،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ذلك بأنّ المراد بالجارية مع انضمام الاستثناء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لا المراد بالجارية وحدها وبعد ملاحظة الانضمام فلا يبقى استثناء آخر ليلزم المحذور، في غاية الغرابة؛ لأنّ المجموع ليس اسماً واحداً حتّى يراد منه معنى واحد اسمي وهو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المجموع مشتمل على أسماء وأداة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أسخف من الجميع؛ ضرورة أنّ المجموع لا يصير اسماً واحداً إلا بالغلبة أو بالوضع، وانتفائهما في المقام من أجلى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المستثنى منه مستعمل في معناه الحقيقي، وإسناد الحكم إليه إنّما يقتضي سريانه في أفراده أو أجزائه مراعى بعدم لحوق قيد منافٍ له، فإن لم يلحقه قيد كذلك يستقرّ في العموم، وإلا ينصرف عنه ويستقر في الخصوص حسب القيد؛ فإنّ للمتكلّم مادام متشاغلاً بكلامه أن يلحق به ما شاء من اللواحق، فالقضية المقيدة كالمطلقة لا تشتمل إلا على حكم واحد، فتوهّم التناقض فيها ناش عن خفاء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تحيّرهم في الجواب عنه وتشبتهم بما لا ينبغي التشبث 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تخصيص في حكم المستثنى منه، فلا يجوز أن يستوعبه المستثنى، كما أنه لا يجوز توافقهما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أنّه من قبيل المستوعب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من يزورني إلّا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أنه لم يزره إلا الفاسق، في غير محله؛ لأنّ مجرّد الاتفاق لا يوجب الاستيعاب، كما هو ظاهر </w:t>
      </w:r>
      <w:bookmarkStart w:id="223" w:name="pg9000_94067"/>
    </w:p>
    <w:p>
      <w:pPr>
        <w:pStyle w:val="Heading3"/>
        <w:numPr>
          <w:ilvl w:val="2"/>
          <w:numId w:val="1"/>
        </w:numPr>
        <w:rPr/>
      </w:pPr>
      <w:bookmarkStart w:id="224" w:name="__RefHeading___Toc1859706_2870459653"/>
      <w:bookmarkStart w:id="225" w:name="_Toc78"/>
      <w:bookmarkEnd w:id="223"/>
      <w:bookmarkEnd w:id="224"/>
      <w:r>
        <w:rPr>
          <w:rtl w:val="true"/>
        </w:rPr>
        <w:t>و</w:t>
      </w:r>
      <w:r>
        <w:rPr>
          <w:rtl w:val="true"/>
        </w:rPr>
        <w:t>[</w:t>
      </w:r>
      <w:r>
        <w:rPr>
          <w:rtl w:val="true"/>
        </w:rPr>
        <w:t>المبحث</w:t>
      </w:r>
      <w:r>
        <w:rPr>
          <w:rtl w:val="true"/>
        </w:rPr>
        <w:t xml:space="preserve">] </w:t>
      </w:r>
      <w:r>
        <w:rPr>
          <w:rtl w:val="true"/>
        </w:rPr>
        <w:t>الثالث</w:t>
      </w:r>
      <w:bookmarkEnd w:id="225"/>
    </w:p>
    <w:p>
      <w:pPr>
        <w:pStyle w:val="BookText"/>
        <w:rPr/>
      </w:pPr>
      <w:r>
        <w:rPr>
          <w:rFonts w:ascii="Amiri" w:hAnsi="Amiri" w:eastAsia="Amiri" w:cs="Amiri"/>
          <w:color w:val="111111"/>
          <w:sz w:val="28"/>
          <w:sz w:val="28"/>
          <w:szCs w:val="28"/>
          <w:rtl w:val="true"/>
          <w:lang w:bidi="ar-SA"/>
        </w:rPr>
        <w:t>أن تخصيص العام هل يخرجه عن الحجيّة في غير محلّ التخصيص إذا لم يكن المخصص مجملاً؟ المعروف بين أصحابنا عدم خروجه عنها، وقد نسب إلى بعض المخالفين سقوطه عنها مطلقاً، وإلى بعض آخر التفصيل بين المخصص المتصل والمنفصل، وعن آخر أنه محمول على أقل الجمع</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ما ذهب إليه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السقوط عن الحجية؛ لبقاء المقتضى الشمول الحكم لما عدا المخصص وعدم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المنكرون من طرق الإجمال حينئذ؛ إذ لم يستعمل اللفظ حينئذٍ في معناه الحقيقي وهو المعلوم وما تحته من مراتب الخصوص مجازات، وهي متعدّدة ولا يترجّح بعضها على بعض، فيبقى اللفظ متردّداً بين جميع مراتب الخصوص، في مراتب الخصوص، في غير محله؛ لما عرفت</w:t>
      </w:r>
      <w:r>
        <w:rPr>
          <w:rStyle w:val="FootnoteAnchor"/>
          <w:rtl w:val="true"/>
        </w:rPr>
        <w:footnoteReference w:id="397"/>
      </w:r>
      <w:r>
        <w:rPr>
          <w:rFonts w:ascii="Amiri" w:hAnsi="Amiri" w:eastAsia="Amiri" w:cs="Amiri"/>
          <w:color w:val="111111"/>
          <w:sz w:val="28"/>
          <w:sz w:val="28"/>
          <w:szCs w:val="28"/>
          <w:rtl w:val="true"/>
          <w:lang w:bidi="ar-SA"/>
        </w:rPr>
        <w:t>من بقاء اللفظ على معناه الحقيقي حينئذٍ وأنّ التخصيص إنّما يمنع عموم الحكم بالنسبة إلى المخصّص فقط ، فلا مجال لما توهّموه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فرضنا صيرورة العام مجازاً حينئذٍ يتعيّن حمله على ما عدا المخصص من المراتب أيضاً؛ لأنّ المخصص كما يكون قرينة صارفة عن الحمل على العموم كذلك يكون قرينة معيّنة لحمله على ما عدا المخصّص بشهادة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تبيّن بطلان التفاصيل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المخصص مجملاً، وأمّا إذا كان مجملاً فإن تردّد بين متباينين يسري الإجمال إلى العام مطلقاً فلا يؤخذ به في كليهما، كما لا يؤخذ بحكم الخاص فيهما معاً، وإن علم إجمالاً بثبوته لأحدهما لا بعينه فالمرجع فيهما هو الأصل الجاري فيهما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مردّداً بين الأقل والأكثر فإن كان المخصص منفصلاً يؤخذ بحكم العامّ بالنسبة إلى الأكثر؛ لشموله إيّاه باستقرار ظهوره في العموم، وإنّما وقع الشكّ في خروجه </w:t>
      </w:r>
      <w:bookmarkStart w:id="226" w:name="pg9000_94068"/>
    </w:p>
    <w:p>
      <w:pPr>
        <w:pStyle w:val="BookText"/>
        <w:rPr/>
      </w:pPr>
      <w:bookmarkEnd w:id="226"/>
      <w:r>
        <w:rPr>
          <w:rFonts w:ascii="Amiri" w:hAnsi="Amiri" w:eastAsia="Amiri" w:cs="Amiri"/>
          <w:color w:val="111111"/>
          <w:sz w:val="28"/>
          <w:sz w:val="28"/>
          <w:szCs w:val="28"/>
          <w:rtl w:val="true"/>
          <w:lang w:bidi="ar-SA"/>
        </w:rPr>
        <w:t>عن تحت حكم العام بواسطة المخصّص فيقتصر حينئذٍ على القدر المتيقن خروجه منه وهو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المخصص متصلاً يسري الإجمال إلى العام؛ لعدم استقرار العام حينئذ في العموم بسبب اتصال القيد، فالمرجع في الأكثر حينئذٍ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للعموم ثابت والقيد مانع عنه فيجب حينئذٍ الاقتصار على ما علم ما نعيّته والأخذ بالمقتضى المعلوم مع الشكّ في وجود المانع أو مانعيّة الموجود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المقتضي للعموم إطلاق الكلام وقد زال بالتقييد، والكلام المقيد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لإجمال قیده و تردّده بين الأقل والأكثر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اقتضائه لشمول الأكثر غير معلوم حينئذٍ فيقتصر حينئذٍ على ما علم شموله له</w:t>
      </w:r>
      <w:r>
        <w:rPr>
          <w:rFonts w:eastAsia="IRNazanin" w:cs="IRNazanin"/>
          <w:color w:val="111111"/>
          <w:sz w:val="28"/>
          <w:szCs w:val="28"/>
          <w:rtl w:val="true"/>
          <w:lang w:bidi="fa-IR"/>
        </w:rPr>
        <w:t>.</w:t>
      </w:r>
    </w:p>
    <w:p>
      <w:pPr>
        <w:pStyle w:val="Heading3"/>
        <w:numPr>
          <w:ilvl w:val="2"/>
          <w:numId w:val="1"/>
        </w:numPr>
        <w:rPr/>
      </w:pPr>
      <w:bookmarkStart w:id="227" w:name="__RefHeading___Toc1859708_2870459653"/>
      <w:bookmarkStart w:id="228" w:name="_Toc79"/>
      <w:bookmarkEnd w:id="227"/>
      <w:r>
        <w:rPr>
          <w:rtl w:val="true"/>
        </w:rPr>
        <w:t>تنبیهان</w:t>
      </w:r>
      <w:bookmarkEnd w:id="2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طرء الإجمال في المصداق بأن اشتبه وتردّد بين أن يكون مصداقاً للمخصص أو لما بقي تحت العام فإن كان المخصص من قبيل المانع فمقتضى الأصل حينئذٍ اندراجه تحت العام للعلم بوجود المقتضي والشكّ في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وكان مخصصاً حقيقة وموضوعاً لحكم آخر، فإن كان المخصص مشتملاً على حكم زائد كالقرشيّة المختصة بالتحيّض إلى ستّين فمقتضى الأصل باعتبار الحكم اندراجه تحت العام أيضاً؛ لأنه القدر المتيقن، فالموضوعان وإن كانا وجوديين متقابلين في حد أنفسهما ولا يكون أحدهما زائداً على الآخر إلّا أنّ العام بالنسبة إلى الخاص المحكوم بحكم زائد بمنزلة العدم باعتبار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أن موضوع حكم العام عدمي تحقيقاً؛ لاشتراك القرشيّة وغيرها في التحيّض إلى خمسين وعدم مدخليّة نسبة مخصوصة فيه، وإنما التحيض إلى ستين يستند إلى الانتساب إلى قريش، فمرجع الحكم إلى عدم كونها قرشيّة ليس إلى إثبات نسبته لغير قريش حتى يقال بأنه معارض بمثله؛ إذ يكفي في الحكم بعدم التحيض إلى ستين عدم كونها قرشيّة فقط ولا يحتاج إلى إثبات نسبتها إلى غير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كذلك لا يندرج تحت أحدهما ويؤخذ فيه بحسب ما يقتضيه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 بعضهم بين أن يكون المخصص متصلاً ومنفصلاً فحكم باندراج المصداق المشتبه تحت ما بقي من العام في الصورة الثانية دون الأولى</w:t>
      </w:r>
      <w:r>
        <w:rPr>
          <w:rStyle w:val="FootnoteAnchor"/>
          <w:rtl w:val="true"/>
        </w:rPr>
        <w:footnoteReference w:id="398"/>
      </w:r>
      <w:r>
        <w:rPr>
          <w:rFonts w:ascii="Amiri" w:hAnsi="Amiri" w:eastAsia="Amiri" w:cs="Amiri"/>
          <w:color w:val="111111"/>
          <w:sz w:val="28"/>
          <w:sz w:val="28"/>
          <w:szCs w:val="28"/>
          <w:rtl w:val="true"/>
          <w:lang w:bidi="ar-SA"/>
        </w:rPr>
        <w:t>، وآخر بين أن يكون لفظياً ولبيّاً فحكم بعدم الاندراج تحت أحدهما في الصورة الأُولى وفصل في الثانية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المخصص ممّا يصح أن يتكل عليه المتكلّم إذا كان بصدد البيان في مقام التخاطب فهو كالمتصل؛ حيث لا ينعقد معه ظهور للعام إلا في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كذلك فالظاهر بقائه في المصداق المشتبه على حجيته كظهوره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الكلام الملقى من السيّد ليس إلا ما اشتمل على العام الكاشف بظهوره عن إرادته للعموم فلا بد من اتباعه ما لم يقطع بخلافه، 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بأنه لا يريد إكرام من كان عدواً له منهم، كان أصالة العموم باقية على الحجيّة بالنسبة إلى من لم يعلم بخروجه عن عموم الكلام للعلم بعداوته؛ لعدم حجّة أُخرى بدون ذلك على خلافه، بخلاف ما إذا كان المخصص لفظياً ؛ فإنّ قضيّة تقديمه عليه هو كون الملقى إليه كأنه كان من رأس لا يعمّ الخاص، كما كان كذلك حقيقةً فيما كان الخاص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بعدم إرادة العدوّ لا يوجب انقطاع حجّيّته إلّا فيما قطع أنه عدوّه لا فيما شكّ فيه، كما يظهر صدق هذا من صحة مؤاخذة المولى لو لم يكرم واحداً من جيرانه؛ لاحتمال عداوته له وحسن عقوبته على مخالفته وعدم صحة الاعتذار عنه</w:t>
      </w:r>
    </w:p>
    <w:p>
      <w:pPr>
        <w:pStyle w:val="BookText"/>
        <w:rPr/>
      </w:pPr>
      <w:r>
        <w:rPr>
          <w:rFonts w:ascii="Amiri" w:hAnsi="Amiri" w:eastAsia="Amiri" w:cs="Amiri"/>
          <w:color w:val="111111"/>
          <w:sz w:val="28"/>
          <w:sz w:val="28"/>
          <w:szCs w:val="28"/>
          <w:rtl w:val="true"/>
          <w:lang w:bidi="ar-SA"/>
        </w:rPr>
        <w:t>بمجرّد احتمال العداوة، كما لا يخفى على من راجع الطريقة المعروفة والسيرة المستمرّة المألوفة بين العقلاء</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بمكان من الوهن والسقوط؛ لأنّ الدليل إنّما يبين الحكم الواقعي للأفراد الواقعية ولا نظر له إلى حكم الأفراد المشتبهة أو المعلومة، فلا وجه للتفصيل بين اتصال المخصص وانفصاله أو بين كونه لفظيّاً ولبيّاً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إلحاق المصاديق المشتبهة بما بقي تحت العام أو بالمخصص حيث كان حكم ظاهري لا واقعي، كما هو بين، فلا يعقل أن يكون الدليل الناظر إلى الحكم الواقعي للعام ناظراً إلى الحكم الظاهري المتأخّر عنه موضو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من ذلك الالتزام بأحد أمرين بين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بأن لحوق الفرد المشتبه بالعامّ حكم واقعي، أو الالتزم بأنّ الدليل الناظر إلى الحكم الواقعي ناظر إلى الحكم الظاهري المتأخّر عنه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شهادة فيما استشهد به من سيرة العقلاء على إلحاق المشتبه في المثال بالعام؛ لأنّ المخصص اللبي المتوهّم فيه من قبيل المانع لا المخصص فإلحاق المشتبه حينئذٍ بالعام لأجل العلم بالمقتضي والشكّ في المانع الذي لا يفترق فيه بين أن يستفاد من دليل لفظي أو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يجوز التمسك بالعمومات في المصاديق المجملة من جهة التردّد بين أن تكون مندرجة تحت العام أو المخصص كذلك لا يجوز التمسك بها في المصاديق المشتبهة من جهة أُخرى؛ لما تبيّن لك من أن العمومات المبينة للأحكام الواقعية لا نظر لها إلى المصاديق المشتبهة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فما يظهر من بعض من بعموم وجوب الوفاء بالنذر على صحة نذر التطهر بمائع مضاف بتقريب أنّ عموم وجوب الوفاء بالنذر يشمله وهو فرع صحته فيستدلّ به عليها استدلال المعلول على علّته</w:t>
      </w:r>
      <w:r>
        <w:rPr>
          <w:rStyle w:val="FootnoteAnchor"/>
          <w:rtl w:val="true"/>
        </w:rPr>
        <w:footnoteReference w:id="400"/>
      </w:r>
      <w:r>
        <w:rPr>
          <w:rFonts w:ascii="Amiri" w:hAnsi="Amiri" w:eastAsia="Amiri" w:cs="Amiri"/>
          <w:color w:val="111111"/>
          <w:sz w:val="28"/>
          <w:sz w:val="28"/>
          <w:szCs w:val="28"/>
          <w:rtl w:val="true"/>
          <w:lang w:bidi="ar-SA"/>
        </w:rPr>
        <w:t xml:space="preserve">، في كمال البشاعة؛ لأنّ الشمول لا يكون إلا بعد إحراز الصحة فاستكشافها من طرف الشمول مستلزم للدور المحال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تعقب المخصص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جملاً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عوده إلى كلّ واحد، </w:t>
      </w:r>
      <w:bookmarkStart w:id="229" w:name="pg9000_94071"/>
    </w:p>
    <w:p>
      <w:pPr>
        <w:pStyle w:val="BookText"/>
        <w:rPr/>
      </w:pPr>
      <w:bookmarkEnd w:id="229"/>
      <w:r>
        <w:rPr>
          <w:rFonts w:ascii="Amiri" w:hAnsi="Amiri" w:eastAsia="Amiri" w:cs="Amiri"/>
          <w:color w:val="111111"/>
          <w:sz w:val="28"/>
          <w:sz w:val="28"/>
          <w:szCs w:val="28"/>
          <w:rtl w:val="true"/>
          <w:lang w:bidi="ar-SA"/>
        </w:rPr>
        <w:t>كان الأخير مخصصاً قطعاً وهل يخصص معه الباقي أو يختص هو به؟ أقوال</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والتحقيق أنه عند الإطلاق ليس ظاهراً في العود إلى الجميع فيقتصر على القدر المتيقن وهو تخصيص الأخير ويحكم بالعموم في الباقي؛ أخذاً بأصالة العموم؛ لوجود المقتضي له والشك في مانعيّة الموجود وهو القيد المتعقب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بعض من عدم ظهور الباقي في العموم حينئذ ؛ لاكتنافه بما لا يكون معه ظاهراً فيه فيرجع في مورد القيد إلى الأصل الجاري فيه</w:t>
      </w:r>
      <w:r>
        <w:rPr>
          <w:rStyle w:val="FootnoteAnchor"/>
          <w:rtl w:val="true"/>
        </w:rPr>
        <w:footnoteReference w:id="402"/>
      </w:r>
      <w:r>
        <w:rPr>
          <w:rFonts w:ascii="Amiri" w:hAnsi="Amiri" w:eastAsia="Amiri" w:cs="Amiri"/>
          <w:color w:val="111111"/>
          <w:sz w:val="28"/>
          <w:sz w:val="28"/>
          <w:szCs w:val="28"/>
          <w:rtl w:val="true"/>
          <w:lang w:bidi="ar-SA"/>
        </w:rPr>
        <w:t>، في غير محله؛ ضرورة أنّ الظهور المعتبر هو الرجحان الاقتضائي المعبّر عنه بالظنّ النوعي، لا الرجحان الفعلي، وهو تابع للمقتضي المعلوم ولا يؤثر فيه المانع المحتمل، فلا وجه لنفيه حينئذٍ</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859710_2870459653"/>
      <w:bookmarkStart w:id="231" w:name="_Toc80"/>
      <w:bookmarkEnd w:id="230"/>
      <w:r>
        <w:rPr>
          <w:rtl w:val="true"/>
        </w:rPr>
        <w:t>فصل</w:t>
      </w:r>
      <w:bookmarkEnd w:id="231"/>
    </w:p>
    <w:p>
      <w:pPr>
        <w:pStyle w:val="BookText"/>
        <w:rPr/>
      </w:pPr>
      <w:r>
        <w:rPr>
          <w:rFonts w:ascii="Amiri" w:hAnsi="Amiri" w:eastAsia="Amiri" w:cs="Amiri"/>
          <w:color w:val="111111"/>
          <w:sz w:val="28"/>
          <w:sz w:val="28"/>
          <w:szCs w:val="28"/>
          <w:rtl w:val="true"/>
          <w:lang w:bidi="ar-SA"/>
        </w:rPr>
        <w:t xml:space="preserve">اختلفوا في جواز العمل بالعام قبل استقصاء البحث في طلب التخصيص، ومنهم من نفى الخلاف فيه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 إنّما هو في مبلغ اللبحث، واكتفى الأكثر بغلبة الظن على العدم؛ وبعض أنه لا بدّ من القطع بانتفائه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وكيف كان، فالتحقيق أنه لا يجوز العمل بالعمومات التي في معرض التخصيص قبل استقصاء البحث عن مظانّه الموجب للاطمينان بالعدم كأغلب عمومات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عموما تها كسائر العمومات الواردة في مقام ضرب القاعدة إنّما تبيّن الحكم الاقتضائي للموضوعات ومهملة غالباً من جهة الشروط والموانع، فلا بد في مقام العمل بها من البحث والفحص عن مظانه حتّى يطمئنّ بعدم شرط أو مانع أو مخصص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بيّناه تبيّن أنّ العمومات الواقعة في ألسنة أهل المحاورة عند الإطلاق إن كانت إخبارية أو إنشائية لا في مقام ضرب القاعدة محمولة على العموم من دون تأمّل</w:t>
      </w:r>
      <w:r>
        <w:rPr>
          <w:rFonts w:eastAsia="Amiri" w:cs="Amiri" w:ascii="Amiri" w:hAnsi="Amiri"/>
          <w:color w:val="111111"/>
          <w:sz w:val="28"/>
          <w:szCs w:val="28"/>
          <w:rtl w:val="true"/>
          <w:lang w:bidi="ar-SA"/>
        </w:rPr>
        <w:t xml:space="preserve">. </w:t>
      </w:r>
      <w:bookmarkStart w:id="232" w:name="pg9000_94072"/>
    </w:p>
    <w:p>
      <w:pPr>
        <w:pStyle w:val="BookText"/>
        <w:rPr/>
      </w:pPr>
      <w:bookmarkEnd w:id="232"/>
      <w:r>
        <w:rPr>
          <w:rFonts w:ascii="Amiri" w:hAnsi="Amiri" w:eastAsia="Amiri" w:cs="Amiri"/>
          <w:color w:val="111111"/>
          <w:sz w:val="28"/>
          <w:sz w:val="28"/>
          <w:szCs w:val="28"/>
          <w:rtl w:val="true"/>
          <w:lang w:bidi="ar-SA"/>
        </w:rPr>
        <w:t>وأمّا العمومات الواقعة في مقام ضرب القاعدة فإن كانت متكفّلة لبيان الشروط والموانع فمحمولة على العموم أيضاً من دون تأمل، وإن كانت مبينة للحكم الاقتضائي فقط ولم تتكفّل بيان الشروط والموانع وجب البحث عن أنّ لها شروطاً وموانع، كما وجب البحث عنه بالنسبة إلى عمومات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أصالة عدم الشرط والمانع إلا بعد الفحص واليأس عن الظفر؛ ضرورة عدم جريان الأصل في الشبهات الحكميّة إلا بعد الفحص التام، فاعتباره حينئذ من جهة أنه جزئي من جزئيات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اعتباره في طلب المخصص فليس من هذا الباب، بل لأجل دفع ما يزاحم الحجة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859712_2870459653"/>
      <w:bookmarkStart w:id="234" w:name="_Toc81"/>
      <w:bookmarkEnd w:id="233"/>
      <w:r>
        <w:rPr>
          <w:rtl w:val="true"/>
        </w:rPr>
        <w:t>فصل</w:t>
      </w:r>
      <w:bookmarkEnd w:id="234"/>
    </w:p>
    <w:p>
      <w:pPr>
        <w:pStyle w:val="BookText"/>
        <w:rPr/>
      </w:pPr>
      <w:r>
        <w:rPr>
          <w:rFonts w:ascii="Amiri" w:hAnsi="Amiri" w:eastAsia="Amiri" w:cs="Amiri"/>
          <w:color w:val="111111"/>
          <w:sz w:val="28"/>
          <w:sz w:val="28"/>
          <w:szCs w:val="28"/>
          <w:rtl w:val="true"/>
          <w:lang w:bidi="ar-SA"/>
        </w:rPr>
        <w:t xml:space="preserve">اختلفوا فى أنّه إذا تعقب العام ضمير يرجع إلى بعض ما يتناوله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w:t>
      </w:r>
      <w:r>
        <w:rPr>
          <w:rStyle w:val="FootnoteAnchor"/>
          <w:rtl w:val="true"/>
        </w:rPr>
        <w:footnoteReference w:id="404"/>
      </w:r>
      <w:r>
        <w:rPr>
          <w:rFonts w:ascii="IRNazanin" w:hAnsi="IRNazanin" w:eastAsia="IRNazanin"/>
          <w:color w:val="111111"/>
          <w:sz w:val="28"/>
          <w:sz w:val="28"/>
          <w:szCs w:val="28"/>
          <w:rtl w:val="true"/>
          <w:lang w:bidi="fa-IR"/>
        </w:rPr>
        <w:t xml:space="preserve">المتعقب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وَبُعُولَتِهِنَّ أَحَقُّ بِرَدِّهِنَّ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تخصيصاً 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فعلى الأوّل يختص التربّص كاستحقاق الردّ بالرجعيات وعلى الثاني يعمّ البائنات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البعل المطّرد في جميع موارده هو المالك ولا اختلاف في المعنى الذي وضع له اللفظ، وإنّما الاختلاف في المصاديق؛ فإنّ إطلاقه على السيّد إنما هو بلحاظ أنه مالك لعبده، كما أن إطلاقه على المالك بلحاظ أنه مالك لماله ، وأمّا إطلاقه على النخل إذا شرب بعروقه فمن جهة أنّه مالك شربه حينئذ، فالزوج إنّما يطلق عليه البعل؛ لأجل أنه مالك أمر الزوجة، وعنوان البعلية لا يزول بالطلاق الرجعي وإن قلنا بزوال الزوجية حينئذٍ؛ لأنه مالك أمرها في زمان العدّة ، فلا حاجة حينئذٍ إلى إرجاع الضمير إلى بعض المطلقات،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تخصيصاً أم لا؟ ؛ إذ لا منافات بين رجوع الضمير إلى العام واختصاص البعل بالمطلق الرجعي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أعلى الله مقامه الشريف</w:t>
      </w:r>
      <w:r>
        <w:rPr>
          <w:rFonts w:eastAsia="Amiri" w:cs="Amiri" w:ascii="Amiri" w:hAnsi="Amiri"/>
          <w:color w:val="111111"/>
          <w:sz w:val="28"/>
          <w:szCs w:val="28"/>
          <w:rtl w:val="true"/>
          <w:lang w:bidi="ar-SA"/>
        </w:rPr>
        <w:t xml:space="preserve">] </w:t>
      </w:r>
      <w:bookmarkStart w:id="235" w:name="pg9000_94073"/>
    </w:p>
    <w:p>
      <w:pPr>
        <w:pStyle w:val="BookText"/>
        <w:rPr/>
      </w:pPr>
      <w:bookmarkEnd w:id="235"/>
      <w:r>
        <w:rPr>
          <w:rFonts w:ascii="Amiri" w:hAnsi="Amiri" w:eastAsia="Amiri" w:cs="Amiri"/>
          <w:color w:val="111111"/>
          <w:sz w:val="28"/>
          <w:sz w:val="28"/>
          <w:szCs w:val="28"/>
          <w:rtl w:val="true"/>
          <w:lang w:bidi="ar-SA"/>
        </w:rPr>
        <w:t>والتحقيق أن مجرد رجوع الضمير إلى بعض ما يتناوله لا يدلّ على التخصيص وإن أشعر به، فلا بدّ من التوقف واستظهار الحال من خصوصيات الموارد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859714_2870459653"/>
      <w:bookmarkStart w:id="237" w:name="_Toc82"/>
      <w:bookmarkEnd w:id="236"/>
      <w:r>
        <w:rPr>
          <w:rtl w:val="true"/>
        </w:rPr>
        <w:t>فصل</w:t>
      </w:r>
      <w:bookmarkEnd w:id="237"/>
    </w:p>
    <w:p>
      <w:pPr>
        <w:pStyle w:val="BookText"/>
        <w:rPr/>
      </w:pPr>
      <w:r>
        <w:rPr>
          <w:rFonts w:ascii="Amiri" w:hAnsi="Amiri" w:eastAsia="Amiri" w:cs="Amiri"/>
          <w:color w:val="111111"/>
          <w:sz w:val="28"/>
          <w:sz w:val="28"/>
          <w:szCs w:val="28"/>
          <w:rtl w:val="true"/>
          <w:lang w:bidi="ar-SA"/>
        </w:rPr>
        <w:t>لا ينبغي التوقف في جواز تخصيص الكتاب بالخبر المعتبر بالخصوص وإن كان واحداً، وقطعيّة صدوره لا تلازم قطعية دلالته حتى تمتنع من التخصيص، كما لا ينبغي التوقف في جواز تخصيص العمومات مطلقاً بالمفهوم المخالف إذا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العموم والمفهوم إن كانا بالوضع أو بالإطلاق بمعونة مقدّمات الحكمة فهما متعادلان في حدّ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وقعا متصلين بحيث يصلح أن يكون كلّ واحد منهما قرينةً للتصرّف في الآخر، ودار الأمر بين تخصيص العموم وإلغاء المفهوم، فلا عموم ولا مفهوم حينئذ؛ لأجل المزاحمة ويرجع فيه إلى الأصول العملية إلا أن يكون أحدهما أظهر؛ لأجل خصوصية المورد،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انفصلا يعامل مع كلّ منهما معاملة المجمل لو لم يكن في البين أظهر، وإلّا فهو المعوّل والقرينة على التصرّف في الآخر بما لا يخالفه بحسب العمل</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غير محله؛ أمّا أوّلاً فلما تبيّن لك</w:t>
      </w:r>
      <w:r>
        <w:rPr>
          <w:rStyle w:val="FootnoteAnchor"/>
          <w:rtl w:val="true"/>
        </w:rPr>
        <w:footnoteReference w:id="409"/>
      </w:r>
      <w:r>
        <w:rPr>
          <w:rFonts w:ascii="Amiri" w:hAnsi="Amiri" w:eastAsia="Amiri" w:cs="Amiri"/>
          <w:color w:val="111111"/>
          <w:sz w:val="28"/>
          <w:sz w:val="28"/>
          <w:szCs w:val="28"/>
          <w:rtl w:val="true"/>
          <w:lang w:bidi="ar-SA"/>
        </w:rPr>
        <w:t>من عدم استناد العموم القابل للتخصيص إلى الوضع أبداً ، وأنه مستفاد من الإطلاق دائماً فلا يزاحم المفهوم المستند إلى الوضع على زعمه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 فلأنّ التعادل وضعاً أو إطلاقاً لا يوجب التزاحم والتساقط؛ ضرورة تقدّم الدليل المبيّن لحكم الخاص على الدليل المبين لحكم العام في نظر العرف، مع اعتبارهما ذاتاً ولو فرض تعادلهما وضعاً أو إطلاقاً</w:t>
      </w:r>
      <w:r>
        <w:rPr>
          <w:rFonts w:eastAsia="Amiri" w:cs="Amiri" w:ascii="Amiri" w:hAnsi="Amiri"/>
          <w:color w:val="111111"/>
          <w:sz w:val="28"/>
          <w:szCs w:val="28"/>
          <w:rtl w:val="true"/>
          <w:lang w:bidi="ar-SA"/>
        </w:rPr>
        <w:t xml:space="preserve">. </w:t>
      </w:r>
      <w:bookmarkStart w:id="238" w:name="pg9000_94074"/>
    </w:p>
    <w:p>
      <w:pPr>
        <w:pStyle w:val="Heading3"/>
        <w:numPr>
          <w:ilvl w:val="2"/>
          <w:numId w:val="1"/>
        </w:numPr>
        <w:rPr/>
      </w:pPr>
      <w:bookmarkStart w:id="239" w:name="__RefHeading___Toc1859716_2870459653"/>
      <w:bookmarkStart w:id="240" w:name="_Toc83"/>
      <w:bookmarkEnd w:id="238"/>
      <w:bookmarkEnd w:id="239"/>
      <w:r>
        <w:rPr>
          <w:rtl w:val="true"/>
        </w:rPr>
        <w:t>فصل</w:t>
      </w:r>
      <w:bookmarkEnd w:id="240"/>
    </w:p>
    <w:p>
      <w:pPr>
        <w:pStyle w:val="BookText"/>
        <w:rPr/>
      </w:pPr>
      <w:r>
        <w:rPr>
          <w:rFonts w:ascii="Amiri" w:hAnsi="Amiri" w:eastAsia="Amiri" w:cs="Amiri"/>
          <w:color w:val="111111"/>
          <w:sz w:val="28"/>
          <w:sz w:val="28"/>
          <w:szCs w:val="28"/>
          <w:rtl w:val="true"/>
          <w:lang w:bidi="ar-SA"/>
        </w:rPr>
        <w:t>إذا ورد عام وخاص مطلق متنافيا الظاهر فلا يخلو الحال من أحد وجوه ثلاثة؛ لأنّ دليل الخاص إمّا ناظر إلى أنه مانع عن فعليّة الحكم الثابت للعام اقتضاء، كأدلّة الخيارات الناظرة إلى منع العيب والغبن والاجتماع في المجلس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الموجبة للخيار عن لزوم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شارح ومفسّر للعام ومبيّن اختصاص موضوعه بما عدا الخاص،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بالنسبة إلى عمومات حكم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ناظر إلى حكم الخاص ابتداءً من دون تعرّض للمنع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 فلا معارضة بين الدليلين حينئذ؛ لعدم التنافي بين مدلوليهما بوجه؛ ضرورة أنّ المنع عن تأثير المقتضي مترتب عليه ومجامع معه، فلا مجال لتوهم المنافاة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القسم الثاني فكذلك؛ لأنّ لسان التفسير يأبى عن المعارضة والمنافاة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قبيل القسم الثالث فهما متنافيان في حدّ أنفسهما؛ لاستقرار كلّ منهما فيما يدلّ عليه من العموم والخصوص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لما كان كلام أمناء الوحي والتنزيل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كلام واحد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لعدم تطرّق الخطاء والنسيان في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بينهما ويحكم ببناء العام على الخاص، كما هو الحال في الكلام المتصل الصادر من أي شخص كان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حينئذ بين أن يكون تاريخ صدورهما مجهولاً أو معلوماً، اقترنا أو تقدّم العامّ على الخاص أو الخاص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ورد الخاص بعد حضور وقت العمل بالعام يكون ناسخاً لا مخصصاً وإن اتحدا في الأثر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بيناه ظهر أنه لا مجال لجعل العام الوارد بعد الخاص ناسخاً له، كما نسب إلى الشيخ وعلم الهدى</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تنزّلهما منزلة كلام واحد متصل، موجب للمصير إلى التخصيص؛ ضرورة أنّ العام مخصص بالخاص في الكلام المتصل، تقدّم الخاص عليه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ذكره بعض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جهل وتردّد بين أن يكون الخاص بعد حضور وقت العمل بالعام وقبل حضوره فالوجه هو الرجوع إلى الأصول العملية</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لأنّ التردّد حينئذٍ إنّما هو بين كون الخاص ناسخاً للعام ومخصصاً له فالعمل بالخاص متعين على كل حال فلا مجال للرجوع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بيّناه من أنّ الخاص مخصص إذا ورد قبل حضور وقت العمل هو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احتمل بعض أن يكون ناسخاً أيضاً</w:t>
      </w:r>
      <w:r>
        <w:rPr>
          <w:rStyle w:val="FootnoteAnchor"/>
          <w:rtl w:val="true"/>
        </w:rPr>
        <w:footnoteReference w:id="413"/>
      </w:r>
      <w:r>
        <w:rPr>
          <w:rFonts w:ascii="Amiri" w:hAnsi="Amiri" w:eastAsia="Amiri" w:cs="Amiri"/>
          <w:color w:val="111111"/>
          <w:sz w:val="28"/>
          <w:sz w:val="28"/>
          <w:szCs w:val="28"/>
          <w:rtl w:val="true"/>
          <w:lang w:bidi="ar-SA"/>
        </w:rPr>
        <w:t xml:space="preserve">محتجاً بأن النسخ في الأحكام الشرعيّة لا يكون إزالة ورفعاً للحكم الثابت في الحقيقة وإلا لزم الجهل أو العبث المستحيل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دفع في صورة الرفع فلا مانع من وقوعه قبل حضور وقت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ما ذكره أكثر الأصحاب من استحالة النسخ قبل حضور وقت العمل؛ لأنّ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الأصحاب إنّما حكموا باستحالة النسخ قبل حضور وقت العمل من جهة لزوم نقض الغرض ولا يتفاوت فيه بين القول بكونه رفعاً أو دفعاً، فما ذكره على فرض تماميته لا يوجب رفع المحذور المزبور، ولو توهّم متوهّم أنّ غرض الحكم لا ينحصر في العمل والامتثال لزمه القول بجواز النسخ قبل حضور وقت العمل، سواء قيل بكونه رفعاً أم دفعاً، فما ذكره لا ينتج الجواز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أعلى الله مقامه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الغرض من التكليف إنّما هو الامتثال بالفعل أو الترك، فلا يجوز رفعه قبل حضور وقت العمل، وإلا 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توهم من أنّ النسخ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على سبيل الحقيقة وإلا لزم الجهل أو العبث الذي ساحة القدس عنه منزّهة في غير محله؛ إذ لا مانع من ثبوت المصلحة في إثبات التكليف مطلقاً غير مقيد بأمد محدود مع ثبوت مصلحة أخرى في رفعه وإزالته؛ إذ لا يعتبر في جعل الحكم مطلقاً بحيث يدوم لولا طرق المزيل عليه ثبوت المصلحة الدائمة الثابتة في جميع الأزمنة حتّى تنافي مصلحة الرفع، بل يكفيه مصلحة الإثبات فإذا أثبت الشارع حكماً لموضوع وأطلقه ولم يقيده بأمد يدوم اقتضاء وليس الدوام حينئذ صوريّاً</w:t>
      </w:r>
    </w:p>
    <w:p>
      <w:pPr>
        <w:pStyle w:val="BookText"/>
        <w:rPr/>
      </w:pP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الفرق بين الدوام الاقتضائي والصوري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المحلّل يتزوّج المطلقة ثلاثاً بالعقد الدائم حقيقة، مع بنائه على رفعه وإزالته بالطلاق بعد ساعة مثلاً، ولو كان دوام العقد حينئذٍ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دوام المصلحة أو لبنائه على الطلاق وإزالة قيد الزوجية بعد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العقد باطلاً لم يترتب عليه أثر ؛ لعدم انعقاده حينئذٍ دائماً لبنائه على إزالته ولا منقطعاً؛ لعدم تقييد العقد بزمان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انعقد منقطعاً لم يترتب عليه أثر التحليل؛ لاعتبار قيد الدوام فيه، فهو منعقد دائماً تحقيقاً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يترتب عليه أثر التحليل ويدوم ما لم يتعقب بطلان أو مزيل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توهّم بعض من تأخّر ، أنّ القول بعدم جواز النسخ قبل حضور وقت العمل إنّما نشأ من عدم التمييز بين أحكام القضايا الخارجيّة والحقيقية، فقال بعض مقرّري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المجعول إن كان من قبيل الأحكام المجعولة في القضايا الخارجية لكان للتوهّم المذكور مجال، وأما إذا كان من قبيل الأحكام المجعولة في القضايا الحقيقية الثابتة للموضوعات المقدّر وجوداتها، فلا مانع من نسخها ولو بعد جعلها بيوم واحد؛ إذ المفروض أنه لا يشترط في صحة جعله وجود موضوع 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العالم أصلاً؛ لما فرض أنه حكم على موضوع مقدّر الوجود</w:t>
      </w:r>
      <w:r>
        <w:rPr>
          <w:rFonts w:eastAsia="Amiri" w:cs="Amiri" w:ascii="Amiri" w:hAnsi="Amiri"/>
          <w:color w:val="111111"/>
          <w:sz w:val="28"/>
          <w:szCs w:val="28"/>
          <w:rtl w:val="true"/>
          <w:lang w:bidi="ar-SA"/>
        </w:rPr>
        <w:t>.</w:t>
      </w:r>
      <w:r>
        <w:rPr>
          <w:rStyle w:val="FootnoteAnchor"/>
          <w:rtl w:val="true"/>
        </w:rPr>
        <w:footnoteReference w:id="414"/>
      </w:r>
      <w:bookmarkStart w:id="241" w:name="pg9000_94077"/>
    </w:p>
    <w:p>
      <w:pPr>
        <w:pStyle w:val="BookText"/>
        <w:rPr/>
      </w:pPr>
      <w:bookmarkEnd w:id="24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ثبوت الأحكام التكليفية قبل وجود موضوعاتها في الخارج بل قبل وجود المكلّف، والمانعون من النسخ قبل حضور وقت العمل لا يحكمون بالمنع من جهة اعتبار وجود الموضوعات في الخارج؛ فإنّ عدم اعتبار وجود الموضوع في الخارج في ثبوت الأحكام الشرعية من البديهيات الأولية التي لا تخفى على من له أدنى مسكة، وإنّما المانعون يقولون بأنّ الغرض من تشريع الأحكام إنّما هو العمل والامتثال والنسخ قبل حضور العمل نقض للغرض فلا يعقل صدوره من الشارع</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59718_2870459653"/>
      <w:bookmarkStart w:id="243" w:name="_Toc84"/>
      <w:bookmarkEnd w:id="242"/>
      <w:r>
        <w:rPr>
          <w:rtl w:val="true"/>
        </w:rPr>
        <w:t>تنبيهات</w:t>
      </w:r>
      <w:bookmarkEnd w:id="24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عبارة عن رفع حكم الواقعة وإزالته، وأمّا جعل بدل في مرحلة الامتثال عن الموضوع الأوّلي إرفاقاً أو بملاحظة اضطرار المكلّف أو العفو عنه رأساً أو جعل شرط أو مانع لتنجز الحكم فليس من النسخ في شيء، ففداء الذبيح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بالكبش بسبب الذبح العظيم ليس نسخاً، كما أن عفو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الزكاة فيما عدا التسعة الله ليس نسخاً؛ لعموم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ولا تخصيصاً له؛ إذ العفو عن الامتثال لا يوجب رفع الحكم حتى يكون نسخاً أو تخصيصاً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ورود الخاص بعد حضور وقت العمل بالعام لا يدلّ على أنّ الخاص ناسخ له؛ لجواز أن يكون تأخير الخاص لمصلحة موجبة للعذر، فالعمومات الواردة في كلام أحد أئمتنا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ورود الخاص في كلام إمام لاحق، لا يدلّ على النسخ؛ لأنه فوّض إليهم البيان كما فوّض إليهم الدين؛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عَطَاؤُنَا فَامْنُنْ أَوْ أَمْسِكْ بِغَيْرِ حِسَاب</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بيّناه من تخصيص العام بالخاص إنّما هو في العام والخاص المطلق، كما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قيدنا موضوع البحث به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وأما إذا كان بينهما عموم وخصوص من وجه فلا يجري في أحدهما تخصيص من قبل نفس الدليلين؛ لأنّ نسبة التخصيص إلى كلّ منهما على حدّ سواء، فتخصيص أحدهما بالآخر دون الآخر به ترجيح بلا مرجّح، فلا بد من تخصيص أحدهما بعينه بالآخر من دليل خارج</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9000_94080"/>
      <w:bookmarkStart w:id="245" w:name="pg9000_94080"/>
      <w:bookmarkEnd w:id="245"/>
    </w:p>
    <w:p>
      <w:pPr>
        <w:pStyle w:val="Heading2"/>
        <w:numPr>
          <w:ilvl w:val="1"/>
          <w:numId w:val="1"/>
        </w:numPr>
        <w:rPr/>
      </w:pPr>
      <w:bookmarkStart w:id="246" w:name="pg9000_94080"/>
      <w:bookmarkStart w:id="247" w:name="__RefHeading___Toc1859720_2870459653"/>
      <w:bookmarkStart w:id="248" w:name="_Toc85"/>
      <w:bookmarkEnd w:id="246"/>
      <w:bookmarkEnd w:id="247"/>
      <w:r>
        <w:rPr>
          <w:rtl w:val="true"/>
        </w:rPr>
        <w:t>المقصد الخامس</w:t>
      </w:r>
      <w:r>
        <w:rPr>
          <w:rtl w:val="true"/>
        </w:rPr>
        <w:t xml:space="preserve">: </w:t>
      </w:r>
      <w:r>
        <w:rPr>
          <w:rtl w:val="true"/>
        </w:rPr>
        <w:t>في المطلق والمقيد</w:t>
      </w:r>
      <w:bookmarkEnd w:id="248"/>
    </w:p>
    <w:p>
      <w:pPr>
        <w:pStyle w:val="BookText"/>
        <w:rPr/>
      </w:pPr>
      <w:r>
        <w:rPr>
          <w:rFonts w:ascii="Amiri" w:hAnsi="Amiri" w:eastAsia="Amiri" w:cs="Amiri"/>
          <w:color w:val="111111"/>
          <w:sz w:val="28"/>
          <w:sz w:val="28"/>
          <w:szCs w:val="28"/>
          <w:rtl w:val="true"/>
          <w:lang w:bidi="ar-SA"/>
        </w:rPr>
        <w:t xml:space="preserve">اعلم أنّ الإطلاق والتقييد جهتان تلحقان المفردات في مرحلة التركيب، ولا يعقل اختلاف حال وضع اللفظ باختلافهما؛ فإنّ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راجعاً إلى الموضوع أو المحمول أو النسبة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عدم تقييد القضيّة بما يوجب تضييق دائرة الموضوع أو المحمول أو النسبة الحكميّة، كما أنّ تقييدها بأحد الوجوه إنما يستفاد من ضم قيد إلى أحد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الموضوع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جعل الرقبة موضوعاً في القضيّة؛ فإنّ كون شيء موضوعاً للحكم يقتضي أن لا يكون لشيء آخر دخل فيه، فقولك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اعتبار جهة في الموضوع كان منفياً بما يقتضيه كون الرقبة موضوعاً في القضيّة، لا أن النفي كان مستفاداً من لفظ الرقبة بمقتضى الوضع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وضع اللفظ للدلالة على عدم مدخليّة شيء في تعلّق الحكم بمعناه مستحيل؛ لاستلزامه 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بالنسبة إلى المحمول أو النسبة الحكمية؛ فإنّ مقتضى الاقتصار على طبيعة العتق وعدم تقييده وتحديده بمرّة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المحمول وهو العتق، كما أنّ مقتضى عدم تقييد النسبة الحكمية بوقوع ظهار أو إفطار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وعدم اشتراطه بشي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التحديد في كلّ من الأطراف موجباً للتجوّز واستعمال اللفظ في غير ما وضع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بيّناه تبيّن أنه لا مجال للإطلاق أو التقييد في الموضوع أو المحمول مع قطع النظر عن الحكم؛ لأنّ كلاً منهما إنما يتطرّق في طرفي القضية من حيث أنهما طرفان لها، لا في ذاتهما ، كما هو ظاهر ، فالإطلاق والتقييد إنما يكونان كيفيتين للحكم ويتصف الموضوع أو المحمول بأحدهما تبعاً له، فتبين أن أخذ الإطلاق في وضع اللفظ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زعمه بعض من جواز أخذ الإطلاق في وضع اللفظ وأن يكون مدلول الرقبة وضعاً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رقبة كانت</w:t>
      </w:r>
      <w:r>
        <w:rPr>
          <w:rStyle w:val="FootnoteAnchor"/>
          <w:rtl w:val="true"/>
        </w:rPr>
        <w:footnoteReference w:id="418"/>
      </w:r>
      <w:r>
        <w:rPr>
          <w:rFonts w:ascii="Amiri" w:hAnsi="Amiri" w:eastAsia="Amiri" w:cs="Amiri"/>
          <w:color w:val="111111"/>
          <w:sz w:val="28"/>
          <w:sz w:val="28"/>
          <w:szCs w:val="28"/>
          <w:rtl w:val="true"/>
          <w:lang w:bidi="ar-SA"/>
        </w:rPr>
        <w:t>، باطل؛ لأنه إن أُريد من هذا الإطلاق والسريان المأخوذ في الوضع سريان الحكم في الأفراد، فقد عرفت</w:t>
      </w:r>
      <w:r>
        <w:rPr>
          <w:rStyle w:val="FootnoteAnchor"/>
          <w:rtl w:val="true"/>
        </w:rPr>
        <w:footnoteReference w:id="419"/>
      </w:r>
      <w:r>
        <w:rPr>
          <w:rFonts w:ascii="Amiri" w:hAnsi="Amiri" w:eastAsia="Amiri" w:cs="Amiri"/>
          <w:color w:val="111111"/>
          <w:sz w:val="28"/>
          <w:sz w:val="28"/>
          <w:szCs w:val="28"/>
          <w:rtl w:val="true"/>
          <w:lang w:bidi="ar-SA"/>
        </w:rPr>
        <w:t>استحالة أخذه في وضع اللفظ المفهومة؛ لأنه في مرتبة 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سريان الطبيعة في أفرادها فهو متحقق على كل حال، سواء كان مطلقاً أو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 المطلق كما يصدق على النكرة يصدق على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باللام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علم الجنس؛ لأنّ صدق الوصف على اللفظ إنما هو باعتبار إطلاق الحكم المتعلّق بمفهومه، وكما يتطرّق إطلاق الحكم في النكرة يتطرّق في اسم الجنس وعلمه، فلا مجال لتخصيص بعضها بوصف الإطلاق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والعموم متحدان في الحقيقة مختلفان في الكيفية؛ فإنّ الإطلاق عموم بدلي، كما أنّ العموم إطلاق شمولي، وكلّ منهما متعلّق بالحكم حقيقةً ولا يعقل أخذه في وضع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بينهما بأخذ أحدهما في وضع اللفظ دون الآخر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أنّ التفصيل بين التقييد بالمنفصل والمتصل في جعل الأوّل موجباً للتجوّز دون الثاني غير معقول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الإطلاق مع العموم في البدليّة والشمول لا يوجب انصراف المطلق عن الأفراد النادرة الوجود بحيث لا يسري الحكم إليها، كما نسب إلى بعض</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لا يسري حكم المطلق بل العام أيضاً إلى ما يكون اشتماله على الطبيعة ضعيفاً بحيث لا يصدق عليه عند الإطلاق، كالحشار والديدان؛ فإنّه لا يشملهما حكم خيار الحيوان وحكم ما لا يؤكل لحمه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والتحديد كما يتصوّر بالنسبة إلى الموضوع كذلك يتصوّر بالنسبة إلى المحمول والنسبة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فالتقييد بالنسبة إلى الموضوع فيما لم يثبت الحكم للشيء إلا وهو على حال أو وصف مخصوص،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الفقيه يجوز تقليده والبكر الفقير يستحق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بالنسبة إلى المحمول ففي ما إذا لم يثبت لموضوعه إلا على حال أو وصف مخصوص،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شديداً أو تأديباً أو قصاصاً أو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الشدّة والتأديب والقصاص والظلم أنحاء للضرب ولا يتصوّر جعلها قيوداً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النسبة الحكميّة ففي ما إذا توقف ثبوت الحكم لموضوعه على شرط لم يكن واسطة في العروض كثبوت الحرارة للماء بواسطة النار والحلاوة للتمر بواسطة الشمس ولا يتصوّر جعل النار والشمس قيداً للموضوع أو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لك ذلك فاعلم أنّ لو شكّ في إطلاق الحكم وعدمه من جهة الشكّ في أنّ الشارع في مقام بيان تمام ما له دخل في الحكم أم لا؟ فإن كان الشكّ في قيد الموضوع فالأصل فيه البيان؛ لأن مقتضى الوضع والحمل عدم مدخلية شيء آخر في موضوع حكمه، وإلّا لذكره، فالأخذ بالإطلاق حينئذٍ أخذ بالمقتضي وإلغاء للمانع المحتمل وهو كونه في مقام بيان بعض جهات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الشك في قيد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قيود الحكم فإن كان الشكّ في شرط للحكم فلا سبيل إلى الحكم بالإطلاق إلا بالسكوت بعد إحراز كونه في مقام بيان شروط الحكم، فمع الشكّ في كونه في مقام بيان الشروط فالأصل الإهمال لا الإطلاق؛ لعدم العلم بتحقق المقتضي 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يعتد باحتمال المنع أو المانع مطلقاً بعد إحراز المقتضي والموضوع والشرط، فيحكم بالإطلاق حينئذ؛ اعتماداً على المقتضي المعلوم وإلغاء للمانع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بيّناه تبيّن أنّ ما ذكره شيخنا العلامة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رجوع جميع القيود إلى الموضوع في القضايا العقليّة</w:t>
      </w:r>
      <w:r>
        <w:rPr>
          <w:rStyle w:val="FootnoteAnchor"/>
          <w:rtl w:val="true"/>
        </w:rPr>
        <w:footnoteReference w:id="421"/>
      </w:r>
      <w:r>
        <w:rPr>
          <w:rFonts w:ascii="Amiri" w:hAnsi="Amiri" w:eastAsia="Amiri" w:cs="Amiri"/>
          <w:color w:val="111111"/>
          <w:sz w:val="28"/>
          <w:sz w:val="28"/>
          <w:szCs w:val="28"/>
          <w:rtl w:val="true"/>
          <w:lang w:bidi="ar-SA"/>
        </w:rPr>
        <w:t>، في غير محله؛ إذ لا فرق بين القضايا العقلية وغيرها في تصوّر رجوع القيد إلى الموضوع أو المحمول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الأُمور المعتبرة في اتصاف الموضوع بالحكم من وجود المقتضي والشرط وعدم المانع من قيود الموضوع؟ 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أريد بالقضايا العقليّة القضايا الواقعة التي يكون الحكم فيها ثابتاً لموضوعاتها في نفس الأمر مع قطع النظر عن 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منها القضايا الذهنية التي يكون الحكم فيها عبارة عن التصديق والإدراك، ففيه أوّلاً أنّ حكم العقل بمعنى التصديق والإدراك في جميع القضايا موقوف على إحراز جميعالقيود المعتبرة في القضيّة سواء كانت عقليّة أو شرعيّة، فلا وجه للتفصيل بين القضايا العقليّة والشرعيّة حينئذٍ أيضاً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 موضوع الحكم العقلي بهذا المعنى عبارة عن نفس القضية لا الموضوع المقابل للمحمول، ضرورة أنّ التصديق إنّما يتعلّق بالإسناد المتعلّق بطرفيه لا بالموضوع المقابل للمحمول فلا وجه للقول برجوع جميع القيود في القضايا العقليّة إلى الموضوع لا المحمول</w:t>
      </w:r>
      <w:r>
        <w:rPr>
          <w:rFonts w:eastAsia="Amiri" w:cs="Amiri" w:ascii="Amiri" w:hAnsi="Amiri"/>
          <w:color w:val="111111"/>
          <w:sz w:val="28"/>
          <w:szCs w:val="28"/>
          <w:rtl w:val="true"/>
          <w:lang w:bidi="ar-SA"/>
        </w:rPr>
        <w:t xml:space="preserve">. </w:t>
      </w:r>
      <w:bookmarkStart w:id="249" w:name="pg9000_94084"/>
    </w:p>
    <w:p>
      <w:pPr>
        <w:pStyle w:val="Heading2"/>
        <w:numPr>
          <w:ilvl w:val="1"/>
          <w:numId w:val="1"/>
        </w:numPr>
        <w:rPr/>
      </w:pPr>
      <w:bookmarkStart w:id="250" w:name="__RefHeading___Toc1859722_2870459653"/>
      <w:bookmarkStart w:id="251" w:name="_Toc86"/>
      <w:bookmarkEnd w:id="249"/>
      <w:bookmarkEnd w:id="250"/>
      <w:r>
        <w:rPr>
          <w:rtl w:val="true"/>
        </w:rPr>
        <w:t>المصادر</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ابن حزم الأندلسي علي أحمد، تحقيق أحمد محمد بن شاكر، دار الآفاق الجديدة، بيروت، 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الآمدي علي بن أبي علي الثعلبي، تحقيق عبدالرزاق عفيفي، المكتب الإسلامي، بيروت، 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الأربعة، صدرالمتألهين محمّد بن إبراهيم، دار إحياء التراث، بيروت، الطبعة الثالثة،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أو كشف الأستار في شرح حديث أبي الأسود الدؤلي، البهبهاني السيد عليّ الموسوي، تحقيق محمد حسين أحمدي الشاهرودي، دارالعلم آية الله البهبهاني،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الزركلي خيرالدین، دارالعلم للملايين، بیروت، الطبعة الخامسة،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الشيخ الصدوق محمّد بن عليّ، انتشارات جامعه مدرّسين،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الشيخ الطوسي محمّد بن حسن،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الكفاية، الحجّتي الشيخ بهاء الدين، تقريرات البروجردي السيد حسين، انتشارات انصاريان، قم،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تهذيب المنطق، المولى عبدالله بن شهاب الدين الحسين اليزدي، مؤسسة النشر الإسلامي، قم،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ابن جنّي أبو الفتح عثمان بن جنّي، الهيئة المصرية العامة للكتاب، الطبعة الرابعة، بلا 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الصدوق محمد بن علي، تحقيق علي أكبر الغفاري، مؤسسة النشر الإسلامي، قم، الطبعة السابعة،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الشهيد الأوّل محمّد بن مكي العاملي، دفتر انتشارات اسلامى،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أصول الشريعة السيّد المرتضى علم الهدى، انتشارات دانشگاه تهران، الطبعة الثالثة،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ابن أدريس الحلّي محمد بن منصور، انتشارات ،اسلامى،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المطوّل، التفتازاني سعد الدين مسعود بن عُمر ، دار الكوخ للطباعة والنشر، الطبعة الأُولى، أُفست،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في الأصول، الشيخ الطوسي محمد بن حسن، چاپخانه ستاره،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اليزدي السيّد محمّد كاظم بن عبد العظيم الطباطبائي، مؤسسة الأعلمي للمطبوعات، الطبعة الثانية،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محمد حسين الإصفهاني، دار إحياء العلوم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الشيخ المفيد محمد بن محمد بن نعمان،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العلية المشتملة للقواعد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البهبهاني السيد علي الموسوي، مكتبة دار العلم في أهواز، المطبعة العلمية، قم،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الكليني، أبو جعفر محمد بن يعقوب، دارالكتاب الإسلامية، الطبعة الرابعة، تهران،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في علم الأصول، فخرالدين الرازي محمّد بن عمر بن الحسين، تحقيق طه جابر فياض العلواني، مؤسسة الرسالة، 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في علم الأصول، الغزالي أبو حامد محمد بن محمد، تحقيق محمد عبدالسلام عبدالشافي، دار الكتب العلمية، بيروت،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 أبو الحسين محمد بن علي البصري المعتزلي، دارالمكتب العلمية، بيروت، الطبعة 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إبراهيم مصطفى وأحمد حسن الزيات وحامد عبدالقادر ومحمد على النجار، دار الدعوة إستانبول، الطبعة الثانية،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ابن شهر آشوب المازندراني، مؤسسة انتشارات علامة،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المنخول، الغزالي أبو حامد محمد بن محمد، تحقيق محمد حسن هيتو، دارالفکر المعاصر، بیروت، دارالفکر، دمشق، الطبعة الثالثة،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الوافية في الأصول، الفاضل التوني عبدالله بن محمد مجمع الفكر الإسلامي، الطبعة الثالثة،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السيد الخوئي أبو القاسم، تقريرات أبحاث الميرزا محمد حسين الغروي النائيني،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الأولى، رجب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النحو، البهبهاني السيد علي الموسوي، تحقيق محمد حسين أحمدي الشاهرودي، دارالعلم آية الله البهبهاني،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المجتهدين، النراقي محمد مهدي، مركز العلوم والثقافة الإسلامية ومركز التراث الإسلامي، مؤسسة بوستان كتاب، قم،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الوسائل، الموسوي التبريزي، انتشارات كتبي نجفي،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المجلسي محمّد باقر بن محمّد تقي، 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الأفكار، الميرزا محمد علي الرشتي،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الشيرازي، ملا علي روزدري،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الشهيد الثاني زين الدين علي بن أحمد، دفتر تبلیغات 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المحقق الكركي علي بن حسين العاملي،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النجفي صاحب الجواهر محمّد بن حسن، تحقیق شیخ عباس قوچاني، دار إحياء التراث العربي، بيروت، الطبعة السابعة بلا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الأصول، الحكيم الطباطبائي السيد محسن، كتاب فروشی بصیرتی،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على الكفاية، المشكيني أبو الحسن، انتشارات لقمان،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رالفوائد، الآخوند الخراساني محمد کاظم، وزارت فرهنگ و ارشاد اسلامی، الطبعة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الحائري الشيخ عبدالکریم، چاپخانه مهر،قم، بلا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الأصول، الشيخ البهائي محمّد بن حسين، تحقيق سيد علي جبار الباغي الماسولة، انتشارات دار البشير، قم، الطبعة الأولى،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رسائل، المحقق الدواني جلال الدين محمد بن سعد الدين، تحقيق سيد احمد تویسرکانی، میراث مکتوب تهران، الطبعة الأولى،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والتنبيهات، فخر الدين الرازي محمد بن عمر، تحقيق عليرضا نجف زاده، انجمن آثار و مفاخر فرهنگی، تهران، الطبعة الأولى،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الأشموني على الألفية، الأشموني علي بن محمد، دارالكتب العلمية، بيروت،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الحلّي حسن بن يوسف، مؤسسة نشر الإسلامي، قم،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قطب الدين الرازي محمد بن محمد، انتشارات بيدار، قم، الطبعة الثانية،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العضدي على مختصر ابن الحاجب، عضد الدين عبدالرحمن بن أحمد الإيجي، المطبعة الكبرى الأميرية، مصر ، الطبعة الأولى،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الكافية، الرضي الأسترآبادي محمد بن الحسن، المكتبة المرتضوية للإحياء الآثار الجعفرية، قم، بلا تاريخ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المطالع في المنطق، قطب الدين الرازي محمّد بن محمد، انتشارات کتبی نجفی، قم بلا 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شذور الذهب في معرفة كلام العرب، ابن هشام عبدالله بن يوسف، تحقيق عبدالغني الدقر، الشركة المتحدة للتوزيع، سوريا، 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الأفراح، السبكي بهاء الدين، تحقيق عبدالحميد هنداوي، المكتبة العصرية، بيروت،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،اللآلي ابن أبي جمهور الأحسائي، انتشارات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الشيخ الصدوق محمد بن علي،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المسئول السيّد محمّد حسين الشهرستاني، تقريرات الفاضل الأردكاني،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بلا تاريخ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السيد حمزة بن علي بن زهرة الحلبي، تحقيق إبراهيم البهادري، مؤسسة الإمام الصادق، قم،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 الشيخ المرتضى الأنصاري، تحقيق عبدالله النوراني، مؤسسه نشر اسلامى التابعة لجماعة المدرّسين بقم المشرّفة، قم، بلا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الآخوند الخراساني محمد كاظم، وزارت فرهنگ و ارشاد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الأصول، النائيني محمد حسین، دفتر انتشارات 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قوانين الأصول، الميرزا القمي أبو القاسم بن محمد حسن، کتابفروشی علمیه اسلامیه، الطبعة الثانية،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الفنون والعلوم، محمّد علي التهانوي، مكتبة لبنان ناشرون، بيروت، الطبعة الأولى،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الغطاء عن مهمّات الشريعة الغرّاء، كاشف الغطاء جعفر بن خضر، دفتر تبلیغات اسلامی حوزه علمیه قم، الطبعة الأولى، قم، بلا تاريخ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العلّامة الحلّي حسن بن يوسف، تحقيق الزنجاني السيد إبراهيم، منشورات شكوري، قم، الطبعة الرابعة،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الآخوند الخراساني محمد كاظم، مؤسسة نشر اسلامى، الطبعة الخامسة،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محمّد بن مکرم، دار مصادر ،بيروت،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الطبرسي الفضل بن الحسن أبو علي، انتشارات ناصر خسرو،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في الأصول، الفياض محمّد إسحاق، تقريرات السيد الخوئي أبوالقاسم، انتشارات انصاريان ،قم، الطبعة الرابعة،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الحلّي حسن بن يوسف، دفتر انتشارات إسلامي، قم،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المحدّث النوري ميرزا حسين،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الهلام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الحكيم الطباطبائي السيد محسن، مؤسسة دارالتفسير، الطبعة الأولى،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 الخوانساري آقاحسین بن محمد بن حسین، تحقیق سید جواد ابن الرضا، بلا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 الميرزا أبو القاسم بن محمّد علي النوري، تقريرات الشيخ الأنصاري،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بلا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 المحقق الحلّي جعفر بن حسن،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الحسن بن زين الدين العاملي، مكتبة آية الله العظمى المرعشي النجفي، قم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الأصول، السيد المجاهد الطباطبائي محمد بن علي،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السكاكي يوسف بن أبي بكر الخوارزمي، تحقيق نعيم زرزور، دارالکتب ،العلميّة، بيروت، الطبعة الثانية،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الأصول، الشيخ ضياء الدين العراقي، مجمع الفكر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الوصول، والأمل في علمي الأصول والجدل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الحاجب عثمان بن عمرو، دار الكتب العلمية، بيروت، بلا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الوصول، العلّامة الحلّي يوسف بن الحسن، تحقيق إبراهيم البهادري،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السيّد الرضي محمد بن حسين الموسوي، نسخة الصبحي صالح، نشر دار الهجرة، قم، بلا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الحرّ العاملي محمّد بن حسن،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في شرح معالم الدين، صاحب الحاشية، محمّد تقي الإصفهاني، مؤسسة آل البيت لإحياء التراث، قم، بلا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أسماء المؤلّفين وآثار المصنّفين، إسماعيل باشا البغدادي، طبع بعناية وكالة المعارف الجليلة في مطبعتها البهية، استانبول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افست دارإحياء التراث العربي، بيروت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همع الهوامع في شرح جمع الجوامع، السيوطي جلال الدين عبدالرحمن بن أبي بكر، تحقيق عبدالحميد هنداوي، المكتبة التوفيقية، مصر، بلا تاريخ</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 آثار آیت الله بهبهاني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الدواني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بإشراف رضا الأستادي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السبحاني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شمس الدين محمد بن أشرف الحسيني السمرقندي، المتوفى بحدود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قسطاس الميزان، كتاب نفيس في المنطق، طبع في كلكتة سنة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شرح عليه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اكتفاء القنوع بما هو 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أيضاً في هداية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الشريف على 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الشريف على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الأساطين الأعلام، في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المتقدمين من الحكماء، كما في كشاف اصطلاحات الفنون والعلوم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الشريف على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ممّا اشتهر في الألسنة، كما في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المتقدمين من الحكماء كما في كشاف اصطلاحات الفون والعلوم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أريد منها دليل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شرح المطالع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وفعل وحرف جاء لمعنى، فالاسم ما أنبأ عن المسمّى والفعل ما أنبأ عن حركة المسمّى والحرف ما أجود معنى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أو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حاشية السيد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الضمائر على الصطلاح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المولى عبدالله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أراد كون المتكلّم صادقاً عند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المشكيني على كفاية الأصول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اللفظ مشتركاً بين الكلّ ،وجزئه والملزوم ولازمه؛ لأنّ اللفظ إذا دلّ على الجزء واللازم صدق عليه أيضاً دلالة اللفظ على تمام ما 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حاشية السيد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الفصول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المحكي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عبّاد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الأصول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ناهيك من رجل كافيك عن تطلب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الْبَيَانَ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 ما أنبأ عن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الشرح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الشرح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التفتازاني على شرح العضدي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تفصيله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العام في الخاص لا أصل له أصلاً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هداية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المثبت لا يكون حجّةً أبداً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تقريرات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هكذا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إن أريد من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الوحيد البهبهاني إلى القوم، كما في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آخر على أنه لا مجال للنزاع في أن ألفاظ العبادات أسامٍ للصحيحة أو الأعمّ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للرضي الأسترآبادي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فالاسم ما أنبأ عن المسمّى والفعل ما أنبأ عن حركة المسمّى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للرضي الأسترآبادي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احتج به في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تسمية الفعل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 في الصفحة السابقة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باب نادرٌ جامع في الإمام وصفاته، ضمن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طبقات الأنبياء والرسل والأئمة،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المعتزلة في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 في 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عندنا معنى قائم بالنفس على حقيقة وخاصيّة يتميّز بها عمّا عداه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المعاني والأحوال والصفات الزائدة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الشهيد الثاني في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تفصيل كلامه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وعبّر عنه هناك ببعض الأفاضل من المعاصرين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في نهاية الوصول </w:t>
      </w:r>
      <w:r>
        <w:rPr>
          <w:rFonts w:eastAsia="IRNazanin" w:cs="IRNazanin"/>
          <w:b w:val="false"/>
          <w:bCs w:val="false"/>
          <w:i w:val="false"/>
          <w:iCs w:val="false"/>
          <w:color w:val="333333"/>
          <w:sz w:val="20"/>
          <w:szCs w:val="20"/>
        </w:rPr>
        <w:t>1:372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تعريفهم إيّاه بالقول المقتضي طاعة المأمور بفعل المأمور به كما مرّ في الصفحة السابقة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المجتهدین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حقيقة في القول المخصوص أي الدال بالوضع على طلب الفعل استعلاء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في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تفصيل كلامهم في الكلام النفسي في الصفحة </w:t>
      </w:r>
      <w:r>
        <w:rPr>
          <w:rFonts w:eastAsia="IRNazanin" w:cs="IRNazanin"/>
          <w:b w:val="false"/>
          <w:bCs w:val="false"/>
          <w:i w:val="false"/>
          <w:iCs w:val="false"/>
          <w:color w:val="333333"/>
          <w:sz w:val="20"/>
          <w:szCs w:val="20"/>
        </w:rPr>
        <w:t>74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المختصر ابن الحاجب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الصفحة السابقة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الإشارة إليه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 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،باب السعادة والشقاوة وباب نفي الجبر والتفويض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الجبر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الجبر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الجبر والتفويض،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القاضي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خيرة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هكذا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ونسبه إلى المشهور في 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فَلْيَحْذَرِ الَّذِينَ يَخَافُونَ عَنْ أَمْرِهِ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مَنَعَكَ أَلَّا تَسْجُدَ إِذْ أَمَرْتُكَ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قِيلَ لَهُمُ ارْكَعُوا لَا يَرْكَعُونَ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أُمرتم بأمر فأتوا منه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ومطلق الأمر لا يقتضي وجوباً ولا ندباً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للأمر صيغة تخصه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الحلبي في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السكاكي في 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الأفراح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الإشارة إليه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تقريرات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نزاعهم في الدلالة الوضعيّة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وَسَارِعُوا إِلَى مَغْفِرَةٍ مِنْ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فَاسْتَبِقُوا الْخَيْرَاتَ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هكذا في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به ابن حزم في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الحاجب في 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تقريرات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الشيء باسم ما يؤول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يشكل الأمر في بعض الأصول العملية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أبواب من يصح من الصوم،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عن قوم في 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مختار ابن الحاجب في 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غاية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زيداً بصوم غد وهو يعلم موته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الاثنين، 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العلّامة في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الباب </w:t>
      </w:r>
      <w:r>
        <w:rPr>
          <w:rFonts w:eastAsia="IRNazanin" w:cs="IRNazanin"/>
          <w:b w:val="false"/>
          <w:bCs w:val="false"/>
          <w:i w:val="false"/>
          <w:iCs w:val="false"/>
          <w:color w:val="333333"/>
          <w:sz w:val="20"/>
          <w:szCs w:val="20"/>
        </w:rPr>
        <w:t>25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الأذان والإقامة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شرح الشمسية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هكذا عن النائيني في 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به في المحاضرات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الإحكام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غایة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هكذا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الكلية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الشيخ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سائمة الغنم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عدّة أسطر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كذلك عن بعضهم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الجبن،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غاية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الدقاق وبعض الحنابلة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قوم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هكذا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هكذا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الآتية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كثير من أصحاب الشافعي وأصحاب أبي حنيفة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قوم من الفقهاء في 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بعضهم في 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في الاستثناء إشكال مشهور وهو أن مدلوله مناقض لمدلول الجملة التي قبله حيث إنّها تقتضي دخول المشتثنى في الحكم المذكور وه ويقتضي خروجه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هكذا في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ويقرب منه ما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من انعقاد نذر خمس ركعات فصاعداً بتسليمة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جمع من المحققين في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الشريفة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والمطلقات يتربصن بأنفسهنّ ثلاثة قروءٍ ولا يحل لهنَّ أن يكتُمنَ ما خلق الله في أَرحامهنَّ إِن كُنَّ يُؤْمِنَّ بالله واليوم الآخِرِ وبعولَتُهنَّ أحقُّ بردِّهِنَّ في ذلك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بالمضمون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شك في صلاته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الحديث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إليهما في 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العدّة في الأُصول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قليل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قبل سلطان العلماء في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54408</Words>
  <Characters>243956</Characters>
  <CharactersWithSpaces>296721</CharactersWithSpaces>
  <Paragraphs>2268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2026-08-20T08:01:42Z</dcterms:created>
  <dc:creator>ghaemiyeh.com</dc:creator>
  <dc:description/>
  <dc:language>en-US</dc:language>
  <cp:lastModifiedBy/>
  <dcterms:modified xsi:type="dcterms:W3CDTF">2026-08-20T11:31:49Z</dcterms:modified>
  <cp:revision>1</cp:revision>
  <dc:subject/>
  <dc:title>مقالات حول مباحث الألفاظ</dc:title>
</cp:coreProperties>
</file>

<file path=docProps/custom.xml><?xml version="1.0" encoding="utf-8"?>
<Properties xmlns="http://schemas.openxmlformats.org/officeDocument/2006/custom-properties" xmlns:vt="http://schemas.openxmlformats.org/officeDocument/2006/docPropsVTypes"/>
</file>