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الکلمة الطیبة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14674_2870459653">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1814676_2870459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814678_2870459653">
            <w:r>
              <w:rPr>
                <w:webHidden/>
                <w:rStyle w:val="IndexLink"/>
                <w:rtl w:val="true"/>
              </w:rPr>
              <w:t>المقدّمة</w:t>
            </w:r>
            <w:r>
              <w:rPr>
                <w:rStyle w:val="IndexLink"/>
                <w:rtl w:val="true"/>
              </w:rPr>
              <w:tab/>
            </w:r>
            <w:r>
              <w:rPr>
                <w:rStyle w:val="IndexLink"/>
              </w:rPr>
              <w:t>13</w:t>
            </w:r>
          </w:hyperlink>
        </w:p>
        <w:p>
          <w:pPr>
            <w:pStyle w:val="Contents2"/>
            <w:tabs>
              <w:tab w:val="clear" w:pos="8743"/>
              <w:tab w:val="right" w:pos="9026" w:leader="dot"/>
            </w:tabs>
            <w:rPr/>
          </w:pPr>
          <w:hyperlink w:anchor="__RefHeading___Toc1814680_2870459653">
            <w:r>
              <w:rPr>
                <w:webHidden/>
                <w:rStyle w:val="IndexLink"/>
                <w:rtl w:val="true"/>
              </w:rPr>
              <w:t xml:space="preserve">الشّيخ علي البهبهاني </w:t>
            </w:r>
            <w:r>
              <w:rPr>
                <w:rStyle w:val="IndexLink"/>
                <w:rtl w:val="true"/>
              </w:rPr>
              <w:t>(</w:t>
            </w:r>
            <w:r>
              <w:rPr>
                <w:rStyle w:val="IndexLink"/>
                <w:rtl w:val="true"/>
              </w:rPr>
              <w:t>الأرگاني</w:t>
            </w:r>
            <w:r>
              <w:rPr>
                <w:rStyle w:val="IndexLink"/>
                <w:rtl w:val="true"/>
              </w:rPr>
              <w:t>)</w:t>
              <w:tab/>
            </w:r>
            <w:r>
              <w:rPr>
                <w:rStyle w:val="IndexLink"/>
              </w:rPr>
              <w:t>14</w:t>
            </w:r>
          </w:hyperlink>
        </w:p>
        <w:p>
          <w:pPr>
            <w:pStyle w:val="Contents3"/>
            <w:tabs>
              <w:tab w:val="clear" w:pos="8459"/>
              <w:tab w:val="right" w:pos="9026" w:leader="dot"/>
            </w:tabs>
            <w:rPr/>
          </w:pPr>
          <w:hyperlink w:anchor="__RefHeading___Toc1814682_2870459653">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1814684_2870459653">
            <w:r>
              <w:rPr>
                <w:webHidden/>
                <w:rStyle w:val="IndexLink"/>
                <w:rtl w:val="true"/>
              </w:rPr>
              <w:t>أساتذته</w:t>
            </w:r>
            <w:r>
              <w:rPr>
                <w:rStyle w:val="IndexLink"/>
                <w:rtl w:val="true"/>
              </w:rPr>
              <w:t>:</w:t>
              <w:tab/>
            </w:r>
            <w:r>
              <w:rPr>
                <w:rStyle w:val="IndexLink"/>
              </w:rPr>
              <w:t>16</w:t>
            </w:r>
          </w:hyperlink>
        </w:p>
        <w:p>
          <w:pPr>
            <w:pStyle w:val="Contents3"/>
            <w:tabs>
              <w:tab w:val="clear" w:pos="8459"/>
              <w:tab w:val="right" w:pos="9026" w:leader="dot"/>
            </w:tabs>
            <w:rPr/>
          </w:pPr>
          <w:hyperlink w:anchor="__RefHeading___Toc1814686_2870459653">
            <w:r>
              <w:rPr>
                <w:webHidden/>
                <w:rStyle w:val="IndexLink"/>
                <w:rtl w:val="true"/>
              </w:rPr>
              <w:t>المجازون منه</w:t>
            </w:r>
            <w:r>
              <w:rPr>
                <w:rStyle w:val="IndexLink"/>
                <w:rtl w:val="true"/>
              </w:rPr>
              <w:t>:</w:t>
              <w:tab/>
            </w:r>
            <w:r>
              <w:rPr>
                <w:rStyle w:val="IndexLink"/>
              </w:rPr>
              <w:t>17</w:t>
            </w:r>
          </w:hyperlink>
        </w:p>
        <w:p>
          <w:pPr>
            <w:pStyle w:val="Contents3"/>
            <w:tabs>
              <w:tab w:val="clear" w:pos="8459"/>
              <w:tab w:val="right" w:pos="9026" w:leader="dot"/>
            </w:tabs>
            <w:rPr/>
          </w:pPr>
          <w:hyperlink w:anchor="__RefHeading___Toc1814688_2870459653">
            <w:r>
              <w:rPr>
                <w:webHidden/>
                <w:rStyle w:val="IndexLink"/>
                <w:rtl w:val="true"/>
              </w:rPr>
              <w:t>تأليفاته</w:t>
            </w:r>
            <w:r>
              <w:rPr>
                <w:rStyle w:val="IndexLink"/>
                <w:rtl w:val="true"/>
              </w:rPr>
              <w:t>:</w:t>
              <w:tab/>
            </w:r>
            <w:r>
              <w:rPr>
                <w:rStyle w:val="IndexLink"/>
              </w:rPr>
              <w:t>18</w:t>
            </w:r>
          </w:hyperlink>
        </w:p>
        <w:p>
          <w:pPr>
            <w:pStyle w:val="Contents2"/>
            <w:tabs>
              <w:tab w:val="clear" w:pos="8743"/>
              <w:tab w:val="right" w:pos="9026" w:leader="dot"/>
            </w:tabs>
            <w:rPr/>
          </w:pPr>
          <w:hyperlink w:anchor="__RefHeading___Toc1814690_2870459653">
            <w:r>
              <w:rPr>
                <w:webHidden/>
                <w:rStyle w:val="IndexLink"/>
                <w:rtl w:val="true"/>
              </w:rPr>
              <w:t>السيّد علي البهبهاني</w:t>
            </w:r>
            <w:r>
              <w:rPr>
                <w:rStyle w:val="IndexLink"/>
                <w:rtl w:val="true"/>
              </w:rPr>
              <w:tab/>
            </w:r>
            <w:r>
              <w:rPr>
                <w:rStyle w:val="IndexLink"/>
              </w:rPr>
              <w:t>19</w:t>
            </w:r>
          </w:hyperlink>
        </w:p>
        <w:p>
          <w:pPr>
            <w:pStyle w:val="Contents3"/>
            <w:tabs>
              <w:tab w:val="clear" w:pos="8459"/>
              <w:tab w:val="right" w:pos="9026" w:leader="dot"/>
            </w:tabs>
            <w:rPr/>
          </w:pPr>
          <w:hyperlink w:anchor="__RefHeading___Toc1814692_2870459653">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1814694_2870459653">
            <w:r>
              <w:rPr>
                <w:webHidden/>
                <w:rStyle w:val="IndexLink"/>
                <w:rtl w:val="true"/>
              </w:rPr>
              <w:t>مشايخه في الإجازة</w:t>
            </w:r>
            <w:r>
              <w:rPr>
                <w:rStyle w:val="IndexLink"/>
                <w:rtl w:val="true"/>
              </w:rPr>
              <w:t>:</w:t>
              <w:tab/>
            </w:r>
            <w:r>
              <w:rPr>
                <w:rStyle w:val="IndexLink"/>
              </w:rPr>
              <w:t>21</w:t>
            </w:r>
          </w:hyperlink>
        </w:p>
        <w:p>
          <w:pPr>
            <w:pStyle w:val="Contents3"/>
            <w:tabs>
              <w:tab w:val="clear" w:pos="8459"/>
              <w:tab w:val="right" w:pos="9026" w:leader="dot"/>
            </w:tabs>
            <w:rPr/>
          </w:pPr>
          <w:hyperlink w:anchor="__RefHeading___Toc1814696_2870459653">
            <w:r>
              <w:rPr>
                <w:webHidden/>
                <w:rStyle w:val="IndexLink"/>
                <w:rtl w:val="true"/>
              </w:rPr>
              <w:t>تأليفاته</w:t>
            </w:r>
            <w:r>
              <w:rPr>
                <w:rStyle w:val="IndexLink"/>
                <w:rtl w:val="true"/>
              </w:rPr>
              <w:t>:</w:t>
              <w:tab/>
            </w:r>
            <w:r>
              <w:rPr>
                <w:rStyle w:val="IndexLink"/>
              </w:rPr>
              <w:t>21</w:t>
            </w:r>
          </w:hyperlink>
        </w:p>
        <w:p>
          <w:pPr>
            <w:pStyle w:val="Contents2"/>
            <w:tabs>
              <w:tab w:val="clear" w:pos="8743"/>
              <w:tab w:val="right" w:pos="9026" w:leader="dot"/>
            </w:tabs>
            <w:rPr/>
          </w:pPr>
          <w:hyperlink w:anchor="__RefHeading___Toc1814698_2870459653">
            <w:r>
              <w:rPr>
                <w:webHidden/>
                <w:rStyle w:val="IndexLink"/>
                <w:rtl w:val="true"/>
              </w:rPr>
              <w:t>التعريف بالكتاب</w:t>
            </w:r>
            <w:r>
              <w:rPr>
                <w:rStyle w:val="IndexLink"/>
                <w:rtl w:val="true"/>
              </w:rPr>
              <w:tab/>
            </w:r>
            <w:r>
              <w:rPr>
                <w:rStyle w:val="IndexLink"/>
              </w:rPr>
              <w:t>23</w:t>
            </w:r>
          </w:hyperlink>
        </w:p>
        <w:p>
          <w:pPr>
            <w:pStyle w:val="Contents2"/>
            <w:tabs>
              <w:tab w:val="clear" w:pos="8743"/>
              <w:tab w:val="right" w:pos="9026" w:leader="dot"/>
            </w:tabs>
            <w:rPr/>
          </w:pPr>
          <w:hyperlink w:anchor="__RefHeading___Toc1814700_2870459653">
            <w:r>
              <w:rPr>
                <w:webHidden/>
                <w:rStyle w:val="IndexLink"/>
                <w:rtl w:val="true"/>
              </w:rPr>
              <w:t>عملنا في الكتاب</w:t>
            </w:r>
            <w:r>
              <w:rPr>
                <w:rStyle w:val="IndexLink"/>
                <w:rtl w:val="true"/>
              </w:rPr>
              <w:tab/>
            </w:r>
            <w:r>
              <w:rPr>
                <w:rStyle w:val="IndexLink"/>
              </w:rPr>
              <w:t>26</w:t>
            </w:r>
          </w:hyperlink>
        </w:p>
        <w:p>
          <w:pPr>
            <w:pStyle w:val="Contents2"/>
            <w:tabs>
              <w:tab w:val="clear" w:pos="8743"/>
              <w:tab w:val="right" w:pos="9026" w:leader="dot"/>
            </w:tabs>
            <w:rPr/>
          </w:pPr>
          <w:hyperlink w:anchor="__RefHeading___Toc1814702_2870459653">
            <w:r>
              <w:rPr>
                <w:webHidden/>
                <w:rStyle w:val="IndexLink"/>
                <w:rtl w:val="true"/>
              </w:rPr>
              <w:t>الملحق المصوّر</w:t>
            </w:r>
            <w:r>
              <w:rPr>
                <w:rStyle w:val="IndexLink"/>
                <w:rtl w:val="true"/>
              </w:rPr>
              <w:tab/>
            </w:r>
            <w:r>
              <w:rPr>
                <w:rStyle w:val="IndexLink"/>
              </w:rPr>
              <w:t>29</w:t>
            </w:r>
          </w:hyperlink>
        </w:p>
        <w:p>
          <w:pPr>
            <w:pStyle w:val="Contents2"/>
            <w:tabs>
              <w:tab w:val="clear" w:pos="8743"/>
              <w:tab w:val="right" w:pos="9026" w:leader="dot"/>
            </w:tabs>
            <w:rPr/>
          </w:pPr>
          <w:hyperlink w:anchor="__RefHeading___Toc1814704_2870459653">
            <w:r>
              <w:rPr>
                <w:webHidden/>
                <w:rStyle w:val="IndexLink"/>
                <w:rtl w:val="true"/>
              </w:rPr>
              <w:t>كتاب الطهارة</w:t>
            </w:r>
            <w:r>
              <w:rPr>
                <w:rStyle w:val="IndexLink"/>
                <w:rtl w:val="true"/>
              </w:rPr>
              <w:tab/>
            </w:r>
            <w:r>
              <w:rPr>
                <w:rStyle w:val="IndexLink"/>
              </w:rPr>
              <w:t>47</w:t>
            </w:r>
          </w:hyperlink>
        </w:p>
        <w:p>
          <w:pPr>
            <w:pStyle w:val="Contents3"/>
            <w:tabs>
              <w:tab w:val="clear" w:pos="8459"/>
              <w:tab w:val="right" w:pos="9026" w:leader="dot"/>
            </w:tabs>
            <w:rPr/>
          </w:pPr>
          <w:hyperlink w:anchor="__RefHeading___Toc1814706_2870459653">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1814708_2870459653">
            <w:r>
              <w:rPr>
                <w:webHidden/>
                <w:rStyle w:val="IndexLink"/>
                <w:rtl w:val="true"/>
              </w:rPr>
              <w:t>الفصل الأوّل</w:t>
            </w:r>
            <w:r>
              <w:rPr>
                <w:rStyle w:val="IndexLink"/>
                <w:rtl w:val="true"/>
              </w:rPr>
              <w:t xml:space="preserve">: </w:t>
            </w:r>
            <w:r>
              <w:rPr>
                <w:rStyle w:val="IndexLink"/>
                <w:rtl w:val="true"/>
              </w:rPr>
              <w:t>في المياه</w:t>
            </w:r>
            <w:r>
              <w:rPr>
                <w:rStyle w:val="IndexLink"/>
                <w:rtl w:val="true"/>
              </w:rPr>
              <w:tab/>
            </w:r>
            <w:r>
              <w:rPr>
                <w:rStyle w:val="IndexLink"/>
              </w:rPr>
              <w:t>49</w:t>
            </w:r>
          </w:hyperlink>
        </w:p>
        <w:p>
          <w:pPr>
            <w:pStyle w:val="Contents4"/>
            <w:tabs>
              <w:tab w:val="clear" w:pos="8176"/>
              <w:tab w:val="right" w:pos="9026" w:leader="dot"/>
            </w:tabs>
            <w:rPr/>
          </w:pPr>
          <w:hyperlink w:anchor="__RefHeading___Toc1814710_2870459653">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1814712_2870459653">
            <w:r>
              <w:rPr>
                <w:webHidden/>
                <w:rStyle w:val="IndexLink"/>
                <w:rtl w:val="true"/>
              </w:rPr>
              <w:t xml:space="preserve">[ </w:t>
            </w:r>
            <w:r>
              <w:rPr>
                <w:rStyle w:val="IndexLink"/>
                <w:rtl w:val="true"/>
              </w:rPr>
              <w:t xml:space="preserve">المبحث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أقسام المیاه</w:t>
            </w:r>
            <w:r>
              <w:rPr>
                <w:rStyle w:val="IndexLink"/>
                <w:rtl w:val="true"/>
              </w:rPr>
              <w:tab/>
            </w:r>
            <w:r>
              <w:rPr>
                <w:rStyle w:val="IndexLink"/>
              </w:rPr>
              <w:t>49</w:t>
            </w:r>
          </w:hyperlink>
        </w:p>
        <w:p>
          <w:pPr>
            <w:pStyle w:val="Contents4"/>
            <w:tabs>
              <w:tab w:val="clear" w:pos="8176"/>
              <w:tab w:val="right" w:pos="9026" w:leader="dot"/>
            </w:tabs>
            <w:rPr/>
          </w:pPr>
          <w:hyperlink w:anchor="__RefHeading___Toc1814714_2870459653">
            <w:r>
              <w:rPr>
                <w:webHidden/>
                <w:rStyle w:val="IndexLink"/>
                <w:rtl w:val="true"/>
              </w:rPr>
              <w:t xml:space="preserve">المبحث الثاني </w:t>
            </w:r>
            <w:r>
              <w:rPr>
                <w:rStyle w:val="IndexLink"/>
                <w:rtl w:val="true"/>
              </w:rPr>
              <w:t xml:space="preserve">: </w:t>
            </w:r>
            <w:r>
              <w:rPr>
                <w:rStyle w:val="IndexLink"/>
                <w:rtl w:val="true"/>
              </w:rPr>
              <w:t>الماء المستعمل في رفع الحدث والخبث</w:t>
            </w:r>
            <w:r>
              <w:rPr>
                <w:rStyle w:val="IndexLink"/>
                <w:rtl w:val="true"/>
              </w:rPr>
              <w:tab/>
            </w:r>
            <w:r>
              <w:rPr>
                <w:rStyle w:val="IndexLink"/>
              </w:rPr>
              <w:t>51</w:t>
            </w:r>
          </w:hyperlink>
        </w:p>
        <w:p>
          <w:pPr>
            <w:pStyle w:val="Contents4"/>
            <w:tabs>
              <w:tab w:val="clear" w:pos="8176"/>
              <w:tab w:val="right" w:pos="9026" w:leader="dot"/>
            </w:tabs>
            <w:rPr/>
          </w:pPr>
          <w:hyperlink w:anchor="__RefHeading___Toc1814716_2870459653">
            <w:r>
              <w:rPr>
                <w:webHidden/>
                <w:rStyle w:val="IndexLink"/>
                <w:rtl w:val="true"/>
              </w:rPr>
              <w:t xml:space="preserve">المبحث الثالث </w:t>
            </w:r>
            <w:r>
              <w:rPr>
                <w:rStyle w:val="IndexLink"/>
                <w:rtl w:val="true"/>
              </w:rPr>
              <w:t xml:space="preserve">: </w:t>
            </w:r>
            <w:r>
              <w:rPr>
                <w:rStyle w:val="IndexLink"/>
                <w:rtl w:val="true"/>
              </w:rPr>
              <w:t>الماء الطاهر المشتبه بالنجس</w:t>
            </w:r>
            <w:r>
              <w:rPr>
                <w:rStyle w:val="IndexLink"/>
                <w:rtl w:val="true"/>
              </w:rPr>
              <w:tab/>
            </w:r>
            <w:r>
              <w:rPr>
                <w:rStyle w:val="IndexLink"/>
              </w:rPr>
              <w:t>51</w:t>
            </w:r>
          </w:hyperlink>
        </w:p>
        <w:p>
          <w:pPr>
            <w:pStyle w:val="Contents4"/>
            <w:tabs>
              <w:tab w:val="clear" w:pos="8176"/>
              <w:tab w:val="right" w:pos="9026" w:leader="dot"/>
            </w:tabs>
            <w:rPr/>
          </w:pPr>
          <w:hyperlink w:anchor="__RefHeading___Toc1814718_2870459653">
            <w:r>
              <w:rPr>
                <w:webHidden/>
                <w:rStyle w:val="IndexLink"/>
                <w:rtl w:val="true"/>
              </w:rPr>
              <w:t xml:space="preserve">المبحث الرابع </w:t>
            </w:r>
            <w:r>
              <w:rPr>
                <w:rStyle w:val="IndexLink"/>
                <w:rtl w:val="true"/>
              </w:rPr>
              <w:t xml:space="preserve">: </w:t>
            </w:r>
            <w:r>
              <w:rPr>
                <w:rStyle w:val="IndexLink"/>
                <w:rtl w:val="true"/>
              </w:rPr>
              <w:t>الماء المضاف؛ سؤر الحيوان</w:t>
            </w:r>
            <w:r>
              <w:rPr>
                <w:rStyle w:val="IndexLink"/>
                <w:rtl w:val="true"/>
              </w:rPr>
              <w:tab/>
            </w:r>
            <w:r>
              <w:rPr>
                <w:rStyle w:val="IndexLink"/>
              </w:rPr>
              <w:t>52</w:t>
            </w:r>
          </w:hyperlink>
        </w:p>
        <w:p>
          <w:pPr>
            <w:pStyle w:val="Contents3"/>
            <w:tabs>
              <w:tab w:val="clear" w:pos="8459"/>
              <w:tab w:val="right" w:pos="9026" w:leader="dot"/>
            </w:tabs>
            <w:rPr/>
          </w:pPr>
          <w:hyperlink w:anchor="__RefHeading___Toc1814720_2870459653">
            <w:r>
              <w:rPr>
                <w:webHidden/>
                <w:rStyle w:val="IndexLink"/>
                <w:rtl w:val="true"/>
              </w:rPr>
              <w:t>الفصل الثاني</w:t>
            </w:r>
            <w:r>
              <w:rPr>
                <w:rStyle w:val="IndexLink"/>
                <w:rtl w:val="true"/>
              </w:rPr>
              <w:t xml:space="preserve">: </w:t>
            </w:r>
            <w:r>
              <w:rPr>
                <w:rStyle w:val="IndexLink"/>
                <w:rtl w:val="true"/>
              </w:rPr>
              <w:t>في أحكام الخلوة</w:t>
            </w:r>
            <w:r>
              <w:rPr>
                <w:rStyle w:val="IndexLink"/>
                <w:rtl w:val="true"/>
              </w:rPr>
              <w:tab/>
            </w:r>
            <w:r>
              <w:rPr>
                <w:rStyle w:val="IndexLink"/>
              </w:rPr>
              <w:t>53</w:t>
            </w:r>
          </w:hyperlink>
        </w:p>
        <w:p>
          <w:pPr>
            <w:pStyle w:val="Contents4"/>
            <w:tabs>
              <w:tab w:val="clear" w:pos="8176"/>
              <w:tab w:val="right" w:pos="9026" w:leader="dot"/>
            </w:tabs>
            <w:rPr/>
          </w:pPr>
          <w:hyperlink w:anchor="__RefHeading___Toc1814722_2870459653">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1814724_2870459653">
            <w:r>
              <w:rPr>
                <w:webHidden/>
                <w:rStyle w:val="IndexLink"/>
                <w:rtl w:val="true"/>
              </w:rPr>
              <w:t>[</w:t>
            </w:r>
            <w:r>
              <w:rPr>
                <w:rStyle w:val="IndexLink"/>
                <w:rtl w:val="true"/>
              </w:rPr>
              <w:t>المبحث</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كيفيّة التخلّي</w:t>
            </w:r>
            <w:r>
              <w:rPr>
                <w:rStyle w:val="IndexLink"/>
                <w:rtl w:val="true"/>
              </w:rPr>
              <w:tab/>
            </w:r>
            <w:r>
              <w:rPr>
                <w:rStyle w:val="IndexLink"/>
              </w:rPr>
              <w:t>53</w:t>
            </w:r>
          </w:hyperlink>
        </w:p>
        <w:p>
          <w:pPr>
            <w:pStyle w:val="Contents4"/>
            <w:tabs>
              <w:tab w:val="clear" w:pos="8176"/>
              <w:tab w:val="right" w:pos="9026" w:leader="dot"/>
            </w:tabs>
            <w:rPr/>
          </w:pPr>
          <w:hyperlink w:anchor="__RefHeading___Toc1814726_2870459653">
            <w:r>
              <w:rPr>
                <w:webHidden/>
                <w:rStyle w:val="IndexLink"/>
                <w:rtl w:val="true"/>
              </w:rPr>
              <w:t xml:space="preserve">المبحث الثاني </w:t>
            </w:r>
            <w:r>
              <w:rPr>
                <w:rStyle w:val="IndexLink"/>
                <w:rtl w:val="true"/>
              </w:rPr>
              <w:t xml:space="preserve">: </w:t>
            </w:r>
            <w:r>
              <w:rPr>
                <w:rStyle w:val="IndexLink"/>
                <w:rtl w:val="true"/>
              </w:rPr>
              <w:t>في الاستنجاء</w:t>
            </w:r>
            <w:r>
              <w:rPr>
                <w:rStyle w:val="IndexLink"/>
                <w:rtl w:val="true"/>
              </w:rPr>
              <w:tab/>
            </w:r>
            <w:r>
              <w:rPr>
                <w:rStyle w:val="IndexLink"/>
              </w:rPr>
              <w:t>54</w:t>
            </w:r>
          </w:hyperlink>
        </w:p>
        <w:p>
          <w:pPr>
            <w:pStyle w:val="Contents4"/>
            <w:tabs>
              <w:tab w:val="clear" w:pos="8176"/>
              <w:tab w:val="right" w:pos="9026" w:leader="dot"/>
            </w:tabs>
            <w:rPr/>
          </w:pPr>
          <w:hyperlink w:anchor="__RefHeading___Toc1814728_2870459653">
            <w:r>
              <w:rPr>
                <w:webHidden/>
                <w:rStyle w:val="IndexLink"/>
                <w:rtl w:val="true"/>
              </w:rPr>
              <w:t>المبحث الثالث</w:t>
            </w:r>
            <w:r>
              <w:rPr>
                <w:rStyle w:val="IndexLink"/>
                <w:rtl w:val="true"/>
              </w:rPr>
              <w:t xml:space="preserve">: </w:t>
            </w:r>
            <w:r>
              <w:rPr>
                <w:rStyle w:val="IndexLink"/>
                <w:rtl w:val="true"/>
              </w:rPr>
              <w:t>في السنن</w:t>
            </w:r>
            <w:r>
              <w:rPr>
                <w:rStyle w:val="IndexLink"/>
                <w:rtl w:val="true"/>
              </w:rPr>
              <w:tab/>
            </w:r>
            <w:r>
              <w:rPr>
                <w:rStyle w:val="IndexLink"/>
              </w:rPr>
              <w:t>54</w:t>
            </w:r>
          </w:hyperlink>
        </w:p>
        <w:p>
          <w:pPr>
            <w:pStyle w:val="Contents4"/>
            <w:tabs>
              <w:tab w:val="clear" w:pos="8176"/>
              <w:tab w:val="right" w:pos="9026" w:leader="dot"/>
            </w:tabs>
            <w:rPr/>
          </w:pPr>
          <w:hyperlink w:anchor="__RefHeading___Toc1814730_2870459653">
            <w:r>
              <w:rPr>
                <w:webHidden/>
                <w:rStyle w:val="IndexLink"/>
                <w:rtl w:val="true"/>
              </w:rPr>
              <w:t xml:space="preserve">المبحث الرابع </w:t>
            </w:r>
            <w:r>
              <w:rPr>
                <w:rStyle w:val="IndexLink"/>
                <w:rtl w:val="true"/>
              </w:rPr>
              <w:t xml:space="preserve">: </w:t>
            </w:r>
            <w:r>
              <w:rPr>
                <w:rStyle w:val="IndexLink"/>
                <w:rtl w:val="true"/>
              </w:rPr>
              <w:t>ماء الاستنجاء</w:t>
            </w:r>
            <w:r>
              <w:rPr>
                <w:rStyle w:val="IndexLink"/>
                <w:rtl w:val="true"/>
              </w:rPr>
              <w:tab/>
            </w:r>
            <w:r>
              <w:rPr>
                <w:rStyle w:val="IndexLink"/>
              </w:rPr>
              <w:t>55</w:t>
            </w:r>
          </w:hyperlink>
        </w:p>
        <w:p>
          <w:pPr>
            <w:pStyle w:val="Contents4"/>
            <w:tabs>
              <w:tab w:val="clear" w:pos="8176"/>
              <w:tab w:val="right" w:pos="9026" w:leader="dot"/>
            </w:tabs>
            <w:rPr/>
          </w:pPr>
          <w:hyperlink w:anchor="__RefHeading___Toc1814732_2870459653">
            <w:r>
              <w:rPr>
                <w:webHidden/>
                <w:rStyle w:val="IndexLink"/>
                <w:rtl w:val="true"/>
              </w:rPr>
              <w:t xml:space="preserve">المبحث الخامس </w:t>
            </w:r>
            <w:r>
              <w:rPr>
                <w:rStyle w:val="IndexLink"/>
                <w:rtl w:val="true"/>
              </w:rPr>
              <w:t xml:space="preserve">: </w:t>
            </w:r>
            <w:r>
              <w:rPr>
                <w:rStyle w:val="IndexLink"/>
                <w:rtl w:val="true"/>
              </w:rPr>
              <w:t>الاستبراء</w:t>
            </w:r>
            <w:r>
              <w:rPr>
                <w:rStyle w:val="IndexLink"/>
                <w:rtl w:val="true"/>
              </w:rPr>
              <w:tab/>
            </w:r>
            <w:r>
              <w:rPr>
                <w:rStyle w:val="IndexLink"/>
              </w:rPr>
              <w:t>55</w:t>
            </w:r>
          </w:hyperlink>
        </w:p>
        <w:p>
          <w:pPr>
            <w:pStyle w:val="Contents2"/>
            <w:tabs>
              <w:tab w:val="clear" w:pos="8743"/>
              <w:tab w:val="right" w:pos="9026" w:leader="dot"/>
            </w:tabs>
            <w:rPr/>
          </w:pPr>
          <w:hyperlink w:anchor="__RefHeading___Toc1814734_2870459653">
            <w:r>
              <w:rPr>
                <w:webHidden/>
                <w:rStyle w:val="IndexLink"/>
                <w:rtl w:val="true"/>
              </w:rPr>
              <w:t>أمّا المقاصد</w:t>
            </w:r>
            <w:r>
              <w:rPr>
                <w:rStyle w:val="IndexLink"/>
                <w:rtl w:val="true"/>
              </w:rPr>
              <w:tab/>
            </w:r>
            <w:r>
              <w:rPr>
                <w:rStyle w:val="IndexLink"/>
              </w:rPr>
              <w:t>57</w:t>
            </w:r>
          </w:hyperlink>
        </w:p>
        <w:p>
          <w:pPr>
            <w:pStyle w:val="Contents3"/>
            <w:tabs>
              <w:tab w:val="clear" w:pos="8459"/>
              <w:tab w:val="right" w:pos="9026" w:leader="dot"/>
            </w:tabs>
            <w:rPr/>
          </w:pPr>
          <w:hyperlink w:anchor="__RefHeading___Toc1814736_2870459653">
            <w:r>
              <w:rPr>
                <w:webHidden/>
                <w:rStyle w:val="IndexLink"/>
                <w:rtl w:val="true"/>
              </w:rPr>
              <w:t>اشارة</w:t>
            </w:r>
            <w:r>
              <w:rPr>
                <w:rStyle w:val="IndexLink"/>
                <w:rtl w:val="true"/>
              </w:rPr>
              <w:tab/>
            </w:r>
            <w:r>
              <w:rPr>
                <w:rStyle w:val="IndexLink"/>
              </w:rPr>
              <w:t>57</w:t>
            </w:r>
          </w:hyperlink>
        </w:p>
        <w:p>
          <w:pPr>
            <w:pStyle w:val="Contents3"/>
            <w:tabs>
              <w:tab w:val="clear" w:pos="8459"/>
              <w:tab w:val="right" w:pos="9026" w:leader="dot"/>
            </w:tabs>
            <w:rPr/>
          </w:pPr>
          <w:hyperlink w:anchor="__RefHeading___Toc1814738_2870459653">
            <w:r>
              <w:rPr>
                <w:webHidden/>
                <w:rStyle w:val="IndexLink"/>
                <w:rtl w:val="true"/>
              </w:rPr>
              <w:t>[</w:t>
            </w:r>
            <w:r>
              <w:rPr>
                <w:rStyle w:val="IndexLink"/>
                <w:rtl w:val="true"/>
              </w:rPr>
              <w:t>المقصد الأوّل</w:t>
            </w:r>
            <w:r>
              <w:rPr>
                <w:rStyle w:val="IndexLink"/>
                <w:rtl w:val="true"/>
              </w:rPr>
              <w:t xml:space="preserve">: </w:t>
            </w:r>
            <w:r>
              <w:rPr>
                <w:rStyle w:val="IndexLink"/>
                <w:rtl w:val="true"/>
              </w:rPr>
              <w:t>في الوضوء</w:t>
            </w:r>
            <w:r>
              <w:rPr>
                <w:rStyle w:val="IndexLink"/>
                <w:rtl w:val="true"/>
              </w:rPr>
              <w:t>]</w:t>
              <w:tab/>
            </w:r>
            <w:r>
              <w:rPr>
                <w:rStyle w:val="IndexLink"/>
              </w:rPr>
              <w:t>57</w:t>
            </w:r>
          </w:hyperlink>
        </w:p>
        <w:p>
          <w:pPr>
            <w:pStyle w:val="Contents4"/>
            <w:tabs>
              <w:tab w:val="clear" w:pos="8176"/>
              <w:tab w:val="right" w:pos="9026" w:leader="dot"/>
            </w:tabs>
            <w:rPr/>
          </w:pPr>
          <w:hyperlink w:anchor="__RefHeading___Toc1814740_2870459653">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1814742_2870459653">
            <w:r>
              <w:rPr>
                <w:webHidden/>
                <w:rStyle w:val="IndexLink"/>
                <w:rtl w:val="true"/>
              </w:rPr>
              <w:t xml:space="preserve">[ </w:t>
            </w:r>
            <w:r>
              <w:rPr>
                <w:rStyle w:val="IndexLink"/>
                <w:rtl w:val="true"/>
              </w:rPr>
              <w:t xml:space="preserve">المبحث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أجزائه</w:t>
            </w:r>
            <w:r>
              <w:rPr>
                <w:rStyle w:val="IndexLink"/>
                <w:rtl w:val="true"/>
              </w:rPr>
              <w:tab/>
            </w:r>
            <w:r>
              <w:rPr>
                <w:rStyle w:val="IndexLink"/>
              </w:rPr>
              <w:t>57</w:t>
            </w:r>
          </w:hyperlink>
        </w:p>
        <w:p>
          <w:pPr>
            <w:pStyle w:val="Contents4"/>
            <w:tabs>
              <w:tab w:val="clear" w:pos="8176"/>
              <w:tab w:val="right" w:pos="9026" w:leader="dot"/>
            </w:tabs>
            <w:rPr/>
          </w:pPr>
          <w:hyperlink w:anchor="__RefHeading___Toc1814744_2870459653">
            <w:r>
              <w:rPr>
                <w:webHidden/>
                <w:rStyle w:val="IndexLink"/>
                <w:rtl w:val="true"/>
              </w:rPr>
              <w:t xml:space="preserve">المبحث الثاني </w:t>
            </w:r>
            <w:r>
              <w:rPr>
                <w:rStyle w:val="IndexLink"/>
                <w:rtl w:val="true"/>
              </w:rPr>
              <w:t xml:space="preserve">: </w:t>
            </w:r>
            <w:r>
              <w:rPr>
                <w:rStyle w:val="IndexLink"/>
                <w:rtl w:val="true"/>
              </w:rPr>
              <w:t>وضوء الجبيرة</w:t>
            </w:r>
            <w:r>
              <w:rPr>
                <w:rStyle w:val="IndexLink"/>
                <w:rtl w:val="true"/>
              </w:rPr>
              <w:tab/>
            </w:r>
            <w:r>
              <w:rPr>
                <w:rStyle w:val="IndexLink"/>
              </w:rPr>
              <w:t>62</w:t>
            </w:r>
          </w:hyperlink>
        </w:p>
        <w:p>
          <w:pPr>
            <w:pStyle w:val="Contents4"/>
            <w:tabs>
              <w:tab w:val="clear" w:pos="8176"/>
              <w:tab w:val="right" w:pos="9026" w:leader="dot"/>
            </w:tabs>
            <w:rPr/>
          </w:pPr>
          <w:hyperlink w:anchor="__RefHeading___Toc1814746_2870459653">
            <w:r>
              <w:rPr>
                <w:webHidden/>
                <w:rStyle w:val="IndexLink"/>
                <w:rtl w:val="true"/>
              </w:rPr>
              <w:t>المبحث الثالث</w:t>
            </w:r>
            <w:r>
              <w:rPr>
                <w:rStyle w:val="IndexLink"/>
                <w:rtl w:val="true"/>
              </w:rPr>
              <w:t xml:space="preserve">: </w:t>
            </w:r>
            <w:r>
              <w:rPr>
                <w:rStyle w:val="IndexLink"/>
                <w:rtl w:val="true"/>
              </w:rPr>
              <w:t>في الشرائط</w:t>
            </w:r>
            <w:r>
              <w:rPr>
                <w:rStyle w:val="IndexLink"/>
                <w:rtl w:val="true"/>
              </w:rPr>
              <w:tab/>
            </w:r>
            <w:r>
              <w:rPr>
                <w:rStyle w:val="IndexLink"/>
              </w:rPr>
              <w:t>65</w:t>
            </w:r>
          </w:hyperlink>
        </w:p>
        <w:p>
          <w:pPr>
            <w:pStyle w:val="Contents4"/>
            <w:tabs>
              <w:tab w:val="clear" w:pos="8176"/>
              <w:tab w:val="right" w:pos="9026" w:leader="dot"/>
            </w:tabs>
            <w:rPr/>
          </w:pPr>
          <w:hyperlink w:anchor="__RefHeading___Toc1814748_2870459653">
            <w:r>
              <w:rPr>
                <w:webHidden/>
                <w:rStyle w:val="IndexLink"/>
                <w:rtl w:val="true"/>
              </w:rPr>
              <w:t xml:space="preserve">المبحث الرابع </w:t>
            </w:r>
            <w:r>
              <w:rPr>
                <w:rStyle w:val="IndexLink"/>
                <w:rtl w:val="true"/>
              </w:rPr>
              <w:t xml:space="preserve">: </w:t>
            </w:r>
            <w:r>
              <w:rPr>
                <w:rStyle w:val="IndexLink"/>
                <w:rtl w:val="true"/>
              </w:rPr>
              <w:t>في أحكام الخلل</w:t>
            </w:r>
            <w:r>
              <w:rPr>
                <w:rStyle w:val="IndexLink"/>
                <w:rtl w:val="true"/>
              </w:rPr>
              <w:tab/>
            </w:r>
            <w:r>
              <w:rPr>
                <w:rStyle w:val="IndexLink"/>
              </w:rPr>
              <w:t>67</w:t>
            </w:r>
          </w:hyperlink>
        </w:p>
        <w:p>
          <w:pPr>
            <w:pStyle w:val="Contents4"/>
            <w:tabs>
              <w:tab w:val="clear" w:pos="8176"/>
              <w:tab w:val="right" w:pos="9026" w:leader="dot"/>
            </w:tabs>
            <w:rPr/>
          </w:pPr>
          <w:hyperlink w:anchor="__RefHeading___Toc1814750_2870459653">
            <w:r>
              <w:rPr>
                <w:webHidden/>
                <w:rStyle w:val="IndexLink"/>
                <w:rtl w:val="true"/>
              </w:rPr>
              <w:t xml:space="preserve">المبحث الخامس </w:t>
            </w:r>
            <w:r>
              <w:rPr>
                <w:rStyle w:val="IndexLink"/>
                <w:rtl w:val="true"/>
              </w:rPr>
              <w:t xml:space="preserve">: </w:t>
            </w:r>
            <w:r>
              <w:rPr>
                <w:rStyle w:val="IndexLink"/>
                <w:rtl w:val="true"/>
              </w:rPr>
              <w:t xml:space="preserve">فيما يجب الوضوء </w:t>
            </w:r>
            <w:r>
              <w:rPr>
                <w:rStyle w:val="IndexLink"/>
                <w:rtl w:val="true"/>
              </w:rPr>
              <w:t xml:space="preserve">- </w:t>
            </w:r>
            <w:r>
              <w:rPr>
                <w:rStyle w:val="IndexLink"/>
                <w:rtl w:val="true"/>
              </w:rPr>
              <w:t xml:space="preserve">خاصّة </w:t>
            </w:r>
            <w:r>
              <w:rPr>
                <w:rStyle w:val="IndexLink"/>
                <w:rtl w:val="true"/>
              </w:rPr>
              <w:t xml:space="preserve">- </w:t>
            </w:r>
            <w:r>
              <w:rPr>
                <w:rStyle w:val="IndexLink"/>
                <w:rtl w:val="true"/>
              </w:rPr>
              <w:t>منه وما يستحبّ</w:t>
            </w:r>
            <w:r>
              <w:rPr>
                <w:rStyle w:val="IndexLink"/>
                <w:rtl w:val="true"/>
              </w:rPr>
              <w:tab/>
            </w:r>
            <w:r>
              <w:rPr>
                <w:rStyle w:val="IndexLink"/>
              </w:rPr>
              <w:t>68</w:t>
            </w:r>
          </w:hyperlink>
        </w:p>
        <w:p>
          <w:pPr>
            <w:pStyle w:val="Contents4"/>
            <w:tabs>
              <w:tab w:val="clear" w:pos="8176"/>
              <w:tab w:val="right" w:pos="9026" w:leader="dot"/>
            </w:tabs>
            <w:rPr/>
          </w:pPr>
          <w:hyperlink w:anchor="__RefHeading___Toc1814752_2870459653">
            <w:r>
              <w:rPr>
                <w:webHidden/>
                <w:rStyle w:val="IndexLink"/>
                <w:rtl w:val="true"/>
              </w:rPr>
              <w:t xml:space="preserve">المبحث السادس </w:t>
            </w:r>
            <w:r>
              <w:rPr>
                <w:rStyle w:val="IndexLink"/>
                <w:rtl w:val="true"/>
              </w:rPr>
              <w:t xml:space="preserve">: </w:t>
            </w:r>
            <w:r>
              <w:rPr>
                <w:rStyle w:val="IndexLink"/>
                <w:rtl w:val="true"/>
              </w:rPr>
              <w:t>فيما يجب له الوضوء أو يستحبّ، وسننه</w:t>
            </w:r>
            <w:r>
              <w:rPr>
                <w:rStyle w:val="IndexLink"/>
                <w:rtl w:val="true"/>
              </w:rPr>
              <w:tab/>
            </w:r>
            <w:r>
              <w:rPr>
                <w:rStyle w:val="IndexLink"/>
              </w:rPr>
              <w:t>70</w:t>
            </w:r>
          </w:hyperlink>
        </w:p>
        <w:p>
          <w:pPr>
            <w:pStyle w:val="Contents3"/>
            <w:tabs>
              <w:tab w:val="clear" w:pos="8459"/>
              <w:tab w:val="right" w:pos="9026" w:leader="dot"/>
            </w:tabs>
            <w:rPr/>
          </w:pPr>
          <w:hyperlink w:anchor="__RefHeading___Toc1814754_2870459653">
            <w:r>
              <w:rPr>
                <w:webHidden/>
                <w:rStyle w:val="IndexLink"/>
                <w:rtl w:val="true"/>
              </w:rPr>
              <w:t>المقصد الثاني</w:t>
            </w:r>
            <w:r>
              <w:rPr>
                <w:rStyle w:val="IndexLink"/>
                <w:rtl w:val="true"/>
              </w:rPr>
              <w:t xml:space="preserve">: </w:t>
            </w:r>
            <w:r>
              <w:rPr>
                <w:rStyle w:val="IndexLink"/>
                <w:rtl w:val="true"/>
              </w:rPr>
              <w:t>في الغُسل</w:t>
            </w:r>
            <w:r>
              <w:rPr>
                <w:rStyle w:val="IndexLink"/>
                <w:rtl w:val="true"/>
              </w:rPr>
              <w:tab/>
            </w:r>
            <w:r>
              <w:rPr>
                <w:rStyle w:val="IndexLink"/>
              </w:rPr>
              <w:t>72</w:t>
            </w:r>
          </w:hyperlink>
        </w:p>
        <w:p>
          <w:pPr>
            <w:pStyle w:val="Contents4"/>
            <w:tabs>
              <w:tab w:val="clear" w:pos="8176"/>
              <w:tab w:val="right" w:pos="9026" w:leader="dot"/>
            </w:tabs>
            <w:rPr/>
          </w:pPr>
          <w:hyperlink w:anchor="__RefHeading___Toc1814756_2870459653">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1814758_2870459653">
            <w:r>
              <w:rPr>
                <w:webHidden/>
                <w:rStyle w:val="IndexLink"/>
                <w:rtl w:val="true"/>
              </w:rPr>
              <w:t xml:space="preserve">المبحث الأوّل </w:t>
            </w:r>
            <w:r>
              <w:rPr>
                <w:rStyle w:val="IndexLink"/>
                <w:rtl w:val="true"/>
              </w:rPr>
              <w:t xml:space="preserve">: </w:t>
            </w:r>
            <w:r>
              <w:rPr>
                <w:rStyle w:val="IndexLink"/>
                <w:rtl w:val="true"/>
              </w:rPr>
              <w:t>في الواجب</w:t>
            </w:r>
            <w:r>
              <w:rPr>
                <w:rStyle w:val="IndexLink"/>
                <w:rtl w:val="true"/>
              </w:rPr>
              <w:tab/>
            </w:r>
            <w:r>
              <w:rPr>
                <w:rStyle w:val="IndexLink"/>
              </w:rPr>
              <w:t>72</w:t>
            </w:r>
          </w:hyperlink>
        </w:p>
        <w:p>
          <w:pPr>
            <w:pStyle w:val="Contents4"/>
            <w:tabs>
              <w:tab w:val="clear" w:pos="8176"/>
              <w:tab w:val="right" w:pos="9026" w:leader="dot"/>
            </w:tabs>
            <w:rPr/>
          </w:pPr>
          <w:hyperlink w:anchor="__RefHeading___Toc1814760_2870459653">
            <w:r>
              <w:rPr>
                <w:webHidden/>
                <w:rStyle w:val="IndexLink"/>
                <w:rtl w:val="true"/>
              </w:rPr>
              <w:t xml:space="preserve">الأوّل </w:t>
            </w:r>
            <w:r>
              <w:rPr>
                <w:rStyle w:val="IndexLink"/>
                <w:rtl w:val="true"/>
              </w:rPr>
              <w:t xml:space="preserve">: </w:t>
            </w:r>
            <w:r>
              <w:rPr>
                <w:rStyle w:val="IndexLink"/>
                <w:rtl w:val="true"/>
              </w:rPr>
              <w:t>في الجنابة</w:t>
            </w:r>
            <w:r>
              <w:rPr>
                <w:rStyle w:val="IndexLink"/>
                <w:rtl w:val="true"/>
              </w:rPr>
              <w:tab/>
            </w:r>
            <w:r>
              <w:rPr>
                <w:rStyle w:val="IndexLink"/>
              </w:rPr>
              <w:t>72</w:t>
            </w:r>
          </w:hyperlink>
        </w:p>
        <w:p>
          <w:pPr>
            <w:pStyle w:val="Contents5"/>
            <w:tabs>
              <w:tab w:val="clear" w:pos="7892"/>
              <w:tab w:val="right" w:pos="9026" w:leader="dot"/>
            </w:tabs>
            <w:rPr/>
          </w:pPr>
          <w:hyperlink w:anchor="__RefHeading___Toc1814762_2870459653">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1814764_2870459653">
            <w:r>
              <w:rPr>
                <w:webHidden/>
                <w:rStyle w:val="IndexLink"/>
                <w:rtl w:val="true"/>
              </w:rPr>
              <w:t>[</w:t>
            </w:r>
            <w:r>
              <w:rPr>
                <w:rStyle w:val="IndexLink"/>
                <w:rtl w:val="true"/>
              </w:rPr>
              <w:t>المبحث</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سببها</w:t>
            </w:r>
            <w:r>
              <w:rPr>
                <w:rStyle w:val="IndexLink"/>
                <w:rtl w:val="true"/>
              </w:rPr>
              <w:tab/>
            </w:r>
            <w:r>
              <w:rPr>
                <w:rStyle w:val="IndexLink"/>
              </w:rPr>
              <w:t>72</w:t>
            </w:r>
          </w:hyperlink>
        </w:p>
        <w:p>
          <w:pPr>
            <w:pStyle w:val="Contents5"/>
            <w:tabs>
              <w:tab w:val="clear" w:pos="7892"/>
              <w:tab w:val="right" w:pos="9026" w:leader="dot"/>
            </w:tabs>
            <w:rPr/>
          </w:pPr>
          <w:hyperlink w:anchor="__RefHeading___Toc1814766_2870459653">
            <w:r>
              <w:rPr>
                <w:webHidden/>
                <w:rStyle w:val="IndexLink"/>
                <w:rtl w:val="true"/>
              </w:rPr>
              <w:t xml:space="preserve">المبحث الثاني </w:t>
            </w:r>
            <w:r>
              <w:rPr>
                <w:rStyle w:val="IndexLink"/>
                <w:rtl w:val="true"/>
              </w:rPr>
              <w:t xml:space="preserve">: </w:t>
            </w:r>
            <w:r>
              <w:rPr>
                <w:rStyle w:val="IndexLink"/>
                <w:rtl w:val="true"/>
              </w:rPr>
              <w:t>فيما يتوقّف على غسل الجنابة</w:t>
            </w:r>
            <w:r>
              <w:rPr>
                <w:rStyle w:val="IndexLink"/>
                <w:rtl w:val="true"/>
              </w:rPr>
              <w:tab/>
            </w:r>
            <w:r>
              <w:rPr>
                <w:rStyle w:val="IndexLink"/>
              </w:rPr>
              <w:t>74</w:t>
            </w:r>
          </w:hyperlink>
        </w:p>
        <w:p>
          <w:pPr>
            <w:pStyle w:val="Contents5"/>
            <w:tabs>
              <w:tab w:val="clear" w:pos="7892"/>
              <w:tab w:val="right" w:pos="9026" w:leader="dot"/>
            </w:tabs>
            <w:rPr/>
          </w:pPr>
          <w:hyperlink w:anchor="__RefHeading___Toc1814768_2870459653">
            <w:r>
              <w:rPr>
                <w:webHidden/>
                <w:rStyle w:val="IndexLink"/>
                <w:rtl w:val="true"/>
              </w:rPr>
              <w:t xml:space="preserve">المبحث الثالث </w:t>
            </w:r>
            <w:r>
              <w:rPr>
                <w:rStyle w:val="IndexLink"/>
                <w:rtl w:val="true"/>
              </w:rPr>
              <w:t xml:space="preserve">: </w:t>
            </w:r>
            <w:r>
              <w:rPr>
                <w:rStyle w:val="IndexLink"/>
                <w:rtl w:val="true"/>
              </w:rPr>
              <w:t>ما يكره للجنب</w:t>
            </w:r>
            <w:r>
              <w:rPr>
                <w:rStyle w:val="IndexLink"/>
                <w:rtl w:val="true"/>
              </w:rPr>
              <w:tab/>
            </w:r>
            <w:r>
              <w:rPr>
                <w:rStyle w:val="IndexLink"/>
              </w:rPr>
              <w:t>75</w:t>
            </w:r>
          </w:hyperlink>
        </w:p>
        <w:p>
          <w:pPr>
            <w:pStyle w:val="Contents5"/>
            <w:tabs>
              <w:tab w:val="clear" w:pos="7892"/>
              <w:tab w:val="right" w:pos="9026" w:leader="dot"/>
            </w:tabs>
            <w:rPr/>
          </w:pPr>
          <w:hyperlink w:anchor="__RefHeading___Toc1814770_2870459653">
            <w:r>
              <w:rPr>
                <w:webHidden/>
                <w:rStyle w:val="IndexLink"/>
                <w:rtl w:val="true"/>
              </w:rPr>
              <w:t>المبحث الرابع</w:t>
            </w:r>
            <w:r>
              <w:rPr>
                <w:rStyle w:val="IndexLink"/>
                <w:rtl w:val="true"/>
              </w:rPr>
              <w:t xml:space="preserve">: </w:t>
            </w:r>
            <w:r>
              <w:rPr>
                <w:rStyle w:val="IndexLink"/>
                <w:rtl w:val="true"/>
              </w:rPr>
              <w:t>في واجباته</w:t>
            </w:r>
            <w:r>
              <w:rPr>
                <w:rStyle w:val="IndexLink"/>
                <w:rtl w:val="true"/>
              </w:rPr>
              <w:tab/>
            </w:r>
            <w:r>
              <w:rPr>
                <w:rStyle w:val="IndexLink"/>
              </w:rPr>
              <w:t>75</w:t>
            </w:r>
          </w:hyperlink>
        </w:p>
        <w:p>
          <w:pPr>
            <w:pStyle w:val="Contents5"/>
            <w:tabs>
              <w:tab w:val="clear" w:pos="7892"/>
              <w:tab w:val="right" w:pos="9026" w:leader="dot"/>
            </w:tabs>
            <w:rPr/>
          </w:pPr>
          <w:hyperlink w:anchor="__RefHeading___Toc1814772_2870459653">
            <w:r>
              <w:rPr>
                <w:webHidden/>
                <w:rStyle w:val="IndexLink"/>
                <w:rtl w:val="true"/>
              </w:rPr>
              <w:t>المبحث الخامس</w:t>
            </w:r>
            <w:r>
              <w:rPr>
                <w:rStyle w:val="IndexLink"/>
                <w:rtl w:val="true"/>
              </w:rPr>
              <w:t xml:space="preserve">: </w:t>
            </w:r>
            <w:r>
              <w:rPr>
                <w:rStyle w:val="IndexLink"/>
                <w:rtl w:val="true"/>
              </w:rPr>
              <w:t>في سننه</w:t>
            </w:r>
            <w:r>
              <w:rPr>
                <w:rStyle w:val="IndexLink"/>
                <w:rtl w:val="true"/>
              </w:rPr>
              <w:tab/>
            </w:r>
            <w:r>
              <w:rPr>
                <w:rStyle w:val="IndexLink"/>
              </w:rPr>
              <w:t>77</w:t>
            </w:r>
          </w:hyperlink>
        </w:p>
        <w:p>
          <w:pPr>
            <w:pStyle w:val="Contents4"/>
            <w:tabs>
              <w:tab w:val="clear" w:pos="8176"/>
              <w:tab w:val="right" w:pos="9026" w:leader="dot"/>
            </w:tabs>
            <w:rPr/>
          </w:pPr>
          <w:hyperlink w:anchor="__RefHeading___Toc1814774_2870459653">
            <w:r>
              <w:rPr>
                <w:webHidden/>
                <w:rStyle w:val="IndexLink"/>
                <w:rtl w:val="true"/>
              </w:rPr>
              <w:t xml:space="preserve">ثانيها </w:t>
            </w:r>
            <w:r>
              <w:rPr>
                <w:rStyle w:val="IndexLink"/>
                <w:rtl w:val="true"/>
              </w:rPr>
              <w:t xml:space="preserve">: </w:t>
            </w:r>
            <w:r>
              <w:rPr>
                <w:rStyle w:val="IndexLink"/>
                <w:rtl w:val="true"/>
              </w:rPr>
              <w:t>الحيض</w:t>
            </w:r>
            <w:r>
              <w:rPr>
                <w:rStyle w:val="IndexLink"/>
                <w:rtl w:val="true"/>
              </w:rPr>
              <w:tab/>
            </w:r>
            <w:r>
              <w:rPr>
                <w:rStyle w:val="IndexLink"/>
              </w:rPr>
              <w:t>78</w:t>
            </w:r>
          </w:hyperlink>
        </w:p>
        <w:p>
          <w:pPr>
            <w:pStyle w:val="Contents4"/>
            <w:tabs>
              <w:tab w:val="clear" w:pos="8176"/>
              <w:tab w:val="right" w:pos="9026" w:leader="dot"/>
            </w:tabs>
            <w:rPr/>
          </w:pPr>
          <w:hyperlink w:anchor="__RefHeading___Toc1814776_2870459653">
            <w:r>
              <w:rPr>
                <w:webHidden/>
                <w:rStyle w:val="IndexLink"/>
                <w:rtl w:val="true"/>
              </w:rPr>
              <w:t xml:space="preserve">ثالثها </w:t>
            </w:r>
            <w:r>
              <w:rPr>
                <w:rStyle w:val="IndexLink"/>
                <w:rtl w:val="true"/>
              </w:rPr>
              <w:t xml:space="preserve">: </w:t>
            </w:r>
            <w:r>
              <w:rPr>
                <w:rStyle w:val="IndexLink"/>
                <w:rtl w:val="true"/>
              </w:rPr>
              <w:t>دم الاستحاضة</w:t>
            </w:r>
            <w:r>
              <w:rPr>
                <w:rStyle w:val="IndexLink"/>
                <w:rtl w:val="true"/>
              </w:rPr>
              <w:tab/>
            </w:r>
            <w:r>
              <w:rPr>
                <w:rStyle w:val="IndexLink"/>
              </w:rPr>
              <w:t>81</w:t>
            </w:r>
          </w:hyperlink>
        </w:p>
        <w:p>
          <w:pPr>
            <w:pStyle w:val="Contents4"/>
            <w:tabs>
              <w:tab w:val="clear" w:pos="8176"/>
              <w:tab w:val="right" w:pos="9026" w:leader="dot"/>
            </w:tabs>
            <w:rPr/>
          </w:pPr>
          <w:hyperlink w:anchor="__RefHeading___Toc1814778_2870459653">
            <w:r>
              <w:rPr>
                <w:webHidden/>
                <w:rStyle w:val="IndexLink"/>
                <w:rtl w:val="true"/>
              </w:rPr>
              <w:t xml:space="preserve">رابعها </w:t>
            </w:r>
            <w:r>
              <w:rPr>
                <w:rStyle w:val="IndexLink"/>
                <w:rtl w:val="true"/>
              </w:rPr>
              <w:t xml:space="preserve">: </w:t>
            </w:r>
            <w:r>
              <w:rPr>
                <w:rStyle w:val="IndexLink"/>
                <w:rtl w:val="true"/>
              </w:rPr>
              <w:t>النفاس</w:t>
            </w:r>
            <w:r>
              <w:rPr>
                <w:rStyle w:val="IndexLink"/>
                <w:rtl w:val="true"/>
              </w:rPr>
              <w:tab/>
            </w:r>
            <w:r>
              <w:rPr>
                <w:rStyle w:val="IndexLink"/>
              </w:rPr>
              <w:t>83</w:t>
            </w:r>
          </w:hyperlink>
        </w:p>
        <w:p>
          <w:pPr>
            <w:pStyle w:val="Contents4"/>
            <w:tabs>
              <w:tab w:val="clear" w:pos="8176"/>
              <w:tab w:val="right" w:pos="9026" w:leader="dot"/>
            </w:tabs>
            <w:rPr/>
          </w:pPr>
          <w:hyperlink w:anchor="__RefHeading___Toc1814780_2870459653">
            <w:r>
              <w:rPr>
                <w:webHidden/>
                <w:rStyle w:val="IndexLink"/>
                <w:rtl w:val="true"/>
              </w:rPr>
              <w:t xml:space="preserve">خامسها </w:t>
            </w:r>
            <w:r>
              <w:rPr>
                <w:rStyle w:val="IndexLink"/>
                <w:rtl w:val="true"/>
              </w:rPr>
              <w:t xml:space="preserve">: </w:t>
            </w:r>
            <w:r>
              <w:rPr>
                <w:rStyle w:val="IndexLink"/>
                <w:rtl w:val="true"/>
              </w:rPr>
              <w:t>في غسل المسّ</w:t>
            </w:r>
            <w:r>
              <w:rPr>
                <w:rStyle w:val="IndexLink"/>
                <w:rtl w:val="true"/>
              </w:rPr>
              <w:tab/>
            </w:r>
            <w:r>
              <w:rPr>
                <w:rStyle w:val="IndexLink"/>
              </w:rPr>
              <w:t>84</w:t>
            </w:r>
          </w:hyperlink>
        </w:p>
        <w:p>
          <w:pPr>
            <w:pStyle w:val="Contents4"/>
            <w:tabs>
              <w:tab w:val="clear" w:pos="8176"/>
              <w:tab w:val="right" w:pos="9026" w:leader="dot"/>
            </w:tabs>
            <w:rPr/>
          </w:pPr>
          <w:hyperlink w:anchor="__RefHeading___Toc1814782_2870459653">
            <w:r>
              <w:rPr>
                <w:webHidden/>
                <w:rStyle w:val="IndexLink"/>
                <w:rtl w:val="true"/>
              </w:rPr>
              <w:t xml:space="preserve">سادسها </w:t>
            </w:r>
            <w:r>
              <w:rPr>
                <w:rStyle w:val="IndexLink"/>
                <w:rtl w:val="true"/>
              </w:rPr>
              <w:t xml:space="preserve">: </w:t>
            </w:r>
            <w:r>
              <w:rPr>
                <w:rStyle w:val="IndexLink"/>
                <w:rtl w:val="true"/>
              </w:rPr>
              <w:t>الموت</w:t>
            </w:r>
            <w:r>
              <w:rPr>
                <w:rStyle w:val="IndexLink"/>
                <w:rtl w:val="true"/>
              </w:rPr>
              <w:tab/>
            </w:r>
            <w:r>
              <w:rPr>
                <w:rStyle w:val="IndexLink"/>
              </w:rPr>
              <w:t>85</w:t>
            </w:r>
          </w:hyperlink>
        </w:p>
        <w:p>
          <w:pPr>
            <w:pStyle w:val="Contents5"/>
            <w:tabs>
              <w:tab w:val="clear" w:pos="7892"/>
              <w:tab w:val="right" w:pos="9026" w:leader="dot"/>
            </w:tabs>
            <w:rPr/>
          </w:pPr>
          <w:hyperlink w:anchor="__RefHeading___Toc1814784_2870459653">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1814786_2870459653">
            <w:r>
              <w:rPr>
                <w:webHidden/>
                <w:rStyle w:val="IndexLink"/>
                <w:rtl w:val="true"/>
              </w:rPr>
              <w:t xml:space="preserve">الأول </w:t>
            </w:r>
            <w:r>
              <w:rPr>
                <w:rStyle w:val="IndexLink"/>
                <w:rtl w:val="true"/>
              </w:rPr>
              <w:t xml:space="preserve">: </w:t>
            </w:r>
            <w:r>
              <w:rPr>
                <w:rStyle w:val="IndexLink"/>
                <w:rtl w:val="true"/>
              </w:rPr>
              <w:t xml:space="preserve">التكفين </w:t>
            </w:r>
            <w:r>
              <w:rPr>
                <w:rStyle w:val="IndexLink"/>
                <w:rtl w:val="true"/>
              </w:rPr>
              <w:t xml:space="preserve">- </w:t>
            </w:r>
            <w:r>
              <w:rPr>
                <w:rStyle w:val="IndexLink"/>
                <w:rtl w:val="true"/>
              </w:rPr>
              <w:t xml:space="preserve">مع الإمكان </w:t>
            </w:r>
            <w:r>
              <w:rPr>
                <w:rStyle w:val="IndexLink"/>
                <w:rtl w:val="true"/>
              </w:rPr>
              <w:t>-</w:t>
              <w:tab/>
            </w:r>
            <w:r>
              <w:rPr>
                <w:rStyle w:val="IndexLink"/>
              </w:rPr>
              <w:t>88</w:t>
            </w:r>
          </w:hyperlink>
        </w:p>
        <w:p>
          <w:pPr>
            <w:pStyle w:val="Contents5"/>
            <w:tabs>
              <w:tab w:val="clear" w:pos="7892"/>
              <w:tab w:val="right" w:pos="9026" w:leader="dot"/>
            </w:tabs>
            <w:rPr/>
          </w:pPr>
          <w:hyperlink w:anchor="__RefHeading___Toc1814788_2870459653">
            <w:r>
              <w:rPr>
                <w:webHidden/>
                <w:rStyle w:val="IndexLink"/>
                <w:rtl w:val="true"/>
              </w:rPr>
              <w:t xml:space="preserve">الثاني </w:t>
            </w:r>
            <w:r>
              <w:rPr>
                <w:rStyle w:val="IndexLink"/>
                <w:rtl w:val="true"/>
              </w:rPr>
              <w:t xml:space="preserve">: </w:t>
            </w:r>
            <w:r>
              <w:rPr>
                <w:rStyle w:val="IndexLink"/>
                <w:rtl w:val="true"/>
              </w:rPr>
              <w:t>التحنيط</w:t>
            </w:r>
            <w:r>
              <w:rPr>
                <w:rStyle w:val="IndexLink"/>
                <w:rtl w:val="true"/>
              </w:rPr>
              <w:tab/>
            </w:r>
            <w:r>
              <w:rPr>
                <w:rStyle w:val="IndexLink"/>
              </w:rPr>
              <w:t>90</w:t>
            </w:r>
          </w:hyperlink>
        </w:p>
        <w:p>
          <w:pPr>
            <w:pStyle w:val="Contents5"/>
            <w:tabs>
              <w:tab w:val="clear" w:pos="7892"/>
              <w:tab w:val="right" w:pos="9026" w:leader="dot"/>
            </w:tabs>
            <w:rPr/>
          </w:pPr>
          <w:hyperlink w:anchor="__RefHeading___Toc1814790_2870459653">
            <w:r>
              <w:rPr>
                <w:webHidden/>
                <w:rStyle w:val="IndexLink"/>
                <w:rtl w:val="true"/>
              </w:rPr>
              <w:t xml:space="preserve">الثالث </w:t>
            </w:r>
            <w:r>
              <w:rPr>
                <w:rStyle w:val="IndexLink"/>
                <w:rtl w:val="true"/>
              </w:rPr>
              <w:t xml:space="preserve">: </w:t>
            </w:r>
            <w:r>
              <w:rPr>
                <w:rStyle w:val="IndexLink"/>
                <w:rtl w:val="true"/>
              </w:rPr>
              <w:t>دفنه</w:t>
            </w:r>
            <w:r>
              <w:rPr>
                <w:rStyle w:val="IndexLink"/>
                <w:rtl w:val="true"/>
              </w:rPr>
              <w:tab/>
            </w:r>
            <w:r>
              <w:rPr>
                <w:rStyle w:val="IndexLink"/>
              </w:rPr>
              <w:t>90</w:t>
            </w:r>
          </w:hyperlink>
        </w:p>
        <w:p>
          <w:pPr>
            <w:pStyle w:val="Contents4"/>
            <w:tabs>
              <w:tab w:val="clear" w:pos="8176"/>
              <w:tab w:val="right" w:pos="9026" w:leader="dot"/>
            </w:tabs>
            <w:rPr/>
          </w:pPr>
          <w:hyperlink w:anchor="__RefHeading___Toc1814792_2870459653">
            <w:r>
              <w:rPr>
                <w:webHidden/>
                <w:rStyle w:val="IndexLink"/>
                <w:rtl w:val="true"/>
              </w:rPr>
              <w:t xml:space="preserve">المبحث الثاني </w:t>
            </w:r>
            <w:r>
              <w:rPr>
                <w:rStyle w:val="IndexLink"/>
                <w:rtl w:val="true"/>
              </w:rPr>
              <w:t xml:space="preserve">: </w:t>
            </w:r>
            <w:r>
              <w:rPr>
                <w:rStyle w:val="IndexLink"/>
                <w:rtl w:val="true"/>
              </w:rPr>
              <w:t>في الغسل المندوب</w:t>
            </w:r>
            <w:r>
              <w:rPr>
                <w:rStyle w:val="IndexLink"/>
                <w:rtl w:val="true"/>
              </w:rPr>
              <w:tab/>
            </w:r>
            <w:r>
              <w:rPr>
                <w:rStyle w:val="IndexLink"/>
              </w:rPr>
              <w:t>92</w:t>
            </w:r>
          </w:hyperlink>
        </w:p>
        <w:p>
          <w:pPr>
            <w:pStyle w:val="Contents3"/>
            <w:tabs>
              <w:tab w:val="clear" w:pos="8459"/>
              <w:tab w:val="right" w:pos="9026" w:leader="dot"/>
            </w:tabs>
            <w:rPr/>
          </w:pPr>
          <w:hyperlink w:anchor="__RefHeading___Toc1814794_2870459653">
            <w:r>
              <w:rPr>
                <w:webHidden/>
                <w:rStyle w:val="IndexLink"/>
                <w:rtl w:val="true"/>
              </w:rPr>
              <w:t>المقصد الثالث</w:t>
            </w:r>
            <w:r>
              <w:rPr>
                <w:rStyle w:val="IndexLink"/>
                <w:rtl w:val="true"/>
              </w:rPr>
              <w:t xml:space="preserve">: </w:t>
            </w:r>
            <w:r>
              <w:rPr>
                <w:rStyle w:val="IndexLink"/>
                <w:rtl w:val="true"/>
              </w:rPr>
              <w:t>في التيمّم</w:t>
            </w:r>
            <w:r>
              <w:rPr>
                <w:rStyle w:val="IndexLink"/>
                <w:rtl w:val="true"/>
              </w:rPr>
              <w:tab/>
            </w:r>
            <w:r>
              <w:rPr>
                <w:rStyle w:val="IndexLink"/>
              </w:rPr>
              <w:t>94</w:t>
            </w:r>
          </w:hyperlink>
        </w:p>
        <w:p>
          <w:pPr>
            <w:pStyle w:val="Contents4"/>
            <w:tabs>
              <w:tab w:val="clear" w:pos="8176"/>
              <w:tab w:val="right" w:pos="9026" w:leader="dot"/>
            </w:tabs>
            <w:rPr/>
          </w:pPr>
          <w:hyperlink w:anchor="__RefHeading___Toc1814796_2870459653">
            <w:r>
              <w:rPr>
                <w:webHidden/>
                <w:rStyle w:val="IndexLink"/>
                <w:rtl w:val="true"/>
              </w:rPr>
              <w:t>اشارة</w:t>
            </w:r>
            <w:r>
              <w:rPr>
                <w:rStyle w:val="IndexLink"/>
                <w:rtl w:val="true"/>
              </w:rPr>
              <w:tab/>
            </w:r>
            <w:r>
              <w:rPr>
                <w:rStyle w:val="IndexLink"/>
              </w:rPr>
              <w:t>94</w:t>
            </w:r>
          </w:hyperlink>
        </w:p>
        <w:p>
          <w:pPr>
            <w:pStyle w:val="Contents4"/>
            <w:tabs>
              <w:tab w:val="clear" w:pos="8176"/>
              <w:tab w:val="right" w:pos="9026" w:leader="dot"/>
            </w:tabs>
            <w:rPr/>
          </w:pPr>
          <w:hyperlink w:anchor="__RefHeading___Toc1814798_2870459653">
            <w:r>
              <w:rPr>
                <w:webHidden/>
                <w:rStyle w:val="IndexLink"/>
                <w:rtl w:val="true"/>
              </w:rPr>
              <w:t>[</w:t>
            </w:r>
            <w:r>
              <w:rPr>
                <w:rStyle w:val="IndexLink"/>
                <w:rtl w:val="true"/>
              </w:rPr>
              <w:t>المبحث</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مسوّغاته</w:t>
            </w:r>
            <w:r>
              <w:rPr>
                <w:rStyle w:val="IndexLink"/>
                <w:rtl w:val="true"/>
              </w:rPr>
              <w:tab/>
            </w:r>
            <w:r>
              <w:rPr>
                <w:rStyle w:val="IndexLink"/>
              </w:rPr>
              <w:t>94</w:t>
            </w:r>
          </w:hyperlink>
        </w:p>
        <w:p>
          <w:pPr>
            <w:pStyle w:val="Contents4"/>
            <w:tabs>
              <w:tab w:val="clear" w:pos="8176"/>
              <w:tab w:val="right" w:pos="9026" w:leader="dot"/>
            </w:tabs>
            <w:rPr/>
          </w:pPr>
          <w:hyperlink w:anchor="__RefHeading___Toc1814800_2870459653">
            <w:r>
              <w:rPr>
                <w:webHidden/>
                <w:rStyle w:val="IndexLink"/>
                <w:rtl w:val="true"/>
              </w:rPr>
              <w:t xml:space="preserve">المبحث الثاني </w:t>
            </w:r>
            <w:r>
              <w:rPr>
                <w:rStyle w:val="IndexLink"/>
                <w:rtl w:val="true"/>
              </w:rPr>
              <w:t xml:space="preserve">: </w:t>
            </w:r>
            <w:r>
              <w:rPr>
                <w:rStyle w:val="IndexLink"/>
                <w:rtl w:val="true"/>
              </w:rPr>
              <w:t>فيما يتيمّم به</w:t>
            </w:r>
            <w:r>
              <w:rPr>
                <w:rStyle w:val="IndexLink"/>
                <w:rtl w:val="true"/>
              </w:rPr>
              <w:tab/>
            </w:r>
            <w:r>
              <w:rPr>
                <w:rStyle w:val="IndexLink"/>
              </w:rPr>
              <w:t>96</w:t>
            </w:r>
          </w:hyperlink>
        </w:p>
        <w:p>
          <w:pPr>
            <w:pStyle w:val="Contents4"/>
            <w:tabs>
              <w:tab w:val="clear" w:pos="8176"/>
              <w:tab w:val="right" w:pos="9026" w:leader="dot"/>
            </w:tabs>
            <w:rPr/>
          </w:pPr>
          <w:hyperlink w:anchor="__RefHeading___Toc1814802_2870459653">
            <w:r>
              <w:rPr>
                <w:webHidden/>
                <w:rStyle w:val="IndexLink"/>
                <w:rtl w:val="true"/>
              </w:rPr>
              <w:t xml:space="preserve">المبحث الثالث </w:t>
            </w:r>
            <w:r>
              <w:rPr>
                <w:rStyle w:val="IndexLink"/>
                <w:rtl w:val="true"/>
              </w:rPr>
              <w:t xml:space="preserve">: </w:t>
            </w:r>
            <w:r>
              <w:rPr>
                <w:rStyle w:val="IndexLink"/>
                <w:rtl w:val="true"/>
              </w:rPr>
              <w:t>في كيفيّته</w:t>
            </w:r>
            <w:r>
              <w:rPr>
                <w:rStyle w:val="IndexLink"/>
                <w:rtl w:val="true"/>
              </w:rPr>
              <w:tab/>
            </w:r>
            <w:r>
              <w:rPr>
                <w:rStyle w:val="IndexLink"/>
              </w:rPr>
              <w:t>97</w:t>
            </w:r>
          </w:hyperlink>
        </w:p>
        <w:p>
          <w:pPr>
            <w:pStyle w:val="Contents4"/>
            <w:tabs>
              <w:tab w:val="clear" w:pos="8176"/>
              <w:tab w:val="right" w:pos="9026" w:leader="dot"/>
            </w:tabs>
            <w:rPr/>
          </w:pPr>
          <w:hyperlink w:anchor="__RefHeading___Toc1814804_2870459653">
            <w:r>
              <w:rPr>
                <w:webHidden/>
                <w:rStyle w:val="IndexLink"/>
                <w:rtl w:val="true"/>
              </w:rPr>
              <w:t>المبحث الرابع</w:t>
            </w:r>
            <w:r>
              <w:rPr>
                <w:rStyle w:val="IndexLink"/>
                <w:rtl w:val="true"/>
              </w:rPr>
              <w:t xml:space="preserve">: </w:t>
            </w:r>
            <w:r>
              <w:rPr>
                <w:rStyle w:val="IndexLink"/>
                <w:rtl w:val="true"/>
              </w:rPr>
              <w:t>في الشرائط</w:t>
            </w:r>
            <w:r>
              <w:rPr>
                <w:rStyle w:val="IndexLink"/>
                <w:rtl w:val="true"/>
              </w:rPr>
              <w:tab/>
            </w:r>
            <w:r>
              <w:rPr>
                <w:rStyle w:val="IndexLink"/>
              </w:rPr>
              <w:t>98</w:t>
            </w:r>
          </w:hyperlink>
        </w:p>
        <w:p>
          <w:pPr>
            <w:pStyle w:val="Contents4"/>
            <w:tabs>
              <w:tab w:val="clear" w:pos="8176"/>
              <w:tab w:val="right" w:pos="9026" w:leader="dot"/>
            </w:tabs>
            <w:rPr/>
          </w:pPr>
          <w:hyperlink w:anchor="__RefHeading___Toc1814806_2870459653">
            <w:r>
              <w:rPr>
                <w:webHidden/>
                <w:rStyle w:val="IndexLink"/>
                <w:rtl w:val="true"/>
              </w:rPr>
              <w:t>المبحث الخامس</w:t>
            </w:r>
            <w:r>
              <w:rPr>
                <w:rStyle w:val="IndexLink"/>
                <w:rtl w:val="true"/>
              </w:rPr>
              <w:t xml:space="preserve">: </w:t>
            </w:r>
            <w:r>
              <w:rPr>
                <w:rStyle w:val="IndexLink"/>
                <w:rtl w:val="true"/>
              </w:rPr>
              <w:t>في أحكامه</w:t>
            </w:r>
            <w:r>
              <w:rPr>
                <w:rStyle w:val="IndexLink"/>
                <w:rtl w:val="true"/>
              </w:rPr>
              <w:tab/>
            </w:r>
            <w:r>
              <w:rPr>
                <w:rStyle w:val="IndexLink"/>
              </w:rPr>
              <w:t>99</w:t>
            </w:r>
          </w:hyperlink>
        </w:p>
        <w:p>
          <w:pPr>
            <w:pStyle w:val="Contents2"/>
            <w:tabs>
              <w:tab w:val="clear" w:pos="8743"/>
              <w:tab w:val="right" w:pos="9026" w:leader="dot"/>
            </w:tabs>
            <w:rPr/>
          </w:pPr>
          <w:hyperlink w:anchor="__RefHeading___Toc1814808_2870459653">
            <w:r>
              <w:rPr>
                <w:webHidden/>
                <w:rStyle w:val="IndexLink"/>
                <w:rtl w:val="true"/>
              </w:rPr>
              <w:t>أمّا الخاتمة</w:t>
            </w:r>
            <w:r>
              <w:rPr>
                <w:rStyle w:val="IndexLink"/>
                <w:rtl w:val="true"/>
              </w:rPr>
              <w:tab/>
            </w:r>
            <w:r>
              <w:rPr>
                <w:rStyle w:val="IndexLink"/>
              </w:rPr>
              <w:t>101</w:t>
            </w:r>
          </w:hyperlink>
        </w:p>
        <w:p>
          <w:pPr>
            <w:pStyle w:val="Contents3"/>
            <w:tabs>
              <w:tab w:val="clear" w:pos="8459"/>
              <w:tab w:val="right" w:pos="9026" w:leader="dot"/>
            </w:tabs>
            <w:rPr/>
          </w:pPr>
          <w:hyperlink w:anchor="__RefHeading___Toc1814810_2870459653">
            <w:r>
              <w:rPr>
                <w:webHidden/>
                <w:rStyle w:val="IndexLink"/>
                <w:rtl w:val="true"/>
              </w:rPr>
              <w:t>اشارة</w:t>
            </w:r>
            <w:r>
              <w:rPr>
                <w:rStyle w:val="IndexLink"/>
                <w:rtl w:val="true"/>
              </w:rPr>
              <w:tab/>
            </w:r>
            <w:r>
              <w:rPr>
                <w:rStyle w:val="IndexLink"/>
              </w:rPr>
              <w:t>101</w:t>
            </w:r>
          </w:hyperlink>
        </w:p>
        <w:p>
          <w:pPr>
            <w:pStyle w:val="Contents3"/>
            <w:tabs>
              <w:tab w:val="clear" w:pos="8459"/>
              <w:tab w:val="right" w:pos="9026" w:leader="dot"/>
            </w:tabs>
            <w:rPr/>
          </w:pPr>
          <w:hyperlink w:anchor="__RefHeading___Toc1814812_2870459653">
            <w:r>
              <w:rPr>
                <w:webHidden/>
                <w:rStyle w:val="IndexLink"/>
                <w:rtl w:val="true"/>
              </w:rPr>
              <w:t>[</w:t>
            </w:r>
            <w:r>
              <w:rPr>
                <w:rStyle w:val="IndexLink"/>
                <w:rtl w:val="true"/>
              </w:rPr>
              <w:t>المبحث</w:t>
            </w:r>
            <w:r>
              <w:rPr>
                <w:rStyle w:val="IndexLink"/>
                <w:rtl w:val="true"/>
              </w:rPr>
              <w:t xml:space="preserve">] </w:t>
            </w:r>
            <w:r>
              <w:rPr>
                <w:rStyle w:val="IndexLink"/>
                <w:rtl w:val="true"/>
              </w:rPr>
              <w:t>الأوّل</w:t>
            </w:r>
            <w:r>
              <w:rPr>
                <w:rStyle w:val="IndexLink"/>
                <w:rtl w:val="true"/>
              </w:rPr>
              <w:t xml:space="preserve">: </w:t>
            </w:r>
            <w:r>
              <w:rPr>
                <w:rStyle w:val="IndexLink"/>
                <w:rtl w:val="true"/>
              </w:rPr>
              <w:t>في النجاسات</w:t>
            </w:r>
            <w:r>
              <w:rPr>
                <w:rStyle w:val="IndexLink"/>
                <w:rtl w:val="true"/>
              </w:rPr>
              <w:tab/>
            </w:r>
            <w:r>
              <w:rPr>
                <w:rStyle w:val="IndexLink"/>
              </w:rPr>
              <w:t>101</w:t>
            </w:r>
          </w:hyperlink>
        </w:p>
        <w:p>
          <w:pPr>
            <w:pStyle w:val="Contents3"/>
            <w:tabs>
              <w:tab w:val="clear" w:pos="8459"/>
              <w:tab w:val="right" w:pos="9026" w:leader="dot"/>
            </w:tabs>
            <w:rPr/>
          </w:pPr>
          <w:hyperlink w:anchor="__RefHeading___Toc1814814_2870459653">
            <w:r>
              <w:rPr>
                <w:webHidden/>
                <w:rStyle w:val="IndexLink"/>
                <w:rtl w:val="true"/>
              </w:rPr>
              <w:t>المبحث الثاني</w:t>
            </w:r>
            <w:r>
              <w:rPr>
                <w:rStyle w:val="IndexLink"/>
                <w:rtl w:val="true"/>
              </w:rPr>
              <w:t xml:space="preserve">: </w:t>
            </w:r>
            <w:r>
              <w:rPr>
                <w:rStyle w:val="IndexLink"/>
                <w:rtl w:val="true"/>
              </w:rPr>
              <w:t>في كيفيّة التنجيس بها</w:t>
            </w:r>
            <w:r>
              <w:rPr>
                <w:rStyle w:val="IndexLink"/>
                <w:rtl w:val="true"/>
              </w:rPr>
              <w:tab/>
            </w:r>
            <w:r>
              <w:rPr>
                <w:rStyle w:val="IndexLink"/>
              </w:rPr>
              <w:t>104</w:t>
            </w:r>
          </w:hyperlink>
        </w:p>
        <w:p>
          <w:pPr>
            <w:pStyle w:val="Contents3"/>
            <w:tabs>
              <w:tab w:val="clear" w:pos="8459"/>
              <w:tab w:val="right" w:pos="9026" w:leader="dot"/>
            </w:tabs>
            <w:rPr/>
          </w:pPr>
          <w:hyperlink w:anchor="__RefHeading___Toc1814816_2870459653">
            <w:r>
              <w:rPr>
                <w:webHidden/>
                <w:rStyle w:val="IndexLink"/>
                <w:rtl w:val="true"/>
              </w:rPr>
              <w:t>المبحث الثالث</w:t>
            </w:r>
            <w:r>
              <w:rPr>
                <w:rStyle w:val="IndexLink"/>
                <w:rtl w:val="true"/>
              </w:rPr>
              <w:t xml:space="preserve">: </w:t>
            </w:r>
            <w:r>
              <w:rPr>
                <w:rStyle w:val="IndexLink"/>
                <w:rtl w:val="true"/>
              </w:rPr>
              <w:t>في أحكامها</w:t>
            </w:r>
            <w:r>
              <w:rPr>
                <w:rStyle w:val="IndexLink"/>
                <w:rtl w:val="true"/>
              </w:rPr>
              <w:tab/>
            </w:r>
            <w:r>
              <w:rPr>
                <w:rStyle w:val="IndexLink"/>
              </w:rPr>
              <w:t>105</w:t>
            </w:r>
          </w:hyperlink>
        </w:p>
        <w:p>
          <w:pPr>
            <w:pStyle w:val="Contents3"/>
            <w:tabs>
              <w:tab w:val="clear" w:pos="8459"/>
              <w:tab w:val="right" w:pos="9026" w:leader="dot"/>
            </w:tabs>
            <w:rPr/>
          </w:pPr>
          <w:hyperlink w:anchor="__RefHeading___Toc1814818_2870459653">
            <w:r>
              <w:rPr>
                <w:webHidden/>
                <w:rStyle w:val="IndexLink"/>
                <w:rtl w:val="true"/>
              </w:rPr>
              <w:t>المبحث الرابع</w:t>
            </w:r>
            <w:r>
              <w:rPr>
                <w:rStyle w:val="IndexLink"/>
                <w:rtl w:val="true"/>
              </w:rPr>
              <w:t xml:space="preserve">: </w:t>
            </w:r>
            <w:r>
              <w:rPr>
                <w:rStyle w:val="IndexLink"/>
                <w:rtl w:val="true"/>
              </w:rPr>
              <w:t>فيما يُعفى عنه منها في الصلاة</w:t>
            </w:r>
            <w:r>
              <w:rPr>
                <w:rStyle w:val="IndexLink"/>
                <w:rtl w:val="true"/>
              </w:rPr>
              <w:tab/>
            </w:r>
            <w:r>
              <w:rPr>
                <w:rStyle w:val="IndexLink"/>
              </w:rPr>
              <w:t>107</w:t>
            </w:r>
          </w:hyperlink>
        </w:p>
        <w:p>
          <w:pPr>
            <w:pStyle w:val="Contents3"/>
            <w:tabs>
              <w:tab w:val="clear" w:pos="8459"/>
              <w:tab w:val="right" w:pos="9026" w:leader="dot"/>
            </w:tabs>
            <w:rPr/>
          </w:pPr>
          <w:hyperlink w:anchor="__RefHeading___Toc1814820_2870459653">
            <w:r>
              <w:rPr>
                <w:webHidden/>
                <w:rStyle w:val="IndexLink"/>
                <w:rtl w:val="true"/>
              </w:rPr>
              <w:t>المبحث الخامس</w:t>
            </w:r>
            <w:r>
              <w:rPr>
                <w:rStyle w:val="IndexLink"/>
                <w:rtl w:val="true"/>
              </w:rPr>
              <w:t xml:space="preserve">: </w:t>
            </w:r>
            <w:r>
              <w:rPr>
                <w:rStyle w:val="IndexLink"/>
                <w:rtl w:val="true"/>
              </w:rPr>
              <w:t>في المطهّرات، وكيفيّة التطهير، وما يطهَّر بها</w:t>
            </w:r>
            <w:r>
              <w:rPr>
                <w:rStyle w:val="IndexLink"/>
                <w:rtl w:val="true"/>
              </w:rPr>
              <w:tab/>
            </w:r>
            <w:r>
              <w:rPr>
                <w:rStyle w:val="IndexLink"/>
              </w:rPr>
              <w:t>109</w:t>
            </w:r>
          </w:hyperlink>
        </w:p>
        <w:p>
          <w:pPr>
            <w:pStyle w:val="Contents3"/>
            <w:tabs>
              <w:tab w:val="clear" w:pos="8459"/>
              <w:tab w:val="right" w:pos="9026" w:leader="dot"/>
            </w:tabs>
            <w:rPr/>
          </w:pPr>
          <w:hyperlink w:anchor="__RefHeading___Toc1814822_2870459653">
            <w:r>
              <w:rPr>
                <w:webHidden/>
                <w:rStyle w:val="IndexLink"/>
                <w:rtl w:val="true"/>
              </w:rPr>
              <w:t xml:space="preserve">المبحث السادس </w:t>
            </w:r>
            <w:r>
              <w:rPr>
                <w:rStyle w:val="IndexLink"/>
                <w:rtl w:val="true"/>
              </w:rPr>
              <w:t xml:space="preserve">: </w:t>
            </w:r>
            <w:r>
              <w:rPr>
                <w:rStyle w:val="IndexLink"/>
                <w:rtl w:val="true"/>
              </w:rPr>
              <w:t>في الأواني</w:t>
            </w:r>
            <w:r>
              <w:rPr>
                <w:rStyle w:val="IndexLink"/>
                <w:rtl w:val="true"/>
              </w:rPr>
              <w:tab/>
            </w:r>
            <w:r>
              <w:rPr>
                <w:rStyle w:val="IndexLink"/>
              </w:rPr>
              <w:t>116</w:t>
            </w:r>
          </w:hyperlink>
        </w:p>
        <w:p>
          <w:pPr>
            <w:pStyle w:val="Contents2"/>
            <w:tabs>
              <w:tab w:val="clear" w:pos="8743"/>
              <w:tab w:val="right" w:pos="9026" w:leader="dot"/>
            </w:tabs>
            <w:rPr/>
          </w:pPr>
          <w:hyperlink w:anchor="__RefHeading___Toc1814824_2870459653">
            <w:r>
              <w:rPr>
                <w:webHidden/>
                <w:rStyle w:val="IndexLink"/>
                <w:rtl w:val="true"/>
              </w:rPr>
              <w:t>كتاب الصلاة</w:t>
            </w:r>
            <w:r>
              <w:rPr>
                <w:rStyle w:val="IndexLink"/>
                <w:rtl w:val="true"/>
              </w:rPr>
              <w:tab/>
            </w:r>
            <w:r>
              <w:rPr>
                <w:rStyle w:val="IndexLink"/>
              </w:rPr>
              <w:t>119</w:t>
            </w:r>
          </w:hyperlink>
        </w:p>
        <w:p>
          <w:pPr>
            <w:pStyle w:val="Contents3"/>
            <w:tabs>
              <w:tab w:val="clear" w:pos="8459"/>
              <w:tab w:val="right" w:pos="9026" w:leader="dot"/>
            </w:tabs>
            <w:rPr/>
          </w:pPr>
          <w:hyperlink w:anchor="__RefHeading___Toc1814826_2870459653">
            <w:r>
              <w:rPr>
                <w:webHidden/>
                <w:rStyle w:val="IndexLink"/>
                <w:rtl w:val="true"/>
              </w:rPr>
              <w:t>اشارة</w:t>
            </w:r>
            <w:r>
              <w:rPr>
                <w:rStyle w:val="IndexLink"/>
                <w:rtl w:val="true"/>
              </w:rPr>
              <w:tab/>
            </w:r>
            <w:r>
              <w:rPr>
                <w:rStyle w:val="IndexLink"/>
              </w:rPr>
              <w:t>119</w:t>
            </w:r>
          </w:hyperlink>
        </w:p>
        <w:p>
          <w:pPr>
            <w:pStyle w:val="Contents3"/>
            <w:tabs>
              <w:tab w:val="clear" w:pos="8459"/>
              <w:tab w:val="right" w:pos="9026" w:leader="dot"/>
            </w:tabs>
            <w:rPr/>
          </w:pPr>
          <w:hyperlink w:anchor="__RefHeading___Toc1814828_2870459653">
            <w:r>
              <w:rPr>
                <w:webHidden/>
                <w:rStyle w:val="IndexLink"/>
                <w:rtl w:val="true"/>
              </w:rPr>
              <w:t>[</w:t>
            </w:r>
            <w:r>
              <w:rPr>
                <w:rStyle w:val="IndexLink"/>
                <w:rtl w:val="true"/>
              </w:rPr>
              <w:t>المقصد</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المقدّمات</w:t>
            </w:r>
            <w:r>
              <w:rPr>
                <w:rStyle w:val="IndexLink"/>
                <w:rtl w:val="true"/>
              </w:rPr>
              <w:tab/>
            </w:r>
            <w:r>
              <w:rPr>
                <w:rStyle w:val="IndexLink"/>
              </w:rPr>
              <w:t>121</w:t>
            </w:r>
          </w:hyperlink>
        </w:p>
        <w:p>
          <w:pPr>
            <w:pStyle w:val="Contents3"/>
            <w:tabs>
              <w:tab w:val="clear" w:pos="8459"/>
              <w:tab w:val="right" w:pos="9026" w:leader="dot"/>
            </w:tabs>
            <w:rPr/>
          </w:pPr>
          <w:hyperlink w:anchor="__RefHeading___Toc1814830_2870459653">
            <w:r>
              <w:rPr>
                <w:webHidden/>
                <w:rStyle w:val="IndexLink"/>
                <w:rtl w:val="true"/>
              </w:rPr>
              <w:t>[</w:t>
            </w:r>
            <w:r>
              <w:rPr>
                <w:rStyle w:val="IndexLink"/>
                <w:rtl w:val="true"/>
              </w:rPr>
              <w:t xml:space="preserve">المقدّمة </w:t>
            </w:r>
            <w:r>
              <w:rPr>
                <w:rStyle w:val="IndexLink"/>
                <w:rtl w:val="true"/>
              </w:rPr>
              <w:t xml:space="preserve">] </w:t>
            </w:r>
            <w:r>
              <w:rPr>
                <w:rStyle w:val="IndexLink"/>
                <w:rtl w:val="true"/>
              </w:rPr>
              <w:t xml:space="preserve">الأولى </w:t>
            </w:r>
            <w:r>
              <w:rPr>
                <w:rStyle w:val="IndexLink"/>
                <w:rtl w:val="true"/>
              </w:rPr>
              <w:t xml:space="preserve">: </w:t>
            </w:r>
            <w:r>
              <w:rPr>
                <w:rStyle w:val="IndexLink"/>
                <w:rtl w:val="true"/>
              </w:rPr>
              <w:t>في أعداد الفرائض، ومواقيت اليوميّة منها ونوافلها</w:t>
            </w:r>
            <w:r>
              <w:rPr>
                <w:rStyle w:val="IndexLink"/>
                <w:rtl w:val="true"/>
              </w:rPr>
              <w:tab/>
            </w:r>
            <w:r>
              <w:rPr>
                <w:rStyle w:val="IndexLink"/>
              </w:rPr>
              <w:t>121</w:t>
            </w:r>
          </w:hyperlink>
        </w:p>
        <w:p>
          <w:pPr>
            <w:pStyle w:val="Contents4"/>
            <w:tabs>
              <w:tab w:val="clear" w:pos="8176"/>
              <w:tab w:val="right" w:pos="9026" w:leader="dot"/>
            </w:tabs>
            <w:rPr/>
          </w:pPr>
          <w:hyperlink w:anchor="__RefHeading___Toc1814832_2870459653">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1814834_2870459653">
            <w:r>
              <w:rPr>
                <w:webHidden/>
                <w:rStyle w:val="IndexLink"/>
                <w:rtl w:val="true"/>
              </w:rPr>
              <w:t>[</w:t>
            </w:r>
            <w:r>
              <w:rPr>
                <w:rStyle w:val="IndexLink"/>
                <w:rtl w:val="true"/>
              </w:rPr>
              <w:t>المبحث</w:t>
            </w:r>
            <w:r>
              <w:rPr>
                <w:rStyle w:val="IndexLink"/>
                <w:rtl w:val="true"/>
              </w:rPr>
              <w:t xml:space="preserve">] </w:t>
            </w:r>
            <w:r>
              <w:rPr>
                <w:rStyle w:val="IndexLink"/>
                <w:rtl w:val="true"/>
              </w:rPr>
              <w:t>الأوّل</w:t>
            </w:r>
            <w:r>
              <w:rPr>
                <w:rStyle w:val="IndexLink"/>
                <w:rtl w:val="true"/>
              </w:rPr>
              <w:t xml:space="preserve">: </w:t>
            </w:r>
            <w:r>
              <w:rPr>
                <w:rStyle w:val="IndexLink"/>
                <w:rtl w:val="true"/>
              </w:rPr>
              <w:t>الصلوات الواجبة والمندوبة</w:t>
            </w:r>
            <w:r>
              <w:rPr>
                <w:rStyle w:val="IndexLink"/>
                <w:rtl w:val="true"/>
              </w:rPr>
              <w:tab/>
            </w:r>
            <w:r>
              <w:rPr>
                <w:rStyle w:val="IndexLink"/>
              </w:rPr>
              <w:t>121</w:t>
            </w:r>
          </w:hyperlink>
        </w:p>
        <w:p>
          <w:pPr>
            <w:pStyle w:val="Contents4"/>
            <w:tabs>
              <w:tab w:val="clear" w:pos="8176"/>
              <w:tab w:val="right" w:pos="9026" w:leader="dot"/>
            </w:tabs>
            <w:rPr/>
          </w:pPr>
          <w:hyperlink w:anchor="__RefHeading___Toc1814836_2870459653">
            <w:r>
              <w:rPr>
                <w:webHidden/>
                <w:rStyle w:val="IndexLink"/>
                <w:rtl w:val="true"/>
              </w:rPr>
              <w:t xml:space="preserve">المبحث الثاني </w:t>
            </w:r>
            <w:r>
              <w:rPr>
                <w:rStyle w:val="IndexLink"/>
                <w:rtl w:val="true"/>
              </w:rPr>
              <w:t xml:space="preserve">: </w:t>
            </w:r>
            <w:r>
              <w:rPr>
                <w:rStyle w:val="IndexLink"/>
                <w:rtl w:val="true"/>
              </w:rPr>
              <w:t>في مواقيتها</w:t>
            </w:r>
            <w:r>
              <w:rPr>
                <w:rStyle w:val="IndexLink"/>
                <w:rtl w:val="true"/>
              </w:rPr>
              <w:tab/>
            </w:r>
            <w:r>
              <w:rPr>
                <w:rStyle w:val="IndexLink"/>
              </w:rPr>
              <w:t>121</w:t>
            </w:r>
          </w:hyperlink>
        </w:p>
        <w:p>
          <w:pPr>
            <w:pStyle w:val="Contents4"/>
            <w:tabs>
              <w:tab w:val="clear" w:pos="8176"/>
              <w:tab w:val="right" w:pos="9026" w:leader="dot"/>
            </w:tabs>
            <w:rPr/>
          </w:pPr>
          <w:hyperlink w:anchor="__RefHeading___Toc1814838_2870459653">
            <w:r>
              <w:rPr>
                <w:webHidden/>
                <w:rStyle w:val="IndexLink"/>
                <w:rtl w:val="true"/>
              </w:rPr>
              <w:t>المبحث الثالث</w:t>
            </w:r>
            <w:r>
              <w:rPr>
                <w:rStyle w:val="IndexLink"/>
                <w:rtl w:val="true"/>
              </w:rPr>
              <w:t xml:space="preserve">: </w:t>
            </w:r>
            <w:r>
              <w:rPr>
                <w:rStyle w:val="IndexLink"/>
                <w:rtl w:val="true"/>
              </w:rPr>
              <w:t>في الأحكام</w:t>
            </w:r>
            <w:r>
              <w:rPr>
                <w:rStyle w:val="IndexLink"/>
                <w:rtl w:val="true"/>
              </w:rPr>
              <w:tab/>
            </w:r>
            <w:r>
              <w:rPr>
                <w:rStyle w:val="IndexLink"/>
              </w:rPr>
              <w:t>123</w:t>
            </w:r>
          </w:hyperlink>
        </w:p>
        <w:p>
          <w:pPr>
            <w:pStyle w:val="Contents3"/>
            <w:tabs>
              <w:tab w:val="clear" w:pos="8459"/>
              <w:tab w:val="right" w:pos="9026" w:leader="dot"/>
            </w:tabs>
            <w:rPr/>
          </w:pPr>
          <w:hyperlink w:anchor="__RefHeading___Toc1814840_2870459653">
            <w:r>
              <w:rPr>
                <w:webHidden/>
                <w:rStyle w:val="IndexLink"/>
                <w:rtl w:val="true"/>
              </w:rPr>
              <w:t>المقدّمة الثانية</w:t>
            </w:r>
            <w:r>
              <w:rPr>
                <w:rStyle w:val="IndexLink"/>
                <w:rtl w:val="true"/>
              </w:rPr>
              <w:t xml:space="preserve">: </w:t>
            </w:r>
            <w:r>
              <w:rPr>
                <w:rStyle w:val="IndexLink"/>
                <w:rtl w:val="true"/>
              </w:rPr>
              <w:t>في القبلة</w:t>
            </w:r>
            <w:r>
              <w:rPr>
                <w:rStyle w:val="IndexLink"/>
                <w:rtl w:val="true"/>
              </w:rPr>
              <w:tab/>
            </w:r>
            <w:r>
              <w:rPr>
                <w:rStyle w:val="IndexLink"/>
              </w:rPr>
              <w:t>125</w:t>
            </w:r>
          </w:hyperlink>
        </w:p>
        <w:p>
          <w:pPr>
            <w:pStyle w:val="Contents4"/>
            <w:tabs>
              <w:tab w:val="clear" w:pos="8176"/>
              <w:tab w:val="right" w:pos="9026" w:leader="dot"/>
            </w:tabs>
            <w:rPr/>
          </w:pPr>
          <w:hyperlink w:anchor="__RefHeading___Toc1814842_2870459653">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1814844_2870459653">
            <w:r>
              <w:rPr>
                <w:webHidden/>
                <w:rStyle w:val="IndexLink"/>
                <w:rtl w:val="true"/>
              </w:rPr>
              <w:t>[</w:t>
            </w:r>
            <w:r>
              <w:rPr>
                <w:rStyle w:val="IndexLink"/>
                <w:rtl w:val="true"/>
              </w:rPr>
              <w:t>المبحث</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بيانها وكيفيّة استقبالها</w:t>
            </w:r>
            <w:r>
              <w:rPr>
                <w:rStyle w:val="IndexLink"/>
                <w:rtl w:val="true"/>
              </w:rPr>
              <w:tab/>
            </w:r>
            <w:r>
              <w:rPr>
                <w:rStyle w:val="IndexLink"/>
              </w:rPr>
              <w:t>125</w:t>
            </w:r>
          </w:hyperlink>
        </w:p>
        <w:p>
          <w:pPr>
            <w:pStyle w:val="Contents4"/>
            <w:tabs>
              <w:tab w:val="clear" w:pos="8176"/>
              <w:tab w:val="right" w:pos="9026" w:leader="dot"/>
            </w:tabs>
            <w:rPr/>
          </w:pPr>
          <w:hyperlink w:anchor="__RefHeading___Toc1814846_2870459653">
            <w:r>
              <w:rPr>
                <w:webHidden/>
                <w:rStyle w:val="IndexLink"/>
                <w:rtl w:val="true"/>
              </w:rPr>
              <w:t xml:space="preserve">المبحث الثاني </w:t>
            </w:r>
            <w:r>
              <w:rPr>
                <w:rStyle w:val="IndexLink"/>
                <w:rtl w:val="true"/>
              </w:rPr>
              <w:t xml:space="preserve">: </w:t>
            </w:r>
            <w:r>
              <w:rPr>
                <w:rStyle w:val="IndexLink"/>
                <w:rtl w:val="true"/>
              </w:rPr>
              <w:t>فيما يُستقبَل له</w:t>
            </w:r>
            <w:r>
              <w:rPr>
                <w:rStyle w:val="IndexLink"/>
                <w:rtl w:val="true"/>
              </w:rPr>
              <w:tab/>
            </w:r>
            <w:r>
              <w:rPr>
                <w:rStyle w:val="IndexLink"/>
              </w:rPr>
              <w:t>126</w:t>
            </w:r>
          </w:hyperlink>
        </w:p>
        <w:p>
          <w:pPr>
            <w:pStyle w:val="Contents4"/>
            <w:tabs>
              <w:tab w:val="clear" w:pos="8176"/>
              <w:tab w:val="right" w:pos="9026" w:leader="dot"/>
            </w:tabs>
            <w:rPr/>
          </w:pPr>
          <w:hyperlink w:anchor="__RefHeading___Toc1814848_2870459653">
            <w:r>
              <w:rPr>
                <w:webHidden/>
                <w:rStyle w:val="IndexLink"/>
                <w:rtl w:val="true"/>
              </w:rPr>
              <w:t>المبحث الثالث</w:t>
            </w:r>
            <w:r>
              <w:rPr>
                <w:rStyle w:val="IndexLink"/>
                <w:rtl w:val="true"/>
              </w:rPr>
              <w:t xml:space="preserve">: </w:t>
            </w:r>
            <w:r>
              <w:rPr>
                <w:rStyle w:val="IndexLink"/>
                <w:rtl w:val="true"/>
              </w:rPr>
              <w:t>في الخلل</w:t>
            </w:r>
            <w:r>
              <w:rPr>
                <w:rStyle w:val="IndexLink"/>
                <w:rtl w:val="true"/>
              </w:rPr>
              <w:tab/>
            </w:r>
            <w:r>
              <w:rPr>
                <w:rStyle w:val="IndexLink"/>
              </w:rPr>
              <w:t>127</w:t>
            </w:r>
          </w:hyperlink>
        </w:p>
        <w:p>
          <w:pPr>
            <w:pStyle w:val="Contents3"/>
            <w:tabs>
              <w:tab w:val="clear" w:pos="8459"/>
              <w:tab w:val="right" w:pos="9026" w:leader="dot"/>
            </w:tabs>
            <w:rPr/>
          </w:pPr>
          <w:hyperlink w:anchor="__RefHeading___Toc1814850_2870459653">
            <w:r>
              <w:rPr>
                <w:webHidden/>
                <w:rStyle w:val="IndexLink"/>
                <w:rtl w:val="true"/>
              </w:rPr>
              <w:t>المقدّمة الثالثة</w:t>
            </w:r>
            <w:r>
              <w:rPr>
                <w:rStyle w:val="IndexLink"/>
                <w:rtl w:val="true"/>
              </w:rPr>
              <w:t xml:space="preserve">: </w:t>
            </w:r>
            <w:r>
              <w:rPr>
                <w:rStyle w:val="IndexLink"/>
                <w:rtl w:val="true"/>
              </w:rPr>
              <w:t>في الساتر</w:t>
            </w:r>
            <w:r>
              <w:rPr>
                <w:rStyle w:val="IndexLink"/>
                <w:rtl w:val="true"/>
              </w:rPr>
              <w:tab/>
            </w:r>
            <w:r>
              <w:rPr>
                <w:rStyle w:val="IndexLink"/>
              </w:rPr>
              <w:t>128</w:t>
            </w:r>
          </w:hyperlink>
        </w:p>
        <w:p>
          <w:pPr>
            <w:pStyle w:val="Contents4"/>
            <w:tabs>
              <w:tab w:val="clear" w:pos="8176"/>
              <w:tab w:val="right" w:pos="9026" w:leader="dot"/>
            </w:tabs>
            <w:rPr/>
          </w:pPr>
          <w:hyperlink w:anchor="__RefHeading___Toc1814852_2870459653">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1814854_2870459653">
            <w:r>
              <w:rPr>
                <w:webHidden/>
                <w:rStyle w:val="IndexLink"/>
                <w:rtl w:val="true"/>
              </w:rPr>
              <w:t>[</w:t>
            </w:r>
            <w:r>
              <w:rPr>
                <w:rStyle w:val="IndexLink"/>
                <w:rtl w:val="true"/>
              </w:rPr>
              <w:t>المبحث</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ستر العورة</w:t>
            </w:r>
            <w:r>
              <w:rPr>
                <w:rStyle w:val="IndexLink"/>
                <w:rtl w:val="true"/>
              </w:rPr>
              <w:tab/>
            </w:r>
            <w:r>
              <w:rPr>
                <w:rStyle w:val="IndexLink"/>
              </w:rPr>
              <w:t>128</w:t>
            </w:r>
          </w:hyperlink>
        </w:p>
        <w:p>
          <w:pPr>
            <w:pStyle w:val="Contents4"/>
            <w:tabs>
              <w:tab w:val="clear" w:pos="8176"/>
              <w:tab w:val="right" w:pos="9026" w:leader="dot"/>
            </w:tabs>
            <w:rPr/>
          </w:pPr>
          <w:hyperlink w:anchor="__RefHeading___Toc1814856_2870459653">
            <w:r>
              <w:rPr>
                <w:webHidden/>
                <w:rStyle w:val="IndexLink"/>
                <w:rtl w:val="true"/>
              </w:rPr>
              <w:t xml:space="preserve">المبحث الثاني </w:t>
            </w:r>
            <w:r>
              <w:rPr>
                <w:rStyle w:val="IndexLink"/>
                <w:rtl w:val="true"/>
              </w:rPr>
              <w:t xml:space="preserve">: </w:t>
            </w:r>
            <w:r>
              <w:rPr>
                <w:rStyle w:val="IndexLink"/>
                <w:rtl w:val="true"/>
              </w:rPr>
              <w:t>ما یعتبر في الساتر</w:t>
            </w:r>
            <w:r>
              <w:rPr>
                <w:rStyle w:val="IndexLink"/>
                <w:rtl w:val="true"/>
              </w:rPr>
              <w:tab/>
            </w:r>
            <w:r>
              <w:rPr>
                <w:rStyle w:val="IndexLink"/>
              </w:rPr>
              <w:t>129</w:t>
            </w:r>
          </w:hyperlink>
        </w:p>
        <w:p>
          <w:pPr>
            <w:pStyle w:val="Contents4"/>
            <w:tabs>
              <w:tab w:val="clear" w:pos="8176"/>
              <w:tab w:val="right" w:pos="9026" w:leader="dot"/>
            </w:tabs>
            <w:rPr/>
          </w:pPr>
          <w:hyperlink w:anchor="__RefHeading___Toc1814858_2870459653">
            <w:r>
              <w:rPr>
                <w:webHidden/>
                <w:rStyle w:val="IndexLink"/>
                <w:rtl w:val="true"/>
              </w:rPr>
              <w:t xml:space="preserve">المبحث الثالث </w:t>
            </w:r>
            <w:r>
              <w:rPr>
                <w:rStyle w:val="IndexLink"/>
                <w:rtl w:val="true"/>
              </w:rPr>
              <w:t xml:space="preserve">: </w:t>
            </w:r>
            <w:r>
              <w:rPr>
                <w:rStyle w:val="IndexLink"/>
                <w:rtl w:val="true"/>
              </w:rPr>
              <w:t>في الاحکام</w:t>
            </w:r>
            <w:r>
              <w:rPr>
                <w:rStyle w:val="IndexLink"/>
                <w:rtl w:val="true"/>
              </w:rPr>
              <w:tab/>
            </w:r>
            <w:r>
              <w:rPr>
                <w:rStyle w:val="IndexLink"/>
              </w:rPr>
              <w:t>132</w:t>
            </w:r>
          </w:hyperlink>
        </w:p>
        <w:p>
          <w:pPr>
            <w:pStyle w:val="Contents4"/>
            <w:tabs>
              <w:tab w:val="clear" w:pos="8176"/>
              <w:tab w:val="right" w:pos="9026" w:leader="dot"/>
            </w:tabs>
            <w:rPr/>
          </w:pPr>
          <w:hyperlink w:anchor="__RefHeading___Toc1814860_2870459653">
            <w:r>
              <w:rPr>
                <w:webHidden/>
                <w:rStyle w:val="IndexLink"/>
                <w:rtl w:val="true"/>
              </w:rPr>
              <w:t xml:space="preserve">المبحث الرابع </w:t>
            </w:r>
            <w:r>
              <w:rPr>
                <w:rStyle w:val="IndexLink"/>
                <w:rtl w:val="true"/>
              </w:rPr>
              <w:t xml:space="preserve">: </w:t>
            </w:r>
            <w:r>
              <w:rPr>
                <w:rStyle w:val="IndexLink"/>
                <w:rtl w:val="true"/>
              </w:rPr>
              <w:t>التستر من جهة التحت</w:t>
            </w:r>
            <w:r>
              <w:rPr>
                <w:rStyle w:val="IndexLink"/>
                <w:rtl w:val="true"/>
              </w:rPr>
              <w:tab/>
            </w:r>
            <w:r>
              <w:rPr>
                <w:rStyle w:val="IndexLink"/>
              </w:rPr>
              <w:t>133</w:t>
            </w:r>
          </w:hyperlink>
        </w:p>
        <w:p>
          <w:pPr>
            <w:pStyle w:val="Contents4"/>
            <w:tabs>
              <w:tab w:val="clear" w:pos="8176"/>
              <w:tab w:val="right" w:pos="9026" w:leader="dot"/>
            </w:tabs>
            <w:rPr/>
          </w:pPr>
          <w:hyperlink w:anchor="__RefHeading___Toc1814862_2870459653">
            <w:r>
              <w:rPr>
                <w:webHidden/>
                <w:rStyle w:val="IndexLink"/>
                <w:rtl w:val="true"/>
              </w:rPr>
              <w:t xml:space="preserve">المبحث الخامس </w:t>
            </w:r>
            <w:r>
              <w:rPr>
                <w:rStyle w:val="IndexLink"/>
                <w:rtl w:val="true"/>
              </w:rPr>
              <w:t xml:space="preserve">: </w:t>
            </w:r>
            <w:r>
              <w:rPr>
                <w:rStyle w:val="IndexLink"/>
                <w:rtl w:val="true"/>
              </w:rPr>
              <w:t>في المكروهات</w:t>
            </w:r>
            <w:r>
              <w:rPr>
                <w:rStyle w:val="IndexLink"/>
                <w:rtl w:val="true"/>
              </w:rPr>
              <w:tab/>
            </w:r>
            <w:r>
              <w:rPr>
                <w:rStyle w:val="IndexLink"/>
              </w:rPr>
              <w:t>133</w:t>
            </w:r>
          </w:hyperlink>
        </w:p>
        <w:p>
          <w:pPr>
            <w:pStyle w:val="Contents3"/>
            <w:tabs>
              <w:tab w:val="clear" w:pos="8459"/>
              <w:tab w:val="right" w:pos="9026" w:leader="dot"/>
            </w:tabs>
            <w:rPr/>
          </w:pPr>
          <w:hyperlink w:anchor="__RefHeading___Toc1814864_2870459653">
            <w:r>
              <w:rPr>
                <w:webHidden/>
                <w:rStyle w:val="IndexLink"/>
                <w:rtl w:val="true"/>
              </w:rPr>
              <w:t xml:space="preserve">المقدّمة الرابعة </w:t>
            </w:r>
            <w:r>
              <w:rPr>
                <w:rStyle w:val="IndexLink"/>
                <w:rtl w:val="true"/>
              </w:rPr>
              <w:t xml:space="preserve">: </w:t>
            </w:r>
            <w:r>
              <w:rPr>
                <w:rStyle w:val="IndexLink"/>
                <w:rtl w:val="true"/>
              </w:rPr>
              <w:t>في مكان المصلّي</w:t>
            </w:r>
            <w:r>
              <w:rPr>
                <w:rStyle w:val="IndexLink"/>
                <w:rtl w:val="true"/>
              </w:rPr>
              <w:tab/>
            </w:r>
            <w:r>
              <w:rPr>
                <w:rStyle w:val="IndexLink"/>
              </w:rPr>
              <w:t>134</w:t>
            </w:r>
          </w:hyperlink>
        </w:p>
        <w:p>
          <w:pPr>
            <w:pStyle w:val="Contents4"/>
            <w:tabs>
              <w:tab w:val="clear" w:pos="8176"/>
              <w:tab w:val="right" w:pos="9026" w:leader="dot"/>
            </w:tabs>
            <w:rPr/>
          </w:pPr>
          <w:hyperlink w:anchor="__RefHeading___Toc1814866_2870459653">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1814868_2870459653">
            <w:r>
              <w:rPr>
                <w:webHidden/>
                <w:rStyle w:val="IndexLink"/>
                <w:rtl w:val="true"/>
              </w:rPr>
              <w:t xml:space="preserve">المبحث الأوّل </w:t>
            </w:r>
            <w:r>
              <w:rPr>
                <w:rStyle w:val="IndexLink"/>
                <w:rtl w:val="true"/>
              </w:rPr>
              <w:t xml:space="preserve">: </w:t>
            </w:r>
            <w:r>
              <w:rPr>
                <w:rStyle w:val="IndexLink"/>
                <w:rtl w:val="true"/>
              </w:rPr>
              <w:t>في الأحكام</w:t>
            </w:r>
            <w:r>
              <w:rPr>
                <w:rStyle w:val="IndexLink"/>
                <w:rtl w:val="true"/>
              </w:rPr>
              <w:tab/>
            </w:r>
            <w:r>
              <w:rPr>
                <w:rStyle w:val="IndexLink"/>
              </w:rPr>
              <w:t>134</w:t>
            </w:r>
          </w:hyperlink>
        </w:p>
        <w:p>
          <w:pPr>
            <w:pStyle w:val="Contents4"/>
            <w:tabs>
              <w:tab w:val="clear" w:pos="8176"/>
              <w:tab w:val="right" w:pos="9026" w:leader="dot"/>
            </w:tabs>
            <w:rPr/>
          </w:pPr>
          <w:hyperlink w:anchor="__RefHeading___Toc1814870_2870459653">
            <w:r>
              <w:rPr>
                <w:webHidden/>
                <w:rStyle w:val="IndexLink"/>
                <w:rtl w:val="true"/>
              </w:rPr>
              <w:t xml:space="preserve">المبحث الثاني </w:t>
            </w:r>
            <w:r>
              <w:rPr>
                <w:rStyle w:val="IndexLink"/>
                <w:rtl w:val="true"/>
              </w:rPr>
              <w:t xml:space="preserve">: </w:t>
            </w:r>
            <w:r>
              <w:rPr>
                <w:rStyle w:val="IndexLink"/>
                <w:rtl w:val="true"/>
              </w:rPr>
              <w:t>في محاذات الرجل والمرأة</w:t>
            </w:r>
            <w:r>
              <w:rPr>
                <w:rStyle w:val="IndexLink"/>
                <w:rtl w:val="true"/>
              </w:rPr>
              <w:tab/>
            </w:r>
            <w:r>
              <w:rPr>
                <w:rStyle w:val="IndexLink"/>
              </w:rPr>
              <w:t>135</w:t>
            </w:r>
          </w:hyperlink>
        </w:p>
        <w:p>
          <w:pPr>
            <w:pStyle w:val="Contents4"/>
            <w:tabs>
              <w:tab w:val="clear" w:pos="8176"/>
              <w:tab w:val="right" w:pos="9026" w:leader="dot"/>
            </w:tabs>
            <w:rPr/>
          </w:pPr>
          <w:hyperlink w:anchor="__RefHeading___Toc1814872_2870459653">
            <w:r>
              <w:rPr>
                <w:webHidden/>
                <w:rStyle w:val="IndexLink"/>
                <w:rtl w:val="true"/>
              </w:rPr>
              <w:t xml:space="preserve">المبحث الثالث </w:t>
            </w:r>
            <w:r>
              <w:rPr>
                <w:rStyle w:val="IndexLink"/>
                <w:rtl w:val="true"/>
              </w:rPr>
              <w:t xml:space="preserve">: </w:t>
            </w:r>
            <w:r>
              <w:rPr>
                <w:rStyle w:val="IndexLink"/>
                <w:rtl w:val="true"/>
              </w:rPr>
              <w:t>في مسجد الجبهة</w:t>
            </w:r>
            <w:r>
              <w:rPr>
                <w:rStyle w:val="IndexLink"/>
                <w:rtl w:val="true"/>
              </w:rPr>
              <w:tab/>
            </w:r>
            <w:r>
              <w:rPr>
                <w:rStyle w:val="IndexLink"/>
              </w:rPr>
              <w:t>135</w:t>
            </w:r>
          </w:hyperlink>
        </w:p>
        <w:p>
          <w:pPr>
            <w:pStyle w:val="Contents4"/>
            <w:tabs>
              <w:tab w:val="clear" w:pos="8176"/>
              <w:tab w:val="right" w:pos="9026" w:leader="dot"/>
            </w:tabs>
            <w:rPr/>
          </w:pPr>
          <w:hyperlink w:anchor="__RefHeading___Toc1814874_2870459653">
            <w:r>
              <w:rPr>
                <w:webHidden/>
                <w:rStyle w:val="IndexLink"/>
                <w:rtl w:val="true"/>
              </w:rPr>
              <w:t xml:space="preserve">المبحث الرابع </w:t>
            </w:r>
            <w:r>
              <w:rPr>
                <w:rStyle w:val="IndexLink"/>
                <w:rtl w:val="true"/>
              </w:rPr>
              <w:t xml:space="preserve">: </w:t>
            </w:r>
            <w:r>
              <w:rPr>
                <w:rStyle w:val="IndexLink"/>
                <w:rtl w:val="true"/>
              </w:rPr>
              <w:t>في الاستقرار</w:t>
            </w:r>
            <w:r>
              <w:rPr>
                <w:rStyle w:val="IndexLink"/>
                <w:rtl w:val="true"/>
              </w:rPr>
              <w:tab/>
            </w:r>
            <w:r>
              <w:rPr>
                <w:rStyle w:val="IndexLink"/>
              </w:rPr>
              <w:t>137</w:t>
            </w:r>
          </w:hyperlink>
        </w:p>
        <w:p>
          <w:pPr>
            <w:pStyle w:val="Contents4"/>
            <w:tabs>
              <w:tab w:val="clear" w:pos="8176"/>
              <w:tab w:val="right" w:pos="9026" w:leader="dot"/>
            </w:tabs>
            <w:rPr/>
          </w:pPr>
          <w:hyperlink w:anchor="__RefHeading___Toc1814876_2870459653">
            <w:r>
              <w:rPr>
                <w:webHidden/>
                <w:rStyle w:val="IndexLink"/>
                <w:rtl w:val="true"/>
              </w:rPr>
              <w:t xml:space="preserve">المبحث الخامس </w:t>
            </w:r>
            <w:r>
              <w:rPr>
                <w:rStyle w:val="IndexLink"/>
                <w:rtl w:val="true"/>
              </w:rPr>
              <w:t xml:space="preserve">: </w:t>
            </w:r>
            <w:r>
              <w:rPr>
                <w:rStyle w:val="IndexLink"/>
                <w:rtl w:val="true"/>
              </w:rPr>
              <w:t>الصلاة في الكعبة</w:t>
            </w:r>
            <w:r>
              <w:rPr>
                <w:rStyle w:val="IndexLink"/>
                <w:rtl w:val="true"/>
              </w:rPr>
              <w:tab/>
            </w:r>
            <w:r>
              <w:rPr>
                <w:rStyle w:val="IndexLink"/>
              </w:rPr>
              <w:t>138</w:t>
            </w:r>
          </w:hyperlink>
        </w:p>
        <w:p>
          <w:pPr>
            <w:pStyle w:val="Contents4"/>
            <w:tabs>
              <w:tab w:val="clear" w:pos="8176"/>
              <w:tab w:val="right" w:pos="9026" w:leader="dot"/>
            </w:tabs>
            <w:rPr/>
          </w:pPr>
          <w:hyperlink w:anchor="__RefHeading___Toc1814878_2870459653">
            <w:r>
              <w:rPr>
                <w:webHidden/>
                <w:rStyle w:val="IndexLink"/>
                <w:rtl w:val="true"/>
              </w:rPr>
              <w:t xml:space="preserve">المبحث السادس </w:t>
            </w:r>
            <w:r>
              <w:rPr>
                <w:rStyle w:val="IndexLink"/>
                <w:rtl w:val="true"/>
              </w:rPr>
              <w:t xml:space="preserve">: </w:t>
            </w:r>
            <w:r>
              <w:rPr>
                <w:rStyle w:val="IndexLink"/>
                <w:rtl w:val="true"/>
              </w:rPr>
              <w:t>في المكروهات</w:t>
            </w:r>
            <w:r>
              <w:rPr>
                <w:rStyle w:val="IndexLink"/>
                <w:rtl w:val="true"/>
              </w:rPr>
              <w:tab/>
            </w:r>
            <w:r>
              <w:rPr>
                <w:rStyle w:val="IndexLink"/>
              </w:rPr>
              <w:t>138</w:t>
            </w:r>
          </w:hyperlink>
        </w:p>
        <w:p>
          <w:pPr>
            <w:pStyle w:val="Contents3"/>
            <w:tabs>
              <w:tab w:val="clear" w:pos="8459"/>
              <w:tab w:val="right" w:pos="9026" w:leader="dot"/>
            </w:tabs>
            <w:rPr/>
          </w:pPr>
          <w:hyperlink w:anchor="__RefHeading___Toc1814880_2870459653">
            <w:r>
              <w:rPr>
                <w:webHidden/>
                <w:rStyle w:val="IndexLink"/>
                <w:rtl w:val="true"/>
              </w:rPr>
              <w:t>المقدّمة الخامسة</w:t>
            </w:r>
            <w:r>
              <w:rPr>
                <w:rStyle w:val="IndexLink"/>
                <w:rtl w:val="true"/>
              </w:rPr>
              <w:t xml:space="preserve">: </w:t>
            </w:r>
            <w:r>
              <w:rPr>
                <w:rStyle w:val="IndexLink"/>
                <w:rtl w:val="true"/>
              </w:rPr>
              <w:t>في الأذان والأقامة</w:t>
            </w:r>
            <w:r>
              <w:rPr>
                <w:rStyle w:val="IndexLink"/>
                <w:rtl w:val="true"/>
              </w:rPr>
              <w:tab/>
            </w:r>
            <w:r>
              <w:rPr>
                <w:rStyle w:val="IndexLink"/>
              </w:rPr>
              <w:t>139</w:t>
            </w:r>
          </w:hyperlink>
        </w:p>
        <w:p>
          <w:pPr>
            <w:pStyle w:val="Contents4"/>
            <w:tabs>
              <w:tab w:val="clear" w:pos="8176"/>
              <w:tab w:val="right" w:pos="9026" w:leader="dot"/>
            </w:tabs>
            <w:rPr/>
          </w:pPr>
          <w:hyperlink w:anchor="__RefHeading___Toc1814882_2870459653">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1814884_2870459653">
            <w:r>
              <w:rPr>
                <w:webHidden/>
                <w:rStyle w:val="IndexLink"/>
                <w:rtl w:val="true"/>
              </w:rPr>
              <w:t xml:space="preserve">المبحث الأوّل </w:t>
            </w:r>
            <w:r>
              <w:rPr>
                <w:rStyle w:val="IndexLink"/>
                <w:rtl w:val="true"/>
              </w:rPr>
              <w:t xml:space="preserve">: </w:t>
            </w:r>
            <w:r>
              <w:rPr>
                <w:rStyle w:val="IndexLink"/>
                <w:rtl w:val="true"/>
              </w:rPr>
              <w:t>في الأحکام</w:t>
            </w:r>
            <w:r>
              <w:rPr>
                <w:rStyle w:val="IndexLink"/>
                <w:rtl w:val="true"/>
              </w:rPr>
              <w:tab/>
            </w:r>
            <w:r>
              <w:rPr>
                <w:rStyle w:val="IndexLink"/>
              </w:rPr>
              <w:t>139</w:t>
            </w:r>
          </w:hyperlink>
        </w:p>
        <w:p>
          <w:pPr>
            <w:pStyle w:val="Contents4"/>
            <w:tabs>
              <w:tab w:val="clear" w:pos="8176"/>
              <w:tab w:val="right" w:pos="9026" w:leader="dot"/>
            </w:tabs>
            <w:rPr/>
          </w:pPr>
          <w:hyperlink w:anchor="__RefHeading___Toc1814886_2870459653">
            <w:r>
              <w:rPr>
                <w:webHidden/>
                <w:rStyle w:val="IndexLink"/>
                <w:rtl w:val="true"/>
              </w:rPr>
              <w:t xml:space="preserve">المبحث الثاني </w:t>
            </w:r>
            <w:r>
              <w:rPr>
                <w:rStyle w:val="IndexLink"/>
                <w:rtl w:val="true"/>
              </w:rPr>
              <w:t xml:space="preserve">: </w:t>
            </w:r>
            <w:r>
              <w:rPr>
                <w:rStyle w:val="IndexLink"/>
                <w:rtl w:val="true"/>
              </w:rPr>
              <w:t>في فصول الأذان والإقامة وما يشترط فيهما</w:t>
            </w:r>
            <w:r>
              <w:rPr>
                <w:rStyle w:val="IndexLink"/>
                <w:rtl w:val="true"/>
              </w:rPr>
              <w:tab/>
            </w:r>
            <w:r>
              <w:rPr>
                <w:rStyle w:val="IndexLink"/>
              </w:rPr>
              <w:t>140</w:t>
            </w:r>
          </w:hyperlink>
        </w:p>
        <w:p>
          <w:pPr>
            <w:pStyle w:val="Contents4"/>
            <w:tabs>
              <w:tab w:val="clear" w:pos="8176"/>
              <w:tab w:val="right" w:pos="9026" w:leader="dot"/>
            </w:tabs>
            <w:rPr/>
          </w:pPr>
          <w:hyperlink w:anchor="__RefHeading___Toc1814888_2870459653">
            <w:r>
              <w:rPr>
                <w:webHidden/>
                <w:rStyle w:val="IndexLink"/>
                <w:rtl w:val="true"/>
              </w:rPr>
              <w:t xml:space="preserve">المبحث الثالث </w:t>
            </w:r>
            <w:r>
              <w:rPr>
                <w:rStyle w:val="IndexLink"/>
                <w:rtl w:val="true"/>
              </w:rPr>
              <w:t xml:space="preserve">: </w:t>
            </w:r>
            <w:r>
              <w:rPr>
                <w:rStyle w:val="IndexLink"/>
                <w:rtl w:val="true"/>
              </w:rPr>
              <w:t>في المستحبّات</w:t>
            </w:r>
            <w:r>
              <w:rPr>
                <w:rStyle w:val="IndexLink"/>
                <w:rtl w:val="true"/>
              </w:rPr>
              <w:tab/>
            </w:r>
            <w:r>
              <w:rPr>
                <w:rStyle w:val="IndexLink"/>
              </w:rPr>
              <w:t>141</w:t>
            </w:r>
          </w:hyperlink>
        </w:p>
        <w:p>
          <w:pPr>
            <w:pStyle w:val="Contents3"/>
            <w:tabs>
              <w:tab w:val="clear" w:pos="8459"/>
              <w:tab w:val="right" w:pos="9026" w:leader="dot"/>
            </w:tabs>
            <w:rPr/>
          </w:pPr>
          <w:hyperlink w:anchor="__RefHeading___Toc1814890_2870459653">
            <w:r>
              <w:rPr>
                <w:webHidden/>
                <w:rStyle w:val="IndexLink"/>
                <w:rtl w:val="true"/>
              </w:rPr>
              <w:t xml:space="preserve">المقدّمة السادسة </w:t>
            </w:r>
            <w:r>
              <w:rPr>
                <w:rStyle w:val="IndexLink"/>
                <w:rtl w:val="true"/>
              </w:rPr>
              <w:t xml:space="preserve">: </w:t>
            </w:r>
            <w:r>
              <w:rPr>
                <w:rStyle w:val="IndexLink"/>
                <w:rtl w:val="true"/>
              </w:rPr>
              <w:t>ما ينبغي للمصلّي</w:t>
            </w:r>
            <w:r>
              <w:rPr>
                <w:rStyle w:val="IndexLink"/>
                <w:rtl w:val="true"/>
              </w:rPr>
              <w:tab/>
            </w:r>
            <w:r>
              <w:rPr>
                <w:rStyle w:val="IndexLink"/>
              </w:rPr>
              <w:t>143</w:t>
            </w:r>
          </w:hyperlink>
        </w:p>
        <w:p>
          <w:pPr>
            <w:pStyle w:val="Contents3"/>
            <w:tabs>
              <w:tab w:val="clear" w:pos="8459"/>
              <w:tab w:val="right" w:pos="9026" w:leader="dot"/>
            </w:tabs>
            <w:rPr/>
          </w:pPr>
          <w:hyperlink w:anchor="__RefHeading___Toc1814892_2870459653">
            <w:r>
              <w:rPr>
                <w:webHidden/>
                <w:rStyle w:val="IndexLink"/>
                <w:rtl w:val="true"/>
              </w:rPr>
              <w:t xml:space="preserve">المقصد الثاني </w:t>
            </w:r>
            <w:r>
              <w:rPr>
                <w:rStyle w:val="IndexLink"/>
                <w:rtl w:val="true"/>
              </w:rPr>
              <w:t xml:space="preserve">: </w:t>
            </w:r>
            <w:r>
              <w:rPr>
                <w:rStyle w:val="IndexLink"/>
                <w:rtl w:val="true"/>
              </w:rPr>
              <w:t>في أفعال الصلاة</w:t>
            </w:r>
            <w:r>
              <w:rPr>
                <w:rStyle w:val="IndexLink"/>
                <w:rtl w:val="true"/>
              </w:rPr>
              <w:tab/>
            </w:r>
            <w:r>
              <w:rPr>
                <w:rStyle w:val="IndexLink"/>
              </w:rPr>
              <w:t>144</w:t>
            </w:r>
          </w:hyperlink>
        </w:p>
        <w:p>
          <w:pPr>
            <w:pStyle w:val="Contents4"/>
            <w:tabs>
              <w:tab w:val="clear" w:pos="8176"/>
              <w:tab w:val="right" w:pos="9026" w:leader="dot"/>
            </w:tabs>
            <w:rPr/>
          </w:pPr>
          <w:hyperlink w:anchor="__RefHeading___Toc1814894_2870459653">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1814896_2870459653">
            <w:r>
              <w:rPr>
                <w:webHidden/>
                <w:rStyle w:val="IndexLink"/>
                <w:rtl w:val="true"/>
              </w:rPr>
              <w:t>الفصل الأوّل</w:t>
            </w:r>
            <w:r>
              <w:rPr>
                <w:rStyle w:val="IndexLink"/>
                <w:rtl w:val="true"/>
              </w:rPr>
              <w:t xml:space="preserve">: </w:t>
            </w:r>
            <w:r>
              <w:rPr>
                <w:rStyle w:val="IndexLink"/>
                <w:rtl w:val="true"/>
              </w:rPr>
              <w:t>في النيّة</w:t>
            </w:r>
            <w:r>
              <w:rPr>
                <w:rStyle w:val="IndexLink"/>
                <w:rtl w:val="true"/>
              </w:rPr>
              <w:tab/>
            </w:r>
            <w:r>
              <w:rPr>
                <w:rStyle w:val="IndexLink"/>
              </w:rPr>
              <w:t>144</w:t>
            </w:r>
          </w:hyperlink>
        </w:p>
        <w:p>
          <w:pPr>
            <w:pStyle w:val="Contents4"/>
            <w:tabs>
              <w:tab w:val="clear" w:pos="8176"/>
              <w:tab w:val="right" w:pos="9026" w:leader="dot"/>
            </w:tabs>
            <w:rPr/>
          </w:pPr>
          <w:hyperlink w:anchor="__RefHeading___Toc1814898_2870459653">
            <w:r>
              <w:rPr>
                <w:webHidden/>
                <w:rStyle w:val="IndexLink"/>
                <w:rtl w:val="true"/>
              </w:rPr>
              <w:t>الفصل الثاني</w:t>
            </w:r>
            <w:r>
              <w:rPr>
                <w:rStyle w:val="IndexLink"/>
                <w:rtl w:val="true"/>
              </w:rPr>
              <w:t xml:space="preserve">: </w:t>
            </w:r>
            <w:r>
              <w:rPr>
                <w:rStyle w:val="IndexLink"/>
                <w:rtl w:val="true"/>
              </w:rPr>
              <w:t>في تكبيرة الإحرام</w:t>
            </w:r>
            <w:r>
              <w:rPr>
                <w:rStyle w:val="IndexLink"/>
                <w:rtl w:val="true"/>
              </w:rPr>
              <w:tab/>
            </w:r>
            <w:r>
              <w:rPr>
                <w:rStyle w:val="IndexLink"/>
              </w:rPr>
              <w:t>146</w:t>
            </w:r>
          </w:hyperlink>
        </w:p>
        <w:p>
          <w:pPr>
            <w:pStyle w:val="Contents5"/>
            <w:tabs>
              <w:tab w:val="clear" w:pos="7892"/>
              <w:tab w:val="right" w:pos="9026" w:leader="dot"/>
            </w:tabs>
            <w:rPr/>
          </w:pPr>
          <w:hyperlink w:anchor="__RefHeading___Toc1814900_2870459653">
            <w:r>
              <w:rPr>
                <w:webHidden/>
                <w:rStyle w:val="IndexLink"/>
                <w:rtl w:val="true"/>
              </w:rPr>
              <w:t>اشارة</w:t>
            </w:r>
            <w:r>
              <w:rPr>
                <w:rStyle w:val="IndexLink"/>
                <w:rtl w:val="true"/>
              </w:rPr>
              <w:tab/>
            </w:r>
            <w:r>
              <w:rPr>
                <w:rStyle w:val="IndexLink"/>
              </w:rPr>
              <w:t>146</w:t>
            </w:r>
          </w:hyperlink>
        </w:p>
        <w:p>
          <w:pPr>
            <w:pStyle w:val="Contents5"/>
            <w:tabs>
              <w:tab w:val="clear" w:pos="7892"/>
              <w:tab w:val="right" w:pos="9026" w:leader="dot"/>
            </w:tabs>
            <w:rPr/>
          </w:pPr>
          <w:hyperlink w:anchor="__RefHeading___Toc1814902_2870459653">
            <w:r>
              <w:rPr>
                <w:webHidden/>
                <w:rStyle w:val="IndexLink"/>
                <w:rtl w:val="true"/>
              </w:rPr>
              <w:t xml:space="preserve">المبحث الأوّل </w:t>
            </w:r>
            <w:r>
              <w:rPr>
                <w:rStyle w:val="IndexLink"/>
                <w:rtl w:val="true"/>
              </w:rPr>
              <w:t xml:space="preserve">: </w:t>
            </w:r>
            <w:r>
              <w:rPr>
                <w:rStyle w:val="IndexLink"/>
                <w:rtl w:val="true"/>
              </w:rPr>
              <w:t>في الأحكام</w:t>
            </w:r>
            <w:r>
              <w:rPr>
                <w:rStyle w:val="IndexLink"/>
                <w:rtl w:val="true"/>
              </w:rPr>
              <w:tab/>
            </w:r>
            <w:r>
              <w:rPr>
                <w:rStyle w:val="IndexLink"/>
              </w:rPr>
              <w:t>146</w:t>
            </w:r>
          </w:hyperlink>
        </w:p>
        <w:p>
          <w:pPr>
            <w:pStyle w:val="Contents5"/>
            <w:tabs>
              <w:tab w:val="clear" w:pos="7892"/>
              <w:tab w:val="right" w:pos="9026" w:leader="dot"/>
            </w:tabs>
            <w:rPr/>
          </w:pPr>
          <w:hyperlink w:anchor="__RefHeading___Toc1814904_2870459653">
            <w:r>
              <w:rPr>
                <w:webHidden/>
                <w:rStyle w:val="IndexLink"/>
                <w:rtl w:val="true"/>
              </w:rPr>
              <w:t xml:space="preserve">المبحث الثاني </w:t>
            </w:r>
            <w:r>
              <w:rPr>
                <w:rStyle w:val="IndexLink"/>
                <w:rtl w:val="true"/>
              </w:rPr>
              <w:t xml:space="preserve">: </w:t>
            </w:r>
            <w:r>
              <w:rPr>
                <w:rStyle w:val="IndexLink"/>
                <w:rtl w:val="true"/>
              </w:rPr>
              <w:t>في المستحبّات</w:t>
            </w:r>
            <w:r>
              <w:rPr>
                <w:rStyle w:val="IndexLink"/>
                <w:rtl w:val="true"/>
              </w:rPr>
              <w:tab/>
            </w:r>
            <w:r>
              <w:rPr>
                <w:rStyle w:val="IndexLink"/>
              </w:rPr>
              <w:t>147</w:t>
            </w:r>
          </w:hyperlink>
        </w:p>
        <w:p>
          <w:pPr>
            <w:pStyle w:val="Contents4"/>
            <w:tabs>
              <w:tab w:val="clear" w:pos="8176"/>
              <w:tab w:val="right" w:pos="9026" w:leader="dot"/>
            </w:tabs>
            <w:rPr/>
          </w:pPr>
          <w:hyperlink w:anchor="__RefHeading___Toc1814906_2870459653">
            <w:r>
              <w:rPr>
                <w:webHidden/>
                <w:rStyle w:val="IndexLink"/>
                <w:rtl w:val="true"/>
              </w:rPr>
              <w:t>الفصل الثالث</w:t>
            </w:r>
            <w:r>
              <w:rPr>
                <w:rStyle w:val="IndexLink"/>
                <w:rtl w:val="true"/>
              </w:rPr>
              <w:t xml:space="preserve">: </w:t>
            </w:r>
            <w:r>
              <w:rPr>
                <w:rStyle w:val="IndexLink"/>
                <w:rtl w:val="true"/>
              </w:rPr>
              <w:t>في القيام</w:t>
            </w:r>
            <w:r>
              <w:rPr>
                <w:rStyle w:val="IndexLink"/>
                <w:rtl w:val="true"/>
              </w:rPr>
              <w:tab/>
            </w:r>
            <w:r>
              <w:rPr>
                <w:rStyle w:val="IndexLink"/>
              </w:rPr>
              <w:t>148</w:t>
            </w:r>
          </w:hyperlink>
        </w:p>
        <w:p>
          <w:pPr>
            <w:pStyle w:val="Contents5"/>
            <w:tabs>
              <w:tab w:val="clear" w:pos="7892"/>
              <w:tab w:val="right" w:pos="9026" w:leader="dot"/>
            </w:tabs>
            <w:rPr/>
          </w:pPr>
          <w:hyperlink w:anchor="__RefHeading___Toc1814908_2870459653">
            <w:r>
              <w:rPr>
                <w:webHidden/>
                <w:rStyle w:val="IndexLink"/>
                <w:rtl w:val="true"/>
              </w:rPr>
              <w:t>اشارة</w:t>
            </w:r>
            <w:r>
              <w:rPr>
                <w:rStyle w:val="IndexLink"/>
                <w:rtl w:val="true"/>
              </w:rPr>
              <w:tab/>
            </w:r>
            <w:r>
              <w:rPr>
                <w:rStyle w:val="IndexLink"/>
              </w:rPr>
              <w:t>148</w:t>
            </w:r>
          </w:hyperlink>
        </w:p>
        <w:p>
          <w:pPr>
            <w:pStyle w:val="Contents5"/>
            <w:tabs>
              <w:tab w:val="clear" w:pos="7892"/>
              <w:tab w:val="right" w:pos="9026" w:leader="dot"/>
            </w:tabs>
            <w:rPr/>
          </w:pPr>
          <w:hyperlink w:anchor="__RefHeading___Toc1814910_2870459653">
            <w:r>
              <w:rPr>
                <w:webHidden/>
                <w:rStyle w:val="IndexLink"/>
                <w:rtl w:val="true"/>
              </w:rPr>
              <w:t xml:space="preserve">المبحث الأوّل </w:t>
            </w:r>
            <w:r>
              <w:rPr>
                <w:rStyle w:val="IndexLink"/>
                <w:rtl w:val="true"/>
              </w:rPr>
              <w:t xml:space="preserve">: </w:t>
            </w:r>
            <w:r>
              <w:rPr>
                <w:rStyle w:val="IndexLink"/>
                <w:rtl w:val="true"/>
              </w:rPr>
              <w:t>في الأحكام</w:t>
            </w:r>
            <w:r>
              <w:rPr>
                <w:rStyle w:val="IndexLink"/>
                <w:rtl w:val="true"/>
              </w:rPr>
              <w:tab/>
            </w:r>
            <w:r>
              <w:rPr>
                <w:rStyle w:val="IndexLink"/>
              </w:rPr>
              <w:t>148</w:t>
            </w:r>
          </w:hyperlink>
        </w:p>
        <w:p>
          <w:pPr>
            <w:pStyle w:val="Contents5"/>
            <w:tabs>
              <w:tab w:val="clear" w:pos="7892"/>
              <w:tab w:val="right" w:pos="9026" w:leader="dot"/>
            </w:tabs>
            <w:rPr/>
          </w:pPr>
          <w:hyperlink w:anchor="__RefHeading___Toc1814912_2870459653">
            <w:r>
              <w:rPr>
                <w:webHidden/>
                <w:rStyle w:val="IndexLink"/>
                <w:rtl w:val="true"/>
              </w:rPr>
              <w:t xml:space="preserve">المبحث الثاني </w:t>
            </w:r>
            <w:r>
              <w:rPr>
                <w:rStyle w:val="IndexLink"/>
                <w:rtl w:val="true"/>
              </w:rPr>
              <w:t xml:space="preserve">: </w:t>
            </w:r>
            <w:r>
              <w:rPr>
                <w:rStyle w:val="IndexLink"/>
                <w:rtl w:val="true"/>
              </w:rPr>
              <w:t>في المستحبّات</w:t>
            </w:r>
            <w:r>
              <w:rPr>
                <w:rStyle w:val="IndexLink"/>
                <w:rtl w:val="true"/>
              </w:rPr>
              <w:tab/>
            </w:r>
            <w:r>
              <w:rPr>
                <w:rStyle w:val="IndexLink"/>
              </w:rPr>
              <w:t>150</w:t>
            </w:r>
          </w:hyperlink>
        </w:p>
        <w:p>
          <w:pPr>
            <w:pStyle w:val="Contents4"/>
            <w:tabs>
              <w:tab w:val="clear" w:pos="8176"/>
              <w:tab w:val="right" w:pos="9026" w:leader="dot"/>
            </w:tabs>
            <w:rPr/>
          </w:pPr>
          <w:hyperlink w:anchor="__RefHeading___Toc1814914_2870459653">
            <w:r>
              <w:rPr>
                <w:webHidden/>
                <w:rStyle w:val="IndexLink"/>
                <w:rtl w:val="true"/>
              </w:rPr>
              <w:t>الفصل الرابع</w:t>
            </w:r>
            <w:r>
              <w:rPr>
                <w:rStyle w:val="IndexLink"/>
                <w:rtl w:val="true"/>
              </w:rPr>
              <w:t xml:space="preserve">: </w:t>
            </w:r>
            <w:r>
              <w:rPr>
                <w:rStyle w:val="IndexLink"/>
                <w:rtl w:val="true"/>
              </w:rPr>
              <w:t>في القراءة</w:t>
            </w:r>
            <w:r>
              <w:rPr>
                <w:rStyle w:val="IndexLink"/>
                <w:rtl w:val="true"/>
              </w:rPr>
              <w:tab/>
            </w:r>
            <w:r>
              <w:rPr>
                <w:rStyle w:val="IndexLink"/>
              </w:rPr>
              <w:t>150</w:t>
            </w:r>
          </w:hyperlink>
        </w:p>
        <w:p>
          <w:pPr>
            <w:pStyle w:val="Contents5"/>
            <w:tabs>
              <w:tab w:val="clear" w:pos="7892"/>
              <w:tab w:val="right" w:pos="9026" w:leader="dot"/>
            </w:tabs>
            <w:rPr/>
          </w:pPr>
          <w:hyperlink w:anchor="__RefHeading___Toc1814916_2870459653">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1814918_2870459653">
            <w:r>
              <w:rPr>
                <w:webHidden/>
                <w:rStyle w:val="IndexLink"/>
                <w:rtl w:val="true"/>
              </w:rPr>
              <w:t xml:space="preserve">المبحث الأوّل </w:t>
            </w:r>
            <w:r>
              <w:rPr>
                <w:rStyle w:val="IndexLink"/>
                <w:rtl w:val="true"/>
              </w:rPr>
              <w:t xml:space="preserve">: </w:t>
            </w:r>
            <w:r>
              <w:rPr>
                <w:rStyle w:val="IndexLink"/>
                <w:rtl w:val="true"/>
              </w:rPr>
              <w:t>في الأحكام</w:t>
            </w:r>
            <w:r>
              <w:rPr>
                <w:rStyle w:val="IndexLink"/>
                <w:rtl w:val="true"/>
              </w:rPr>
              <w:tab/>
            </w:r>
            <w:r>
              <w:rPr>
                <w:rStyle w:val="IndexLink"/>
              </w:rPr>
              <w:t>150</w:t>
            </w:r>
          </w:hyperlink>
        </w:p>
        <w:p>
          <w:pPr>
            <w:pStyle w:val="Contents5"/>
            <w:tabs>
              <w:tab w:val="clear" w:pos="7892"/>
              <w:tab w:val="right" w:pos="9026" w:leader="dot"/>
            </w:tabs>
            <w:rPr/>
          </w:pPr>
          <w:hyperlink w:anchor="__RefHeading___Toc1814920_2870459653">
            <w:r>
              <w:rPr>
                <w:webHidden/>
                <w:rStyle w:val="IndexLink"/>
                <w:rtl w:val="true"/>
              </w:rPr>
              <w:t xml:space="preserve">المبحث الثاني </w:t>
            </w:r>
            <w:r>
              <w:rPr>
                <w:rStyle w:val="IndexLink"/>
                <w:rtl w:val="true"/>
              </w:rPr>
              <w:t xml:space="preserve">: </w:t>
            </w:r>
            <w:r>
              <w:rPr>
                <w:rStyle w:val="IndexLink"/>
                <w:rtl w:val="true"/>
              </w:rPr>
              <w:t>في المستحبّات</w:t>
            </w:r>
            <w:r>
              <w:rPr>
                <w:rStyle w:val="IndexLink"/>
                <w:rtl w:val="true"/>
              </w:rPr>
              <w:tab/>
            </w:r>
            <w:r>
              <w:rPr>
                <w:rStyle w:val="IndexLink"/>
              </w:rPr>
              <w:t>153</w:t>
            </w:r>
          </w:hyperlink>
        </w:p>
        <w:p>
          <w:pPr>
            <w:pStyle w:val="Contents4"/>
            <w:tabs>
              <w:tab w:val="clear" w:pos="8176"/>
              <w:tab w:val="right" w:pos="9026" w:leader="dot"/>
            </w:tabs>
            <w:rPr/>
          </w:pPr>
          <w:hyperlink w:anchor="__RefHeading___Toc1814922_2870459653">
            <w:r>
              <w:rPr>
                <w:webHidden/>
                <w:rStyle w:val="IndexLink"/>
                <w:rtl w:val="true"/>
              </w:rPr>
              <w:t>الفصل الخامس</w:t>
            </w:r>
            <w:r>
              <w:rPr>
                <w:rStyle w:val="IndexLink"/>
                <w:rtl w:val="true"/>
              </w:rPr>
              <w:t xml:space="preserve">: </w:t>
            </w:r>
            <w:r>
              <w:rPr>
                <w:rStyle w:val="IndexLink"/>
                <w:rtl w:val="true"/>
              </w:rPr>
              <w:t>في الركوع</w:t>
            </w:r>
            <w:r>
              <w:rPr>
                <w:rStyle w:val="IndexLink"/>
                <w:rtl w:val="true"/>
              </w:rPr>
              <w:tab/>
            </w:r>
            <w:r>
              <w:rPr>
                <w:rStyle w:val="IndexLink"/>
              </w:rPr>
              <w:t>154</w:t>
            </w:r>
          </w:hyperlink>
        </w:p>
        <w:p>
          <w:pPr>
            <w:pStyle w:val="Contents5"/>
            <w:tabs>
              <w:tab w:val="clear" w:pos="7892"/>
              <w:tab w:val="right" w:pos="9026" w:leader="dot"/>
            </w:tabs>
            <w:rPr/>
          </w:pPr>
          <w:hyperlink w:anchor="__RefHeading___Toc1814924_2870459653">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1814926_2870459653">
            <w:r>
              <w:rPr>
                <w:webHidden/>
                <w:rStyle w:val="IndexLink"/>
                <w:rtl w:val="true"/>
              </w:rPr>
              <w:t xml:space="preserve">المبحث الأوّل </w:t>
            </w:r>
            <w:r>
              <w:rPr>
                <w:rStyle w:val="IndexLink"/>
                <w:rtl w:val="true"/>
              </w:rPr>
              <w:t xml:space="preserve">: </w:t>
            </w:r>
            <w:r>
              <w:rPr>
                <w:rStyle w:val="IndexLink"/>
                <w:rtl w:val="true"/>
              </w:rPr>
              <w:t>في الأحكام</w:t>
            </w:r>
            <w:r>
              <w:rPr>
                <w:rStyle w:val="IndexLink"/>
                <w:rtl w:val="true"/>
              </w:rPr>
              <w:tab/>
            </w:r>
            <w:r>
              <w:rPr>
                <w:rStyle w:val="IndexLink"/>
              </w:rPr>
              <w:t>154</w:t>
            </w:r>
          </w:hyperlink>
        </w:p>
        <w:p>
          <w:pPr>
            <w:pStyle w:val="Contents5"/>
            <w:tabs>
              <w:tab w:val="clear" w:pos="7892"/>
              <w:tab w:val="right" w:pos="9026" w:leader="dot"/>
            </w:tabs>
            <w:rPr/>
          </w:pPr>
          <w:hyperlink w:anchor="__RefHeading___Toc1814928_2870459653">
            <w:r>
              <w:rPr>
                <w:webHidden/>
                <w:rStyle w:val="IndexLink"/>
                <w:rtl w:val="true"/>
              </w:rPr>
              <w:t xml:space="preserve">المبحث الثاني </w:t>
            </w:r>
            <w:r>
              <w:rPr>
                <w:rStyle w:val="IndexLink"/>
                <w:rtl w:val="true"/>
              </w:rPr>
              <w:t xml:space="preserve">: </w:t>
            </w:r>
            <w:r>
              <w:rPr>
                <w:rStyle w:val="IndexLink"/>
                <w:rtl w:val="true"/>
              </w:rPr>
              <w:t>في المستحبّات</w:t>
            </w:r>
            <w:r>
              <w:rPr>
                <w:rStyle w:val="IndexLink"/>
                <w:rtl w:val="true"/>
              </w:rPr>
              <w:tab/>
            </w:r>
            <w:r>
              <w:rPr>
                <w:rStyle w:val="IndexLink"/>
              </w:rPr>
              <w:t>156</w:t>
            </w:r>
          </w:hyperlink>
        </w:p>
        <w:p>
          <w:pPr>
            <w:pStyle w:val="Contents4"/>
            <w:tabs>
              <w:tab w:val="clear" w:pos="8176"/>
              <w:tab w:val="right" w:pos="9026" w:leader="dot"/>
            </w:tabs>
            <w:rPr/>
          </w:pPr>
          <w:hyperlink w:anchor="__RefHeading___Toc1814930_2870459653">
            <w:r>
              <w:rPr>
                <w:webHidden/>
                <w:rStyle w:val="IndexLink"/>
                <w:rtl w:val="true"/>
              </w:rPr>
              <w:t>الفصل السادس</w:t>
            </w:r>
            <w:r>
              <w:rPr>
                <w:rStyle w:val="IndexLink"/>
                <w:rtl w:val="true"/>
              </w:rPr>
              <w:t xml:space="preserve">: </w:t>
            </w:r>
            <w:r>
              <w:rPr>
                <w:rStyle w:val="IndexLink"/>
                <w:rtl w:val="true"/>
              </w:rPr>
              <w:t>في السجود</w:t>
            </w:r>
            <w:r>
              <w:rPr>
                <w:rStyle w:val="IndexLink"/>
                <w:rtl w:val="true"/>
              </w:rPr>
              <w:tab/>
            </w:r>
            <w:r>
              <w:rPr>
                <w:rStyle w:val="IndexLink"/>
              </w:rPr>
              <w:t>156</w:t>
            </w:r>
          </w:hyperlink>
        </w:p>
        <w:p>
          <w:pPr>
            <w:pStyle w:val="Contents5"/>
            <w:tabs>
              <w:tab w:val="clear" w:pos="7892"/>
              <w:tab w:val="right" w:pos="9026" w:leader="dot"/>
            </w:tabs>
            <w:rPr/>
          </w:pPr>
          <w:hyperlink w:anchor="__RefHeading___Toc1814932_2870459653">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1814934_2870459653">
            <w:r>
              <w:rPr>
                <w:webHidden/>
                <w:rStyle w:val="IndexLink"/>
                <w:rtl w:val="true"/>
              </w:rPr>
              <w:t xml:space="preserve">المبحث الأوّل </w:t>
            </w:r>
            <w:r>
              <w:rPr>
                <w:rStyle w:val="IndexLink"/>
                <w:rtl w:val="true"/>
              </w:rPr>
              <w:t xml:space="preserve">: </w:t>
            </w:r>
            <w:r>
              <w:rPr>
                <w:rStyle w:val="IndexLink"/>
                <w:rtl w:val="true"/>
              </w:rPr>
              <w:t>في الأحکام</w:t>
            </w:r>
            <w:r>
              <w:rPr>
                <w:rStyle w:val="IndexLink"/>
                <w:rtl w:val="true"/>
              </w:rPr>
              <w:tab/>
            </w:r>
            <w:r>
              <w:rPr>
                <w:rStyle w:val="IndexLink"/>
              </w:rPr>
              <w:t>156</w:t>
            </w:r>
          </w:hyperlink>
        </w:p>
        <w:p>
          <w:pPr>
            <w:pStyle w:val="Contents5"/>
            <w:tabs>
              <w:tab w:val="clear" w:pos="7892"/>
              <w:tab w:val="right" w:pos="9026" w:leader="dot"/>
            </w:tabs>
            <w:rPr/>
          </w:pPr>
          <w:hyperlink w:anchor="__RefHeading___Toc1814936_2870459653">
            <w:r>
              <w:rPr>
                <w:webHidden/>
                <w:rStyle w:val="IndexLink"/>
                <w:rtl w:val="true"/>
              </w:rPr>
              <w:t xml:space="preserve">المبحث الثاني </w:t>
            </w:r>
            <w:r>
              <w:rPr>
                <w:rStyle w:val="IndexLink"/>
                <w:rtl w:val="true"/>
              </w:rPr>
              <w:t xml:space="preserve">: </w:t>
            </w:r>
            <w:r>
              <w:rPr>
                <w:rStyle w:val="IndexLink"/>
                <w:rtl w:val="true"/>
              </w:rPr>
              <w:t>حكم العاجز عن السجود</w:t>
            </w:r>
            <w:r>
              <w:rPr>
                <w:rStyle w:val="IndexLink"/>
                <w:rtl w:val="true"/>
              </w:rPr>
              <w:tab/>
            </w:r>
            <w:r>
              <w:rPr>
                <w:rStyle w:val="IndexLink"/>
              </w:rPr>
              <w:t>158</w:t>
            </w:r>
          </w:hyperlink>
        </w:p>
        <w:p>
          <w:pPr>
            <w:pStyle w:val="Contents5"/>
            <w:tabs>
              <w:tab w:val="clear" w:pos="7892"/>
              <w:tab w:val="right" w:pos="9026" w:leader="dot"/>
            </w:tabs>
            <w:rPr/>
          </w:pPr>
          <w:hyperlink w:anchor="__RefHeading___Toc1814938_2870459653">
            <w:r>
              <w:rPr>
                <w:webHidden/>
                <w:rStyle w:val="IndexLink"/>
                <w:rtl w:val="true"/>
              </w:rPr>
              <w:t xml:space="preserve">المبحث الثالث </w:t>
            </w:r>
            <w:r>
              <w:rPr>
                <w:rStyle w:val="IndexLink"/>
                <w:rtl w:val="true"/>
              </w:rPr>
              <w:t xml:space="preserve">: </w:t>
            </w:r>
            <w:r>
              <w:rPr>
                <w:rStyle w:val="IndexLink"/>
                <w:rtl w:val="true"/>
              </w:rPr>
              <w:t>في المستحبّات</w:t>
            </w:r>
            <w:r>
              <w:rPr>
                <w:rStyle w:val="IndexLink"/>
                <w:rtl w:val="true"/>
              </w:rPr>
              <w:tab/>
            </w:r>
            <w:r>
              <w:rPr>
                <w:rStyle w:val="IndexLink"/>
              </w:rPr>
              <w:t>158</w:t>
            </w:r>
          </w:hyperlink>
        </w:p>
        <w:p>
          <w:pPr>
            <w:pStyle w:val="Contents5"/>
            <w:tabs>
              <w:tab w:val="clear" w:pos="7892"/>
              <w:tab w:val="right" w:pos="9026" w:leader="dot"/>
            </w:tabs>
            <w:rPr/>
          </w:pPr>
          <w:hyperlink w:anchor="__RefHeading___Toc1814940_2870459653">
            <w:r>
              <w:rPr>
                <w:webHidden/>
                <w:rStyle w:val="IndexLink"/>
                <w:rtl w:val="true"/>
              </w:rPr>
              <w:t xml:space="preserve">المبحث الرابع </w:t>
            </w:r>
            <w:r>
              <w:rPr>
                <w:rStyle w:val="IndexLink"/>
                <w:rtl w:val="true"/>
              </w:rPr>
              <w:t xml:space="preserve">: </w:t>
            </w:r>
            <w:r>
              <w:rPr>
                <w:rStyle w:val="IndexLink"/>
                <w:rtl w:val="true"/>
              </w:rPr>
              <w:t>السجدات الواجبة و المستحبّه و أحکامها</w:t>
            </w:r>
            <w:r>
              <w:rPr>
                <w:rStyle w:val="IndexLink"/>
                <w:rtl w:val="true"/>
              </w:rPr>
              <w:tab/>
            </w:r>
            <w:r>
              <w:rPr>
                <w:rStyle w:val="IndexLink"/>
              </w:rPr>
              <w:t>159</w:t>
            </w:r>
          </w:hyperlink>
        </w:p>
        <w:p>
          <w:pPr>
            <w:pStyle w:val="Contents4"/>
            <w:tabs>
              <w:tab w:val="clear" w:pos="8176"/>
              <w:tab w:val="right" w:pos="9026" w:leader="dot"/>
            </w:tabs>
            <w:rPr/>
          </w:pPr>
          <w:hyperlink w:anchor="__RefHeading___Toc1814942_2870459653">
            <w:r>
              <w:rPr>
                <w:webHidden/>
                <w:rStyle w:val="IndexLink"/>
                <w:rtl w:val="true"/>
              </w:rPr>
              <w:t>الفصل السابع</w:t>
            </w:r>
            <w:r>
              <w:rPr>
                <w:rStyle w:val="IndexLink"/>
                <w:rtl w:val="true"/>
              </w:rPr>
              <w:t xml:space="preserve">: </w:t>
            </w:r>
            <w:r>
              <w:rPr>
                <w:rStyle w:val="IndexLink"/>
                <w:rtl w:val="true"/>
              </w:rPr>
              <w:t>في التشهّد</w:t>
            </w:r>
            <w:r>
              <w:rPr>
                <w:rStyle w:val="IndexLink"/>
                <w:rtl w:val="true"/>
              </w:rPr>
              <w:tab/>
            </w:r>
            <w:r>
              <w:rPr>
                <w:rStyle w:val="IndexLink"/>
              </w:rPr>
              <w:t>160</w:t>
            </w:r>
          </w:hyperlink>
        </w:p>
        <w:p>
          <w:pPr>
            <w:pStyle w:val="Contents4"/>
            <w:tabs>
              <w:tab w:val="clear" w:pos="8176"/>
              <w:tab w:val="right" w:pos="9026" w:leader="dot"/>
            </w:tabs>
            <w:rPr/>
          </w:pPr>
          <w:hyperlink w:anchor="__RefHeading___Toc1814944_2870459653">
            <w:r>
              <w:rPr>
                <w:webHidden/>
                <w:rStyle w:val="IndexLink"/>
                <w:rtl w:val="true"/>
              </w:rPr>
              <w:t>الفصل الثامن</w:t>
            </w:r>
            <w:r>
              <w:rPr>
                <w:rStyle w:val="IndexLink"/>
                <w:rtl w:val="true"/>
              </w:rPr>
              <w:t xml:space="preserve">: </w:t>
            </w:r>
            <w:r>
              <w:rPr>
                <w:rStyle w:val="IndexLink"/>
                <w:rtl w:val="true"/>
              </w:rPr>
              <w:t>في التسليم</w:t>
            </w:r>
            <w:r>
              <w:rPr>
                <w:rStyle w:val="IndexLink"/>
                <w:rtl w:val="true"/>
              </w:rPr>
              <w:tab/>
            </w:r>
            <w:r>
              <w:rPr>
                <w:rStyle w:val="IndexLink"/>
              </w:rPr>
              <w:t>161</w:t>
            </w:r>
          </w:hyperlink>
        </w:p>
        <w:p>
          <w:pPr>
            <w:pStyle w:val="Contents4"/>
            <w:tabs>
              <w:tab w:val="clear" w:pos="8176"/>
              <w:tab w:val="right" w:pos="9026" w:leader="dot"/>
            </w:tabs>
            <w:rPr/>
          </w:pPr>
          <w:hyperlink w:anchor="__RefHeading___Toc1814946_2870459653">
            <w:r>
              <w:rPr>
                <w:webHidden/>
                <w:rStyle w:val="IndexLink"/>
                <w:rtl w:val="true"/>
              </w:rPr>
              <w:t>الفصل التاسع</w:t>
            </w:r>
            <w:r>
              <w:rPr>
                <w:rStyle w:val="IndexLink"/>
                <w:rtl w:val="true"/>
              </w:rPr>
              <w:t xml:space="preserve">: </w:t>
            </w:r>
            <w:r>
              <w:rPr>
                <w:rStyle w:val="IndexLink"/>
                <w:rtl w:val="true"/>
              </w:rPr>
              <w:t>في الترتيب</w:t>
            </w:r>
            <w:r>
              <w:rPr>
                <w:rStyle w:val="IndexLink"/>
                <w:rtl w:val="true"/>
              </w:rPr>
              <w:tab/>
            </w:r>
            <w:r>
              <w:rPr>
                <w:rStyle w:val="IndexLink"/>
              </w:rPr>
              <w:t>162</w:t>
            </w:r>
          </w:hyperlink>
        </w:p>
        <w:p>
          <w:pPr>
            <w:pStyle w:val="Contents4"/>
            <w:tabs>
              <w:tab w:val="clear" w:pos="8176"/>
              <w:tab w:val="right" w:pos="9026" w:leader="dot"/>
            </w:tabs>
            <w:rPr/>
          </w:pPr>
          <w:hyperlink w:anchor="__RefHeading___Toc1814948_2870459653">
            <w:r>
              <w:rPr>
                <w:webHidden/>
                <w:rStyle w:val="IndexLink"/>
                <w:rtl w:val="true"/>
              </w:rPr>
              <w:t>الفصل العاشر</w:t>
            </w:r>
            <w:r>
              <w:rPr>
                <w:rStyle w:val="IndexLink"/>
                <w:rtl w:val="true"/>
              </w:rPr>
              <w:t xml:space="preserve">: </w:t>
            </w:r>
            <w:r>
              <w:rPr>
                <w:rStyle w:val="IndexLink"/>
                <w:rtl w:val="true"/>
              </w:rPr>
              <w:t>في الموالات</w:t>
            </w:r>
            <w:r>
              <w:rPr>
                <w:rStyle w:val="IndexLink"/>
                <w:rtl w:val="true"/>
              </w:rPr>
              <w:tab/>
            </w:r>
            <w:r>
              <w:rPr>
                <w:rStyle w:val="IndexLink"/>
              </w:rPr>
              <w:t>162</w:t>
            </w:r>
          </w:hyperlink>
        </w:p>
        <w:p>
          <w:pPr>
            <w:pStyle w:val="Contents3"/>
            <w:tabs>
              <w:tab w:val="clear" w:pos="8459"/>
              <w:tab w:val="right" w:pos="9026" w:leader="dot"/>
            </w:tabs>
            <w:rPr/>
          </w:pPr>
          <w:hyperlink w:anchor="__RefHeading___Toc1814950_2870459653">
            <w:r>
              <w:rPr>
                <w:webHidden/>
                <w:rStyle w:val="IndexLink"/>
                <w:rtl w:val="true"/>
              </w:rPr>
              <w:t xml:space="preserve">المقصد الثالث </w:t>
            </w:r>
            <w:r>
              <w:rPr>
                <w:rStyle w:val="IndexLink"/>
                <w:rtl w:val="true"/>
              </w:rPr>
              <w:t xml:space="preserve">: </w:t>
            </w:r>
            <w:r>
              <w:rPr>
                <w:rStyle w:val="IndexLink"/>
                <w:rtl w:val="true"/>
              </w:rPr>
              <w:t>في مبطلات الصلاة</w:t>
            </w:r>
            <w:r>
              <w:rPr>
                <w:rStyle w:val="IndexLink"/>
                <w:rtl w:val="true"/>
              </w:rPr>
              <w:tab/>
            </w:r>
            <w:r>
              <w:rPr>
                <w:rStyle w:val="IndexLink"/>
              </w:rPr>
              <w:t>163</w:t>
            </w:r>
          </w:hyperlink>
        </w:p>
        <w:p>
          <w:pPr>
            <w:pStyle w:val="Contents3"/>
            <w:tabs>
              <w:tab w:val="clear" w:pos="8459"/>
              <w:tab w:val="right" w:pos="9026" w:leader="dot"/>
            </w:tabs>
            <w:rPr/>
          </w:pPr>
          <w:hyperlink w:anchor="__RefHeading___Toc1814952_2870459653">
            <w:r>
              <w:rPr>
                <w:webHidden/>
                <w:rStyle w:val="IndexLink"/>
                <w:rtl w:val="true"/>
              </w:rPr>
              <w:t xml:space="preserve">المقصد الرابع </w:t>
            </w:r>
            <w:r>
              <w:rPr>
                <w:rStyle w:val="IndexLink"/>
                <w:rtl w:val="true"/>
              </w:rPr>
              <w:t xml:space="preserve">: </w:t>
            </w:r>
            <w:r>
              <w:rPr>
                <w:rStyle w:val="IndexLink"/>
                <w:rtl w:val="true"/>
              </w:rPr>
              <w:t>في صلاة الآيات</w:t>
            </w:r>
            <w:r>
              <w:rPr>
                <w:rStyle w:val="IndexLink"/>
                <w:rtl w:val="true"/>
              </w:rPr>
              <w:tab/>
            </w:r>
            <w:r>
              <w:rPr>
                <w:rStyle w:val="IndexLink"/>
              </w:rPr>
              <w:t>167</w:t>
            </w:r>
          </w:hyperlink>
        </w:p>
        <w:p>
          <w:pPr>
            <w:pStyle w:val="Contents4"/>
            <w:tabs>
              <w:tab w:val="clear" w:pos="8176"/>
              <w:tab w:val="right" w:pos="9026" w:leader="dot"/>
            </w:tabs>
            <w:rPr/>
          </w:pPr>
          <w:hyperlink w:anchor="__RefHeading___Toc1814954_2870459653">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1814956_2870459653">
            <w:r>
              <w:rPr>
                <w:webHidden/>
                <w:rStyle w:val="IndexLink"/>
                <w:rtl w:val="true"/>
              </w:rPr>
              <w:t>[</w:t>
            </w:r>
            <w:r>
              <w:rPr>
                <w:rStyle w:val="IndexLink"/>
                <w:rtl w:val="true"/>
              </w:rPr>
              <w:t>المبحث</w:t>
            </w:r>
            <w:r>
              <w:rPr>
                <w:rStyle w:val="IndexLink"/>
                <w:rtl w:val="true"/>
              </w:rPr>
              <w:t xml:space="preserve">] </w:t>
            </w:r>
            <w:r>
              <w:rPr>
                <w:rStyle w:val="IndexLink"/>
                <w:rtl w:val="true"/>
              </w:rPr>
              <w:t>الأوّل</w:t>
            </w:r>
            <w:r>
              <w:rPr>
                <w:rStyle w:val="IndexLink"/>
                <w:rtl w:val="true"/>
              </w:rPr>
              <w:t xml:space="preserve">: </w:t>
            </w:r>
            <w:r>
              <w:rPr>
                <w:rStyle w:val="IndexLink"/>
                <w:rtl w:val="true"/>
              </w:rPr>
              <w:t>في السبب</w:t>
            </w:r>
            <w:r>
              <w:rPr>
                <w:rStyle w:val="IndexLink"/>
                <w:rtl w:val="true"/>
              </w:rPr>
              <w:tab/>
            </w:r>
            <w:r>
              <w:rPr>
                <w:rStyle w:val="IndexLink"/>
              </w:rPr>
              <w:t>167</w:t>
            </w:r>
          </w:hyperlink>
        </w:p>
        <w:p>
          <w:pPr>
            <w:pStyle w:val="Contents4"/>
            <w:tabs>
              <w:tab w:val="clear" w:pos="8176"/>
              <w:tab w:val="right" w:pos="9026" w:leader="dot"/>
            </w:tabs>
            <w:rPr/>
          </w:pPr>
          <w:hyperlink w:anchor="__RefHeading___Toc1814958_2870459653">
            <w:r>
              <w:rPr>
                <w:webHidden/>
                <w:rStyle w:val="IndexLink"/>
                <w:rtl w:val="true"/>
              </w:rPr>
              <w:t xml:space="preserve">المبحث الثاني </w:t>
            </w:r>
            <w:r>
              <w:rPr>
                <w:rStyle w:val="IndexLink"/>
                <w:rtl w:val="true"/>
              </w:rPr>
              <w:t xml:space="preserve">: </w:t>
            </w:r>
            <w:r>
              <w:rPr>
                <w:rStyle w:val="IndexLink"/>
                <w:rtl w:val="true"/>
              </w:rPr>
              <w:t>وقت أداء الصلاة</w:t>
            </w:r>
            <w:r>
              <w:rPr>
                <w:rStyle w:val="IndexLink"/>
                <w:rtl w:val="true"/>
              </w:rPr>
              <w:tab/>
            </w:r>
            <w:r>
              <w:rPr>
                <w:rStyle w:val="IndexLink"/>
              </w:rPr>
              <w:t>168</w:t>
            </w:r>
          </w:hyperlink>
        </w:p>
        <w:p>
          <w:pPr>
            <w:pStyle w:val="Contents4"/>
            <w:tabs>
              <w:tab w:val="clear" w:pos="8176"/>
              <w:tab w:val="right" w:pos="9026" w:leader="dot"/>
            </w:tabs>
            <w:rPr/>
          </w:pPr>
          <w:hyperlink w:anchor="__RefHeading___Toc1814960_2870459653">
            <w:r>
              <w:rPr>
                <w:webHidden/>
                <w:rStyle w:val="IndexLink"/>
                <w:rtl w:val="true"/>
              </w:rPr>
              <w:t xml:space="preserve">المبحث الثالث </w:t>
            </w:r>
            <w:r>
              <w:rPr>
                <w:rStyle w:val="IndexLink"/>
                <w:rtl w:val="true"/>
              </w:rPr>
              <w:t xml:space="preserve">: </w:t>
            </w:r>
            <w:r>
              <w:rPr>
                <w:rStyle w:val="IndexLink"/>
                <w:rtl w:val="true"/>
              </w:rPr>
              <w:t>في تقديم صلاة الآيات على اليوميّة وعكسه</w:t>
            </w:r>
            <w:r>
              <w:rPr>
                <w:rStyle w:val="IndexLink"/>
                <w:rtl w:val="true"/>
              </w:rPr>
              <w:tab/>
            </w:r>
            <w:r>
              <w:rPr>
                <w:rStyle w:val="IndexLink"/>
              </w:rPr>
              <w:t>169</w:t>
            </w:r>
          </w:hyperlink>
        </w:p>
        <w:p>
          <w:pPr>
            <w:pStyle w:val="Contents4"/>
            <w:tabs>
              <w:tab w:val="clear" w:pos="8176"/>
              <w:tab w:val="right" w:pos="9026" w:leader="dot"/>
            </w:tabs>
            <w:rPr/>
          </w:pPr>
          <w:hyperlink w:anchor="__RefHeading___Toc1814962_2870459653">
            <w:r>
              <w:rPr>
                <w:webHidden/>
                <w:rStyle w:val="IndexLink"/>
                <w:rtl w:val="true"/>
              </w:rPr>
              <w:t xml:space="preserve">المبحث الرابع </w:t>
            </w:r>
            <w:r>
              <w:rPr>
                <w:rStyle w:val="IndexLink"/>
                <w:rtl w:val="true"/>
              </w:rPr>
              <w:t xml:space="preserve">: </w:t>
            </w:r>
            <w:r>
              <w:rPr>
                <w:rStyle w:val="IndexLink"/>
                <w:rtl w:val="true"/>
              </w:rPr>
              <w:t>کيفيّة صلاة الآیات و أحکامها</w:t>
            </w:r>
            <w:r>
              <w:rPr>
                <w:rStyle w:val="IndexLink"/>
                <w:rtl w:val="true"/>
              </w:rPr>
              <w:tab/>
            </w:r>
            <w:r>
              <w:rPr>
                <w:rStyle w:val="IndexLink"/>
              </w:rPr>
              <w:t>170</w:t>
            </w:r>
          </w:hyperlink>
        </w:p>
        <w:p>
          <w:pPr>
            <w:pStyle w:val="Contents3"/>
            <w:tabs>
              <w:tab w:val="clear" w:pos="8459"/>
              <w:tab w:val="right" w:pos="9026" w:leader="dot"/>
            </w:tabs>
            <w:rPr/>
          </w:pPr>
          <w:hyperlink w:anchor="__RefHeading___Toc1814964_2870459653">
            <w:r>
              <w:rPr>
                <w:webHidden/>
                <w:rStyle w:val="IndexLink"/>
                <w:rtl w:val="true"/>
              </w:rPr>
              <w:t xml:space="preserve">المقصد الخامس </w:t>
            </w:r>
            <w:r>
              <w:rPr>
                <w:rStyle w:val="IndexLink"/>
                <w:rtl w:val="true"/>
              </w:rPr>
              <w:t xml:space="preserve">: </w:t>
            </w:r>
            <w:r>
              <w:rPr>
                <w:rStyle w:val="IndexLink"/>
                <w:rtl w:val="true"/>
              </w:rPr>
              <w:t>في أحكام الخلل</w:t>
            </w:r>
            <w:r>
              <w:rPr>
                <w:rStyle w:val="IndexLink"/>
                <w:rtl w:val="true"/>
              </w:rPr>
              <w:tab/>
            </w:r>
            <w:r>
              <w:rPr>
                <w:rStyle w:val="IndexLink"/>
              </w:rPr>
              <w:t>172</w:t>
            </w:r>
          </w:hyperlink>
        </w:p>
        <w:p>
          <w:pPr>
            <w:pStyle w:val="Contents4"/>
            <w:tabs>
              <w:tab w:val="clear" w:pos="8176"/>
              <w:tab w:val="right" w:pos="9026" w:leader="dot"/>
            </w:tabs>
            <w:rPr/>
          </w:pPr>
          <w:hyperlink w:anchor="__RefHeading___Toc1814966_2870459653">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1814968_2870459653">
            <w:r>
              <w:rPr>
                <w:webHidden/>
                <w:rStyle w:val="IndexLink"/>
                <w:rtl w:val="true"/>
              </w:rPr>
              <w:t>[</w:t>
            </w:r>
            <w:r>
              <w:rPr>
                <w:rStyle w:val="IndexLink"/>
                <w:rtl w:val="true"/>
              </w:rPr>
              <w:t>المبحث</w:t>
            </w:r>
            <w:r>
              <w:rPr>
                <w:rStyle w:val="IndexLink"/>
                <w:rtl w:val="true"/>
              </w:rPr>
              <w:t xml:space="preserve">] </w:t>
            </w:r>
            <w:r>
              <w:rPr>
                <w:rStyle w:val="IndexLink"/>
                <w:rtl w:val="true"/>
              </w:rPr>
              <w:t>الأوّل</w:t>
            </w:r>
            <w:r>
              <w:rPr>
                <w:rStyle w:val="IndexLink"/>
                <w:rtl w:val="true"/>
              </w:rPr>
              <w:tab/>
            </w:r>
            <w:r>
              <w:rPr>
                <w:rStyle w:val="IndexLink"/>
              </w:rPr>
              <w:t>172</w:t>
            </w:r>
          </w:hyperlink>
        </w:p>
        <w:p>
          <w:pPr>
            <w:pStyle w:val="Contents4"/>
            <w:tabs>
              <w:tab w:val="clear" w:pos="8176"/>
              <w:tab w:val="right" w:pos="9026" w:leader="dot"/>
            </w:tabs>
            <w:rPr/>
          </w:pPr>
          <w:hyperlink w:anchor="__RefHeading___Toc1814970_2870459653">
            <w:r>
              <w:rPr>
                <w:webHidden/>
                <w:rStyle w:val="IndexLink"/>
                <w:rtl w:val="true"/>
              </w:rPr>
              <w:t>المبحث الثاني</w:t>
            </w:r>
            <w:r>
              <w:rPr>
                <w:rStyle w:val="IndexLink"/>
                <w:rtl w:val="true"/>
              </w:rPr>
              <w:t xml:space="preserve">: </w:t>
            </w:r>
            <w:r>
              <w:rPr>
                <w:rStyle w:val="IndexLink"/>
                <w:rtl w:val="true"/>
              </w:rPr>
              <w:t>في الشكّ</w:t>
            </w:r>
            <w:r>
              <w:rPr>
                <w:rStyle w:val="IndexLink"/>
                <w:rtl w:val="true"/>
              </w:rPr>
              <w:tab/>
            </w:r>
            <w:r>
              <w:rPr>
                <w:rStyle w:val="IndexLink"/>
              </w:rPr>
              <w:t>174</w:t>
            </w:r>
          </w:hyperlink>
        </w:p>
        <w:p>
          <w:pPr>
            <w:pStyle w:val="Contents5"/>
            <w:tabs>
              <w:tab w:val="clear" w:pos="7892"/>
              <w:tab w:val="right" w:pos="9026" w:leader="dot"/>
            </w:tabs>
            <w:rPr/>
          </w:pPr>
          <w:hyperlink w:anchor="__RefHeading___Toc1814972_2870459653">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1814974_2870459653">
            <w:r>
              <w:rPr>
                <w:webHidden/>
                <w:rStyle w:val="IndexLink"/>
                <w:rtl w:val="true"/>
              </w:rPr>
              <w:t>الشكّ في أعداد ركعات الفريضة</w:t>
            </w:r>
            <w:r>
              <w:rPr>
                <w:rStyle w:val="IndexLink"/>
                <w:rtl w:val="true"/>
              </w:rPr>
              <w:tab/>
            </w:r>
            <w:r>
              <w:rPr>
                <w:rStyle w:val="IndexLink"/>
              </w:rPr>
              <w:t>175</w:t>
            </w:r>
          </w:hyperlink>
        </w:p>
        <w:p>
          <w:pPr>
            <w:pStyle w:val="Contents5"/>
            <w:tabs>
              <w:tab w:val="clear" w:pos="7892"/>
              <w:tab w:val="right" w:pos="9026" w:leader="dot"/>
            </w:tabs>
            <w:rPr/>
          </w:pPr>
          <w:hyperlink w:anchor="__RefHeading___Toc1814976_2870459653">
            <w:r>
              <w:rPr>
                <w:webHidden/>
                <w:rStyle w:val="IndexLink"/>
                <w:rtl w:val="true"/>
              </w:rPr>
              <w:t>صلاة الاحتياط</w:t>
            </w:r>
            <w:r>
              <w:rPr>
                <w:rStyle w:val="IndexLink"/>
                <w:rtl w:val="true"/>
              </w:rPr>
              <w:tab/>
            </w:r>
            <w:r>
              <w:rPr>
                <w:rStyle w:val="IndexLink"/>
              </w:rPr>
              <w:t>177</w:t>
            </w:r>
          </w:hyperlink>
        </w:p>
        <w:p>
          <w:pPr>
            <w:pStyle w:val="Contents4"/>
            <w:tabs>
              <w:tab w:val="clear" w:pos="8176"/>
              <w:tab w:val="right" w:pos="9026" w:leader="dot"/>
            </w:tabs>
            <w:rPr/>
          </w:pPr>
          <w:hyperlink w:anchor="__RefHeading___Toc1814978_2870459653">
            <w:r>
              <w:rPr>
                <w:webHidden/>
                <w:rStyle w:val="IndexLink"/>
                <w:rtl w:val="true"/>
              </w:rPr>
              <w:t>المبحث الثالث</w:t>
            </w:r>
            <w:r>
              <w:rPr>
                <w:rStyle w:val="IndexLink"/>
                <w:rtl w:val="true"/>
              </w:rPr>
              <w:t xml:space="preserve">: </w:t>
            </w:r>
            <w:r>
              <w:rPr>
                <w:rStyle w:val="IndexLink"/>
                <w:rtl w:val="true"/>
              </w:rPr>
              <w:t>في السهو</w:t>
            </w:r>
            <w:r>
              <w:rPr>
                <w:rStyle w:val="IndexLink"/>
                <w:rtl w:val="true"/>
              </w:rPr>
              <w:tab/>
            </w:r>
            <w:r>
              <w:rPr>
                <w:rStyle w:val="IndexLink"/>
              </w:rPr>
              <w:t>179</w:t>
            </w:r>
          </w:hyperlink>
        </w:p>
        <w:p>
          <w:pPr>
            <w:pStyle w:val="Contents3"/>
            <w:tabs>
              <w:tab w:val="clear" w:pos="8459"/>
              <w:tab w:val="right" w:pos="9026" w:leader="dot"/>
            </w:tabs>
            <w:rPr/>
          </w:pPr>
          <w:hyperlink w:anchor="__RefHeading___Toc1814980_2870459653">
            <w:r>
              <w:rPr>
                <w:webHidden/>
                <w:rStyle w:val="IndexLink"/>
                <w:rtl w:val="true"/>
              </w:rPr>
              <w:t xml:space="preserve">المقصد السادس </w:t>
            </w:r>
            <w:r>
              <w:rPr>
                <w:rStyle w:val="IndexLink"/>
                <w:rtl w:val="true"/>
              </w:rPr>
              <w:t xml:space="preserve">: </w:t>
            </w:r>
            <w:r>
              <w:rPr>
                <w:rStyle w:val="IndexLink"/>
                <w:rtl w:val="true"/>
              </w:rPr>
              <w:t>في القضاء</w:t>
            </w:r>
            <w:r>
              <w:rPr>
                <w:rStyle w:val="IndexLink"/>
                <w:rtl w:val="true"/>
              </w:rPr>
              <w:tab/>
            </w:r>
            <w:r>
              <w:rPr>
                <w:rStyle w:val="IndexLink"/>
              </w:rPr>
              <w:t>181</w:t>
            </w:r>
          </w:hyperlink>
        </w:p>
        <w:p>
          <w:pPr>
            <w:pStyle w:val="Contents3"/>
            <w:tabs>
              <w:tab w:val="clear" w:pos="8459"/>
              <w:tab w:val="right" w:pos="9026" w:leader="dot"/>
            </w:tabs>
            <w:rPr/>
          </w:pPr>
          <w:hyperlink w:anchor="__RefHeading___Toc1814982_2870459653">
            <w:r>
              <w:rPr>
                <w:webHidden/>
                <w:rStyle w:val="IndexLink"/>
                <w:rtl w:val="true"/>
              </w:rPr>
              <w:t xml:space="preserve">المقصد السابع </w:t>
            </w:r>
            <w:r>
              <w:rPr>
                <w:rStyle w:val="IndexLink"/>
                <w:rtl w:val="true"/>
              </w:rPr>
              <w:t xml:space="preserve">: </w:t>
            </w:r>
            <w:r>
              <w:rPr>
                <w:rStyle w:val="IndexLink"/>
                <w:rtl w:val="true"/>
              </w:rPr>
              <w:t>في صلاة الجماعة</w:t>
            </w:r>
            <w:r>
              <w:rPr>
                <w:rStyle w:val="IndexLink"/>
                <w:rtl w:val="true"/>
              </w:rPr>
              <w:tab/>
            </w:r>
            <w:r>
              <w:rPr>
                <w:rStyle w:val="IndexLink"/>
              </w:rPr>
              <w:t>182</w:t>
            </w:r>
          </w:hyperlink>
        </w:p>
        <w:p>
          <w:pPr>
            <w:pStyle w:val="Contents4"/>
            <w:tabs>
              <w:tab w:val="clear" w:pos="8176"/>
              <w:tab w:val="right" w:pos="9026" w:leader="dot"/>
            </w:tabs>
            <w:rPr/>
          </w:pPr>
          <w:hyperlink w:anchor="__RefHeading___Toc1814984_2870459653">
            <w:r>
              <w:rPr>
                <w:webHidden/>
                <w:rStyle w:val="IndexLink"/>
                <w:rtl w:val="true"/>
              </w:rPr>
              <w:t>اشارة</w:t>
            </w:r>
            <w:r>
              <w:rPr>
                <w:rStyle w:val="IndexLink"/>
                <w:rtl w:val="true"/>
              </w:rPr>
              <w:tab/>
            </w:r>
            <w:r>
              <w:rPr>
                <w:rStyle w:val="IndexLink"/>
              </w:rPr>
              <w:t>182</w:t>
            </w:r>
          </w:hyperlink>
        </w:p>
        <w:p>
          <w:pPr>
            <w:pStyle w:val="Contents4"/>
            <w:tabs>
              <w:tab w:val="clear" w:pos="8176"/>
              <w:tab w:val="right" w:pos="9026" w:leader="dot"/>
            </w:tabs>
            <w:rPr/>
          </w:pPr>
          <w:hyperlink w:anchor="__RefHeading___Toc1814986_2870459653">
            <w:r>
              <w:rPr>
                <w:webHidden/>
                <w:rStyle w:val="IndexLink"/>
                <w:rtl w:val="true"/>
              </w:rPr>
              <w:t>[</w:t>
            </w:r>
            <w:r>
              <w:rPr>
                <w:rStyle w:val="IndexLink"/>
                <w:rtl w:val="true"/>
              </w:rPr>
              <w:t>المبحث</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الأحكام</w:t>
            </w:r>
            <w:r>
              <w:rPr>
                <w:rStyle w:val="IndexLink"/>
                <w:rtl w:val="true"/>
              </w:rPr>
              <w:tab/>
            </w:r>
            <w:r>
              <w:rPr>
                <w:rStyle w:val="IndexLink"/>
              </w:rPr>
              <w:t>182</w:t>
            </w:r>
          </w:hyperlink>
        </w:p>
        <w:p>
          <w:pPr>
            <w:pStyle w:val="Contents4"/>
            <w:tabs>
              <w:tab w:val="clear" w:pos="8176"/>
              <w:tab w:val="right" w:pos="9026" w:leader="dot"/>
            </w:tabs>
            <w:rPr/>
          </w:pPr>
          <w:hyperlink w:anchor="__RefHeading___Toc1814988_2870459653">
            <w:r>
              <w:rPr>
                <w:webHidden/>
                <w:rStyle w:val="IndexLink"/>
                <w:rtl w:val="true"/>
              </w:rPr>
              <w:t xml:space="preserve">المبحث الثاني </w:t>
            </w:r>
            <w:r>
              <w:rPr>
                <w:rStyle w:val="IndexLink"/>
                <w:rtl w:val="true"/>
              </w:rPr>
              <w:t xml:space="preserve">: </w:t>
            </w:r>
            <w:r>
              <w:rPr>
                <w:rStyle w:val="IndexLink"/>
                <w:rtl w:val="true"/>
              </w:rPr>
              <w:t>في شرائط الجماعة</w:t>
            </w:r>
            <w:r>
              <w:rPr>
                <w:rStyle w:val="IndexLink"/>
                <w:rtl w:val="true"/>
              </w:rPr>
              <w:tab/>
            </w:r>
            <w:r>
              <w:rPr>
                <w:rStyle w:val="IndexLink"/>
              </w:rPr>
              <w:t>184</w:t>
            </w:r>
          </w:hyperlink>
        </w:p>
        <w:p>
          <w:pPr>
            <w:pStyle w:val="Contents4"/>
            <w:tabs>
              <w:tab w:val="clear" w:pos="8176"/>
              <w:tab w:val="right" w:pos="9026" w:leader="dot"/>
            </w:tabs>
            <w:rPr/>
          </w:pPr>
          <w:hyperlink w:anchor="__RefHeading___Toc1814990_2870459653">
            <w:r>
              <w:rPr>
                <w:webHidden/>
                <w:rStyle w:val="IndexLink"/>
                <w:rtl w:val="true"/>
              </w:rPr>
              <w:t xml:space="preserve">المبحث الثالث </w:t>
            </w:r>
            <w:r>
              <w:rPr>
                <w:rStyle w:val="IndexLink"/>
                <w:rtl w:val="true"/>
              </w:rPr>
              <w:t xml:space="preserve">: </w:t>
            </w:r>
            <w:r>
              <w:rPr>
                <w:rStyle w:val="IndexLink"/>
                <w:rtl w:val="true"/>
              </w:rPr>
              <w:t>في نیّة الإیتمام و متابعة الإمام</w:t>
            </w:r>
            <w:r>
              <w:rPr>
                <w:rStyle w:val="IndexLink"/>
                <w:rtl w:val="true"/>
              </w:rPr>
              <w:tab/>
            </w:r>
            <w:r>
              <w:rPr>
                <w:rStyle w:val="IndexLink"/>
              </w:rPr>
              <w:t>187</w:t>
            </w:r>
          </w:hyperlink>
        </w:p>
        <w:p>
          <w:pPr>
            <w:pStyle w:val="Contents4"/>
            <w:tabs>
              <w:tab w:val="clear" w:pos="8176"/>
              <w:tab w:val="right" w:pos="9026" w:leader="dot"/>
            </w:tabs>
            <w:rPr/>
          </w:pPr>
          <w:hyperlink w:anchor="__RefHeading___Toc1814992_2870459653">
            <w:r>
              <w:rPr>
                <w:webHidden/>
                <w:rStyle w:val="IndexLink"/>
                <w:rtl w:val="true"/>
              </w:rPr>
              <w:t xml:space="preserve">المبحث الرابع </w:t>
            </w:r>
            <w:r>
              <w:rPr>
                <w:rStyle w:val="IndexLink"/>
                <w:rtl w:val="true"/>
              </w:rPr>
              <w:t xml:space="preserve">: </w:t>
            </w:r>
            <w:r>
              <w:rPr>
                <w:rStyle w:val="IndexLink"/>
                <w:rtl w:val="true"/>
              </w:rPr>
              <w:t>شرائط إمام الجماعة</w:t>
            </w:r>
            <w:r>
              <w:rPr>
                <w:rStyle w:val="IndexLink"/>
                <w:rtl w:val="true"/>
              </w:rPr>
              <w:tab/>
            </w:r>
            <w:r>
              <w:rPr>
                <w:rStyle w:val="IndexLink"/>
              </w:rPr>
              <w:t>190</w:t>
            </w:r>
          </w:hyperlink>
        </w:p>
        <w:p>
          <w:pPr>
            <w:pStyle w:val="Contents3"/>
            <w:tabs>
              <w:tab w:val="clear" w:pos="8459"/>
              <w:tab w:val="right" w:pos="9026" w:leader="dot"/>
            </w:tabs>
            <w:rPr/>
          </w:pPr>
          <w:hyperlink w:anchor="__RefHeading___Toc1814994_2870459653">
            <w:r>
              <w:rPr>
                <w:webHidden/>
                <w:rStyle w:val="IndexLink"/>
                <w:rtl w:val="true"/>
              </w:rPr>
              <w:t xml:space="preserve">المقصد الثامن </w:t>
            </w:r>
            <w:r>
              <w:rPr>
                <w:rStyle w:val="IndexLink"/>
                <w:rtl w:val="true"/>
              </w:rPr>
              <w:t xml:space="preserve">: </w:t>
            </w:r>
            <w:r>
              <w:rPr>
                <w:rStyle w:val="IndexLink"/>
                <w:rtl w:val="true"/>
              </w:rPr>
              <w:t>في صلاة المسافر</w:t>
            </w:r>
            <w:r>
              <w:rPr>
                <w:rStyle w:val="IndexLink"/>
                <w:rtl w:val="true"/>
              </w:rPr>
              <w:tab/>
            </w:r>
            <w:r>
              <w:rPr>
                <w:rStyle w:val="IndexLink"/>
              </w:rPr>
              <w:t>193</w:t>
            </w:r>
          </w:hyperlink>
        </w:p>
        <w:p>
          <w:pPr>
            <w:pStyle w:val="Contents4"/>
            <w:tabs>
              <w:tab w:val="clear" w:pos="8176"/>
              <w:tab w:val="right" w:pos="9026" w:leader="dot"/>
            </w:tabs>
            <w:rPr/>
          </w:pPr>
          <w:hyperlink w:anchor="__RefHeading___Toc1814996_2870459653">
            <w:r>
              <w:rPr>
                <w:webHidden/>
                <w:rStyle w:val="IndexLink"/>
                <w:rtl w:val="true"/>
              </w:rPr>
              <w:t>في شروط القصر</w:t>
            </w:r>
            <w:r>
              <w:rPr>
                <w:rStyle w:val="IndexLink"/>
                <w:rtl w:val="true"/>
              </w:rPr>
              <w:tab/>
            </w:r>
            <w:r>
              <w:rPr>
                <w:rStyle w:val="IndexLink"/>
              </w:rPr>
              <w:t>193</w:t>
            </w:r>
          </w:hyperlink>
        </w:p>
        <w:p>
          <w:pPr>
            <w:pStyle w:val="Contents4"/>
            <w:tabs>
              <w:tab w:val="clear" w:pos="8176"/>
              <w:tab w:val="right" w:pos="9026" w:leader="dot"/>
            </w:tabs>
            <w:rPr/>
          </w:pPr>
          <w:hyperlink w:anchor="__RefHeading___Toc1814998_2870459653">
            <w:r>
              <w:rPr>
                <w:webHidden/>
                <w:rStyle w:val="IndexLink"/>
                <w:rtl w:val="true"/>
              </w:rPr>
              <w:t>في قواطع السفر</w:t>
            </w:r>
            <w:r>
              <w:rPr>
                <w:rStyle w:val="IndexLink"/>
                <w:rtl w:val="true"/>
              </w:rPr>
              <w:tab/>
            </w:r>
            <w:r>
              <w:rPr>
                <w:rStyle w:val="IndexLink"/>
              </w:rPr>
              <w:t>197</w:t>
            </w:r>
          </w:hyperlink>
        </w:p>
        <w:p>
          <w:pPr>
            <w:pStyle w:val="Contents2"/>
            <w:tabs>
              <w:tab w:val="clear" w:pos="8743"/>
              <w:tab w:val="right" w:pos="9026" w:leader="dot"/>
            </w:tabs>
            <w:rPr/>
          </w:pPr>
          <w:hyperlink w:anchor="__RefHeading___Toc1815000_2870459653">
            <w:r>
              <w:rPr>
                <w:webHidden/>
                <w:rStyle w:val="IndexLink"/>
                <w:rtl w:val="true"/>
              </w:rPr>
              <w:t>كتاب الصوم</w:t>
            </w:r>
            <w:r>
              <w:rPr>
                <w:rStyle w:val="IndexLink"/>
                <w:rtl w:val="true"/>
              </w:rPr>
              <w:tab/>
            </w:r>
            <w:r>
              <w:rPr>
                <w:rStyle w:val="IndexLink"/>
              </w:rPr>
              <w:t>205</w:t>
            </w:r>
          </w:hyperlink>
        </w:p>
        <w:p>
          <w:pPr>
            <w:pStyle w:val="Contents3"/>
            <w:tabs>
              <w:tab w:val="clear" w:pos="8459"/>
              <w:tab w:val="right" w:pos="9026" w:leader="dot"/>
            </w:tabs>
            <w:rPr/>
          </w:pPr>
          <w:hyperlink w:anchor="__RefHeading___Toc1815002_2870459653">
            <w:r>
              <w:rPr>
                <w:webHidden/>
                <w:rStyle w:val="IndexLink"/>
                <w:rtl w:val="true"/>
              </w:rPr>
              <w:t>اشارة</w:t>
            </w:r>
            <w:r>
              <w:rPr>
                <w:rStyle w:val="IndexLink"/>
                <w:rtl w:val="true"/>
              </w:rPr>
              <w:tab/>
            </w:r>
            <w:r>
              <w:rPr>
                <w:rStyle w:val="IndexLink"/>
              </w:rPr>
              <w:t>205</w:t>
            </w:r>
          </w:hyperlink>
        </w:p>
        <w:p>
          <w:pPr>
            <w:pStyle w:val="Contents3"/>
            <w:tabs>
              <w:tab w:val="clear" w:pos="8459"/>
              <w:tab w:val="right" w:pos="9026" w:leader="dot"/>
            </w:tabs>
            <w:rPr/>
          </w:pPr>
          <w:hyperlink w:anchor="__RefHeading___Toc1815004_2870459653">
            <w:r>
              <w:rPr>
                <w:webHidden/>
                <w:rStyle w:val="IndexLink"/>
                <w:rtl w:val="true"/>
              </w:rPr>
              <w:t xml:space="preserve">الفصل الأوّل </w:t>
            </w:r>
            <w:r>
              <w:rPr>
                <w:rStyle w:val="IndexLink"/>
                <w:rtl w:val="true"/>
              </w:rPr>
              <w:t xml:space="preserve">: </w:t>
            </w:r>
            <w:r>
              <w:rPr>
                <w:rStyle w:val="IndexLink"/>
                <w:rtl w:val="true"/>
              </w:rPr>
              <w:t>في النيّة</w:t>
            </w:r>
            <w:r>
              <w:rPr>
                <w:rStyle w:val="IndexLink"/>
                <w:rtl w:val="true"/>
              </w:rPr>
              <w:tab/>
            </w:r>
            <w:r>
              <w:rPr>
                <w:rStyle w:val="IndexLink"/>
              </w:rPr>
              <w:t>207</w:t>
            </w:r>
          </w:hyperlink>
        </w:p>
        <w:p>
          <w:pPr>
            <w:pStyle w:val="Contents3"/>
            <w:tabs>
              <w:tab w:val="clear" w:pos="8459"/>
              <w:tab w:val="right" w:pos="9026" w:leader="dot"/>
            </w:tabs>
            <w:rPr/>
          </w:pPr>
          <w:hyperlink w:anchor="__RefHeading___Toc1815006_2870459653">
            <w:r>
              <w:rPr>
                <w:webHidden/>
                <w:rStyle w:val="IndexLink"/>
                <w:rtl w:val="true"/>
              </w:rPr>
              <w:t xml:space="preserve">الفصل الثاني </w:t>
            </w:r>
            <w:r>
              <w:rPr>
                <w:rStyle w:val="IndexLink"/>
                <w:rtl w:val="true"/>
              </w:rPr>
              <w:t xml:space="preserve">: </w:t>
            </w:r>
            <w:r>
              <w:rPr>
                <w:rStyle w:val="IndexLink"/>
                <w:rtl w:val="true"/>
              </w:rPr>
              <w:t>فیما یُمسک عنه الصائم</w:t>
            </w:r>
            <w:r>
              <w:rPr>
                <w:rStyle w:val="IndexLink"/>
                <w:rtl w:val="true"/>
              </w:rPr>
              <w:tab/>
            </w:r>
            <w:r>
              <w:rPr>
                <w:rStyle w:val="IndexLink"/>
              </w:rPr>
              <w:t>210</w:t>
            </w:r>
          </w:hyperlink>
        </w:p>
        <w:p>
          <w:pPr>
            <w:pStyle w:val="Contents3"/>
            <w:tabs>
              <w:tab w:val="clear" w:pos="8459"/>
              <w:tab w:val="right" w:pos="9026" w:leader="dot"/>
            </w:tabs>
            <w:rPr/>
          </w:pPr>
          <w:hyperlink w:anchor="__RefHeading___Toc1815008_2870459653">
            <w:r>
              <w:rPr>
                <w:webHidden/>
                <w:rStyle w:val="IndexLink"/>
                <w:rtl w:val="true"/>
              </w:rPr>
              <w:t xml:space="preserve">الفصل الثالث </w:t>
            </w:r>
            <w:r>
              <w:rPr>
                <w:rStyle w:val="IndexLink"/>
                <w:rtl w:val="true"/>
              </w:rPr>
              <w:t xml:space="preserve">: </w:t>
            </w:r>
            <w:r>
              <w:rPr>
                <w:rStyle w:val="IndexLink"/>
                <w:rtl w:val="true"/>
              </w:rPr>
              <w:t>في توابع هذا الفصل</w:t>
            </w:r>
            <w:r>
              <w:rPr>
                <w:rStyle w:val="IndexLink"/>
                <w:rtl w:val="true"/>
              </w:rPr>
              <w:tab/>
            </w:r>
            <w:r>
              <w:rPr>
                <w:rStyle w:val="IndexLink"/>
              </w:rPr>
              <w:t>216</w:t>
            </w:r>
          </w:hyperlink>
        </w:p>
        <w:p>
          <w:pPr>
            <w:pStyle w:val="Contents4"/>
            <w:tabs>
              <w:tab w:val="clear" w:pos="8176"/>
              <w:tab w:val="right" w:pos="9026" w:leader="dot"/>
            </w:tabs>
            <w:rPr/>
          </w:pPr>
          <w:hyperlink w:anchor="__RefHeading___Toc1815010_2870459653">
            <w:r>
              <w:rPr>
                <w:webHidden/>
                <w:rStyle w:val="IndexLink"/>
                <w:rtl w:val="true"/>
              </w:rPr>
              <w:t>اشارة</w:t>
            </w:r>
            <w:r>
              <w:rPr>
                <w:rStyle w:val="IndexLink"/>
                <w:rtl w:val="true"/>
              </w:rPr>
              <w:tab/>
            </w:r>
            <w:r>
              <w:rPr>
                <w:rStyle w:val="IndexLink"/>
              </w:rPr>
              <w:t>216</w:t>
            </w:r>
          </w:hyperlink>
        </w:p>
        <w:p>
          <w:pPr>
            <w:pStyle w:val="Contents4"/>
            <w:tabs>
              <w:tab w:val="clear" w:pos="8176"/>
              <w:tab w:val="right" w:pos="9026" w:leader="dot"/>
            </w:tabs>
            <w:rPr/>
          </w:pPr>
          <w:hyperlink w:anchor="__RefHeading___Toc1815012_2870459653">
            <w:r>
              <w:rPr>
                <w:webHidden/>
                <w:rStyle w:val="IndexLink"/>
                <w:rtl w:val="true"/>
              </w:rPr>
              <w:t>[</w:t>
            </w:r>
            <w:r>
              <w:rPr>
                <w:rStyle w:val="IndexLink"/>
                <w:rtl w:val="true"/>
              </w:rPr>
              <w:t>المبحث</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حكم ما لا يتعدّى إلى الحلق ، وابتلاع النخامة، والتجشّؤ</w:t>
            </w:r>
            <w:r>
              <w:rPr>
                <w:rStyle w:val="IndexLink"/>
                <w:rtl w:val="true"/>
              </w:rPr>
              <w:tab/>
            </w:r>
            <w:r>
              <w:rPr>
                <w:rStyle w:val="IndexLink"/>
              </w:rPr>
              <w:t>216</w:t>
            </w:r>
          </w:hyperlink>
        </w:p>
        <w:p>
          <w:pPr>
            <w:pStyle w:val="Contents4"/>
            <w:tabs>
              <w:tab w:val="clear" w:pos="8176"/>
              <w:tab w:val="right" w:pos="9026" w:leader="dot"/>
            </w:tabs>
            <w:rPr/>
          </w:pPr>
          <w:hyperlink w:anchor="__RefHeading___Toc1815014_2870459653">
            <w:r>
              <w:rPr>
                <w:webHidden/>
                <w:rStyle w:val="IndexLink"/>
                <w:rtl w:val="true"/>
              </w:rPr>
              <w:t xml:space="preserve">المبحث الثاني </w:t>
            </w:r>
            <w:r>
              <w:rPr>
                <w:rStyle w:val="IndexLink"/>
                <w:rtl w:val="true"/>
              </w:rPr>
              <w:t xml:space="preserve">: </w:t>
            </w:r>
            <w:r>
              <w:rPr>
                <w:rStyle w:val="IndexLink"/>
                <w:rtl w:val="true"/>
              </w:rPr>
              <w:t>حكم الإتيان بالمفطرات سهواً أو كرها</w:t>
            </w:r>
            <w:r>
              <w:rPr>
                <w:rStyle w:val="IndexLink"/>
                <w:rtl w:val="true"/>
              </w:rPr>
              <w:tab/>
            </w:r>
            <w:r>
              <w:rPr>
                <w:rStyle w:val="IndexLink"/>
              </w:rPr>
              <w:t>217</w:t>
            </w:r>
          </w:hyperlink>
        </w:p>
        <w:p>
          <w:pPr>
            <w:pStyle w:val="Contents4"/>
            <w:tabs>
              <w:tab w:val="clear" w:pos="8176"/>
              <w:tab w:val="right" w:pos="9026" w:leader="dot"/>
            </w:tabs>
            <w:rPr/>
          </w:pPr>
          <w:hyperlink w:anchor="__RefHeading___Toc1815016_2870459653">
            <w:r>
              <w:rPr>
                <w:webHidden/>
                <w:rStyle w:val="IndexLink"/>
                <w:rtl w:val="true"/>
              </w:rPr>
              <w:t xml:space="preserve">المبحث الثالث </w:t>
            </w:r>
            <w:r>
              <w:rPr>
                <w:rStyle w:val="IndexLink"/>
                <w:rtl w:val="true"/>
              </w:rPr>
              <w:t xml:space="preserve">: </w:t>
            </w:r>
            <w:r>
              <w:rPr>
                <w:rStyle w:val="IndexLink"/>
                <w:rtl w:val="true"/>
              </w:rPr>
              <w:t>ما يجب فيه القضاء والكفّارة</w:t>
            </w:r>
            <w:r>
              <w:rPr>
                <w:rStyle w:val="IndexLink"/>
                <w:rtl w:val="true"/>
              </w:rPr>
              <w:tab/>
            </w:r>
            <w:r>
              <w:rPr>
                <w:rStyle w:val="IndexLink"/>
              </w:rPr>
              <w:t>217</w:t>
            </w:r>
          </w:hyperlink>
        </w:p>
        <w:p>
          <w:pPr>
            <w:pStyle w:val="Contents4"/>
            <w:tabs>
              <w:tab w:val="clear" w:pos="8176"/>
              <w:tab w:val="right" w:pos="9026" w:leader="dot"/>
            </w:tabs>
            <w:rPr/>
          </w:pPr>
          <w:hyperlink w:anchor="__RefHeading___Toc1815018_2870459653">
            <w:r>
              <w:rPr>
                <w:webHidden/>
                <w:rStyle w:val="IndexLink"/>
                <w:rtl w:val="true"/>
              </w:rPr>
              <w:t xml:space="preserve">المبحث الرابع </w:t>
            </w:r>
            <w:r>
              <w:rPr>
                <w:rStyle w:val="IndexLink"/>
                <w:rtl w:val="true"/>
              </w:rPr>
              <w:t xml:space="preserve">: </w:t>
            </w:r>
            <w:r>
              <w:rPr>
                <w:rStyle w:val="IndexLink"/>
                <w:rtl w:val="true"/>
              </w:rPr>
              <w:t>ما یجب فیه القضاء خاصّة</w:t>
            </w:r>
            <w:r>
              <w:rPr>
                <w:rStyle w:val="IndexLink"/>
                <w:rtl w:val="true"/>
              </w:rPr>
              <w:tab/>
            </w:r>
            <w:r>
              <w:rPr>
                <w:rStyle w:val="IndexLink"/>
              </w:rPr>
              <w:t>218</w:t>
            </w:r>
          </w:hyperlink>
        </w:p>
        <w:p>
          <w:pPr>
            <w:pStyle w:val="Contents3"/>
            <w:tabs>
              <w:tab w:val="clear" w:pos="8459"/>
              <w:tab w:val="right" w:pos="9026" w:leader="dot"/>
            </w:tabs>
            <w:rPr/>
          </w:pPr>
          <w:hyperlink w:anchor="__RefHeading___Toc1815020_2870459653">
            <w:r>
              <w:rPr>
                <w:webHidden/>
                <w:rStyle w:val="IndexLink"/>
                <w:rtl w:val="true"/>
              </w:rPr>
              <w:t xml:space="preserve">الفصل الرابع </w:t>
            </w:r>
            <w:r>
              <w:rPr>
                <w:rStyle w:val="IndexLink"/>
                <w:rtl w:val="true"/>
              </w:rPr>
              <w:t xml:space="preserve">: </w:t>
            </w:r>
            <w:r>
              <w:rPr>
                <w:rStyle w:val="IndexLink"/>
                <w:rtl w:val="true"/>
              </w:rPr>
              <w:t>فيما يكره للصائم</w:t>
            </w:r>
            <w:r>
              <w:rPr>
                <w:rStyle w:val="IndexLink"/>
                <w:rtl w:val="true"/>
              </w:rPr>
              <w:tab/>
            </w:r>
            <w:r>
              <w:rPr>
                <w:rStyle w:val="IndexLink"/>
              </w:rPr>
              <w:t>221</w:t>
            </w:r>
          </w:hyperlink>
        </w:p>
        <w:p>
          <w:pPr>
            <w:pStyle w:val="Contents3"/>
            <w:tabs>
              <w:tab w:val="clear" w:pos="8459"/>
              <w:tab w:val="right" w:pos="9026" w:leader="dot"/>
            </w:tabs>
            <w:rPr/>
          </w:pPr>
          <w:hyperlink w:anchor="__RefHeading___Toc1815022_2870459653">
            <w:r>
              <w:rPr>
                <w:webHidden/>
                <w:rStyle w:val="IndexLink"/>
                <w:rtl w:val="true"/>
              </w:rPr>
              <w:t xml:space="preserve">الفصل الخامس </w:t>
            </w:r>
            <w:r>
              <w:rPr>
                <w:rStyle w:val="IndexLink"/>
                <w:rtl w:val="true"/>
              </w:rPr>
              <w:t xml:space="preserve">: </w:t>
            </w:r>
            <w:r>
              <w:rPr>
                <w:rStyle w:val="IndexLink"/>
                <w:rtl w:val="true"/>
              </w:rPr>
              <w:t>مَنْ يصحّ منه الصوم و مَن لا یصحّ</w:t>
            </w:r>
            <w:r>
              <w:rPr>
                <w:rStyle w:val="IndexLink"/>
                <w:rtl w:val="true"/>
              </w:rPr>
              <w:tab/>
            </w:r>
            <w:r>
              <w:rPr>
                <w:rStyle w:val="IndexLink"/>
              </w:rPr>
              <w:t>222</w:t>
            </w:r>
          </w:hyperlink>
        </w:p>
        <w:p>
          <w:pPr>
            <w:pStyle w:val="Contents3"/>
            <w:tabs>
              <w:tab w:val="clear" w:pos="8459"/>
              <w:tab w:val="right" w:pos="9026" w:leader="dot"/>
            </w:tabs>
            <w:rPr/>
          </w:pPr>
          <w:hyperlink w:anchor="__RefHeading___Toc1815024_2870459653">
            <w:r>
              <w:rPr>
                <w:webHidden/>
                <w:rStyle w:val="IndexLink"/>
                <w:rtl w:val="true"/>
              </w:rPr>
              <w:t>الفصل السادس</w:t>
            </w:r>
            <w:r>
              <w:rPr>
                <w:rStyle w:val="IndexLink"/>
                <w:rtl w:val="true"/>
              </w:rPr>
              <w:tab/>
            </w:r>
            <w:r>
              <w:rPr>
                <w:rStyle w:val="IndexLink"/>
              </w:rPr>
              <w:t>223</w:t>
            </w:r>
          </w:hyperlink>
        </w:p>
        <w:p>
          <w:pPr>
            <w:pStyle w:val="Contents4"/>
            <w:tabs>
              <w:tab w:val="clear" w:pos="8176"/>
              <w:tab w:val="right" w:pos="9026" w:leader="dot"/>
            </w:tabs>
            <w:rPr/>
          </w:pPr>
          <w:hyperlink w:anchor="__RefHeading___Toc1815026_2870459653">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1815028_2870459653">
            <w:r>
              <w:rPr>
                <w:webHidden/>
                <w:rStyle w:val="IndexLink"/>
                <w:rtl w:val="true"/>
              </w:rPr>
              <w:t>[</w:t>
            </w:r>
            <w:r>
              <w:rPr>
                <w:rStyle w:val="IndexLink"/>
                <w:rtl w:val="true"/>
              </w:rPr>
              <w:t>المبحث</w:t>
            </w:r>
            <w:r>
              <w:rPr>
                <w:rStyle w:val="IndexLink"/>
                <w:rtl w:val="true"/>
              </w:rPr>
              <w:t xml:space="preserve">] </w:t>
            </w:r>
            <w:r>
              <w:rPr>
                <w:rStyle w:val="IndexLink"/>
                <w:rtl w:val="true"/>
              </w:rPr>
              <w:t>الأوّل</w:t>
            </w:r>
            <w:r>
              <w:rPr>
                <w:rStyle w:val="IndexLink"/>
                <w:rtl w:val="true"/>
              </w:rPr>
              <w:t xml:space="preserve">: </w:t>
            </w:r>
            <w:r>
              <w:rPr>
                <w:rStyle w:val="IndexLink"/>
                <w:rtl w:val="true"/>
              </w:rPr>
              <w:t>في الواجب</w:t>
            </w:r>
            <w:r>
              <w:rPr>
                <w:rStyle w:val="IndexLink"/>
                <w:rtl w:val="true"/>
              </w:rPr>
              <w:tab/>
            </w:r>
            <w:r>
              <w:rPr>
                <w:rStyle w:val="IndexLink"/>
              </w:rPr>
              <w:t>223</w:t>
            </w:r>
          </w:hyperlink>
        </w:p>
        <w:p>
          <w:pPr>
            <w:pStyle w:val="Contents3"/>
            <w:tabs>
              <w:tab w:val="clear" w:pos="8459"/>
              <w:tab w:val="right" w:pos="9026" w:leader="dot"/>
            </w:tabs>
            <w:rPr/>
          </w:pPr>
          <w:hyperlink w:anchor="__RefHeading___Toc1815030_2870459653">
            <w:r>
              <w:rPr>
                <w:webHidden/>
                <w:rStyle w:val="IndexLink"/>
                <w:rtl w:val="true"/>
              </w:rPr>
              <w:t>شروط القضاء</w:t>
            </w:r>
            <w:r>
              <w:rPr>
                <w:rStyle w:val="IndexLink"/>
                <w:rtl w:val="true"/>
              </w:rPr>
              <w:tab/>
            </w:r>
            <w:r>
              <w:rPr>
                <w:rStyle w:val="IndexLink"/>
              </w:rPr>
              <w:t>224</w:t>
            </w:r>
          </w:hyperlink>
        </w:p>
        <w:p>
          <w:pPr>
            <w:pStyle w:val="Contents3"/>
            <w:tabs>
              <w:tab w:val="clear" w:pos="8459"/>
              <w:tab w:val="right" w:pos="9026" w:leader="dot"/>
            </w:tabs>
            <w:rPr/>
          </w:pPr>
          <w:hyperlink w:anchor="__RefHeading___Toc1815032_2870459653">
            <w:r>
              <w:rPr>
                <w:webHidden/>
                <w:rStyle w:val="IndexLink"/>
                <w:rtl w:val="true"/>
              </w:rPr>
              <w:t>احکام القضاء</w:t>
            </w:r>
            <w:r>
              <w:rPr>
                <w:rStyle w:val="IndexLink"/>
                <w:rtl w:val="true"/>
              </w:rPr>
              <w:tab/>
            </w:r>
            <w:r>
              <w:rPr>
                <w:rStyle w:val="IndexLink"/>
              </w:rPr>
              <w:t>225</w:t>
            </w:r>
          </w:hyperlink>
        </w:p>
        <w:p>
          <w:pPr>
            <w:pStyle w:val="Contents3"/>
            <w:tabs>
              <w:tab w:val="clear" w:pos="8459"/>
              <w:tab w:val="right" w:pos="9026" w:leader="dot"/>
            </w:tabs>
            <w:rPr/>
          </w:pPr>
          <w:hyperlink w:anchor="__RefHeading___Toc1815034_2870459653">
            <w:r>
              <w:rPr>
                <w:webHidden/>
                <w:rStyle w:val="IndexLink"/>
                <w:rtl w:val="true"/>
              </w:rPr>
              <w:t>قضاء الولیّ عن المیّت</w:t>
            </w:r>
            <w:r>
              <w:rPr>
                <w:rStyle w:val="IndexLink"/>
                <w:rtl w:val="true"/>
              </w:rPr>
              <w:tab/>
            </w:r>
            <w:r>
              <w:rPr>
                <w:rStyle w:val="IndexLink"/>
              </w:rPr>
              <w:t>226</w:t>
            </w:r>
          </w:hyperlink>
        </w:p>
        <w:p>
          <w:pPr>
            <w:pStyle w:val="Contents3"/>
            <w:tabs>
              <w:tab w:val="clear" w:pos="8459"/>
              <w:tab w:val="right" w:pos="9026" w:leader="dot"/>
            </w:tabs>
            <w:rPr/>
          </w:pPr>
          <w:hyperlink w:anchor="__RefHeading___Toc1815036_2870459653">
            <w:r>
              <w:rPr>
                <w:webHidden/>
                <w:rStyle w:val="IndexLink"/>
                <w:rtl w:val="true"/>
              </w:rPr>
              <w:t>في صوم الكفّارة</w:t>
            </w:r>
            <w:r>
              <w:rPr>
                <w:rStyle w:val="IndexLink"/>
                <w:rtl w:val="true"/>
              </w:rPr>
              <w:tab/>
            </w:r>
            <w:r>
              <w:rPr>
                <w:rStyle w:val="IndexLink"/>
              </w:rPr>
              <w:t>227</w:t>
            </w:r>
          </w:hyperlink>
        </w:p>
        <w:p>
          <w:pPr>
            <w:pStyle w:val="Contents4"/>
            <w:tabs>
              <w:tab w:val="clear" w:pos="8176"/>
              <w:tab w:val="right" w:pos="9026" w:leader="dot"/>
            </w:tabs>
            <w:rPr/>
          </w:pPr>
          <w:hyperlink w:anchor="__RefHeading___Toc1815038_2870459653">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1815040_2870459653">
            <w:r>
              <w:rPr>
                <w:webHidden/>
                <w:rStyle w:val="IndexLink"/>
                <w:rtl w:val="true"/>
              </w:rPr>
              <w:t>المبحث الاوّل</w:t>
            </w:r>
            <w:r>
              <w:rPr>
                <w:rStyle w:val="IndexLink"/>
                <w:rtl w:val="true"/>
              </w:rPr>
              <w:tab/>
            </w:r>
            <w:r>
              <w:rPr>
                <w:rStyle w:val="IndexLink"/>
              </w:rPr>
              <w:t>227</w:t>
            </w:r>
          </w:hyperlink>
        </w:p>
        <w:p>
          <w:pPr>
            <w:pStyle w:val="Contents4"/>
            <w:tabs>
              <w:tab w:val="clear" w:pos="8176"/>
              <w:tab w:val="right" w:pos="9026" w:leader="dot"/>
            </w:tabs>
            <w:rPr/>
          </w:pPr>
          <w:hyperlink w:anchor="__RefHeading___Toc1815042_2870459653">
            <w:r>
              <w:rPr>
                <w:webHidden/>
                <w:rStyle w:val="IndexLink"/>
                <w:rtl w:val="true"/>
              </w:rPr>
              <w:t>المبحث الثاني</w:t>
            </w:r>
            <w:r>
              <w:rPr>
                <w:rStyle w:val="IndexLink"/>
                <w:rtl w:val="true"/>
              </w:rPr>
              <w:t xml:space="preserve">: </w:t>
            </w:r>
            <w:r>
              <w:rPr>
                <w:rStyle w:val="IndexLink"/>
                <w:rtl w:val="true"/>
              </w:rPr>
              <w:t>في الصوم المندوب</w:t>
            </w:r>
            <w:r>
              <w:rPr>
                <w:rStyle w:val="IndexLink"/>
                <w:rtl w:val="true"/>
              </w:rPr>
              <w:tab/>
            </w:r>
            <w:r>
              <w:rPr>
                <w:rStyle w:val="IndexLink"/>
              </w:rPr>
              <w:t>229</w:t>
            </w:r>
          </w:hyperlink>
        </w:p>
        <w:p>
          <w:pPr>
            <w:pStyle w:val="Contents4"/>
            <w:tabs>
              <w:tab w:val="clear" w:pos="8176"/>
              <w:tab w:val="right" w:pos="9026" w:leader="dot"/>
            </w:tabs>
            <w:rPr/>
          </w:pPr>
          <w:hyperlink w:anchor="__RefHeading___Toc1815044_2870459653">
            <w:r>
              <w:rPr>
                <w:webHidden/>
                <w:rStyle w:val="IndexLink"/>
                <w:rtl w:val="true"/>
              </w:rPr>
              <w:t>المبحث الثالث</w:t>
            </w:r>
            <w:r>
              <w:rPr>
                <w:rStyle w:val="IndexLink"/>
                <w:rtl w:val="true"/>
              </w:rPr>
              <w:t xml:space="preserve">: </w:t>
            </w:r>
            <w:r>
              <w:rPr>
                <w:rStyle w:val="IndexLink"/>
                <w:rtl w:val="true"/>
              </w:rPr>
              <w:t>في الصوم المكروه</w:t>
            </w:r>
            <w:r>
              <w:rPr>
                <w:rStyle w:val="IndexLink"/>
                <w:rtl w:val="true"/>
              </w:rPr>
              <w:tab/>
            </w:r>
            <w:r>
              <w:rPr>
                <w:rStyle w:val="IndexLink"/>
              </w:rPr>
              <w:t>230</w:t>
            </w:r>
          </w:hyperlink>
        </w:p>
        <w:p>
          <w:pPr>
            <w:pStyle w:val="Contents4"/>
            <w:tabs>
              <w:tab w:val="clear" w:pos="8176"/>
              <w:tab w:val="right" w:pos="9026" w:leader="dot"/>
            </w:tabs>
            <w:rPr/>
          </w:pPr>
          <w:hyperlink w:anchor="__RefHeading___Toc1815046_2870459653">
            <w:r>
              <w:rPr>
                <w:webHidden/>
                <w:rStyle w:val="IndexLink"/>
                <w:rtl w:val="true"/>
              </w:rPr>
              <w:t>المبحث الرابع</w:t>
            </w:r>
            <w:r>
              <w:rPr>
                <w:rStyle w:val="IndexLink"/>
                <w:rtl w:val="true"/>
              </w:rPr>
              <w:t xml:space="preserve">: </w:t>
            </w:r>
            <w:r>
              <w:rPr>
                <w:rStyle w:val="IndexLink"/>
                <w:rtl w:val="true"/>
              </w:rPr>
              <w:t>في الصوم المحظور</w:t>
            </w:r>
            <w:r>
              <w:rPr>
                <w:rStyle w:val="IndexLink"/>
                <w:rtl w:val="true"/>
              </w:rPr>
              <w:tab/>
            </w:r>
            <w:r>
              <w:rPr>
                <w:rStyle w:val="IndexLink"/>
              </w:rPr>
              <w:t>230</w:t>
            </w:r>
          </w:hyperlink>
        </w:p>
        <w:p>
          <w:pPr>
            <w:pStyle w:val="Contents2"/>
            <w:tabs>
              <w:tab w:val="clear" w:pos="8743"/>
              <w:tab w:val="right" w:pos="9026" w:leader="dot"/>
            </w:tabs>
            <w:rPr/>
          </w:pPr>
          <w:hyperlink w:anchor="__RefHeading___Toc1815048_2870459653">
            <w:r>
              <w:rPr>
                <w:webHidden/>
                <w:rStyle w:val="IndexLink"/>
                <w:rtl w:val="true"/>
              </w:rPr>
              <w:t>فهرس مصادر التحقيق</w:t>
            </w:r>
            <w:r>
              <w:rPr>
                <w:rStyle w:val="IndexLink"/>
                <w:rtl w:val="true"/>
              </w:rPr>
              <w:tab/>
            </w:r>
            <w:r>
              <w:rPr>
                <w:rStyle w:val="IndexLink"/>
              </w:rPr>
              <w:t>231</w:t>
            </w:r>
          </w:hyperlink>
        </w:p>
        <w:p>
          <w:pPr>
            <w:pStyle w:val="Contents2"/>
            <w:tabs>
              <w:tab w:val="clear" w:pos="8743"/>
              <w:tab w:val="right" w:pos="9026" w:leader="dot"/>
            </w:tabs>
            <w:rPr/>
          </w:pPr>
          <w:hyperlink w:anchor="__RefHeading___Toc1815050_2870459653">
            <w:r>
              <w:rPr>
                <w:webHidden/>
                <w:rStyle w:val="IndexLink"/>
                <w:rtl w:val="true"/>
              </w:rPr>
              <w:t>المحتويات</w:t>
            </w:r>
            <w:r>
              <w:rPr>
                <w:rStyle w:val="IndexLink"/>
                <w:rtl w:val="true"/>
              </w:rPr>
              <w:tab/>
            </w:r>
            <w:r>
              <w:rPr>
                <w:rStyle w:val="IndexLink"/>
              </w:rPr>
              <w:t>235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88_115933"/>
      <w:bookmarkStart w:id="1" w:name="pg8988_115933"/>
      <w:bookmarkEnd w:id="1"/>
    </w:p>
    <w:p>
      <w:pPr>
        <w:pStyle w:val="Heading2"/>
        <w:numPr>
          <w:ilvl w:val="1"/>
          <w:numId w:val="1"/>
        </w:numPr>
        <w:rPr/>
      </w:pPr>
      <w:bookmarkStart w:id="2" w:name="pg8988_115933"/>
      <w:bookmarkStart w:id="3" w:name="__RefHeading___Toc1814674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الْكَلِمَةُ الطَّيِّبَةُ</w:t>
      </w:r>
    </w:p>
    <w:p>
      <w:pPr>
        <w:pStyle w:val="BookText"/>
        <w:rPr/>
      </w:pPr>
      <w:r>
        <w:rPr>
          <w:rFonts w:ascii="Amiri" w:hAnsi="Amiri" w:eastAsia="Amiri" w:cs="Amiri"/>
          <w:color w:val="111111"/>
          <w:sz w:val="28"/>
          <w:sz w:val="28"/>
          <w:szCs w:val="28"/>
          <w:rtl w:val="true"/>
          <w:lang w:bidi="ar-SA"/>
        </w:rPr>
        <w:t>لِلْفَقِيهِ الزاهِد</w:t>
      </w:r>
    </w:p>
    <w:p>
      <w:pPr>
        <w:pStyle w:val="BookText"/>
        <w:rPr/>
      </w:pPr>
      <w:r>
        <w:rPr>
          <w:rFonts w:ascii="Amiri" w:hAnsi="Amiri" w:eastAsia="Amiri" w:cs="Amiri"/>
          <w:color w:val="111111"/>
          <w:sz w:val="28"/>
          <w:sz w:val="28"/>
          <w:szCs w:val="28"/>
          <w:rtl w:val="true"/>
          <w:lang w:bidi="ar-SA"/>
        </w:rPr>
        <w:t>الشيخ عليّ البهبهاني</w:t>
      </w:r>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1347</w:t>
      </w:r>
    </w:p>
    <w:p>
      <w:pPr>
        <w:pStyle w:val="BookText"/>
        <w:rPr/>
      </w:pPr>
      <w:r>
        <w:rPr>
          <w:rFonts w:ascii="Amiri" w:hAnsi="Amiri" w:eastAsia="Amiri" w:cs="Amiri"/>
          <w:color w:val="111111"/>
          <w:sz w:val="28"/>
          <w:sz w:val="28"/>
          <w:szCs w:val="28"/>
          <w:rtl w:val="true"/>
          <w:lang w:bidi="ar-SA"/>
        </w:rPr>
        <w:t>مع تعليقاتِ</w:t>
      </w:r>
    </w:p>
    <w:p>
      <w:pPr>
        <w:pStyle w:val="BookText"/>
        <w:rPr/>
      </w:pPr>
      <w:r>
        <w:rPr>
          <w:rFonts w:ascii="Amiri" w:hAnsi="Amiri" w:eastAsia="Amiri" w:cs="Amiri"/>
          <w:color w:val="111111"/>
          <w:sz w:val="28"/>
          <w:sz w:val="28"/>
          <w:szCs w:val="28"/>
          <w:rtl w:val="true"/>
          <w:lang w:bidi="ar-SA"/>
        </w:rPr>
        <w:t>الْفَقيهِ المحقِّق</w:t>
      </w:r>
    </w:p>
    <w:p>
      <w:pPr>
        <w:pStyle w:val="BookText"/>
        <w:rPr/>
      </w:pPr>
      <w:r>
        <w:rPr>
          <w:rFonts w:ascii="Amiri" w:hAnsi="Amiri" w:eastAsia="Amiri" w:cs="Amiri"/>
          <w:color w:val="111111"/>
          <w:sz w:val="28"/>
          <w:sz w:val="28"/>
          <w:szCs w:val="28"/>
          <w:rtl w:val="true"/>
          <w:lang w:bidi="ar-SA"/>
        </w:rPr>
        <w:t>السيّد عليّ البهبهاني</w:t>
      </w:r>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محمّد حسن الأرگاني البهبهاني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14676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الْكَلِمَةُ الطَّيِّبَةُ</w:t>
      </w:r>
    </w:p>
    <w:p>
      <w:pPr>
        <w:pStyle w:val="BookText"/>
        <w:rPr/>
      </w:pPr>
      <w:r>
        <w:rPr>
          <w:rFonts w:ascii="Amiri" w:hAnsi="Amiri" w:eastAsia="Amiri" w:cs="Amiri"/>
          <w:color w:val="111111"/>
          <w:sz w:val="28"/>
          <w:sz w:val="28"/>
          <w:szCs w:val="28"/>
          <w:rtl w:val="true"/>
          <w:lang w:bidi="ar-SA"/>
        </w:rPr>
        <w:t>لِلْفَقِيهِ الزاهِد</w:t>
      </w:r>
    </w:p>
    <w:p>
      <w:pPr>
        <w:pStyle w:val="BookText"/>
        <w:rPr/>
      </w:pPr>
      <w:r>
        <w:rPr>
          <w:rFonts w:ascii="Amiri" w:hAnsi="Amiri" w:eastAsia="Amiri" w:cs="Amiri"/>
          <w:color w:val="111111"/>
          <w:sz w:val="28"/>
          <w:sz w:val="28"/>
          <w:szCs w:val="28"/>
          <w:rtl w:val="true"/>
          <w:lang w:bidi="ar-SA"/>
        </w:rPr>
        <w:t>الشيخ عليّ البهبهاني</w:t>
      </w:r>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1347</w:t>
      </w:r>
    </w:p>
    <w:p>
      <w:pPr>
        <w:pStyle w:val="BookText"/>
        <w:rPr/>
      </w:pPr>
      <w:r>
        <w:rPr>
          <w:rFonts w:ascii="Amiri" w:hAnsi="Amiri" w:eastAsia="Amiri" w:cs="Amiri"/>
          <w:color w:val="111111"/>
          <w:sz w:val="28"/>
          <w:sz w:val="28"/>
          <w:szCs w:val="28"/>
          <w:rtl w:val="true"/>
          <w:lang w:bidi="ar-SA"/>
        </w:rPr>
        <w:t>مع تعليقاتِ</w:t>
      </w:r>
    </w:p>
    <w:p>
      <w:pPr>
        <w:pStyle w:val="BookText"/>
        <w:rPr/>
      </w:pPr>
      <w:r>
        <w:rPr>
          <w:rFonts w:ascii="Amiri" w:hAnsi="Amiri" w:eastAsia="Amiri" w:cs="Amiri"/>
          <w:color w:val="111111"/>
          <w:sz w:val="28"/>
          <w:sz w:val="28"/>
          <w:szCs w:val="28"/>
          <w:rtl w:val="true"/>
          <w:lang w:bidi="ar-SA"/>
        </w:rPr>
        <w:t>الْفَقيهِ المحقِّق</w:t>
      </w:r>
    </w:p>
    <w:p>
      <w:pPr>
        <w:pStyle w:val="BookText"/>
        <w:rPr/>
      </w:pPr>
      <w:r>
        <w:rPr>
          <w:rFonts w:ascii="Amiri" w:hAnsi="Amiri" w:eastAsia="Amiri" w:cs="Amiri"/>
          <w:color w:val="111111"/>
          <w:sz w:val="28"/>
          <w:sz w:val="28"/>
          <w:szCs w:val="28"/>
          <w:rtl w:val="true"/>
          <w:lang w:bidi="ar-SA"/>
        </w:rPr>
        <w:t>السيّد عليّ البهبهاني</w:t>
      </w:r>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تحقیق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حسن الأرگاني البهبهاني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2018DAR AL-MAWADDAH</w:t>
      </w:r>
    </w:p>
    <w:p>
      <w:pPr>
        <w:pStyle w:val="BookText"/>
        <w:rPr/>
      </w:pPr>
      <w:r>
        <w:rPr>
          <w:rFonts w:ascii="Amiri" w:hAnsi="Amiri" w:eastAsia="Amiri" w:cs="Amiri"/>
          <w:color w:val="111111"/>
          <w:sz w:val="28"/>
          <w:sz w:val="28"/>
          <w:szCs w:val="28"/>
          <w:rtl w:val="true"/>
          <w:lang w:bidi="ar-SA"/>
        </w:rPr>
        <w:t>دار المودة</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p>
    <w:p>
      <w:pPr>
        <w:pStyle w:val="BookText"/>
        <w:rPr/>
      </w:pPr>
      <w:r>
        <w:rPr>
          <w:rFonts w:ascii="Amiri" w:hAnsi="Amiri" w:eastAsia="Amiri" w:cs="Amiri"/>
          <w:color w:val="111111"/>
          <w:sz w:val="28"/>
          <w:sz w:val="28"/>
          <w:szCs w:val="28"/>
          <w:rtl w:val="true"/>
          <w:lang w:bidi="ar-SA"/>
        </w:rPr>
        <w:t>الكلمة الطبّة</w:t>
      </w:r>
    </w:p>
    <w:p>
      <w:pPr>
        <w:pStyle w:val="BookText"/>
        <w:rPr/>
      </w:pPr>
      <w:r>
        <w:rPr>
          <w:rFonts w:ascii="Amiri" w:hAnsi="Amiri" w:eastAsia="Amiri" w:cs="Amiri"/>
          <w:color w:val="111111"/>
          <w:sz w:val="28"/>
          <w:sz w:val="28"/>
          <w:szCs w:val="28"/>
          <w:rtl w:val="true"/>
          <w:lang w:bidi="ar-SA"/>
        </w:rPr>
        <w:t>للفقيه الزاهد</w:t>
      </w:r>
    </w:p>
    <w:p>
      <w:pPr>
        <w:pStyle w:val="BookText"/>
        <w:rPr/>
      </w:pPr>
      <w:r>
        <w:rPr>
          <w:rFonts w:ascii="Amiri" w:hAnsi="Amiri" w:eastAsia="Amiri" w:cs="Amiri"/>
          <w:color w:val="111111"/>
          <w:sz w:val="28"/>
          <w:sz w:val="28"/>
          <w:szCs w:val="28"/>
          <w:rtl w:val="true"/>
          <w:lang w:bidi="ar-SA"/>
        </w:rPr>
        <w:t>الشيخ علي البهبهاني</w:t>
      </w:r>
    </w:p>
    <w:p>
      <w:pPr>
        <w:pStyle w:val="BookText"/>
        <w:rPr/>
      </w:pPr>
      <w:r>
        <w:rPr>
          <w:rFonts w:ascii="Amiri" w:hAnsi="Amiri" w:eastAsia="Amiri" w:cs="Amiri"/>
          <w:color w:val="111111"/>
          <w:sz w:val="28"/>
          <w:sz w:val="28"/>
          <w:szCs w:val="28"/>
          <w:rtl w:val="true"/>
          <w:lang w:bidi="ar-SA"/>
        </w:rPr>
        <w:t>مع تعليقات الفقيه المحقّق</w:t>
      </w:r>
    </w:p>
    <w:p>
      <w:pPr>
        <w:pStyle w:val="BookText"/>
        <w:rPr/>
      </w:pPr>
      <w:r>
        <w:rPr>
          <w:rFonts w:ascii="Amiri" w:hAnsi="Amiri" w:eastAsia="Amiri" w:cs="Amiri"/>
          <w:color w:val="111111"/>
          <w:sz w:val="28"/>
          <w:sz w:val="28"/>
          <w:szCs w:val="28"/>
          <w:rtl w:val="true"/>
          <w:lang w:bidi="ar-SA"/>
        </w:rPr>
        <w:t>السيّد علي البهبهاني</w:t>
      </w:r>
    </w:p>
    <w:p>
      <w:pPr>
        <w:pStyle w:val="BookText"/>
        <w:rPr/>
      </w:pP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محمّد حسن الأرگاني البهبهاني</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اعتمادي</w:t>
      </w:r>
    </w:p>
    <w:p>
      <w:pPr>
        <w:pStyle w:val="BookText"/>
        <w:rPr/>
      </w:pPr>
      <w:r>
        <w:rPr>
          <w:rFonts w:ascii="Amiri" w:hAnsi="Amiri" w:eastAsia="Amiri" w:cs="Amiri"/>
          <w:color w:val="111111"/>
          <w:sz w:val="28"/>
          <w:sz w:val="28"/>
          <w:szCs w:val="28"/>
          <w:rtl w:val="true"/>
          <w:lang w:bidi="ar-SA"/>
        </w:rPr>
        <w:t xml:space="preserve">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 xml:space="preserve">الكمّيّة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97078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جميع الحقوق محفوظة للناشر</w:t>
      </w:r>
    </w:p>
    <w:p>
      <w:pPr>
        <w:pStyle w:val="BookText"/>
        <w:rPr/>
      </w:pPr>
      <w:r>
        <w:rPr>
          <w:rFonts w:ascii="Amiri" w:hAnsi="Amiri" w:eastAsia="Amiri" w:cs="Amiri"/>
          <w:color w:val="111111"/>
          <w:sz w:val="28"/>
          <w:sz w:val="28"/>
          <w:szCs w:val="28"/>
          <w:rtl w:val="true"/>
          <w:lang w:bidi="ar-SA"/>
        </w:rPr>
        <w:t>مركز التوزيع</w:t>
      </w:r>
    </w:p>
    <w:p>
      <w:pPr>
        <w:pStyle w:val="BookText"/>
        <w:rPr/>
      </w:pPr>
      <w:r>
        <w:rPr>
          <w:rFonts w:ascii="IRNazanin" w:hAnsi="IRNazanin" w:eastAsia="IRNazanin"/>
          <w:color w:val="111111"/>
          <w:sz w:val="28"/>
          <w:sz w:val="28"/>
          <w:szCs w:val="28"/>
          <w:rtl w:val="true"/>
          <w:lang w:bidi="fa-IR"/>
        </w:rPr>
        <w:t xml:space="preserve">أهواز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 لآية الله البهبهاني قدس سرّه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lang w:bidi="fa-IR"/>
        </w:rPr>
        <w:t>32225621</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بهبهانی، علی، </w:t>
      </w:r>
      <w:r>
        <w:rPr>
          <w:rFonts w:eastAsia="IRNazanin" w:cs="IRNazanin"/>
          <w:color w:val="111111"/>
          <w:sz w:val="28"/>
          <w:szCs w:val="28"/>
          <w:lang w:bidi="fa-IR"/>
        </w:rPr>
        <w:t>1285</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الكلمه الطيبه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البهبهاني؛ مع تعليقات سيّد على البهبهاني؛</w:t>
      </w:r>
    </w:p>
    <w:p>
      <w:pPr>
        <w:pStyle w:val="BookText"/>
        <w:rPr/>
      </w:pPr>
      <w:r>
        <w:rPr>
          <w:rFonts w:ascii="IRNazanin" w:hAnsi="IRNazanin" w:eastAsia="IRNazanin"/>
          <w:color w:val="111111"/>
          <w:sz w:val="28"/>
          <w:sz w:val="28"/>
          <w:szCs w:val="28"/>
          <w:rtl w:val="true"/>
          <w:lang w:bidi="fa-IR"/>
        </w:rPr>
        <w:t>تحقیق محمّد حسن الارگانى البهبهانی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المودّة ،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97078</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همچنین به صورت زیر 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Islamic law, Jafari - Handbooks, manuals, etc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شناسۀ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بهبهانی، سید على، </w:t>
      </w:r>
      <w:r>
        <w:rPr>
          <w:rFonts w:eastAsia="IRNazanin" w:cs="IRNazanin"/>
          <w:color w:val="111111"/>
          <w:sz w:val="28"/>
          <w:szCs w:val="28"/>
          <w:lang w:bidi="fa-IR"/>
        </w:rPr>
        <w:t>1264</w:t>
      </w:r>
      <w:r>
        <w:rPr>
          <w:rFonts w:eastAsia="IRNazanin" w:cs="IRNazanin"/>
          <w:color w:val="111111"/>
          <w:sz w:val="28"/>
          <w:szCs w:val="28"/>
          <w:rtl w:val="true"/>
          <w:lang w:bidi="fa-IR"/>
        </w:rPr>
        <w:t xml:space="preserve"> -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شناسۀ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ارگانی بهبهانی، محمّد حسن،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297/3422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8437507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وضعیت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فييا</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988_115945"/>
      <w:bookmarkStart w:id="8" w:name="pg8988_115945"/>
      <w:bookmarkEnd w:id="8"/>
    </w:p>
    <w:p>
      <w:pPr>
        <w:pStyle w:val="Heading2"/>
        <w:numPr>
          <w:ilvl w:val="1"/>
          <w:numId w:val="1"/>
        </w:numPr>
        <w:rPr/>
      </w:pPr>
      <w:bookmarkStart w:id="9" w:name="pg8988_115945"/>
      <w:bookmarkStart w:id="10" w:name="__RefHeading___Toc1814678_2870459653"/>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ذى الحَوْل والطَّوْل، المُفْضِل المُجْمِل ، الذي يَصْعَدُ إلى حَضرتِه الكلم الطيّب وَيَنزِلُ من رحمته الوابلُ الصَيِّب ، مُبدع الآثار ومُجَلّي الأنوار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والسلام على الكلمة الطيّبة والرحمة الواصبة محمّد خاتم النبيّين وسيّد الخلق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أهل بيته وعترته لا سيّما وليّ الأمر وإمام العصر نور الله التامّ وسرّ هداية الأنام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واللّعن على أعدائهم إلى يوم القيام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المؤلَّف الماثل بين يَدَي القارئ الكريم مجموعةٌ فقهيّةٌ مختصرةٌ من أحد أعلام أسرتنا وهو العالم البارع الفقيه الزاهد الشيخ علي البهبهاني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اتّفق لي بعون الله ومنّه تصحيحُه وإعداده للطّبع بعد أن مرّت عليه السِّنون واختفَتْ معالمُهُ عن العيون، مشفوعاً بتعاليق الفقيه الأصوليّ المحقّق سَمِيّه وبَلَدِيّه السيّد علي البهبهاني قدس سرّه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 أنا ذا أقدِّم نبذةً موجزةً من ترجمتهم ثمّ التعريف بالكتاب</w:t>
      </w:r>
      <w:r>
        <w:rPr>
          <w:rFonts w:eastAsia="Amiri" w:cs="Amiri" w:ascii="Amiri" w:hAnsi="Amiri"/>
          <w:color w:val="111111"/>
          <w:sz w:val="28"/>
          <w:szCs w:val="28"/>
          <w:rtl w:val="true"/>
          <w:lang w:bidi="ar-SA"/>
        </w:rPr>
        <w:t xml:space="preserve">. </w:t>
      </w:r>
      <w:bookmarkStart w:id="12" w:name="pg8988_115947"/>
    </w:p>
    <w:p>
      <w:pPr>
        <w:pStyle w:val="Heading2"/>
        <w:numPr>
          <w:ilvl w:val="1"/>
          <w:numId w:val="1"/>
        </w:numPr>
        <w:rPr/>
      </w:pPr>
      <w:bookmarkStart w:id="13" w:name="__RefHeading___Toc1814680_2870459653"/>
      <w:bookmarkStart w:id="14" w:name="_Toc4"/>
      <w:bookmarkEnd w:id="12"/>
      <w:bookmarkEnd w:id="13"/>
      <w:r>
        <w:rPr>
          <w:rtl w:val="true"/>
        </w:rPr>
        <w:t xml:space="preserve">الشّيخ علي البهبهاني </w:t>
      </w:r>
      <w:r>
        <w:rPr>
          <w:rtl w:val="true"/>
        </w:rPr>
        <w:t>(</w:t>
      </w:r>
      <w:r>
        <w:rPr>
          <w:rtl w:val="true"/>
        </w:rPr>
        <w:t>الأرگاني</w:t>
      </w:r>
      <w:r>
        <w:rPr>
          <w:rtl w:val="true"/>
        </w:rPr>
        <w:t>)</w:t>
      </w:r>
      <w:bookmarkEnd w:id="14"/>
    </w:p>
    <w:p>
      <w:pPr>
        <w:pStyle w:val="Heading3"/>
        <w:numPr>
          <w:ilvl w:val="2"/>
          <w:numId w:val="1"/>
        </w:numPr>
        <w:rPr/>
      </w:pPr>
      <w:bookmarkStart w:id="15" w:name="__RefHeading___Toc1814682_2870459653"/>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 xml:space="preserve">هو ابن الفقيه الوجيه العالم الزاهد الشيخ غلام علي البهبهاني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 نَشَأ بها على أبيه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جَدَّ في طَلَبِ العلم ونيل الكمال من عهد الصِغَر واشتَغَل بجهدٍ مجهودٍ وهمّةٍ عالية فَبَلَغ مبلغَ العلماء من بداية شبابه ونال حظّاً وافراً من العلم والفضل واستفاد من أعلام كربلاء المبرّزين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صار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بلاد خوزستان العامرة متكفّلاً مهامّها الدينية والاجتماعيّة وأمورها الشرعيّة ، راعياً لفقرائها وحاميا لضعفائها في شدّة أيّام حكومة خزعل وصعوباتها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ونال هناك رئاسةً ووجاهةً ومرجعيّة وطار صَيْتُه إلى سائر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فيه الشيخ آقا بزرگ الطهراني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العلماء الرؤساء في المحمّرة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في كمال الزهد والخشوع والقنوع مكتفيا باليسير من المعاش مبالغا في الإعراض عن حطام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عنه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آخر وصايا والدي وهو في فراش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التعرّض لحقوق النّاس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من اهتمامه بهذا الشأن أن مَنعَ ابنَ أخيه الفاضل الكامل الشيخ محمّد جواد البهبهاني الأرگاني عن المرشّحيّة لمجلس الوكلاء، ونهاه جدّاً عن الاتّصال بالحكومة، وذلك في عهد الملك البهلوي الأوّل ، بالرّغم من شهرته ومكانته في بلدة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المعشور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وإقبال العشائر إليه ونفوذ كلمته فيهم وتهيؤ الظروف لتولّيه النيابة عن بعض نواحي خوزستان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ويكفي في تبيين شأنه العليّ في ميدان الفضل والنُّهى ومقامه السنيّ في مضمار العلم والتُّقى ما كَتبَه شيخُه علّامةُ دهره ونابغة عصره أستاذه العبقريّ الألمعي السيّد محمد حسين الشهرستاني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العامل والفاضل الكامل ، المدقّق المحقّق ، حاوي مراتب التُّقى والإيمان والدارج مدارج الفضل والإتقان، الذي ارتَضَع من ثدي العلم والفقاهة وافتطم من يد الفضل والنباهة، ورُبّيَ في حجر الأدب وأرتع في رياض الأرب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القريحة الوقَّادة والنّقيبة النقّادة، والذهن السليم والفهم المستقيم ، والملكة القدسيّة والمنحة الإلهيّة ، المؤيّد من الله العليّ ولدنا الشيخ عليّ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كتبه في إجازته </w:t>
      </w:r>
      <w:r>
        <w:rPr>
          <w:rStyle w:val="FootnoteAnchor"/>
          <w:rtl w:val="true"/>
        </w:rPr>
        <w:footnoteReference w:id="3"/>
      </w:r>
      <w:r>
        <w:rPr>
          <w:rFonts w:ascii="Amiri" w:hAnsi="Amiri" w:eastAsia="Amiri" w:cs="Amiri"/>
          <w:color w:val="111111"/>
          <w:sz w:val="28"/>
          <w:sz w:val="28"/>
          <w:szCs w:val="28"/>
          <w:rtl w:val="true"/>
          <w:lang w:bidi="ar-SA"/>
        </w:rPr>
        <w:t xml:space="preserve">له عام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للشيخ علي البهبهاني ثمان وعشرون سنة من العمر </w:t>
      </w:r>
      <w:r>
        <w:rPr>
          <w:rFonts w:eastAsia="Amiri" w:cs="Amiri" w:ascii="Amiri" w:hAnsi="Amiri"/>
          <w:color w:val="111111"/>
          <w:sz w:val="28"/>
          <w:szCs w:val="28"/>
          <w:rtl w:val="true"/>
          <w:lang w:bidi="ar-SA"/>
        </w:rPr>
        <w:t xml:space="preserve">. </w:t>
      </w:r>
      <w:bookmarkStart w:id="17" w:name="pg8988_115951"/>
    </w:p>
    <w:p>
      <w:pPr>
        <w:pStyle w:val="BookText"/>
        <w:rPr/>
      </w:pPr>
      <w:bookmarkEnd w:id="17"/>
      <w:r>
        <w:rPr>
          <w:rFonts w:ascii="Amiri" w:hAnsi="Amiri" w:eastAsia="Amiri" w:cs="Amiri"/>
          <w:color w:val="111111"/>
          <w:sz w:val="28"/>
          <w:sz w:val="28"/>
          <w:szCs w:val="28"/>
          <w:rtl w:val="true"/>
          <w:lang w:bidi="ar-SA"/>
        </w:rPr>
        <w:t xml:space="preserve">تُوفّي رحمه الله عام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وأرَّخَ وفاته بعضُ الشّعراء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جمادٍ قُوِّضَ الإسلامُ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ودُفِنَ في الصحن الشريف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مشرّفه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 بالحجرة المدفون فيها الفقيه الشهير السيّد إسماعيل</w:t>
      </w:r>
    </w:p>
    <w:p>
      <w:pPr>
        <w:pStyle w:val="BookText"/>
        <w:rPr/>
      </w:pPr>
      <w:r>
        <w:rPr>
          <w:rFonts w:ascii="Amiri" w:hAnsi="Amiri" w:eastAsia="Amiri" w:cs="Amiri"/>
          <w:color w:val="111111"/>
          <w:sz w:val="28"/>
          <w:sz w:val="28"/>
          <w:szCs w:val="28"/>
          <w:rtl w:val="true"/>
          <w:lang w:bidi="ar-SA"/>
        </w:rPr>
        <w:t>البهبهاني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814684_2870459653"/>
      <w:bookmarkStart w:id="19" w:name="_Toc6"/>
      <w:bookmarkEnd w:id="18"/>
      <w:r>
        <w:rPr>
          <w:rtl w:val="true"/>
        </w:rPr>
        <w:t>أساتذته</w:t>
      </w:r>
      <w:r>
        <w:rPr>
          <w:rtl w:val="true"/>
        </w:rPr>
        <w:t>:</w:t>
      </w:r>
      <w:bookmarkEnd w:id="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والده الجليل الشيخ غلام علي البهبهاني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العالم البارع الفقيه الأصولي الشيخ زين العابدين المازندراني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 سعيد العلماء المازندرانيّ والسيّد إبراهيم القزويني صاحب الضوابط والشيخ مرتضى الأنصاري قدس سرّهم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الجامع للفنون والعلوم السيّد الميرزا محمّد حسين الشهرستاني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أجازَه إجازةً ثمينةً مفصّلة في الرواية عام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العالم الوَرع الشيخ علي البفروئي اليزدي الحائري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 الشيخ مرتضى الأنصاري والمولى محمد حسين الفاضل الأردكانيقدس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شيخه في الإجازة أيضاً</w:t>
      </w:r>
      <w:r>
        <w:rPr>
          <w:rFonts w:eastAsia="Amiri" w:cs="Amiri" w:ascii="Amiri" w:hAnsi="Amiri"/>
          <w:color w:val="111111"/>
          <w:sz w:val="28"/>
          <w:szCs w:val="28"/>
          <w:rtl w:val="true"/>
          <w:lang w:bidi="ar-SA"/>
        </w:rPr>
        <w:t xml:space="preserve">. </w:t>
      </w:r>
      <w:bookmarkStart w:id="20" w:name="pg8988_115953"/>
    </w:p>
    <w:p>
      <w:pPr>
        <w:pStyle w:val="BookText"/>
        <w:rPr/>
      </w:pPr>
      <w:bookmarkEnd w:id="20"/>
      <w:r>
        <w:rPr>
          <w:rFonts w:ascii="IRNazanin" w:hAnsi="IRNazanin" w:eastAsia="IRNazanin"/>
          <w:color w:val="111111"/>
          <w:sz w:val="28"/>
          <w:sz w:val="28"/>
          <w:szCs w:val="28"/>
          <w:rtl w:val="true"/>
          <w:lang w:bidi="fa-IR"/>
        </w:rPr>
        <w:t xml:space="preserve">قال فيه الشيخ آقابزرگ الطهراني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شيوخ الاجتهاد وأبطال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والكلّ يثني على علمه و ورعه</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الشيخ علي البهبهاني قدس سرّه متواصلاً معه في الجوانب العلميّة حتّى بعد إقامته في بلدة المحمّرة</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814686_2870459653"/>
      <w:bookmarkStart w:id="22" w:name="_Toc7"/>
      <w:bookmarkEnd w:id="21"/>
      <w:r>
        <w:rPr>
          <w:rtl w:val="true"/>
        </w:rPr>
        <w:t>المجازون منه</w:t>
      </w:r>
      <w:r>
        <w:rPr>
          <w:rtl w:val="true"/>
        </w:rPr>
        <w:t>:</w:t>
      </w:r>
      <w:bookmarkEnd w:id="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النابغة الشهير والعبقريّ الكبير العالم الكامل السيّد عدنان الغريفي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أشهر علماء المحمّرة، تلميذ الميرزا حبيب الله الرشتي والشيخ محمّد طه نجف والسيّد المجدّد الشيرازي قدس سرّهم والمجاز منهم في الرواية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أجازه عام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وصفه في الإجازة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العالم العامل والفاضل الكامل فخر العلماء العاملين وزين الفقهاء والمجتهدين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العالم الفاضل الأديب الأريب النسّابة السيّد مهدي ابن السيّد علي الغريفي البحراني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نال بالإجازة منه عام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23" w:name="pg8988_115955"/>
    </w:p>
    <w:p>
      <w:pPr>
        <w:pStyle w:val="Heading3"/>
        <w:numPr>
          <w:ilvl w:val="2"/>
          <w:numId w:val="1"/>
        </w:numPr>
        <w:rPr/>
      </w:pPr>
      <w:bookmarkStart w:id="24" w:name="__RefHeading___Toc1814688_2870459653"/>
      <w:bookmarkStart w:id="25" w:name="_Toc8"/>
      <w:bookmarkEnd w:id="23"/>
      <w:bookmarkEnd w:id="24"/>
      <w:r>
        <w:rPr>
          <w:rtl w:val="true"/>
        </w:rPr>
        <w:t>تأليفاته</w:t>
      </w:r>
      <w:r>
        <w:rPr>
          <w:rtl w:val="true"/>
        </w:rPr>
        <w:t>:</w:t>
      </w:r>
      <w:bookmarkEnd w:id="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الأنام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الكلمة الطیبّة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الحاشية على الرسالة العمليّة المسمّاة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نجاة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لوالده الجليل الشيخ غلام علی البهبهاني قدس سرّه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سؤال وجواب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أحكام فقهيّة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ترجمته 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ربيع المغاني في تراجم آل البهبهاني الحائري الأرگاني ص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طبقات أعلام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نقباء البشر في القرن الرابع عشر</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2095</w:t>
      </w:r>
      <w:r>
        <w:rPr>
          <w:rFonts w:eastAsia="IRNazanin" w:cs="IRNazanin"/>
          <w:color w:val="111111"/>
          <w:sz w:val="28"/>
          <w:szCs w:val="28"/>
          <w:rtl w:val="true"/>
          <w:lang w:bidi="fa-IR"/>
        </w:rPr>
        <w:t xml:space="preserve">. </w:t>
      </w:r>
      <w:bookmarkStart w:id="26" w:name="pg8988_115957"/>
    </w:p>
    <w:p>
      <w:pPr>
        <w:pStyle w:val="Heading2"/>
        <w:numPr>
          <w:ilvl w:val="1"/>
          <w:numId w:val="1"/>
        </w:numPr>
        <w:rPr/>
      </w:pPr>
      <w:bookmarkStart w:id="27" w:name="__RefHeading___Toc1814690_2870459653"/>
      <w:bookmarkStart w:id="28" w:name="_Toc9"/>
      <w:bookmarkEnd w:id="26"/>
      <w:bookmarkEnd w:id="27"/>
      <w:r>
        <w:rPr>
          <w:rtl w:val="true"/>
        </w:rPr>
        <w:t>السيّد علي البهبهاني</w:t>
      </w:r>
      <w:bookmarkEnd w:id="28"/>
    </w:p>
    <w:p>
      <w:pPr>
        <w:pStyle w:val="Heading3"/>
        <w:numPr>
          <w:ilvl w:val="2"/>
          <w:numId w:val="1"/>
        </w:numPr>
        <w:rPr/>
      </w:pPr>
      <w:bookmarkStart w:id="29" w:name="__RefHeading___Toc1814692_2870459653"/>
      <w:bookmarkStart w:id="30" w:name="_Toc10"/>
      <w:bookmarkEnd w:id="29"/>
      <w:r>
        <w:rPr>
          <w:rtl w:val="true"/>
        </w:rPr>
        <w:t>اشارة</w:t>
      </w:r>
      <w:bookmarkEnd w:id="30"/>
    </w:p>
    <w:p>
      <w:pPr>
        <w:pStyle w:val="BookText"/>
        <w:rPr/>
      </w:pPr>
      <w:r>
        <w:rPr>
          <w:rFonts w:ascii="Amiri" w:hAnsi="Amiri" w:eastAsia="Amiri" w:cs="Amiri"/>
          <w:color w:val="111111"/>
          <w:sz w:val="28"/>
          <w:sz w:val="28"/>
          <w:szCs w:val="28"/>
          <w:rtl w:val="true"/>
          <w:lang w:bidi="ar-SA"/>
        </w:rPr>
        <w:t xml:space="preserve">هو ابن السيّد محمّد ابن السيّد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بهبهان سنة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تتلمذ هناك على الميرزا محمّد حسن البهبهاني والشيخ عبدالرسول البهبهاني والسيّد محمّد ناظم الشريعة البهبهاني إلى أن بلغ مرتبة من العلم ، ثمّ هاجر إلى النّجف الأشرف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وبقى فيها أمداً غير يسير يبلغ ستّ سنوات مستفيداً من درس الآخوند الخراساني والسيّد محمد كاظم اليزدي قدس سرّهم وكان أكثر استفادته من السيّد محسن الكوه كمري من أجلّة تلامذة الشيخ هادي الطهراني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الفراغ من التحصيل ونيل مرتبة الاجتهاد رجع إلى بهبهان واشتغل بالتّدريس وتزوّج ، وبعد سنةٍ رجع إلى النجف الأشرف في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مَنَعه المرض من البقاء هناك فعاد بعد مضيّ سنة إلى موطنه بهبهان مشتغلاً بالتدريس والتحقيق لمدّة سبع سنوات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منه جمعٌ من تلامذة السيد محسن الكوه كمري العود إلى النجف الأشرف للمرّة الثالثة فلبّى دعوتهم ومَهَّدَ بيتا لسكناه لكن مرض أهله في بدء سيره وهو في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رامهرمز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فمكَثَ هناك وطَلَبَ منه عالم البلدة السيّد عبدالله الطباطبائي البقاءَ في بلدتهم للاستفادة من حضوره والاستضائة من نوره فوافَقَتِ الاستخارةُ طَلَبَهم وبقي في رام هرمز إلى سنة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لمدّة ثلاث وعشرين سنة متكفّلا أمورَهم الدينيّة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ذهب لزيارة العتبات المقدّسة إلى العراق للمرّة الرابعة وطلب منه الفقيهُ الزاهد السيّد حسين الطباطبائي القمي قدس سرّه المكث في كربلاء المقدّسة فبقي لمدّة سنتين مشتغلاً بتدريس الفقه والأصول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تلك الفترة ألَّفَ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الهداية في إثبات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فرغ منه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سنة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ذهب إلى النجف الأشرف ومكث هناك سنةً وعدّة أشهر، ثمّ عاد إلى رام‌هرمز سنة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بطلب من أهلها ، أقام فيها سبع سنين وأسَّسَ مدرسة علمية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استوطن أهواز مستمرّا في التدريس وسائر نشاطاته العلميّة والاجتماعيّة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فطلبوا منه الإقامة في تلك البلدة العامرة وانتهى الأمر إلى سكناه في اصفهان أيام الربيع والصيف وعوده إلى أهواز أيّام الخريف والشّتاء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كذلك إلى أن توفّي رحمه الله في أهواز ليلة الثّامن عشر من شهر ذي القعدة سنة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31" w:name="pg8988_115962"/>
    </w:p>
    <w:p>
      <w:pPr>
        <w:pStyle w:val="BookText"/>
        <w:rPr/>
      </w:pPr>
      <w:bookmarkEnd w:id="31"/>
      <w:r>
        <w:rPr>
          <w:rFonts w:ascii="IRNazanin" w:hAnsi="IRNazanin" w:eastAsia="IRNazanin"/>
          <w:color w:val="111111"/>
          <w:sz w:val="28"/>
          <w:sz w:val="28"/>
          <w:szCs w:val="28"/>
          <w:rtl w:val="true"/>
          <w:lang w:bidi="fa-IR"/>
        </w:rPr>
        <w:t>وكان ورعاً زاهداً تقيّاً متواضعاً حسنَ الخلق، وله آثار ومشاريع عديدة ثقافيّة وخيريّة أشهرها وأهمّها مدرسته العلميّة العامرة في أهواز المسمّاة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ملاذاً لطلّاب العلم والخطباء وروّاد الفضل، وتقع فيها مكتبته ومقبرته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ولواؤها اليوم بيد حفيده الجليل النبيل الحسيب النّسيب الحاج السيّد نورالدّین مجتهدزاده حفظه الله </w:t>
      </w:r>
      <w:r>
        <w:rPr>
          <w:rFonts w:eastAsia="IRNazanin" w:cs="IRNazanin"/>
          <w:color w:val="111111"/>
          <w:sz w:val="28"/>
          <w:szCs w:val="28"/>
          <w:rtl w:val="true"/>
          <w:lang w:bidi="fa-IR"/>
        </w:rPr>
        <w:t>.</w:t>
      </w:r>
    </w:p>
    <w:p>
      <w:pPr>
        <w:pStyle w:val="Heading3"/>
        <w:numPr>
          <w:ilvl w:val="2"/>
          <w:numId w:val="1"/>
        </w:numPr>
        <w:rPr/>
      </w:pPr>
      <w:bookmarkStart w:id="32" w:name="__RefHeading___Toc1814694_2870459653"/>
      <w:bookmarkStart w:id="33" w:name="_Toc11"/>
      <w:bookmarkEnd w:id="32"/>
      <w:r>
        <w:rPr>
          <w:rtl w:val="true"/>
        </w:rPr>
        <w:t>مشايخه في الإجازة</w:t>
      </w:r>
      <w:r>
        <w:rPr>
          <w:rtl w:val="true"/>
        </w:rPr>
        <w:t>:</w:t>
      </w:r>
      <w:bookmarkEnd w:id="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الزاهد السيد حسين الطباطبائي القمي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الأصولي المحقّق الشيخ محمد حسين النائيني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w:t>
      </w:r>
    </w:p>
    <w:p>
      <w:pPr>
        <w:pStyle w:val="Heading3"/>
        <w:numPr>
          <w:ilvl w:val="2"/>
          <w:numId w:val="1"/>
        </w:numPr>
        <w:rPr/>
      </w:pPr>
      <w:bookmarkStart w:id="34" w:name="__RefHeading___Toc1814696_2870459653"/>
      <w:bookmarkStart w:id="35" w:name="_Toc12"/>
      <w:bookmarkEnd w:id="34"/>
      <w:r>
        <w:rPr>
          <w:rtl w:val="true"/>
        </w:rPr>
        <w:t>تأليفاته</w:t>
      </w:r>
      <w:r>
        <w:rPr>
          <w:rtl w:val="true"/>
        </w:rPr>
        <w:t>:</w:t>
      </w:r>
      <w:bookmarkEnd w:id="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الهداية في إثبات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الكلية ممّا يبتني عليه كثير من معضلات مسائل الفقه والأصول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أساس النّحو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الاشتقاق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الفائق في معرفة الخالق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 الطيّبة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كتابنا هذا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مقالات حول مباحث الألفاظ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ترجمته في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حال، آثار و افکار آية الله بهبهاني ص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بدائع الأصول ص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bookmarkStart w:id="36" w:name="pg8988_115966"/>
    </w:p>
    <w:p>
      <w:pPr>
        <w:pStyle w:val="Heading2"/>
        <w:numPr>
          <w:ilvl w:val="1"/>
          <w:numId w:val="1"/>
        </w:numPr>
        <w:rPr/>
      </w:pPr>
      <w:bookmarkStart w:id="37" w:name="__RefHeading___Toc1814698_2870459653"/>
      <w:bookmarkStart w:id="38" w:name="_Toc13"/>
      <w:bookmarkEnd w:id="36"/>
      <w:bookmarkEnd w:id="37"/>
      <w:r>
        <w:rPr>
          <w:rtl w:val="true"/>
        </w:rPr>
        <w:t>التعريف بالكتاب</w:t>
      </w:r>
      <w:bookmarkEnd w:id="38"/>
    </w:p>
    <w:p>
      <w:pPr>
        <w:pStyle w:val="BookText"/>
        <w:rPr/>
      </w:pPr>
      <w:r>
        <w:rPr>
          <w:rFonts w:ascii="Amiri" w:hAnsi="Amiri" w:eastAsia="Amiri" w:cs="Amiri"/>
          <w:color w:val="111111"/>
          <w:sz w:val="28"/>
          <w:sz w:val="28"/>
          <w:szCs w:val="28"/>
          <w:rtl w:val="true"/>
          <w:lang w:bidi="ar-SA"/>
        </w:rPr>
        <w:t xml:space="preserve">هذا الكتاب اللطيف مؤلَّفٌ صغير الحجم موجَز العبارة مبنيٌّ على الاختصار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فهو كثير الفائدة حَسَن الأسلوب نفيسٌ للغاية من حيث التبويب والتفصيل والالتزام ببيان تعاريف الألفاظ المصطلحة وذكر الفروع المهمّة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احتذى المؤلّف بفقيه الطائفة الشيخ محمد حسن النجفي قدس سرّه صاحب الجواهر في رسائله الفقهيّة مراعيا للاختصار والتهذيب والاجتناب عن إيراد أمور قليلة الابتلاء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وُفِّقَ فى ذلك فما أدّى الإجمال إلى الإهمال ولا انتهى التفصيل إلى التطويل وحظى الكلمة الطيّبة بجمع الأصول وترك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دَوَّنه رحمه الله ليكون تبياناً لأحكام الدين وسنداً للمستفتين ، وحظى باعتماد وشهرة في المجتمع آنذاك بحيث نَظَر فيه فیما بعد الفقیه المتتبّع المحقّق السيد على البهبهاني الرامهرمزي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فَعَلَّقَ على كتاب سَمِيّه المتقدّم وأبان فيه فتاواه فضوعف بذلك جدواه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والكتاب طُبِع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بمبئي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حجريّة بالقطع الرّقعي في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الكاتب في نهاية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الرسالة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بالكلمة </w:t>
      </w:r>
    </w:p>
    <w:p>
      <w:pPr>
        <w:pStyle w:val="BookText"/>
        <w:rPr/>
      </w:pPr>
      <w:r>
        <w:rPr>
          <w:rFonts w:ascii="IRNazanin" w:hAnsi="IRNazanin" w:eastAsia="IRNazanin"/>
          <w:color w:val="111111"/>
          <w:sz w:val="28"/>
          <w:sz w:val="28"/>
          <w:szCs w:val="28"/>
          <w:rtl w:val="true"/>
          <w:lang w:bidi="fa-IR"/>
        </w:rPr>
        <w:t xml:space="preserve">الطيّبة بقلم أقلّ الحاجّ حسينعلى ابن الحاجّ ملّا أبو طالب كاتب جهرمى تحریر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بمبئی مطبع مصطفائی به زیور طبع در آمد سنۀ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وفي مطلع الكتاب نجد هذا النصّ في التعريف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رسالةٌ وجيزةٌ موسومةٌ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الكلمة الطيّبة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تشتمل على زبدة ما يحتاج إليه الناس من فروع الدین، مطابق لفتاوی زبدة المجتهدين مرجع أحكام سيّد المرسلين العالم الرباني الشيخ علي البهبهاني أدام الله ظلّه علی رؤوس المسلمين سنة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نرى في الصفحة الأخيرة هذه الكلمة من متصدّي الطبع الشيخ محمّد الشوشتري ، كَتبَها بالفارسيّة يذكر فيها المؤلّف والباني للطّبع والساعي فيه ويعتذر عن السهو والخطاء ، كما هو المتعارف في كثير من الكتب المطبوعة على الحجر ؛ وهي هذه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الملك المنّان که در این اوان سعادت اقتران و زمان شرافت توأمان رسالهٔ مبارکهٔ موسوم به کلمۀ طیّبه که محتوى فتاوى حضرت حجة الإسلام ملاذ الأنام ، قدوة الأجلّة الفقهاء الفخام وزبدة الأعزّة العلماء العظام، حامى حوزة الإسلام أبو الأرامل والأيتام، العالم الرباني مولانا الوفيّ المليّ الحاج شيخ علي البهبهاني دامت بركاته العالية است حسب الفرمايش جناب مستطاب فخر الأجلّة السادات الأخيار افتخار الأفاخم التجار السيّد الزكي النقي الحاج سيّد محمّد تقي صاحب تاجر شوشتری المشهور به کلانتر، به سعی و اهتمام این بنده حاجی شیخ محمّد شوشتری در بندر بمبئی به حلیهٔ طبع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تصحیح و تنقیح آن متحمّل زحمات فوق العاده </w:t>
      </w:r>
    </w:p>
    <w:p>
      <w:pPr>
        <w:pStyle w:val="BookText"/>
        <w:rPr/>
      </w:pPr>
      <w:r>
        <w:rPr>
          <w:rFonts w:ascii="IRNazanin" w:hAnsi="IRNazanin" w:eastAsia="IRNazanin"/>
          <w:color w:val="111111"/>
          <w:sz w:val="28"/>
          <w:sz w:val="28"/>
          <w:szCs w:val="28"/>
          <w:rtl w:val="true"/>
          <w:lang w:bidi="fa-IR"/>
        </w:rPr>
        <w:t>گردیده ولی ظنّ غالب آنکه تمام کوشش داعی از مسامحۀ کارکنان مطبع و نویسنده و مباشرین دیگر به هدر رفته، پس نمی توان این رساله را مصون از غلط دانست لهذا لازم است بر هر مقلّدی که صحت آن را به قلم محترم و مهر مبارک حضرت حجّة الإسلام مؤلّف مقلَّد برساند و بعد عمل به أحكام این رساله نماید و از دعای خیر مؤلّف و بانی و کاتب ومباشر را حياتاً ومماتاً فراموش نفرماید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تعليقات الفقيه المحقّق السيّد على البهبهاني فهي كرّاسة مختصرة طُبِعَتْ مؤخَّراً عن أصل الكتاب وألصقت عند الغلاف الداخلي وفي طليعتها هذا النصّ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بالعمل بهذه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الكلمة الطيّبة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رعاية هذه الحواشي ، وأنا الأحقر علي الموسوي البهبهاني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هذه التعليقة في عداد آثاره العلميّة تلميذُه ومقرّرُ أبحاثه العالم الفذّ السيّد علي الشفيعي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علماء أهواز المبرّزين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ترجمته له ،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التعليقة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الكلمة الطيّبة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للمرحوم آية الله الشيخ علي البهبهاني نزیل خرّم‌شهر ، رسالة فتوائيّة لعمل المقلّدين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طُبِعَت منضمّةً إلى الرسالة المذكورة</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39" w:name="pg8988_115972"/>
    </w:p>
    <w:p>
      <w:pPr>
        <w:pStyle w:val="Heading2"/>
        <w:numPr>
          <w:ilvl w:val="1"/>
          <w:numId w:val="1"/>
        </w:numPr>
        <w:rPr/>
      </w:pPr>
      <w:bookmarkStart w:id="40" w:name="__RefHeading___Toc1814700_2870459653"/>
      <w:bookmarkStart w:id="41" w:name="_Toc14"/>
      <w:bookmarkEnd w:id="39"/>
      <w:bookmarkEnd w:id="40"/>
      <w:r>
        <w:rPr>
          <w:rtl w:val="true"/>
        </w:rPr>
        <w:t>عملنا في الكتاب</w:t>
      </w:r>
      <w:bookmarkEnd w:id="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تقويم النصّ ؛ فإنّ الكتاب غير خالٍ عن أخطاء الكاتب والمطبعيّ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المتصدّي للطبع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فأقمنا النصّ وصحَّحنا الأخطاء الواضحة المبيَّنة من دون إشارة إلى الأصل السقيم إذ لا فائدة فيها ولا حكمة تقتضيها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فربما كان هناك خطأٌ في القراءة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وربما كان خطأٌ في الكتابة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غير ذلك فقد أثبتناها في الحاشية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هناك أيضاً قليلٌ من السقط ، فأضفنا اللفظ المحذوف ليستقيم النصّ وجعلناه بين المعقوفتين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الكتاب يبالغ في التبويب والتفصيل لتسهيل الأمر وإيضاح موقع البحث ، ونجد في النسخة بعضَ التساهل أو الخطأ في هذا الشأن ، فرتّبناه على حسب المقتضي وأشرنا إلى الأصل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إضافة عناوين فرعيّة للتعريف بموضوع البحث ، وإنّما أثبتناها في حواشي الصفحات حذراً عن التدخّل والتغيير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العناوين المذكورة في أعلى الصفحة فقد التزمنا فیها بانطباقها مع النسخة المطبوعة مهما أمكن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بعض اللغات والمصطلحات في الهامش مستمدّاً من الأصول المعتبرة، وتبيين ما ينقله المؤلّف أو يشير إليه من آية أو رواية بالإرجاع إلى مصدره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إيراد تعليقات العلّامة الفقيه السيّد علي البهبهاني قدس سرّه في ذيل المتن ، حيث إنّ تلك التعليقات جزءٌ طُبِعَ مستقلّاً عن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متأخّر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أرجعَ فيه كلُّ حاشية إلى كلمةٍ معينة من النصّ وذُكِرَ لها رقم الصفحة والسطر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تراه في صُوَرِ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أنّه طُبِعَ متأخّراً عن أصل المتن ثمّ ألصق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مقارنة تعليقات السيّد علي البهبهاني قدس سرّه مع حواشيه على وسيلة النجاة والعروة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ولحاشيته على وسيلة النجاة طبعتان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بالأفست عن طبعة وسيلة النجاة الحَجريّة أضيفَت إليها حواشي السيّد البهبهاني ، وطبعةٌ 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قابلتُ تعليقاته على الطّبعتين ، لكنّ الإرجاع إنّما يكون إلى الطبعة الحديثة فقط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وبالأخير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أشكر كلَّ مَن ساعَدَني على إتمام هذا العَمَل ورافَقَني بتَأَنٍّ ومَهَل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وأخصّ بالذكر والشكر أخي الأكبر ومن له في هذا الشأن اليد العليا والسهم الأوفر سماحة حجّة الإسلام والمسلمين الشيخ محمّد مهدي الأرگاني البهبهاني 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وأشكر أيضاً سماحة الفاضل الحجّة السيّد محمدرضا الطباطبائي حيث أتيحَ لي بلطفه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أيّده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الوصول إلى تعليقات السيّد البهبهاني قدس سرّه على وسيلة النجاة والعروة الوثقى ورسالته </w:t>
      </w:r>
    </w:p>
    <w:p>
      <w:pPr>
        <w:pStyle w:val="BookText"/>
        <w:rPr/>
      </w:pPr>
      <w:r>
        <w:rPr>
          <w:rFonts w:ascii="Amiri" w:hAnsi="Amiri" w:eastAsia="Amiri" w:cs="Amiri"/>
          <w:color w:val="111111"/>
          <w:sz w:val="28"/>
          <w:sz w:val="28"/>
          <w:szCs w:val="28"/>
          <w:rtl w:val="true"/>
          <w:lang w:bidi="ar-SA"/>
        </w:rPr>
        <w:t>العمليّة المسمّاة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جامع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وأَوَجّهُ وافرَ الشكر وجميلَ الثناء إلى سماحة الحاجّ السيّد نور الدين مجتهد زاده نجل آية الله السيّد علي البهبهاني قدس سرّه حيث سعى في إحياء هذا السِّفْر بمزيد عنايته ورعايته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حسن الأرگاني البهبهاني</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عُفى عنه وعن والديه </w:t>
      </w:r>
      <w:bookmarkStart w:id="42" w:name="pg8988_11597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3" w:name="__RefHeading___Toc1814702_2870459653"/>
      <w:bookmarkStart w:id="44" w:name="_Toc15"/>
      <w:bookmarkEnd w:id="42"/>
      <w:bookmarkEnd w:id="43"/>
      <w:r>
        <w:rPr>
          <w:rtl w:val="true"/>
        </w:rPr>
        <w:t>الملحق المصوّر</w:t>
      </w:r>
      <w:bookmarkEnd w:id="4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وَمَثَلُ كَلِمَةٍ طَيِّبَةٍ كَشَجَرَةٍ طَيِّبَةٍ</w:t>
      </w:r>
    </w:p>
    <w:p>
      <w:pPr>
        <w:pStyle w:val="BookText"/>
        <w:rPr/>
      </w:pPr>
      <w:r>
        <w:rPr>
          <w:rFonts w:ascii="Amiri" w:hAnsi="Amiri" w:eastAsia="Amiri" w:cs="Amiri"/>
          <w:color w:val="111111"/>
          <w:sz w:val="28"/>
          <w:sz w:val="28"/>
          <w:szCs w:val="28"/>
          <w:rtl w:val="true"/>
          <w:lang w:bidi="ar-SA"/>
        </w:rPr>
        <w:t>أَصْلُهَا ثَابِتٌ وَفَرْعُهَا فِي السَّمَاءِ</w:t>
      </w:r>
    </w:p>
    <w:p>
      <w:pPr>
        <w:pStyle w:val="BookText"/>
        <w:rPr/>
      </w:pPr>
      <w:r>
        <w:rPr>
          <w:rFonts w:ascii="Amiri" w:hAnsi="Amiri" w:eastAsia="Amiri" w:cs="Amiri"/>
          <w:color w:val="111111"/>
          <w:sz w:val="28"/>
          <w:sz w:val="28"/>
          <w:szCs w:val="28"/>
          <w:rtl w:val="true"/>
          <w:lang w:bidi="ar-SA"/>
        </w:rPr>
        <w:t xml:space="preserve">مستوحاة من سورة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الْكَلِمَةُ الطَّيِّبَةُ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وصلّى الله على محمّد وآله الطيّبين الطاهرين ولعنة الله على أعدائهم أجمعين من الأوّلين والآخرين إلى يوم الدين</w:t>
      </w:r>
      <w:r>
        <w:rPr>
          <w:rFonts w:eastAsia="Amiri" w:cs="Amiri" w:ascii="Amiri" w:hAnsi="Amiri"/>
          <w:color w:val="111111"/>
          <w:sz w:val="28"/>
          <w:szCs w:val="28"/>
          <w:rtl w:val="true"/>
          <w:lang w:bidi="ar-SA"/>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8988_116013"/>
      <w:bookmarkStart w:id="46" w:name="pg8988_116013"/>
      <w:bookmarkEnd w:id="46"/>
    </w:p>
    <w:p>
      <w:pPr>
        <w:pStyle w:val="Heading2"/>
        <w:numPr>
          <w:ilvl w:val="1"/>
          <w:numId w:val="1"/>
        </w:numPr>
        <w:rPr/>
      </w:pPr>
      <w:bookmarkStart w:id="47" w:name="pg8988_116013"/>
      <w:bookmarkStart w:id="48" w:name="__RefHeading___Toc1814704_2870459653"/>
      <w:bookmarkStart w:id="49" w:name="_Toc16"/>
      <w:bookmarkEnd w:id="47"/>
      <w:bookmarkEnd w:id="48"/>
      <w:r>
        <w:rPr>
          <w:rtl w:val="true"/>
        </w:rPr>
        <w:t>كتاب الطهارة</w:t>
      </w:r>
      <w:bookmarkEnd w:id="4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 w:name="__RefHeading___Toc1814706_2870459653"/>
      <w:bookmarkStart w:id="51" w:name="_Toc17"/>
      <w:bookmarkEnd w:id="50"/>
      <w:r>
        <w:rPr>
          <w:rtl w:val="true"/>
        </w:rPr>
        <w:t>اشارة</w:t>
      </w:r>
      <w:bookmarkEnd w:id="5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8988_116017"/>
      <w:bookmarkStart w:id="53" w:name="pg8988_116017"/>
      <w:bookmarkEnd w:id="53"/>
    </w:p>
    <w:p>
      <w:pPr>
        <w:pStyle w:val="BookText"/>
        <w:rPr/>
      </w:pPr>
      <w:bookmarkStart w:id="54" w:name="pg8988_116017"/>
      <w:bookmarkEnd w:id="54"/>
      <w:r>
        <w:rPr>
          <w:rFonts w:ascii="Amiri" w:hAnsi="Amiri" w:eastAsia="Amiri" w:cs="Amiri"/>
          <w:color w:val="111111"/>
          <w:sz w:val="28"/>
          <w:sz w:val="28"/>
          <w:szCs w:val="28"/>
          <w:rtl w:val="true"/>
          <w:lang w:bidi="ar-SA"/>
        </w:rPr>
        <w:t>وفيه مقدّمة وثلاث مقاصد وخاتمة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w:t>
      </w:r>
    </w:p>
    <w:p>
      <w:pPr>
        <w:pStyle w:val="BookText"/>
        <w:rPr/>
      </w:pPr>
      <w:r>
        <w:rPr>
          <w:rFonts w:ascii="Amiri" w:hAnsi="Amiri" w:eastAsia="Amiri" w:cs="Amiri"/>
          <w:color w:val="111111"/>
          <w:sz w:val="28"/>
          <w:sz w:val="28"/>
          <w:szCs w:val="28"/>
          <w:rtl w:val="true"/>
          <w:lang w:bidi="ar-SA"/>
        </w:rPr>
        <w:t xml:space="preserve">ففيها فصلان </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1814708_2870459653"/>
      <w:bookmarkStart w:id="56" w:name="_Toc18"/>
      <w:bookmarkEnd w:id="55"/>
      <w:r>
        <w:rPr>
          <w:rtl w:val="true"/>
        </w:rPr>
        <w:t>الفصل الأوّل</w:t>
      </w:r>
      <w:r>
        <w:rPr>
          <w:rtl w:val="true"/>
        </w:rPr>
        <w:t xml:space="preserve">: </w:t>
      </w:r>
      <w:r>
        <w:rPr>
          <w:rtl w:val="true"/>
        </w:rPr>
        <w:t>في المياه</w:t>
      </w:r>
      <w:bookmarkEnd w:id="56"/>
    </w:p>
    <w:p>
      <w:pPr>
        <w:pStyle w:val="Heading4"/>
        <w:numPr>
          <w:ilvl w:val="3"/>
          <w:numId w:val="1"/>
        </w:numPr>
        <w:rPr/>
      </w:pPr>
      <w:bookmarkStart w:id="57" w:name="__RefHeading___Toc1814710_2870459653"/>
      <w:bookmarkStart w:id="58" w:name="_Toc19"/>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1814712_2870459653"/>
      <w:bookmarkStart w:id="60" w:name="_Toc20"/>
      <w:bookmarkEnd w:id="59"/>
      <w:r>
        <w:rPr>
          <w:rtl w:val="true"/>
        </w:rPr>
        <w:t xml:space="preserve">[ </w:t>
      </w:r>
      <w:r>
        <w:rPr>
          <w:rtl w:val="true"/>
        </w:rPr>
        <w:t xml:space="preserve">المبحث </w:t>
      </w:r>
      <w:r>
        <w:rPr>
          <w:rtl w:val="true"/>
        </w:rPr>
        <w:t xml:space="preserve">] </w:t>
      </w:r>
      <w:r>
        <w:rPr>
          <w:rtl w:val="true"/>
        </w:rPr>
        <w:t xml:space="preserve">الأوّل </w:t>
      </w:r>
      <w:r>
        <w:rPr>
          <w:rtl w:val="true"/>
        </w:rPr>
        <w:t xml:space="preserve">: </w:t>
      </w:r>
      <w:r>
        <w:rPr>
          <w:rtl w:val="true"/>
        </w:rPr>
        <w:t>أقسام المیاه</w:t>
      </w:r>
      <w:bookmarkEnd w:id="60"/>
    </w:p>
    <w:p>
      <w:pPr>
        <w:pStyle w:val="BookText"/>
        <w:rPr/>
      </w:pPr>
      <w:r>
        <w:rPr>
          <w:rFonts w:ascii="Amiri" w:hAnsi="Amiri" w:eastAsia="Amiri" w:cs="Amiri"/>
          <w:color w:val="111111"/>
          <w:sz w:val="28"/>
          <w:sz w:val="28"/>
          <w:szCs w:val="28"/>
          <w:rtl w:val="true"/>
          <w:lang w:bidi="ar-SA"/>
        </w:rPr>
        <w:t xml:space="preserve">الماء المطلق بجميع أفراده طاهر مطهّر للحدث والخبث، ولا ينجّسه شيءٌ ممّا لاقاه من نجس العين إلّا ما غيّر لونه أو طعمه أو ريحه بحلولها فيه تغيّراً حسيّاً </w:t>
      </w:r>
      <w:r>
        <w:rPr>
          <w:rStyle w:val="FootnoteAnchor"/>
          <w:rtl w:val="true"/>
        </w:rPr>
        <w:footnoteReference w:id="10"/>
      </w:r>
      <w:r>
        <w:rPr>
          <w:rFonts w:ascii="Amiri" w:hAnsi="Amiri" w:eastAsia="Amiri" w:cs="Amiri"/>
          <w:color w:val="111111"/>
          <w:sz w:val="28"/>
          <w:sz w:val="28"/>
          <w:szCs w:val="28"/>
          <w:rtl w:val="true"/>
          <w:lang w:bidi="ar-SA"/>
        </w:rPr>
        <w:t xml:space="preserve">أو كان راكداً دون الكرّ فإنّه ينجس بملاقاته له ، نعم العالي منه المتّصل بالوارد من الماء على النجاسة مع سيلانه طاهر قطعاً إذا كان العلوّ علوَّ تسنيم أو قريباً منه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بالراكد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النابع ، جارياً كان النابع أو غير جارٍ كالبئر على </w:t>
      </w:r>
    </w:p>
    <w:p>
      <w:pPr>
        <w:pStyle w:val="BookText"/>
        <w:rPr/>
      </w:pPr>
      <w:r>
        <w:rPr>
          <w:rFonts w:ascii="Amiri" w:hAnsi="Amiri" w:eastAsia="Amiri" w:cs="Amiri"/>
          <w:color w:val="111111"/>
          <w:sz w:val="28"/>
          <w:sz w:val="28"/>
          <w:szCs w:val="28"/>
          <w:rtl w:val="true"/>
          <w:lang w:bidi="ar-SA"/>
        </w:rPr>
        <w:t xml:space="preserve">الأصحّ وإن استحبّ لها نزح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أيضاً أن النابع غير الجاري إذا لم يكن بئراً حاله حال البئر في عدم النجاسة إذا اتّصل بالمادّة، وكذا الخارج رشحاً كالنَزّ </w:t>
      </w:r>
      <w:r>
        <w:rPr>
          <w:rStyle w:val="FootnoteAnchor"/>
          <w:rtl w:val="true"/>
        </w:rPr>
        <w:footnoteReference w:id="11"/>
      </w:r>
      <w:r>
        <w:rPr>
          <w:rFonts w:ascii="Amiri" w:hAnsi="Amiri" w:eastAsia="Amiri" w:cs="Amiri"/>
          <w:color w:val="111111"/>
          <w:sz w:val="28"/>
          <w:sz w:val="28"/>
          <w:szCs w:val="28"/>
          <w:rtl w:val="true"/>
          <w:lang w:bidi="ar-SA"/>
        </w:rPr>
        <w:t xml:space="preserve">والثَمَد </w:t>
      </w:r>
      <w:r>
        <w:rPr>
          <w:rStyle w:val="FootnoteAnchor"/>
          <w:rtl w:val="true"/>
        </w:rPr>
        <w:footnoteReference w:id="12"/>
      </w:r>
      <w:r>
        <w:rPr>
          <w:rFonts w:ascii="Amiri" w:hAnsi="Amiri" w:eastAsia="Amiri" w:cs="Amiri"/>
          <w:color w:val="111111"/>
          <w:sz w:val="28"/>
          <w:sz w:val="28"/>
          <w:szCs w:val="28"/>
          <w:rtl w:val="true"/>
          <w:lang w:bidi="ar-SA"/>
        </w:rPr>
        <w:t>ما لم يكن بحيث لا يدخل تحت اسم النابع الّذي له مادّة ، وإن كان الأحوط اعتبار كرّيّة المادّة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وماء الغيث حال نزوله بحكم الجاري في عدم النجاسة وإن قلّ إلّا بالتغيّر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 ثلاثة وأربعين شبراً إلا ثمن شبر ولو بالتكسير </w:t>
      </w:r>
      <w:r>
        <w:rPr>
          <w:rStyle w:val="FootnoteAnchor"/>
          <w:rtl w:val="true"/>
        </w:rPr>
        <w:footnoteReference w:id="13"/>
      </w:r>
      <w:r>
        <w:rPr>
          <w:rFonts w:ascii="Amiri" w:hAnsi="Amiri" w:eastAsia="Amiri" w:cs="Amiri"/>
          <w:color w:val="111111"/>
          <w:sz w:val="28"/>
          <w:sz w:val="28"/>
          <w:szCs w:val="28"/>
          <w:rtl w:val="true"/>
          <w:lang w:bidi="ar-SA"/>
        </w:rPr>
        <w:t>ولا فرق بين استواء السطوح واختلافها إن عدّ الماءان في العرف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ويطهر النابع بزوال التغيّر مع الاتّصال بالمادّة على الأقوى وإن كان الأحوط اعتبار الامتزاج بما يخرج من المادّة مع ذلك ؛ وغيرُه مع عدم تغيّره بالنجاسة بإلقاء كرّ عليه دفعة ليمتزج به ولو بالتمويج حتّى يستوعبه لو كان كثيراً وبالعكس، وبممازجته له بوصلٍ</w:t>
      </w:r>
      <w:r>
        <w:rPr>
          <w:rStyle w:val="FootnoteAnchor"/>
          <w:rtl w:val="true"/>
        </w:rPr>
        <w:footnoteReference w:id="14"/>
      </w:r>
      <w:r>
        <w:rPr>
          <w:rFonts w:ascii="Amiri" w:hAnsi="Amiri" w:eastAsia="Amiri" w:cs="Amiri"/>
          <w:color w:val="111111"/>
          <w:sz w:val="28"/>
          <w:sz w:val="28"/>
          <w:szCs w:val="28"/>
          <w:rtl w:val="true"/>
          <w:lang w:bidi="ar-SA"/>
        </w:rPr>
        <w:t xml:space="preserve">، وبوقوع ماء المطر عليه، وباتّصال الجاري به على وجهٍ يتّحد معه بالامتزاج على </w:t>
      </w:r>
      <w:bookmarkStart w:id="61" w:name="pg8988_116021"/>
    </w:p>
    <w:p>
      <w:pPr>
        <w:pStyle w:val="BookText"/>
        <w:rPr/>
      </w:pPr>
      <w:bookmarkEnd w:id="61"/>
      <w:r>
        <w:rPr>
          <w:rFonts w:ascii="IRNazanin" w:hAnsi="IRNazanin" w:eastAsia="IRNazanin"/>
          <w:color w:val="111111"/>
          <w:sz w:val="28"/>
          <w:sz w:val="28"/>
          <w:szCs w:val="28"/>
          <w:rtl w:val="true"/>
          <w:lang w:bidi="fa-IR"/>
        </w:rPr>
        <w:t xml:space="preserve">الأحوط </w:t>
      </w:r>
      <w:r>
        <w:rPr>
          <w:rStyle w:val="FootnoteAnchor"/>
          <w:rtl w:val="true"/>
        </w:rPr>
        <w:footnoteReference w:id="15"/>
      </w:r>
      <w:r>
        <w:rPr>
          <w:rFonts w:ascii="Amiri" w:hAnsi="Amiri" w:eastAsia="Amiri" w:cs="Amiri"/>
          <w:color w:val="111111"/>
          <w:sz w:val="28"/>
          <w:sz w:val="28"/>
          <w:szCs w:val="28"/>
          <w:rtl w:val="true"/>
          <w:lang w:bidi="ar-SA"/>
        </w:rPr>
        <w:t xml:space="preserve">وكذا مع التغيّر إذا فرض زواله بذلك على وجه لا يتغيّر المطهّر ويبقى معتصماً بعضه ببعض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يطهر بزوال التغيّر لنفسه لعدم المادّة، ولا بالإتمام كرّاً لو كان قليلاً</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1814714_2870459653"/>
      <w:bookmarkStart w:id="63" w:name="_Toc21"/>
      <w:bookmarkEnd w:id="62"/>
      <w:r>
        <w:rPr>
          <w:rtl w:val="true"/>
        </w:rPr>
        <w:t xml:space="preserve">المبحث الثاني </w:t>
      </w:r>
      <w:r>
        <w:rPr>
          <w:rtl w:val="true"/>
        </w:rPr>
        <w:t xml:space="preserve">: </w:t>
      </w:r>
      <w:r>
        <w:rPr>
          <w:rtl w:val="true"/>
        </w:rPr>
        <w:t>الماء المستعمل في رفع الحدث والخبث</w:t>
      </w:r>
      <w:bookmarkEnd w:id="63"/>
    </w:p>
    <w:p>
      <w:pPr>
        <w:pStyle w:val="BookText"/>
        <w:rPr/>
      </w:pPr>
      <w:r>
        <w:rPr>
          <w:rFonts w:ascii="Amiri" w:hAnsi="Amiri" w:eastAsia="Amiri" w:cs="Amiri"/>
          <w:color w:val="111111"/>
          <w:sz w:val="28"/>
          <w:sz w:val="28"/>
          <w:szCs w:val="28"/>
          <w:rtl w:val="true"/>
          <w:lang w:bidi="ar-SA"/>
        </w:rPr>
        <w:t xml:space="preserve">الماء المستعمل في رفع الأصغر طاهر مطهّر من الحدث والخبث، والمستعمل في رفع الأكبر طاهر مطهّر منهما أيضاً وإن كان الأحوط الاجتناب منه </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والمستعمل في رفع الخبث غير مطهّر من الحدث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الخبث ففيه قولان مبنیّان علی نجاسته وطهارته وأوّلهما أقواهما</w:t>
      </w:r>
      <w:r>
        <w:rPr>
          <w:rFonts w:eastAsia="IRNazanin" w:cs="IRNazanin"/>
          <w:color w:val="111111"/>
          <w:sz w:val="28"/>
          <w:szCs w:val="28"/>
          <w:rtl w:val="true"/>
          <w:lang w:bidi="fa-IR"/>
        </w:rPr>
        <w:t>.</w:t>
      </w:r>
    </w:p>
    <w:p>
      <w:pPr>
        <w:pStyle w:val="Heading4"/>
        <w:numPr>
          <w:ilvl w:val="3"/>
          <w:numId w:val="1"/>
        </w:numPr>
        <w:rPr/>
      </w:pPr>
      <w:bookmarkStart w:id="64" w:name="__RefHeading___Toc1814716_2870459653"/>
      <w:bookmarkStart w:id="65" w:name="_Toc22"/>
      <w:bookmarkEnd w:id="64"/>
      <w:r>
        <w:rPr>
          <w:rtl w:val="true"/>
        </w:rPr>
        <w:t xml:space="preserve">المبحث الثالث </w:t>
      </w:r>
      <w:r>
        <w:rPr>
          <w:rtl w:val="true"/>
        </w:rPr>
        <w:t xml:space="preserve">: </w:t>
      </w:r>
      <w:r>
        <w:rPr>
          <w:rtl w:val="true"/>
        </w:rPr>
        <w:t>الماء الطاهر المشتبه بالنجس</w:t>
      </w:r>
      <w:bookmarkEnd w:id="6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الماء الطاهر المشتبه بالنجس مع الانحصار لا يرفع حدثاً ولا يزيل خبثاً، بل لو تعاقبا على رفع الحدث لم يرتفع </w:t>
      </w:r>
      <w:r>
        <w:rPr>
          <w:rStyle w:val="FootnoteAnchor"/>
          <w:rtl w:val="true"/>
        </w:rPr>
        <w:footnoteReference w:id="17"/>
      </w:r>
      <w:r>
        <w:rPr>
          <w:rFonts w:ascii="Amiri" w:hAnsi="Amiri" w:eastAsia="Amiri" w:cs="Amiri"/>
          <w:color w:val="111111"/>
          <w:sz w:val="28"/>
          <w:sz w:val="28"/>
          <w:szCs w:val="28"/>
          <w:rtl w:val="true"/>
          <w:lang w:bidi="ar-SA"/>
        </w:rPr>
        <w:t xml:space="preserve">ولكن إذا أصاب طاهراً لم ينجّسه </w:t>
      </w:r>
      <w:r>
        <w:rPr>
          <w:rFonts w:eastAsia="Amiri" w:cs="Amiri" w:ascii="Amiri" w:hAnsi="Amiri"/>
          <w:color w:val="111111"/>
          <w:sz w:val="28"/>
          <w:szCs w:val="28"/>
          <w:rtl w:val="true"/>
          <w:lang w:bidi="ar-SA"/>
        </w:rPr>
        <w:t xml:space="preserve">. </w:t>
      </w:r>
      <w:r>
        <w:rPr>
          <w:rStyle w:val="FootnoteAnchor"/>
          <w:rtl w:val="true"/>
        </w:rPr>
        <w:footnoteReference w:id="18"/>
      </w:r>
      <w:bookmarkStart w:id="66" w:name="pg8988_116023"/>
    </w:p>
    <w:p>
      <w:pPr>
        <w:pStyle w:val="BookText"/>
        <w:rPr/>
      </w:pPr>
      <w:bookmarkEnd w:id="66"/>
      <w:r>
        <w:rPr>
          <w:rFonts w:ascii="Amiri" w:hAnsi="Amiri" w:eastAsia="Amiri" w:cs="Amiri"/>
          <w:color w:val="111111"/>
          <w:sz w:val="28"/>
          <w:sz w:val="28"/>
          <w:szCs w:val="28"/>
          <w:rtl w:val="true"/>
          <w:lang w:bidi="ar-SA"/>
        </w:rPr>
        <w:t xml:space="preserve">ولو كان الاشتباه في الإطلاق والإضافة جاز رفع الحدث والخبث به مع التكرار بهما ، لكن مراعات الانحصار أحوط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اشتبه بالمغصوب حرم استعمالهما ولكن يرتفع به الخبث دون الحدث</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1814718_2870459653"/>
      <w:bookmarkStart w:id="68" w:name="_Toc23"/>
      <w:bookmarkEnd w:id="67"/>
      <w:r>
        <w:rPr>
          <w:rtl w:val="true"/>
        </w:rPr>
        <w:t xml:space="preserve">المبحث الرابع </w:t>
      </w:r>
      <w:r>
        <w:rPr>
          <w:rtl w:val="true"/>
        </w:rPr>
        <w:t xml:space="preserve">: </w:t>
      </w:r>
      <w:r>
        <w:rPr>
          <w:rtl w:val="true"/>
        </w:rPr>
        <w:t>الماء المضاف؛ سؤر الحيوان</w:t>
      </w:r>
      <w:bookmarkEnd w:id="68"/>
    </w:p>
    <w:p>
      <w:pPr>
        <w:pStyle w:val="BookText"/>
        <w:rPr/>
      </w:pPr>
      <w:r>
        <w:rPr>
          <w:rFonts w:ascii="Amiri" w:hAnsi="Amiri" w:eastAsia="Amiri" w:cs="Amiri"/>
          <w:color w:val="111111"/>
          <w:sz w:val="28"/>
          <w:sz w:val="28"/>
          <w:szCs w:val="28"/>
          <w:rtl w:val="true"/>
          <w:lang w:bidi="ar-SA"/>
        </w:rPr>
        <w:t xml:space="preserve">الماء المضاف ينجس القليل والكثير منه بالملاقات إلّا العالي علوّ تسنيم المتّصل بالوارد على النجس حال التدافع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تطهيره كتطهير الماء المطلق بعد أن يخرج عن الإضافة إلى الإطلاق ؛ وفي حكمه المايع غير المضاف</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نجاسة في شيء من سؤر الحيوان إلّا الكلب والخنزير والكافر، نعم يكره سؤر غير مأكول اللحم عدا المؤمن</w:t>
      </w:r>
      <w:r>
        <w:rPr>
          <w:rFonts w:eastAsia="Amiri" w:cs="Amiri" w:ascii="Amiri" w:hAnsi="Amiri"/>
          <w:color w:val="111111"/>
          <w:sz w:val="28"/>
          <w:szCs w:val="28"/>
          <w:rtl w:val="true"/>
          <w:lang w:bidi="ar-SA"/>
        </w:rPr>
        <w:t xml:space="preserve">. </w:t>
      </w:r>
      <w:bookmarkStart w:id="69" w:name="pg8988_116025"/>
    </w:p>
    <w:p>
      <w:pPr>
        <w:pStyle w:val="Heading3"/>
        <w:numPr>
          <w:ilvl w:val="2"/>
          <w:numId w:val="1"/>
        </w:numPr>
        <w:rPr/>
      </w:pPr>
      <w:bookmarkStart w:id="70" w:name="__RefHeading___Toc1814720_2870459653"/>
      <w:bookmarkStart w:id="71" w:name="_Toc24"/>
      <w:bookmarkEnd w:id="69"/>
      <w:bookmarkEnd w:id="70"/>
      <w:r>
        <w:rPr>
          <w:rtl w:val="true"/>
        </w:rPr>
        <w:t>الفصل الثاني</w:t>
      </w:r>
      <w:r>
        <w:rPr>
          <w:rtl w:val="true"/>
        </w:rPr>
        <w:t xml:space="preserve">: </w:t>
      </w:r>
      <w:r>
        <w:rPr>
          <w:rtl w:val="true"/>
        </w:rPr>
        <w:t>في أحكام الخلوة</w:t>
      </w:r>
      <w:bookmarkEnd w:id="71"/>
    </w:p>
    <w:p>
      <w:pPr>
        <w:pStyle w:val="Heading4"/>
        <w:numPr>
          <w:ilvl w:val="3"/>
          <w:numId w:val="1"/>
        </w:numPr>
        <w:rPr/>
      </w:pPr>
      <w:bookmarkStart w:id="72" w:name="__RefHeading___Toc1814722_2870459653"/>
      <w:bookmarkStart w:id="73" w:name="_Toc25"/>
      <w:bookmarkEnd w:id="72"/>
      <w:r>
        <w:rPr>
          <w:rtl w:val="true"/>
        </w:rPr>
        <w:t>اشارة</w:t>
      </w:r>
      <w:bookmarkEnd w:id="73"/>
    </w:p>
    <w:p>
      <w:pPr>
        <w:pStyle w:val="BookText"/>
        <w:rPr/>
      </w:pPr>
      <w:r>
        <w:rPr>
          <w:rFonts w:ascii="IRNazanin" w:hAnsi="IRNazanin" w:eastAsia="IRNazanin"/>
          <w:color w:val="111111"/>
          <w:sz w:val="28"/>
          <w:sz w:val="28"/>
          <w:szCs w:val="28"/>
          <w:rtl w:val="true"/>
          <w:lang w:bidi="fa-IR"/>
        </w:rPr>
        <w:t xml:space="preserve">و فیه أبحاث </w:t>
      </w:r>
      <w:r>
        <w:rPr>
          <w:rFonts w:eastAsia="IRNazanin" w:cs="IRNazanin"/>
          <w:color w:val="111111"/>
          <w:sz w:val="28"/>
          <w:szCs w:val="28"/>
          <w:rtl w:val="true"/>
          <w:lang w:bidi="fa-IR"/>
        </w:rPr>
        <w:t>:</w:t>
      </w:r>
    </w:p>
    <w:p>
      <w:pPr>
        <w:pStyle w:val="Heading4"/>
        <w:numPr>
          <w:ilvl w:val="3"/>
          <w:numId w:val="1"/>
        </w:numPr>
        <w:rPr/>
      </w:pPr>
      <w:bookmarkStart w:id="74" w:name="__RefHeading___Toc1814724_2870459653"/>
      <w:bookmarkStart w:id="75" w:name="_Toc26"/>
      <w:bookmarkEnd w:id="74"/>
      <w:r>
        <w:rPr>
          <w:rtl w:val="true"/>
        </w:rPr>
        <w:t>[</w:t>
      </w:r>
      <w:r>
        <w:rPr>
          <w:rtl w:val="true"/>
        </w:rPr>
        <w:t>المبحث</w:t>
      </w:r>
      <w:r>
        <w:rPr>
          <w:rtl w:val="true"/>
        </w:rPr>
        <w:t xml:space="preserve">] </w:t>
      </w:r>
      <w:r>
        <w:rPr>
          <w:rtl w:val="true"/>
        </w:rPr>
        <w:t xml:space="preserve">الأوّل </w:t>
      </w:r>
      <w:r>
        <w:rPr>
          <w:rtl w:val="true"/>
        </w:rPr>
        <w:t xml:space="preserve">: </w:t>
      </w:r>
      <w:r>
        <w:rPr>
          <w:rtl w:val="true"/>
        </w:rPr>
        <w:t>في كيفيّة التخلّي</w:t>
      </w:r>
      <w:bookmarkEnd w:id="75"/>
    </w:p>
    <w:p>
      <w:pPr>
        <w:pStyle w:val="BookText"/>
        <w:rPr/>
      </w:pPr>
      <w:r>
        <w:rPr>
          <w:rFonts w:ascii="Amiri" w:hAnsi="Amiri" w:eastAsia="Amiri" w:cs="Amiri"/>
          <w:color w:val="111111"/>
          <w:sz w:val="28"/>
          <w:sz w:val="28"/>
          <w:szCs w:val="28"/>
          <w:rtl w:val="true"/>
          <w:lang w:bidi="ar-SA"/>
        </w:rPr>
        <w:t xml:space="preserve">يجب ستر لون بشرة العورة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القُبل والدُبر والبيضتان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 ناظر محترم وإن لم يكن مكلّفاً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مسلماً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كالزوج والزوجة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يحصل به مسمّاه من غير فرق بين التستّر باليد وغيره، كما يحرم النظر على كلّ مكلّف لعورة غيره عدا من عرفت وإن لم يكن مكلّفاً بالتستّر لجنون ونحوه، بل الأحوط ذلك في الصبيّ المميّز بخلاف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على المتخلّي استقبال القبلة واستدبارها في حال التخلية دون الاستنجاء بل والاستبراء وإن كان الأولى ترك الاستقبال في الأخير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اضطرّ إلى أحدهما فالأحوط اجتناب الاستقبال، ولو اضطرّ إلى مراعات القبلة أو التستّر قدّم مراعات التستّر لأنّه أهمّ</w:t>
      </w:r>
      <w:r>
        <w:rPr>
          <w:rFonts w:eastAsia="Amiri" w:cs="Amiri" w:ascii="Amiri" w:hAnsi="Amiri"/>
          <w:color w:val="111111"/>
          <w:sz w:val="28"/>
          <w:szCs w:val="28"/>
          <w:rtl w:val="true"/>
          <w:lang w:bidi="ar-SA"/>
        </w:rPr>
        <w:t xml:space="preserve">. </w:t>
      </w:r>
      <w:bookmarkStart w:id="76" w:name="pg8988_116027"/>
    </w:p>
    <w:p>
      <w:pPr>
        <w:pStyle w:val="Heading4"/>
        <w:numPr>
          <w:ilvl w:val="3"/>
          <w:numId w:val="1"/>
        </w:numPr>
        <w:rPr/>
      </w:pPr>
      <w:bookmarkStart w:id="77" w:name="__RefHeading___Toc1814726_2870459653"/>
      <w:bookmarkStart w:id="78" w:name="_Toc27"/>
      <w:bookmarkEnd w:id="76"/>
      <w:bookmarkEnd w:id="77"/>
      <w:r>
        <w:rPr>
          <w:rtl w:val="true"/>
        </w:rPr>
        <w:t xml:space="preserve">المبحث الثاني </w:t>
      </w:r>
      <w:r>
        <w:rPr>
          <w:rtl w:val="true"/>
        </w:rPr>
        <w:t xml:space="preserve">: </w:t>
      </w:r>
      <w:r>
        <w:rPr>
          <w:rtl w:val="true"/>
        </w:rPr>
        <w:t>في الاستنجاء</w:t>
      </w:r>
      <w:bookmarkEnd w:id="78"/>
    </w:p>
    <w:p>
      <w:pPr>
        <w:pStyle w:val="BookText"/>
        <w:rPr/>
      </w:pPr>
      <w:r>
        <w:rPr>
          <w:rFonts w:ascii="Amiri" w:hAnsi="Amiri" w:eastAsia="Amiri" w:cs="Amiri"/>
          <w:color w:val="111111"/>
          <w:sz w:val="28"/>
          <w:sz w:val="28"/>
          <w:szCs w:val="28"/>
          <w:rtl w:val="true"/>
          <w:lang w:bidi="ar-SA"/>
        </w:rPr>
        <w:t xml:space="preserve">يجب غسل موضع البول بالماء ولا يجزي غيره، والأقوى الغسل مرّتين بل الأولى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ويتخيّر في مخرج الغائط بين الماء والاستجمار إذا لم يتعّد إلى غير المعتاد وإلّا تعين الماء للمتعدّي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 في الغسل النقاء، نعم لو تعدّى الغائط تعدّياً فاحشاً يوجب نجاسة ماء الاستنجاء فالأحوط تعدّد الغسل ؛ وفي المسح كذلك وإن كان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التثليث في المسح مع حصوله بالأقلّ، وأحوط من ذلك مراعاته بالآلة المنفصلة بل لا يجزي في الاحتياط ذو الجهات</w:t>
      </w:r>
      <w:r>
        <w:rPr>
          <w:rStyle w:val="FootnoteAnchor"/>
          <w:rtl w:val="true"/>
        </w:rPr>
        <w:footnoteReference w:id="19"/>
      </w:r>
      <w:r>
        <w:rPr>
          <w:rFonts w:ascii="Amiri" w:hAnsi="Amiri" w:eastAsia="Amiri" w:cs="Amiri"/>
          <w:color w:val="111111"/>
          <w:sz w:val="28"/>
          <w:sz w:val="28"/>
          <w:szCs w:val="28"/>
          <w:rtl w:val="true"/>
          <w:lang w:bidi="ar-SA"/>
        </w:rPr>
        <w:t>والشعب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فيه كلّ جسم قالع من غير فرق بين الأحجار والخرق ، نعم يعتبر كونها أبكاراً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ويجزي كلّ جسم صالح للقلع عدا ما ستعرف، استعمل في الاستنجاء أم لا ، نعم لابدّ من طهارته ولو بأن يغسله لو كان متنجّساً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الاستنجاء بكلّ محترم جزماً، وكذا العظم والروث على الأحوط</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1814728_2870459653"/>
      <w:bookmarkStart w:id="80" w:name="_Toc28"/>
      <w:bookmarkEnd w:id="79"/>
      <w:r>
        <w:rPr>
          <w:rtl w:val="true"/>
        </w:rPr>
        <w:t>المبحث الثالث</w:t>
      </w:r>
      <w:r>
        <w:rPr>
          <w:rtl w:val="true"/>
        </w:rPr>
        <w:t xml:space="preserve">: </w:t>
      </w:r>
      <w:r>
        <w:rPr>
          <w:rtl w:val="true"/>
        </w:rPr>
        <w:t>في السنن</w:t>
      </w:r>
      <w:bookmarkEnd w:id="8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تغطیة الرأس ، و التسمیه ، و تقدیم الرجل الیسری فی الدخول و الیمنی فی الخروج ، و الاستبراء ، و غیر ذلک </w:t>
      </w:r>
      <w:r>
        <w:rPr>
          <w:rFonts w:eastAsia="IRNazanin" w:cs="IRNazanin"/>
          <w:color w:val="111111"/>
          <w:sz w:val="28"/>
          <w:szCs w:val="28"/>
          <w:rtl w:val="true"/>
          <w:lang w:bidi="fa-IR"/>
        </w:rPr>
        <w:t xml:space="preserve">. </w:t>
      </w:r>
      <w:bookmarkStart w:id="81" w:name="pg8988_116029"/>
    </w:p>
    <w:p>
      <w:pPr>
        <w:pStyle w:val="BookText"/>
        <w:rPr/>
      </w:pPr>
      <w:bookmarkEnd w:id="81"/>
      <w:r>
        <w:rPr>
          <w:rFonts w:ascii="Amiri" w:hAnsi="Amiri" w:eastAsia="Amiri" w:cs="Amiri"/>
          <w:color w:val="111111"/>
          <w:sz w:val="28"/>
          <w:sz w:val="28"/>
          <w:szCs w:val="28"/>
          <w:rtl w:val="true"/>
          <w:lang w:bidi="ar-SA"/>
        </w:rPr>
        <w:t>ويكره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الجلوس في الشوارع ، والمشارع، ومساقط الأثمار، والمواضع المعدّة لنزول القوافل والمتردّدين، والّتي يُلْعَنُ فيها المُحْدِث كأبواب الدور ، واستقبال قرص الشمس والقمر بفرجه، والريح، والبول فى الأرض الصلبة، وفى الماء جارياً كان أو راكداً، والكلام إلّا بذكر الله وآية الكرسي وتسميت العاطس، وطول الجلوس على الخلاء، وغير ذلك </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1814730_2870459653"/>
      <w:bookmarkStart w:id="83" w:name="_Toc29"/>
      <w:bookmarkEnd w:id="82"/>
      <w:r>
        <w:rPr>
          <w:rtl w:val="true"/>
        </w:rPr>
        <w:t xml:space="preserve">المبحث الرابع </w:t>
      </w:r>
      <w:r>
        <w:rPr>
          <w:rtl w:val="true"/>
        </w:rPr>
        <w:t xml:space="preserve">: </w:t>
      </w:r>
      <w:r>
        <w:rPr>
          <w:rtl w:val="true"/>
        </w:rPr>
        <w:t>ماء الاستنجاء</w:t>
      </w:r>
      <w:bookmarkEnd w:id="83"/>
    </w:p>
    <w:p>
      <w:pPr>
        <w:pStyle w:val="BookText"/>
        <w:rPr/>
      </w:pPr>
      <w:r>
        <w:rPr>
          <w:rFonts w:ascii="Amiri" w:hAnsi="Amiri" w:eastAsia="Amiri" w:cs="Amiri"/>
          <w:color w:val="111111"/>
          <w:sz w:val="28"/>
          <w:sz w:val="28"/>
          <w:szCs w:val="28"/>
          <w:rtl w:val="true"/>
          <w:lang w:bidi="ar-SA"/>
        </w:rPr>
        <w:t>ماء الاستنجاء طاهر بشرط أن لا يستصحب أجزاء، وأمّا لو استصحب أجزاء ولم يستهلك فالأحوط الاجتناب، وعلى كلّ حال فهو لا يزيل حدثاً ولا يجوز به الوضوء والغسل المندوبان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 طهارته أيضاً أن لا يتجاوز المحلّ المعتاد وأن لا يتغيّر أحد أوصافه بالنجاسة وأن لا تصيبه نجاسة من خارج ولو من المتعدّي ، بل ولا من الداخل على الأحوط</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1814732_2870459653"/>
      <w:bookmarkStart w:id="85" w:name="_Toc30"/>
      <w:bookmarkEnd w:id="84"/>
      <w:r>
        <w:rPr>
          <w:rtl w:val="true"/>
        </w:rPr>
        <w:t xml:space="preserve">المبحث الخامس </w:t>
      </w:r>
      <w:r>
        <w:rPr>
          <w:rtl w:val="true"/>
        </w:rPr>
        <w:t xml:space="preserve">: </w:t>
      </w:r>
      <w:r>
        <w:rPr>
          <w:rtl w:val="true"/>
        </w:rPr>
        <w:t>الاستبراء</w:t>
      </w:r>
      <w:bookmarkEnd w:id="8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أن يمسح من المقعدة إلى أصل القضيب ثلاثاً، ثمّ منه إلى رأس الحشفة ثلاثاً، ثمّ ينترها ثلاثاً بأن يضع مُسَبِّحته مثلاً تحت القضيب وإبهامه من فوق ويمسح باعتماد قويّ من الأصل إلى الرأس ناتراً له في هذا الحال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وفائدته الحكم بعدم الحدث المشتبه إذا خرج بعده وعدم خبثيّته ، بخلاف قبل الاستبراء فإنّه محكوم بأنّه 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يلحق بالاستبراء في الحكم المزبور طول المدّة وكثرة الحركة بحيث يقطع بعدم بقاء شيء في المجرى</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استبراء</w:t>
      </w:r>
      <w:r>
        <w:rPr>
          <w:rStyle w:val="FootnoteAnchor"/>
          <w:rtl w:val="true"/>
        </w:rPr>
        <w:footnoteReference w:id="20"/>
      </w:r>
      <w:r>
        <w:rPr>
          <w:rFonts w:ascii="Amiri" w:hAnsi="Amiri" w:eastAsia="Amiri" w:cs="Amiri"/>
          <w:color w:val="111111"/>
          <w:sz w:val="28"/>
          <w:sz w:val="28"/>
          <w:szCs w:val="28"/>
          <w:rtl w:val="true"/>
          <w:lang w:bidi="ar-SA"/>
        </w:rPr>
        <w:t>على النساء، وينبغي لهنّ الصبر والتنحنح وعصر الفرج عرضاً ؛ وعلى كلّ حال فالبلل الخارج منهنّ طاهر</w:t>
      </w:r>
      <w:r>
        <w:rPr>
          <w:rFonts w:eastAsia="Amiri" w:cs="Amiri" w:ascii="Amiri" w:hAnsi="Amiri"/>
          <w:color w:val="111111"/>
          <w:sz w:val="28"/>
          <w:szCs w:val="28"/>
          <w:rtl w:val="true"/>
          <w:lang w:bidi="ar-SA"/>
        </w:rPr>
        <w:t xml:space="preserve">. </w:t>
      </w:r>
      <w:bookmarkStart w:id="86" w:name="pg8988_116033"/>
    </w:p>
    <w:p>
      <w:pPr>
        <w:pStyle w:val="Heading2"/>
        <w:numPr>
          <w:ilvl w:val="1"/>
          <w:numId w:val="1"/>
        </w:numPr>
        <w:rPr/>
      </w:pPr>
      <w:bookmarkStart w:id="87" w:name="__RefHeading___Toc1814734_2870459653"/>
      <w:bookmarkStart w:id="88" w:name="_Toc31"/>
      <w:bookmarkEnd w:id="86"/>
      <w:bookmarkEnd w:id="87"/>
      <w:r>
        <w:rPr>
          <w:rtl w:val="true"/>
        </w:rPr>
        <w:t>أمّا المقاصد</w:t>
      </w:r>
      <w:bookmarkEnd w:id="88"/>
    </w:p>
    <w:p>
      <w:pPr>
        <w:pStyle w:val="Heading3"/>
        <w:numPr>
          <w:ilvl w:val="2"/>
          <w:numId w:val="1"/>
        </w:numPr>
        <w:rPr/>
      </w:pPr>
      <w:bookmarkStart w:id="89" w:name="__RefHeading___Toc1814736_2870459653"/>
      <w:bookmarkStart w:id="90" w:name="_Toc32"/>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 xml:space="preserve">فأوّلها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الوضوء</w:t>
      </w:r>
    </w:p>
    <w:p>
      <w:pPr>
        <w:pStyle w:val="Heading3"/>
        <w:numPr>
          <w:ilvl w:val="2"/>
          <w:numId w:val="1"/>
        </w:numPr>
        <w:rPr/>
      </w:pPr>
      <w:bookmarkStart w:id="91" w:name="__RefHeading___Toc1814738_2870459653"/>
      <w:bookmarkStart w:id="92" w:name="_Toc33"/>
      <w:bookmarkEnd w:id="91"/>
      <w:r>
        <w:rPr>
          <w:rtl w:val="true"/>
        </w:rPr>
        <w:t>[</w:t>
      </w:r>
      <w:r>
        <w:rPr>
          <w:rtl w:val="true"/>
        </w:rPr>
        <w:t>المقصد الأوّل</w:t>
      </w:r>
      <w:r>
        <w:rPr>
          <w:rtl w:val="true"/>
        </w:rPr>
        <w:t xml:space="preserve">: </w:t>
      </w:r>
      <w:r>
        <w:rPr>
          <w:rtl w:val="true"/>
        </w:rPr>
        <w:t>في الوضوء</w:t>
      </w:r>
      <w:r>
        <w:rPr>
          <w:rtl w:val="true"/>
        </w:rPr>
        <w:t>]</w:t>
      </w:r>
      <w:bookmarkEnd w:id="92"/>
    </w:p>
    <w:p>
      <w:pPr>
        <w:pStyle w:val="Heading4"/>
        <w:numPr>
          <w:ilvl w:val="3"/>
          <w:numId w:val="1"/>
        </w:numPr>
        <w:rPr/>
      </w:pPr>
      <w:bookmarkStart w:id="93" w:name="__RefHeading___Toc1814740_2870459653"/>
      <w:bookmarkStart w:id="94" w:name="_Toc34"/>
      <w:bookmarkEnd w:id="93"/>
      <w:r>
        <w:rPr>
          <w:rtl w:val="true"/>
        </w:rPr>
        <w:t>اشارة</w:t>
      </w:r>
      <w:bookmarkEnd w:id="94"/>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1814742_2870459653"/>
      <w:bookmarkStart w:id="96" w:name="_Toc35"/>
      <w:bookmarkEnd w:id="95"/>
      <w:r>
        <w:rPr>
          <w:rtl w:val="true"/>
        </w:rPr>
        <w:t xml:space="preserve">[ </w:t>
      </w:r>
      <w:r>
        <w:rPr>
          <w:rtl w:val="true"/>
        </w:rPr>
        <w:t xml:space="preserve">المبحث </w:t>
      </w:r>
      <w:r>
        <w:rPr>
          <w:rtl w:val="true"/>
        </w:rPr>
        <w:t xml:space="preserve">] </w:t>
      </w:r>
      <w:r>
        <w:rPr>
          <w:rtl w:val="true"/>
        </w:rPr>
        <w:t xml:space="preserve">الأوّل </w:t>
      </w:r>
      <w:r>
        <w:rPr>
          <w:rtl w:val="true"/>
        </w:rPr>
        <w:t xml:space="preserve">: </w:t>
      </w:r>
      <w:r>
        <w:rPr>
          <w:rtl w:val="true"/>
        </w:rPr>
        <w:t>في أجزائه</w:t>
      </w:r>
      <w:bookmarkEnd w:id="96"/>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غَسلتان ومسحتان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فالغسلتان للوجه واليدين والمسحتان للرأس والقدمين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الوجه فهو ما بين القصاص وأطراف الذقن طولاً وما اشتمل عليه الإبهام والوسطى عرضاً، فالداخل في ذلك من الوجه والخارج ليس منه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والمرجع في هذا التحديد إلى مستوي الخلقة أي من كانت أعضاؤه متناسبة ولا عبرة بمن صغر وجهه حتّى تجاوزت أصابعه أذنيه أو كبر حتّى لم تتعدّ وجنتيه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يكون الغسل من أعلى الوجه بحيث يصدق عرفاً عليه ذلك ، وأن يكون غير منكوس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نكس بطل وضوؤه إلّا إذا كان </w:t>
      </w:r>
    </w:p>
    <w:p>
      <w:pPr>
        <w:pStyle w:val="BookText"/>
        <w:rPr/>
      </w:pPr>
      <w:r>
        <w:rPr>
          <w:rFonts w:ascii="IRNazanin" w:hAnsi="IRNazanin" w:eastAsia="IRNazanin"/>
          <w:color w:val="111111"/>
          <w:sz w:val="28"/>
          <w:sz w:val="28"/>
          <w:szCs w:val="28"/>
          <w:rtl w:val="true"/>
          <w:lang w:bidi="fa-IR"/>
        </w:rPr>
        <w:t>یسيراً بحيث لا يعدّ أنّه غسل منكوساً والأحوط مع ذلك عدم النكس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بغسل الجزء اليسير 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ردّ الماء منكوساً وكان ناوياً الغسل من الأعلى بإرجاعه 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يجب عليه غسل ما استرسل من اللحية، أمّا ما دخل منها في حدّ الوجه فإنّه يجب غسله بدلاً ممّا أحاط به من البشرة لكن الواجب غسل الظاهر منه فلا يجب البحث عن الشعر المستور بالشعر فضلاً عن البشرة المستورة به وإن كانت مرئيّة بين خلال الشعر من غير فرق بين الخفيف والكثيف بعد صدق اسم الإحاطة وإن كان التخليل في الأوّل لا يخلو عن قوّة ؛ وأمّا إذا لم يصدق اسم الإحاطة لتباعد منابت الشعر</w:t>
      </w:r>
    </w:p>
    <w:p>
      <w:pPr>
        <w:pStyle w:val="BookText"/>
        <w:rPr/>
      </w:pPr>
      <w:r>
        <w:rPr>
          <w:rFonts w:ascii="IRNazanin" w:hAnsi="IRNazanin" w:eastAsia="IRNazanin"/>
          <w:color w:val="111111"/>
          <w:sz w:val="28"/>
          <w:sz w:val="28"/>
          <w:szCs w:val="28"/>
          <w:rtl w:val="true"/>
          <w:lang w:bidi="fa-IR"/>
        </w:rPr>
        <w:t>وجب غسله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ولابدّ من غسل شيء من باطن الأنف مقدّمة للظاهر ؛ ومطبق الشفتين من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اليدان فالواجب غسلهما من المرفقين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عظمي الذراع والعضد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من غسل شيء ممّا فوق المجمع من العضد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البدأة بالأعلى حسب ما سمعته في </w:t>
      </w:r>
      <w:r>
        <w:rPr>
          <w:rStyle w:val="FootnoteAnchor"/>
          <w:rtl w:val="true"/>
        </w:rPr>
        <w:footnoteReference w:id="21"/>
      </w:r>
      <w:r>
        <w:rPr>
          <w:rFonts w:ascii="Amiri" w:hAnsi="Amiri" w:eastAsia="Amiri" w:cs="Amiri"/>
          <w:color w:val="111111"/>
          <w:sz w:val="28"/>
          <w:sz w:val="28"/>
          <w:szCs w:val="28"/>
          <w:rtl w:val="true"/>
          <w:lang w:bidi="ar-SA"/>
        </w:rPr>
        <w:t>الوجه وكذا عدم النكس</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قطعت بعض يديه غسل ما بقي من المرفق وما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p>
    <w:p>
      <w:pPr>
        <w:pStyle w:val="BookText"/>
        <w:rPr/>
      </w:pPr>
      <w:r>
        <w:rPr>
          <w:rFonts w:ascii="Amiri" w:hAnsi="Amiri" w:eastAsia="Amiri" w:cs="Amiri"/>
          <w:color w:val="111111"/>
          <w:sz w:val="28"/>
          <w:sz w:val="28"/>
          <w:szCs w:val="28"/>
          <w:rtl w:val="true"/>
          <w:lang w:bidi="ar-SA"/>
        </w:rPr>
        <w:t xml:space="preserve">قطعت من المرفق بحيث لم يبق من عظم العضد المتداخل </w:t>
      </w:r>
      <w:r>
        <w:rPr>
          <w:rStyle w:val="FootnoteAnchor"/>
          <w:rtl w:val="true"/>
        </w:rPr>
        <w:footnoteReference w:id="22"/>
      </w:r>
      <w:r>
        <w:rPr>
          <w:rFonts w:ascii="Amiri" w:hAnsi="Amiri" w:eastAsia="Amiri" w:cs="Amiri"/>
          <w:color w:val="111111"/>
          <w:sz w:val="28"/>
          <w:sz w:val="28"/>
          <w:szCs w:val="28"/>
          <w:rtl w:val="true"/>
          <w:lang w:bidi="ar-SA"/>
        </w:rPr>
        <w:t xml:space="preserve">مع عظم الذراع شيء سقط الغسل ؛ وأمّا لو بقى شيء ممّا تداخل فالأقوى غسل ما بقي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له ذراعان دون المرفق أو فيه أو أصابع زائدة أو لحم نابت أو غيره وجب غسل الجميع، دون ما لو كان ذلك فوق المرفق و إن تدلّى إلى تحت ، وكذا ما كان في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له يد أخرى مستقلّة فإن علم الزائدة لم يجب غسلها وإلّا وجب بل الظاهر إجراء حكم الأصليّة على كلّ منهما فيجزي المسح بأحدهما والأحوط المسح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غسل الشعر هنا مع البشرة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والأحوط إزالة الوسخ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على موضع يجب 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باطن الأظفار، ويجب رفع ما يمنع وصول الماء أو تحريكه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 في حجبه وجب الإيصال إلى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في أصل الحاجب فالأحوط وجوب الفحص حتّى يحصل القطع بالعدم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المسحتان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الرأس، ويجب مسح شيء من مقدّم الرأس، والأحوط عدم النكس وعدم الإجزاء بما دون عرض إصبع منه، وأحوط منه مسح مقدار ثلاثة أصابع مضمومة بل الأولى كون المسح </w:t>
      </w:r>
    </w:p>
    <w:p>
      <w:pPr>
        <w:pStyle w:val="BookText"/>
        <w:rPr/>
      </w:pPr>
      <w:r>
        <w:rPr>
          <w:rFonts w:ascii="Amiri" w:hAnsi="Amiri" w:eastAsia="Amiri" w:cs="Amiri"/>
          <w:color w:val="111111"/>
          <w:sz w:val="28"/>
          <w:sz w:val="28"/>
          <w:szCs w:val="28"/>
          <w:rtl w:val="true"/>
          <w:lang w:bidi="ar-SA"/>
        </w:rPr>
        <w:t>بالثلاثة أيضاً؛ والمرأة كالرجل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بمقدّم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الربع المقدّم منه ممّا يلي الجبهة فلا يجزي المسح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على شعره المختصّ به دون الخارج بمَدّة </w:t>
      </w:r>
      <w:r>
        <w:rPr>
          <w:rStyle w:val="FootnoteAnchor"/>
          <w:rtl w:val="true"/>
        </w:rPr>
        <w:footnoteReference w:id="23"/>
      </w:r>
      <w:r>
        <w:rPr>
          <w:rFonts w:ascii="Amiri" w:hAnsi="Amiri" w:eastAsia="Amiri" w:cs="Amiri"/>
          <w:color w:val="111111"/>
          <w:sz w:val="28"/>
          <w:sz w:val="28"/>
          <w:szCs w:val="28"/>
          <w:rtl w:val="true"/>
          <w:lang w:bidi="ar-SA"/>
        </w:rPr>
        <w:t>عن حدّه ولو كان مجموعاً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المسح بباطن الكفّ والأحوط الأيمن بل الأولى الأصابع منه وأن يكون بما بقي في يده من نداوة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تعذّر الباطن لمرض ونحوه أجزأه المسح بغيره والأولى المسح بظاهر الكفّ، فإن تعذّر فالذراع</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جفاف الممسوح بحيث لا ينتقل منه أجزاء إلى الماسح فيقع المسح بها وبما فى اليد، ولا بأس بالنداوة لا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كثرة ما في الماسح إذا لم يحصل منه الجريان</w:t>
      </w:r>
      <w:r>
        <w:rPr>
          <w:rStyle w:val="FootnoteAnchor"/>
          <w:rtl w:val="true"/>
        </w:rPr>
        <w:footnoteReference w:id="24"/>
      </w:r>
      <w:r>
        <w:rPr>
          <w:rFonts w:ascii="Amiri" w:hAnsi="Amiri" w:eastAsia="Amiri" w:cs="Amiri"/>
          <w:color w:val="111111"/>
          <w:sz w:val="28"/>
          <w:sz w:val="28"/>
          <w:szCs w:val="28"/>
          <w:rtl w:val="true"/>
          <w:lang w:bidi="ar-SA"/>
        </w:rPr>
        <w:t xml:space="preserve">، ولا بأس بما في يده </w:t>
      </w:r>
    </w:p>
    <w:p>
      <w:pPr>
        <w:pStyle w:val="BookText"/>
        <w:rPr/>
      </w:pPr>
      <w:r>
        <w:rPr>
          <w:rFonts w:ascii="Amiri" w:hAnsi="Amiri" w:eastAsia="Amiri" w:cs="Amiri"/>
          <w:color w:val="111111"/>
          <w:sz w:val="28"/>
          <w:sz w:val="28"/>
          <w:szCs w:val="28"/>
          <w:rtl w:val="true"/>
          <w:lang w:bidi="ar-SA"/>
        </w:rPr>
        <w:t>بعد تمام الغسل وإن كرّر إمرار يده على العضو استظهاراً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الاقتصار في المسح على ما بقي في يده بعد تمام الغسل، ولا يجوز التناول من أعضاء الوضوء اختياراً، نعم لو جفّ ما في يده لنسيان أو غيره من الأعذار جاز الأخذ من باقي أعضاء الوضوء والأحوط تقديم ما على اللحية والحاجبين ونحوهما ممّا هو من الوجه، فإن لم يبق شيءٌ من نداوة الوضوء استأنف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يمكن حفظ نداوة الوضوء لشدّة حرّ أو غيره فالأحوط المسح بماء جديد ثمّ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القدمين، والواجب مسح ظاهرهما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ومقدارهما طولاً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أطراف الأصابع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قبّتا القدمين </w:t>
      </w:r>
      <w:r>
        <w:rPr>
          <w:rStyle w:val="FootnoteAnchor"/>
          <w:rtl w:val="true"/>
        </w:rPr>
        <w:footnoteReference w:id="25"/>
      </w:r>
      <w:r>
        <w:rPr>
          <w:rFonts w:ascii="Amiri" w:hAnsi="Amiri" w:eastAsia="Amiri" w:cs="Amiri"/>
          <w:color w:val="111111"/>
          <w:sz w:val="28"/>
          <w:sz w:val="28"/>
          <w:szCs w:val="28"/>
          <w:rtl w:val="true"/>
          <w:lang w:bidi="ar-SA"/>
        </w:rPr>
        <w:t>ويدخلان في الممسوح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تقدير للعرض فيجزي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استيعاب الطول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العرض ما يتحقّق به اسم المسح ؛ ويجوز مُقبلاً ومُدبراً والأوّل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مراعات الترتيب بينهما كما أنّ </w:t>
      </w:r>
      <w:bookmarkStart w:id="97" w:name="pg8988_116044"/>
    </w:p>
    <w:p>
      <w:pPr>
        <w:pStyle w:val="BookText"/>
        <w:rPr/>
      </w:pPr>
      <w:bookmarkEnd w:id="97"/>
      <w:r>
        <w:rPr>
          <w:rFonts w:ascii="Amiri" w:hAnsi="Amiri" w:eastAsia="Amiri" w:cs="Amiri"/>
          <w:color w:val="111111"/>
          <w:sz w:val="28"/>
          <w:sz w:val="28"/>
          <w:szCs w:val="28"/>
          <w:rtl w:val="true"/>
          <w:lang w:bidi="ar-SA"/>
        </w:rPr>
        <w:t>الأحوط مسح اليمني باليمني ثمّ اليسرى باليسرى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قُطِعَ بعضُ موضع المسح مسح على ما بقي، ولو قطع جميعه سقط 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هنا بالنسبة إلى الزائد كاليد، وبالنسبة إلى المسح بالبلّة وتجفيف الممسوح ونحو ذلك كالرأس، نعم الأحوط عدم الاجتزاء بالشعر عن البشرة والأحوط جمعهما في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يجزي المسح على الخفّ وشراك النعل العربي ونحوهما إلّا لتقيّةٍ فيجوز على الخفّ وغيره كما يجوز المخالفة في جميع أحكام الوضوء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تمكّن من المسح على الخفّ أو غسل القدمين فالأحوط تعيين الغسل، والأحوط أن لا يكون له مندوحة في مكان التقيّة، والأقوى عدم اعتبار المندوحة </w:t>
      </w:r>
      <w:r>
        <w:rPr>
          <w:rStyle w:val="FootnoteAnchor"/>
          <w:rtl w:val="true"/>
        </w:rPr>
        <w:footnoteReference w:id="26"/>
      </w:r>
      <w:r>
        <w:rPr>
          <w:rFonts w:ascii="IRNazanin" w:hAnsi="IRNazanin" w:eastAsia="IRNazanin"/>
          <w:color w:val="111111"/>
          <w:sz w:val="28"/>
          <w:sz w:val="28"/>
          <w:szCs w:val="28"/>
          <w:rtl w:val="true"/>
          <w:lang w:bidi="fa-IR"/>
        </w:rPr>
        <w:t>بالخروج عن المحلّ وبذل المال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كخوف العدوّ ونحو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كالتقیّة في جواز المسح على الحائل، وكذا ضيق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والرأس في ذلك كالقدم وإن كان الأحوط في الجميع ضمّ التيمّم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زالت التقيّة والضرورة فالأقوى الإعادة إن كان في الأثناء وإلّا فلا وإن كان الاحتياط فيه لا يُترك </w:t>
      </w:r>
      <w:r>
        <w:rPr>
          <w:rFonts w:eastAsia="IRNazanin" w:cs="IRNazanin"/>
          <w:color w:val="111111"/>
          <w:sz w:val="28"/>
          <w:szCs w:val="28"/>
          <w:rtl w:val="true"/>
          <w:lang w:bidi="fa-IR"/>
        </w:rPr>
        <w:t>.</w:t>
      </w:r>
    </w:p>
    <w:p>
      <w:pPr>
        <w:pStyle w:val="Heading4"/>
        <w:numPr>
          <w:ilvl w:val="3"/>
          <w:numId w:val="1"/>
        </w:numPr>
        <w:rPr/>
      </w:pPr>
      <w:bookmarkStart w:id="98" w:name="__RefHeading___Toc1814744_2870459653"/>
      <w:bookmarkStart w:id="99" w:name="_Toc36"/>
      <w:bookmarkEnd w:id="98"/>
      <w:r>
        <w:rPr>
          <w:rtl w:val="true"/>
        </w:rPr>
        <w:t xml:space="preserve">المبحث الثاني </w:t>
      </w:r>
      <w:r>
        <w:rPr>
          <w:rtl w:val="true"/>
        </w:rPr>
        <w:t xml:space="preserve">: </w:t>
      </w:r>
      <w:r>
        <w:rPr>
          <w:rtl w:val="true"/>
        </w:rPr>
        <w:t>وضوء الجبيرة</w:t>
      </w:r>
      <w:bookmarkEnd w:id="9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 على بعض أعضائه جبيرة وتمكّن من غسلها ولو بغمسها في الماء وجب، وإلّا بأن خشي الضرر أو لم يمكن </w:t>
      </w:r>
      <w:r>
        <w:rPr>
          <w:rStyle w:val="FootnoteAnchor"/>
          <w:rtl w:val="true"/>
        </w:rPr>
        <w:footnoteReference w:id="27"/>
      </w:r>
      <w:r>
        <w:rPr>
          <w:rFonts w:ascii="Amiri" w:hAnsi="Amiri" w:eastAsia="Amiri" w:cs="Amiri"/>
          <w:color w:val="111111"/>
          <w:sz w:val="28"/>
          <w:sz w:val="28"/>
          <w:szCs w:val="28"/>
          <w:rtl w:val="true"/>
          <w:lang w:bidi="ar-SA"/>
        </w:rPr>
        <w:t xml:space="preserve">إزالة النجاسة </w:t>
      </w:r>
    </w:p>
    <w:p>
      <w:pPr>
        <w:pStyle w:val="BookText"/>
        <w:rPr/>
      </w:pPr>
      <w:r>
        <w:rPr>
          <w:rFonts w:ascii="Amiri" w:hAnsi="Amiri" w:eastAsia="Amiri" w:cs="Amiri"/>
          <w:color w:val="111111"/>
          <w:sz w:val="28"/>
          <w:sz w:val="28"/>
          <w:szCs w:val="28"/>
          <w:rtl w:val="true"/>
          <w:lang w:bidi="ar-SA"/>
        </w:rPr>
        <w:t>مثلاً مسح عليها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أمكن المسح على البشرة لزم وإن كان الأحوط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مسحها بحيث يحصل أقلّ مسمّى الغسل ولا يجزي عنه غسلها بالغمس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وجوب قصد كونه مسحاً لو حصل معه أقلّ مسمّى الغسل ولا قصد كونه غسلاً، بل الأحوط أن لا يقصد خصوص أحدهما بل يقصد تحقّق ما هو الواجب عند الله، بخلاف مسح الرأس والقدمين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كونه </w:t>
      </w:r>
      <w:r>
        <w:rPr>
          <w:rStyle w:val="FootnoteAnchor"/>
          <w:rtl w:val="true"/>
        </w:rPr>
        <w:footnoteReference w:id="28"/>
      </w:r>
      <w:r>
        <w:rPr>
          <w:rFonts w:ascii="Amiri" w:hAnsi="Amiri" w:eastAsia="Amiri" w:cs="Amiri"/>
          <w:color w:val="111111"/>
          <w:sz w:val="28"/>
          <w:sz w:val="28"/>
          <w:szCs w:val="28"/>
          <w:rtl w:val="true"/>
          <w:lang w:bidi="ar-SA"/>
        </w:rPr>
        <w:t>بالكفّ ولابدّ من استيعابها بالمسح بالماء ولا يكفي الرطوبة والنداوة في اليد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w:t>
      </w:r>
      <w:r>
        <w:rPr>
          <w:rStyle w:val="FootnoteAnchor"/>
          <w:rtl w:val="true"/>
        </w:rPr>
        <w:footnoteReference w:id="29"/>
      </w:r>
      <w:r>
        <w:rPr>
          <w:rFonts w:ascii="Amiri" w:hAnsi="Amiri" w:eastAsia="Amiri" w:cs="Amiri"/>
          <w:color w:val="111111"/>
          <w:sz w:val="28"/>
          <w:sz w:val="28"/>
          <w:szCs w:val="28"/>
          <w:rtl w:val="true"/>
          <w:lang w:bidi="ar-SA"/>
        </w:rPr>
        <w:t>عدم وجوب مسح ما يتعسّر ممّا بين خلل الجبيرة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والقروح والجروح المعصّبة كالجبيرة ، ولو لم تكن </w:t>
      </w:r>
      <w:r>
        <w:rPr>
          <w:rStyle w:val="FootnoteAnchor"/>
          <w:rtl w:val="true"/>
        </w:rPr>
        <w:footnoteReference w:id="30"/>
      </w:r>
      <w:r>
        <w:rPr>
          <w:rFonts w:ascii="Amiri" w:hAnsi="Amiri" w:eastAsia="Amiri" w:cs="Amiri"/>
          <w:color w:val="111111"/>
          <w:sz w:val="28"/>
          <w:sz w:val="28"/>
          <w:szCs w:val="28"/>
          <w:rtl w:val="true"/>
          <w:lang w:bidi="ar-SA"/>
        </w:rPr>
        <w:t xml:space="preserve">معصّبة فالأقوى المسح عليها نفسها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تعذّر وَضَع خرقة عليها ومَسحَ عليها ولا يَضُمُّ معها شيئاً من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تعذّر اكتفى بغسل ما حولها والأولى مع ذلك التيمّم </w:t>
      </w:r>
      <w:r>
        <w:rPr>
          <w:rStyle w:val="FootnoteAnchor"/>
          <w:rtl w:val="true"/>
        </w:rPr>
        <w:footnoteReference w:id="31"/>
      </w:r>
      <w:r>
        <w:rPr>
          <w:rFonts w:ascii="Amiri" w:hAnsi="Amiri" w:eastAsia="Amiri" w:cs="Amiri"/>
          <w:color w:val="111111"/>
          <w:sz w:val="28"/>
          <w:sz w:val="28"/>
          <w:szCs w:val="28"/>
          <w:rtl w:val="true"/>
          <w:lang w:bidi="ar-SA"/>
        </w:rPr>
        <w:t xml:space="preserve">كما أنّ الأحوط الجمع بينهما في مطلق المكشوف </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نعم يتعيّن التيمّم لو تعذّر ما سمعته في الجبيرة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واللَّطوخ </w:t>
      </w:r>
      <w:r>
        <w:rPr>
          <w:rStyle w:val="FootnoteAnchor"/>
          <w:rtl w:val="true"/>
        </w:rPr>
        <w:footnoteReference w:id="33"/>
      </w:r>
      <w:r>
        <w:rPr>
          <w:rFonts w:ascii="Amiri" w:hAnsi="Amiri" w:eastAsia="Amiri" w:cs="Amiri"/>
          <w:color w:val="111111"/>
          <w:sz w:val="28"/>
          <w:sz w:val="28"/>
          <w:szCs w:val="28"/>
          <w:rtl w:val="true"/>
          <w:lang w:bidi="ar-SA"/>
        </w:rPr>
        <w:t xml:space="preserve">كالجبيرة في المسح مع الضرورة، بل الظاهر </w:t>
      </w:r>
      <w:r>
        <w:rPr>
          <w:rStyle w:val="FootnoteAnchor"/>
          <w:rtl w:val="true"/>
        </w:rPr>
        <w:footnoteReference w:id="34"/>
      </w:r>
      <w:r>
        <w:rPr>
          <w:rFonts w:ascii="Amiri" w:hAnsi="Amiri" w:eastAsia="Amiri" w:cs="Amiri"/>
          <w:color w:val="111111"/>
          <w:sz w:val="28"/>
          <w:sz w:val="28"/>
          <w:szCs w:val="28"/>
          <w:rtl w:val="true"/>
          <w:lang w:bidi="ar-SA"/>
        </w:rPr>
        <w:t xml:space="preserve">ذلك في كلّ حاجب تعذّر أو تعسّر إزالته وإن كان الأحوط ضمّ التيمّم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والجبيرة المستوعبة للعضو كغيرها والأحوط الجمع بينه وبين التيمّم سيّما في بعض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والغسل كالوضوء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كانت على الماسح جبيرةٌ مَسحَ ببلّتها كالبشرة والأحوط في الرمد هو الجمع بين التيمّم مع حكم الجبيرة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حكم وجع الأعضاء بالصّليل </w:t>
      </w:r>
      <w:r>
        <w:rPr>
          <w:rStyle w:val="FootnoteAnchor"/>
          <w:rtl w:val="true"/>
        </w:rPr>
        <w:footnoteReference w:id="35"/>
      </w:r>
      <w:r>
        <w:rPr>
          <w:rFonts w:ascii="IRNazanin" w:hAnsi="IRNazanin" w:eastAsia="IRNazanin"/>
          <w:color w:val="111111"/>
          <w:sz w:val="28"/>
          <w:sz w:val="28"/>
          <w:szCs w:val="28"/>
          <w:rtl w:val="true"/>
          <w:lang w:bidi="fa-IR"/>
        </w:rPr>
        <w:t xml:space="preserve">ونحوه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ويضع على الجبيرة النجسة خرقة طاهرة إذا عدت جزء الجبيرة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كونها ممّا يصحّ فيها الصلاة ويجوز على جبيرة الذهب والحرير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المسح على المغصوبة حتّى لو وضع خرقة محلّلة لم يُجْزِه المسح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يعيد الطهارة بعد البرء وإن كان هو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الإعادة لو كان في الأثناء</w:t>
      </w:r>
      <w:r>
        <w:rPr>
          <w:rFonts w:eastAsia="Amiri" w:cs="Amiri" w:ascii="Amiri" w:hAnsi="Amiri"/>
          <w:color w:val="111111"/>
          <w:sz w:val="28"/>
          <w:szCs w:val="28"/>
          <w:rtl w:val="true"/>
          <w:lang w:bidi="ar-SA"/>
        </w:rPr>
        <w:t xml:space="preserve">. </w:t>
      </w:r>
      <w:bookmarkStart w:id="100" w:name="pg8988_116050"/>
    </w:p>
    <w:p>
      <w:pPr>
        <w:pStyle w:val="Heading4"/>
        <w:numPr>
          <w:ilvl w:val="3"/>
          <w:numId w:val="1"/>
        </w:numPr>
        <w:rPr/>
      </w:pPr>
      <w:bookmarkStart w:id="101" w:name="__RefHeading___Toc1814746_2870459653"/>
      <w:bookmarkStart w:id="102" w:name="_Toc37"/>
      <w:bookmarkEnd w:id="100"/>
      <w:bookmarkEnd w:id="101"/>
      <w:r>
        <w:rPr>
          <w:rtl w:val="true"/>
        </w:rPr>
        <w:t>المبحث الثالث</w:t>
      </w:r>
      <w:r>
        <w:rPr>
          <w:rtl w:val="true"/>
        </w:rPr>
        <w:t xml:space="preserve">: </w:t>
      </w:r>
      <w:r>
        <w:rPr>
          <w:rtl w:val="true"/>
        </w:rPr>
        <w:t>في الشرائط</w:t>
      </w:r>
      <w:bookmarkEnd w:id="102"/>
    </w:p>
    <w:p>
      <w:pPr>
        <w:pStyle w:val="BookText"/>
        <w:rPr/>
      </w:pPr>
      <w:r>
        <w:rPr>
          <w:rFonts w:ascii="Amiri" w:hAnsi="Amiri" w:eastAsia="Amiri" w:cs="Amiri"/>
          <w:color w:val="111111"/>
          <w:sz w:val="28"/>
          <w:sz w:val="28"/>
          <w:szCs w:val="28"/>
          <w:rtl w:val="true"/>
          <w:lang w:bidi="ar-SA"/>
        </w:rPr>
        <w:t>وهي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الماء، وإطلاقه، وإباحته، وعدم كونه مستعملاً في تطهير الخبث، وطهر المحلّ، ورفع الحاجب عنه، وإباحة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الفضاء الذي يقع فيه الغسل والمسح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غيره كالمصبّ والأواني فمع الانحصار فيه يبطل الوضوء، ومع عدمه يقوى الصحّة والأحوط التجنّب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المانع من استعمال الماء من مرض أو عطش على نفس مؤمن ونحوه ممّا يجب معه التيمّم، فلو توضّأ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المانع ضيق الوقت فإن قصد استباحة تلك الصلاة بطل، وإلّا فالأحوط الإعادة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بين الأعضاء وأجزائها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يعتبر في الثاني الترتيب الحقيقي بل يكفي فيه الصدق العرفي فيقدّم تمام الوجه ثمّ اليد اليمنى ثمّ اليسرى ثمّ مسح الرأس ثمّ مسح القدمين والأحوط الترتيب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فوات الترتيب بين تقديم المتأخّر أو تأخير المتقدّم وبين الإتيان بهما دفعة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الموالات بين الأعضاء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بمعنى المتابعة وعدم الفصل وإن كان أحوط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لا يؤخّر الشروع في غسل اللاحق بحيث يحصل معه بسبب ذلك جفاف جميع ما تقدّم في زمان المعتدل في </w:t>
      </w:r>
    </w:p>
    <w:p>
      <w:pPr>
        <w:pStyle w:val="BookText"/>
        <w:rPr/>
      </w:pPr>
      <w:r>
        <w:rPr>
          <w:rFonts w:ascii="Amiri" w:hAnsi="Amiri" w:eastAsia="Amiri" w:cs="Amiri"/>
          <w:color w:val="111111"/>
          <w:sz w:val="28"/>
          <w:sz w:val="28"/>
          <w:szCs w:val="28"/>
          <w:rtl w:val="true"/>
          <w:lang w:bidi="ar-SA"/>
        </w:rPr>
        <w:t xml:space="preserve">صنفه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عدم العبرة بمسترسل اللحية ولو كان شتاء فتكون حينئذٍ تقديراً زمانيّاً لا مراعات بلل حسي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استيناف الوضوء مع جفاف المتلوّ قبل الشروع في التالي وإن بقي البلل على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وهي القصد إلى الفعل ، وأن يكون ذلك مع قصد الامتثال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ويعتبر فيها الإخلاص فمتى ضمّ إليها ما ينافيه بطل الوضوء خصوصاً الرياء والأحوط إلحاق العُجب المقارن للعمل به، إلّا أنّ الأقوى 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الضمائم الراجحة فهى مؤكّدة للإخلاص، وأمّا المباحة كالتبرّد فإن كانت تابعة فلا بأس وإن تركّب الداعي منهما بأن كان كلّ منهما جزءًا فالأقوى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تجب نيّة الوجوب أو الندب وصفاً ولا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رفع الحدث والاستباحة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ولابدّ من نيّة الوضوء جملة واستدامتها إلى الفراغ، فلو تردّد أو نوى العدم وأتمّ الوضوء على هذا الحال لم يصحّ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عاد إلى النيّة الأولى ولم تفت الموالات أتمّ وضوأه من حين التردّد وصحّ</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 وضوء </w:t>
      </w:r>
      <w:r>
        <w:rPr>
          <w:rStyle w:val="FootnoteAnchor"/>
          <w:rtl w:val="true"/>
        </w:rPr>
        <w:footnoteReference w:id="36"/>
      </w:r>
      <w:r>
        <w:rPr>
          <w:rFonts w:ascii="Amiri" w:hAnsi="Amiri" w:eastAsia="Amiri" w:cs="Amiri"/>
          <w:color w:val="111111"/>
          <w:sz w:val="28"/>
          <w:sz w:val="28"/>
          <w:szCs w:val="28"/>
          <w:rtl w:val="true"/>
          <w:lang w:bidi="ar-SA"/>
        </w:rPr>
        <w:t>واحد من الأسباب المختلفة وإن لم يلحظها بالنيّة</w:t>
      </w:r>
      <w:r>
        <w:rPr>
          <w:rFonts w:eastAsia="Amiri" w:cs="Amiri" w:ascii="Amiri" w:hAnsi="Amiri"/>
          <w:color w:val="111111"/>
          <w:sz w:val="28"/>
          <w:szCs w:val="28"/>
          <w:rtl w:val="true"/>
          <w:lang w:bidi="ar-SA"/>
        </w:rPr>
        <w:t xml:space="preserve">. </w:t>
      </w:r>
      <w:bookmarkStart w:id="103" w:name="pg8988_116054"/>
    </w:p>
    <w:p>
      <w:pPr>
        <w:pStyle w:val="BookText"/>
        <w:rPr/>
      </w:pPr>
      <w:bookmarkEnd w:id="103"/>
      <w:r>
        <w:rPr>
          <w:rFonts w:ascii="Amiri" w:hAnsi="Amiri" w:eastAsia="Amiri" w:cs="Amiri"/>
          <w:color w:val="111111"/>
          <w:sz w:val="28"/>
          <w:sz w:val="28"/>
          <w:szCs w:val="28"/>
          <w:rtl w:val="true"/>
          <w:lang w:bidi="ar-SA"/>
        </w:rPr>
        <w:t xml:space="preserve">ولو اجتمعت أسباب للحدث الأكبر ونوى رفعها بغُسل واحد صحّ، ولا يحتاج إلى الوضوء لو كان معها جنابة </w:t>
      </w:r>
      <w:r>
        <w:rPr>
          <w:rStyle w:val="FootnoteAnchor"/>
          <w:rtl w:val="true"/>
        </w:rPr>
        <w:footnoteReference w:id="37"/>
      </w:r>
      <w:r>
        <w:rPr>
          <w:rFonts w:ascii="Amiri" w:hAnsi="Amiri" w:eastAsia="Amiri" w:cs="Amiri"/>
          <w:color w:val="111111"/>
          <w:sz w:val="28"/>
          <w:sz w:val="28"/>
          <w:szCs w:val="28"/>
          <w:rtl w:val="true"/>
          <w:lang w:bidi="ar-SA"/>
        </w:rPr>
        <w:t>؛ ولو كان واحداً معيّناً</w:t>
      </w:r>
    </w:p>
    <w:p>
      <w:pPr>
        <w:pStyle w:val="BookText"/>
        <w:rPr/>
      </w:pPr>
      <w:r>
        <w:rPr>
          <w:rFonts w:ascii="IRNazanin" w:hAnsi="IRNazanin" w:eastAsia="IRNazanin"/>
          <w:color w:val="111111"/>
          <w:sz w:val="28"/>
          <w:sz w:val="28"/>
          <w:szCs w:val="28"/>
          <w:rtl w:val="true"/>
          <w:lang w:bidi="fa-IR"/>
        </w:rPr>
        <w:t xml:space="preserve">اختصّ الرفع به </w:t>
      </w:r>
      <w:r>
        <w:rPr>
          <w:rStyle w:val="FootnoteAnchor"/>
          <w:rtl w:val="true"/>
        </w:rPr>
        <w:footnoteReference w:id="38"/>
      </w:r>
      <w:r>
        <w:rPr>
          <w:rFonts w:ascii="Amiri" w:hAnsi="Amiri" w:eastAsia="Amiri" w:cs="Amiri"/>
          <w:color w:val="111111"/>
          <w:sz w:val="28"/>
          <w:sz w:val="28"/>
          <w:szCs w:val="28"/>
          <w:rtl w:val="true"/>
          <w:lang w:bidi="ar-SA"/>
        </w:rPr>
        <w:t xml:space="preserve">إلّا أن يكون المنويّ جنابة فيرتفع 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نوى القربة ولم يعيّن البعض ولا الكلّ فالأقوى البطلان</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ويجزي الغُسل الواحد من الأغسال المتعدّدة مع نيّتها بل الأقوى ذلك في المختلفة في الوجوب والندب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المباشرة للغَسل والمسح على وجه يستند الفعل إليه مع الاختيار، ومع الاضطرار لا بأس ولكن يتولّى هو النيّة، والأحوط تولّاهما معاً</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1814748_2870459653"/>
      <w:bookmarkStart w:id="105" w:name="_Toc38"/>
      <w:bookmarkEnd w:id="104"/>
      <w:r>
        <w:rPr>
          <w:rtl w:val="true"/>
        </w:rPr>
        <w:t xml:space="preserve">المبحث الرابع </w:t>
      </w:r>
      <w:r>
        <w:rPr>
          <w:rtl w:val="true"/>
        </w:rPr>
        <w:t xml:space="preserve">: </w:t>
      </w:r>
      <w:r>
        <w:rPr>
          <w:rtl w:val="true"/>
        </w:rPr>
        <w:t>في أحكام الخلل</w:t>
      </w:r>
      <w:bookmarkEnd w:id="105"/>
    </w:p>
    <w:p>
      <w:pPr>
        <w:pStyle w:val="BookText"/>
        <w:rPr/>
      </w:pPr>
      <w:r>
        <w:rPr>
          <w:rFonts w:ascii="Amiri" w:hAnsi="Amiri" w:eastAsia="Amiri" w:cs="Amiri"/>
          <w:color w:val="111111"/>
          <w:sz w:val="28"/>
          <w:sz w:val="28"/>
          <w:szCs w:val="28"/>
          <w:rtl w:val="true"/>
          <w:lang w:bidi="ar-SA"/>
        </w:rPr>
        <w:t>من تيقّن الحدث وشكّ في الطهارة أو تيقّنهما وشكّ في السابق منهما ولم يعلم تاريخ أحدهما تَطَهَّر ، وكذا لو علم التاريخ في الأحوط بل الأقوى</w:t>
      </w:r>
      <w:r>
        <w:rPr>
          <w:rFonts w:eastAsia="Amiri" w:cs="Amiri" w:ascii="Amiri" w:hAnsi="Amiri"/>
          <w:color w:val="111111"/>
          <w:sz w:val="28"/>
          <w:szCs w:val="28"/>
          <w:rtl w:val="true"/>
          <w:lang w:bidi="ar-SA"/>
        </w:rPr>
        <w:t xml:space="preserve">. </w:t>
      </w:r>
      <w:r>
        <w:rPr>
          <w:rStyle w:val="FootnoteAnchor"/>
          <w:rtl w:val="true"/>
        </w:rPr>
        <w:footnoteReference w:id="4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شكّ في الطهارة وتيقّن الحدث في أثناء العمل قطعه وتطهّر، والأحوط الإتمام والاستيناف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بعد العمل بني على صحّة </w:t>
      </w:r>
      <w:bookmarkStart w:id="106" w:name="pg8988_116056"/>
    </w:p>
    <w:p>
      <w:pPr>
        <w:pStyle w:val="BookText"/>
        <w:rPr/>
      </w:pPr>
      <w:bookmarkEnd w:id="106"/>
      <w:r>
        <w:rPr>
          <w:rFonts w:ascii="Amiri" w:hAnsi="Amiri" w:eastAsia="Amiri" w:cs="Amiri"/>
          <w:color w:val="111111"/>
          <w:sz w:val="28"/>
          <w:sz w:val="28"/>
          <w:szCs w:val="28"/>
          <w:rtl w:val="true"/>
          <w:lang w:bidi="ar-SA"/>
        </w:rPr>
        <w:t>السابق وتَطهَّرَ 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تيقّن ترك عضو من أعضاء الوضوء مطلقاً أو شكّ في الأثناء به أتى به وبما بعده مراعياً للترتيب والموالات وغيرهما من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في عضو بعد الفراغ أو كان كثير الشكّ فلا عبرة بشكّه سواء تعلّق بشرط أو شطر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ويتحقّق الفراغ برؤية المكلّف نفسه مشغولاً بغيره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شكّ بعد تيقّن الفراغ فالأحوط </w:t>
      </w:r>
      <w:r>
        <w:rPr>
          <w:rStyle w:val="FootnoteAnchor"/>
          <w:rtl w:val="true"/>
        </w:rPr>
        <w:footnoteReference w:id="41"/>
      </w:r>
      <w:r>
        <w:rPr>
          <w:rFonts w:ascii="Amiri" w:hAnsi="Amiri" w:eastAsia="Amiri" w:cs="Amiri"/>
          <w:color w:val="111111"/>
          <w:sz w:val="28"/>
          <w:sz w:val="28"/>
          <w:szCs w:val="28"/>
          <w:rtl w:val="true"/>
          <w:lang w:bidi="ar-SA"/>
        </w:rPr>
        <w:t>إعادة ما شكّ فيه مع عدم الجفاف ، والاستيناف مع الجفاف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في الجزء الأخير فالأحوط تلافيه إذا لم ينتقل عن المحلّ ولم يطل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شكّ في وجود الحاجب عن وصول الماء للبشرة فالاحتياط بالبحث عنه لا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وجد الحاجب وعلم حجبه أو شكّ في الحجب وجب تحصيل تعيين وصول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نسي مراعاته حتّى فرغ فلا يترك الاحتياط بالإعادة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 في إيصال الماء تحته بعد الفراغ لم يلتفت </w:t>
      </w:r>
      <w:r>
        <w:rPr>
          <w:rFonts w:eastAsia="Amiri" w:cs="Amiri" w:ascii="Amiri" w:hAnsi="Amiri"/>
          <w:color w:val="111111"/>
          <w:sz w:val="28"/>
          <w:szCs w:val="28"/>
          <w:rtl w:val="true"/>
          <w:lang w:bidi="ar-SA"/>
        </w:rPr>
        <w:t xml:space="preserve">. </w:t>
      </w:r>
      <w:r>
        <w:rPr>
          <w:rStyle w:val="FootnoteAnchor"/>
          <w:rtl w:val="true"/>
        </w:rPr>
        <w:footnoteReference w:id="42"/>
      </w:r>
    </w:p>
    <w:p>
      <w:pPr>
        <w:pStyle w:val="Heading4"/>
        <w:numPr>
          <w:ilvl w:val="3"/>
          <w:numId w:val="1"/>
        </w:numPr>
        <w:rPr/>
      </w:pPr>
      <w:bookmarkStart w:id="107" w:name="__RefHeading___Toc1814750_2870459653"/>
      <w:bookmarkStart w:id="108" w:name="_Toc39"/>
      <w:bookmarkEnd w:id="107"/>
      <w:r>
        <w:rPr>
          <w:rtl w:val="true"/>
        </w:rPr>
        <w:t xml:space="preserve">المبحث الخامس </w:t>
      </w:r>
      <w:r>
        <w:rPr>
          <w:rtl w:val="true"/>
        </w:rPr>
        <w:t xml:space="preserve">: </w:t>
      </w:r>
      <w:r>
        <w:rPr>
          <w:rtl w:val="true"/>
        </w:rPr>
        <w:t xml:space="preserve">فيما يجب الوضوء </w:t>
      </w:r>
      <w:r>
        <w:rPr>
          <w:rtl w:val="true"/>
        </w:rPr>
        <w:t xml:space="preserve">- </w:t>
      </w:r>
      <w:r>
        <w:rPr>
          <w:rtl w:val="true"/>
        </w:rPr>
        <w:t xml:space="preserve">خاصّة </w:t>
      </w:r>
      <w:r>
        <w:rPr>
          <w:rtl w:val="true"/>
        </w:rPr>
        <w:t xml:space="preserve">- </w:t>
      </w:r>
      <w:r>
        <w:rPr>
          <w:rtl w:val="true"/>
        </w:rPr>
        <w:t>منه وما يستحبّ</w:t>
      </w:r>
      <w:bookmarkEnd w:id="10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بخروج البول وما في حكمه كالبلل المشتبه قبل 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وبخروج مسمّى الغائط ولو بمصاحبة دود أو حصى من الموضع </w:t>
      </w:r>
    </w:p>
    <w:p>
      <w:pPr>
        <w:pStyle w:val="BookText"/>
        <w:rPr/>
      </w:pPr>
      <w:r>
        <w:rPr>
          <w:rFonts w:ascii="Amiri" w:hAnsi="Amiri" w:eastAsia="Amiri" w:cs="Amiri"/>
          <w:color w:val="111111"/>
          <w:sz w:val="28"/>
          <w:sz w:val="28"/>
          <w:szCs w:val="28"/>
          <w:rtl w:val="true"/>
          <w:lang w:bidi="ar-SA"/>
        </w:rPr>
        <w:t>المعتاد وإن لم يكن الموضع المعتاد لغالب الناس أو صار معتاداً عارضاً ولو جرحاً انسدّ الطبيعي أو لا، والأحوط الوضوء من خروجه من غير المعتاد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وبخروج الريح من الموضع المعتاد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صدق عليه اسم الفسوة أو الضرطة، فلا عبرة بالريح الخارج من القُبل ولا بما يجده بعض الناس ممّا ينفخ الشيطان في دُبره حتّى يتخيّل أنّه خرج منه 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بالنوم الغالب على العقل، ويعرف بغلبته على حاسّة السمع الملزومة للغلبة على حاسّة البصر، ومع الشكّ لا يلتفت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وكالنّوم كلّ ما أزال العقل من جنون أو إغماء أو سكر أو بعض أفراد الأدوار ممّا هو كالإغماء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بالاستحاضة القليلة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والمسلوس والمبطون إن كان لهما فترة تسع الطهارة والصلاة انتظراها وإلّا فإن تمكّنا من الصلاة بتكرّر الطهارة والبناء من غير حرج تطهّرا وبَنَيا ، والأولى فعل ذلك بعد إتمام صلاتهما بالوضوء الأوّل، بل هو الأحوط سيّما في المسلوس، وإلّا تَوضَّئا لكلّ صلاة ولا يؤخّراها عنه، والأولى ملاحظة زمان الخفّة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مسلوس الريح والنوم على الأقوى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على المسلوس الاستظهار بمنع تعدّي النجاسة بوضع كيس </w:t>
      </w:r>
      <w:bookmarkStart w:id="109" w:name="pg8988_116060"/>
    </w:p>
    <w:p>
      <w:pPr>
        <w:pStyle w:val="BookText"/>
        <w:rPr/>
      </w:pPr>
      <w:bookmarkEnd w:id="109"/>
      <w:r>
        <w:rPr>
          <w:rFonts w:ascii="Amiri" w:hAnsi="Amiri" w:eastAsia="Amiri" w:cs="Amiri"/>
          <w:color w:val="111111"/>
          <w:sz w:val="28"/>
          <w:sz w:val="28"/>
          <w:szCs w:val="28"/>
          <w:rtl w:val="true"/>
          <w:lang w:bidi="ar-SA"/>
        </w:rPr>
        <w:t>أو خريطة أو غيرهما، والأحوط الكيس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تغييره لكلّ صلاة وإن كان هو الأحوط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ينقض الوضوء غير ما عرفت وغير الحدث الاكبر </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1814752_2870459653"/>
      <w:bookmarkStart w:id="111" w:name="_Toc40"/>
      <w:bookmarkEnd w:id="110"/>
      <w:r>
        <w:rPr>
          <w:rtl w:val="true"/>
        </w:rPr>
        <w:t xml:space="preserve">المبحث السادس </w:t>
      </w:r>
      <w:r>
        <w:rPr>
          <w:rtl w:val="true"/>
        </w:rPr>
        <w:t xml:space="preserve">: </w:t>
      </w:r>
      <w:r>
        <w:rPr>
          <w:rtl w:val="true"/>
        </w:rPr>
        <w:t>فيما يجب له الوضوء أو يستحبّ، وسننه</w:t>
      </w:r>
      <w:bookmarkEnd w:id="111"/>
    </w:p>
    <w:p>
      <w:pPr>
        <w:pStyle w:val="BookText"/>
        <w:rPr/>
      </w:pPr>
      <w:r>
        <w:rPr>
          <w:rFonts w:ascii="Amiri" w:hAnsi="Amiri" w:eastAsia="Amiri" w:cs="Amiri"/>
          <w:color w:val="111111"/>
          <w:sz w:val="28"/>
          <w:sz w:val="28"/>
          <w:szCs w:val="28"/>
          <w:rtl w:val="true"/>
          <w:lang w:bidi="ar-SA"/>
        </w:rPr>
        <w:t>يجب الوضوء للصلاة الواجبة واستدامته لأجزائها المنسيّة والركعات الاحتياطيّة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لسجود السهو والطواف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لأنّه جزء من حجّ مندوب أو عمرة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وبالنذر وشبهه وللواجب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 كتابة القرآن حتّى المدّ والتشديد وكتابة اسم الله تعالى وصفاته الخاصّة بل وأسماء الأنبياء والأوصياء والملائكة على الأحوط ، والألفاظ المشتركة 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المسّ بعد صدق اسمه بين أن يكون بما فيه روح كاليد وغيره كالظفر، نعم الظاهر عدم تحقّقه بمسّ الشعر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الوضوء لأمور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الجنازة، وأفعال الحجّ عدا الطواف والصلاة، وجماع الحاملة ، وجماع المحتلم ، أو الجماع مرّة أخرى، وأكل الجُنب وشربه ، والنوم، والتجديد ، والكون على الطهارة، وللتأهُّب </w:t>
      </w:r>
      <w:r>
        <w:rPr>
          <w:rStyle w:val="FootnoteAnchor"/>
          <w:rtl w:val="true"/>
        </w:rPr>
        <w:footnoteReference w:id="43"/>
      </w:r>
      <w:r>
        <w:rPr>
          <w:rFonts w:ascii="IRNazanin" w:hAnsi="IRNazanin" w:eastAsia="IRNazanin"/>
          <w:color w:val="111111"/>
          <w:sz w:val="28"/>
          <w:sz w:val="28"/>
          <w:szCs w:val="28"/>
          <w:rtl w:val="true"/>
          <w:lang w:bidi="fa-IR"/>
        </w:rPr>
        <w:t xml:space="preserve">للفرض على </w:t>
      </w:r>
    </w:p>
    <w:p>
      <w:pPr>
        <w:pStyle w:val="BookText"/>
        <w:rPr/>
      </w:pPr>
      <w:r>
        <w:rPr>
          <w:rFonts w:ascii="Amiri" w:hAnsi="Amiri" w:eastAsia="Amiri" w:cs="Amiri"/>
          <w:color w:val="111111"/>
          <w:sz w:val="28"/>
          <w:sz w:val="28"/>
          <w:szCs w:val="28"/>
          <w:rtl w:val="true"/>
          <w:lang w:bidi="ar-SA"/>
        </w:rPr>
        <w:t xml:space="preserve">الأقوى، وللزوجين ليلة الزفاف، وغير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سننه فأمور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الاغتراف باليمين، والتسمية على الوضوء، والدعاء بالمأثور عندها وعند غسل الوجه واليدين ومسح الرأس والرجلين، وغسل اليدين من الزندين على الأظهر قبل إدخالهما الإناء الّذي يغترف منه من حدث النوم والبول مرّة ومن الغائط مرّتين، والمضمضة، والاستنشاق، والدعاء عندهما، وتثنية الغسلات عدا اليسرى فإنّ الاحتياط عدم تثنية غسلها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الإعانة فيه بالصبّ في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والأفضل إبقاء البلل على الأعضاء، بل المعروف كراهة التمندل </w:t>
      </w:r>
      <w:r>
        <w:rPr>
          <w:rFonts w:eastAsia="Amiri" w:cs="Amiri" w:ascii="Amiri" w:hAnsi="Amiri"/>
          <w:color w:val="111111"/>
          <w:sz w:val="28"/>
          <w:szCs w:val="28"/>
          <w:rtl w:val="true"/>
          <w:lang w:bidi="ar-SA"/>
        </w:rPr>
        <w:t xml:space="preserve">. </w:t>
      </w:r>
      <w:bookmarkStart w:id="112" w:name="pg8988_116064"/>
    </w:p>
    <w:p>
      <w:pPr>
        <w:pStyle w:val="Heading3"/>
        <w:numPr>
          <w:ilvl w:val="2"/>
          <w:numId w:val="1"/>
        </w:numPr>
        <w:rPr/>
      </w:pPr>
      <w:bookmarkStart w:id="113" w:name="__RefHeading___Toc1814754_2870459653"/>
      <w:bookmarkStart w:id="114" w:name="_Toc41"/>
      <w:bookmarkEnd w:id="112"/>
      <w:bookmarkEnd w:id="113"/>
      <w:r>
        <w:rPr>
          <w:rtl w:val="true"/>
        </w:rPr>
        <w:t>المقصد الثاني</w:t>
      </w:r>
      <w:r>
        <w:rPr>
          <w:rtl w:val="true"/>
        </w:rPr>
        <w:t xml:space="preserve">: </w:t>
      </w:r>
      <w:r>
        <w:rPr>
          <w:rtl w:val="true"/>
        </w:rPr>
        <w:t>في الغُسل</w:t>
      </w:r>
      <w:bookmarkEnd w:id="114"/>
    </w:p>
    <w:p>
      <w:pPr>
        <w:pStyle w:val="Heading4"/>
        <w:numPr>
          <w:ilvl w:val="3"/>
          <w:numId w:val="1"/>
        </w:numPr>
        <w:rPr/>
      </w:pPr>
      <w:bookmarkStart w:id="115" w:name="__RefHeading___Toc1814756_2870459653"/>
      <w:bookmarkStart w:id="116" w:name="_Toc42"/>
      <w:bookmarkEnd w:id="115"/>
      <w:r>
        <w:rPr>
          <w:rtl w:val="true"/>
        </w:rPr>
        <w:t>اشارة</w:t>
      </w:r>
      <w:bookmarkEnd w:id="116"/>
    </w:p>
    <w:p>
      <w:pPr>
        <w:pStyle w:val="BookText"/>
        <w:rPr/>
      </w:pPr>
      <w:r>
        <w:rPr>
          <w:rFonts w:ascii="IRNazanin" w:hAnsi="IRNazanin" w:eastAsia="IRNazanin"/>
          <w:color w:val="111111"/>
          <w:sz w:val="28"/>
          <w:sz w:val="28"/>
          <w:szCs w:val="28"/>
          <w:rtl w:val="true"/>
          <w:lang w:bidi="fa-IR"/>
        </w:rPr>
        <w:t xml:space="preserve">المقصد </w:t>
      </w:r>
      <w:r>
        <w:rPr>
          <w:rStyle w:val="FootnoteAnchor"/>
          <w:rtl w:val="true"/>
        </w:rPr>
        <w:footnoteReference w:id="44"/>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الغُسل</w:t>
      </w:r>
    </w:p>
    <w:p>
      <w:pPr>
        <w:pStyle w:val="BookText"/>
        <w:rPr/>
      </w:pPr>
      <w:r>
        <w:rPr>
          <w:rFonts w:ascii="IRNazanin" w:hAnsi="IRNazanin" w:eastAsia="IRNazanin"/>
          <w:color w:val="111111"/>
          <w:sz w:val="28"/>
          <w:sz w:val="28"/>
          <w:szCs w:val="28"/>
          <w:rtl w:val="true"/>
          <w:lang w:bidi="fa-IR"/>
        </w:rPr>
        <w:t>وهو واجب ومندوب</w:t>
      </w:r>
      <w:r>
        <w:rPr>
          <w:rFonts w:eastAsia="IRNazanin" w:cs="IRNazanin"/>
          <w:color w:val="111111"/>
          <w:sz w:val="28"/>
          <w:szCs w:val="28"/>
          <w:rtl w:val="true"/>
          <w:lang w:bidi="fa-IR"/>
        </w:rPr>
        <w:t>.</w:t>
      </w:r>
    </w:p>
    <w:p>
      <w:pPr>
        <w:pStyle w:val="Heading4"/>
        <w:numPr>
          <w:ilvl w:val="3"/>
          <w:numId w:val="1"/>
        </w:numPr>
        <w:rPr/>
      </w:pPr>
      <w:bookmarkStart w:id="117" w:name="__RefHeading___Toc1814758_2870459653"/>
      <w:bookmarkStart w:id="118" w:name="_Toc43"/>
      <w:bookmarkEnd w:id="117"/>
      <w:r>
        <w:rPr>
          <w:rtl w:val="true"/>
        </w:rPr>
        <w:t xml:space="preserve">المبحث الأوّل </w:t>
      </w:r>
      <w:r>
        <w:rPr>
          <w:rtl w:val="true"/>
        </w:rPr>
        <w:t xml:space="preserve">: </w:t>
      </w:r>
      <w:r>
        <w:rPr>
          <w:rtl w:val="true"/>
        </w:rPr>
        <w:t>في الواجب</w:t>
      </w:r>
      <w:bookmarkEnd w:id="118"/>
    </w:p>
    <w:p>
      <w:pPr>
        <w:pStyle w:val="BookText"/>
        <w:rPr/>
      </w:pPr>
      <w:r>
        <w:rPr>
          <w:rFonts w:ascii="Amiri" w:hAnsi="Amiri" w:eastAsia="Amiri" w:cs="Amiri"/>
          <w:color w:val="111111"/>
          <w:sz w:val="28"/>
          <w:sz w:val="28"/>
          <w:szCs w:val="28"/>
          <w:rtl w:val="true"/>
          <w:lang w:bidi="ar-SA"/>
        </w:rPr>
        <w:t xml:space="preserve">وأقسامه ستّة </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1814760_2870459653"/>
      <w:bookmarkStart w:id="120" w:name="_Toc44"/>
      <w:bookmarkEnd w:id="119"/>
      <w:r>
        <w:rPr>
          <w:rtl w:val="true"/>
        </w:rPr>
        <w:t xml:space="preserve">الأوّل </w:t>
      </w:r>
      <w:r>
        <w:rPr>
          <w:rtl w:val="true"/>
        </w:rPr>
        <w:t xml:space="preserve">: </w:t>
      </w:r>
      <w:r>
        <w:rPr>
          <w:rtl w:val="true"/>
        </w:rPr>
        <w:t>في الجنابة</w:t>
      </w:r>
      <w:bookmarkEnd w:id="120"/>
    </w:p>
    <w:p>
      <w:pPr>
        <w:pStyle w:val="Heading5"/>
        <w:numPr>
          <w:ilvl w:val="4"/>
          <w:numId w:val="1"/>
        </w:numPr>
        <w:rPr/>
      </w:pPr>
      <w:bookmarkStart w:id="121" w:name="__RefHeading___Toc1814762_2870459653"/>
      <w:bookmarkStart w:id="122" w:name="_Toc45"/>
      <w:bookmarkEnd w:id="121"/>
      <w:r>
        <w:rPr>
          <w:rtl w:val="true"/>
        </w:rPr>
        <w:t>اشارة</w:t>
      </w:r>
      <w:bookmarkEnd w:id="122"/>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1814764_2870459653"/>
      <w:bookmarkStart w:id="124" w:name="_Toc46"/>
      <w:bookmarkEnd w:id="123"/>
      <w:r>
        <w:rPr>
          <w:rtl w:val="true"/>
        </w:rPr>
        <w:t>[</w:t>
      </w:r>
      <w:r>
        <w:rPr>
          <w:rtl w:val="true"/>
        </w:rPr>
        <w:t>المبحث</w:t>
      </w:r>
      <w:r>
        <w:rPr>
          <w:rtl w:val="true"/>
        </w:rPr>
        <w:t xml:space="preserve">] </w:t>
      </w:r>
      <w:r>
        <w:rPr>
          <w:rtl w:val="true"/>
        </w:rPr>
        <w:t xml:space="preserve">الأوّل </w:t>
      </w:r>
      <w:r>
        <w:rPr>
          <w:rtl w:val="true"/>
        </w:rPr>
        <w:t xml:space="preserve">: </w:t>
      </w:r>
      <w:r>
        <w:rPr>
          <w:rtl w:val="true"/>
        </w:rPr>
        <w:t>في سببها</w:t>
      </w:r>
      <w:bookmarkEnd w:id="124"/>
    </w:p>
    <w:p>
      <w:pPr>
        <w:pStyle w:val="BookText"/>
        <w:rPr/>
      </w:pPr>
      <w:r>
        <w:rPr>
          <w:rFonts w:ascii="IRNazanin" w:hAnsi="IRNazanin" w:eastAsia="IRNazanin"/>
          <w:color w:val="111111"/>
          <w:sz w:val="28"/>
          <w:sz w:val="28"/>
          <w:szCs w:val="28"/>
          <w:rtl w:val="true"/>
          <w:lang w:bidi="fa-IR"/>
        </w:rPr>
        <w:t xml:space="preserve">وهو أمران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المني وما في حكمه من البلل المشتبه قبل الاستبراء منه من الموضع المعتاد أصلاً أو عارضاً، بل الأحوط الغسل لخروجه مطلقاً، والاحتياط بنقض </w:t>
      </w:r>
      <w:r>
        <w:rPr>
          <w:rStyle w:val="FootnoteAnchor"/>
          <w:rtl w:val="true"/>
        </w:rPr>
        <w:footnoteReference w:id="45"/>
      </w:r>
      <w:r>
        <w:rPr>
          <w:rFonts w:ascii="IRNazanin" w:hAnsi="IRNazanin" w:eastAsia="IRNazanin"/>
          <w:color w:val="111111"/>
          <w:sz w:val="28"/>
          <w:sz w:val="28"/>
          <w:szCs w:val="28"/>
          <w:rtl w:val="true"/>
          <w:lang w:bidi="fa-IR"/>
        </w:rPr>
        <w:t xml:space="preserve">الغسل ثمّ الوضوء بعد خروجه </w:t>
      </w:r>
    </w:p>
    <w:p>
      <w:pPr>
        <w:pStyle w:val="BookText"/>
        <w:rPr/>
      </w:pPr>
      <w:r>
        <w:rPr>
          <w:rFonts w:ascii="Amiri" w:hAnsi="Amiri" w:eastAsia="Amiri" w:cs="Amiri"/>
          <w:color w:val="111111"/>
          <w:sz w:val="28"/>
          <w:sz w:val="28"/>
          <w:szCs w:val="28"/>
          <w:rtl w:val="true"/>
          <w:lang w:bidi="ar-SA"/>
        </w:rPr>
        <w:t>مطلقاً ممّا لا يترك خصوصاً إذا كان دون الصلب، ولا فرق بين الذكر والأنثى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والمني إن عُلِم فلا اشكال وإلّا رجع الصحيح في معرفته إلى اجتماع الدفق والشهوة والفتور، والمريض والنساء إلى الأخيرين وإن لم يحصل منهما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الواحد منهما وإن كان الاحتياط بالغسل ونقضه ثمّ الوضوء ممّا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وجد على ثوبه أو بدنه منيّاً وعلم أنّه منه بجنابة لم يغتسل منها وجب الغسل ويعيد كلّ صلاةٍ لا يحتمل سبقها على الجنابة المزبورة، والأحوط إعادة جميع ما احتمل سبق الجنابة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يعلم الجنابة المزبورة لم يجب الغسل، والأحوط الغسل مع ظنّ أنّه منه ، بل احتماله، وقد يتأكّد فيما لو علم أنّه منه لكن لم يعلم أنّه بجنابة جديدة أو سابقة قد اغتسل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الثوب المختصّ وغيره بعد أن</w:t>
      </w:r>
    </w:p>
    <w:p>
      <w:pPr>
        <w:pStyle w:val="BookText"/>
        <w:rPr/>
      </w:pPr>
      <w:r>
        <w:rPr>
          <w:rFonts w:ascii="Amiri" w:hAnsi="Amiri" w:eastAsia="Amiri" w:cs="Amiri"/>
          <w:color w:val="111111"/>
          <w:sz w:val="28"/>
          <w:sz w:val="28"/>
          <w:szCs w:val="28"/>
          <w:rtl w:val="true"/>
          <w:lang w:bidi="ar-SA"/>
        </w:rPr>
        <w:t xml:space="preserve">كان المدار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وإن لم ينزل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ويتحقّق في الذكر والأنثى بغيبوبة الحشفة أو مقدارها </w:t>
      </w:r>
      <w:r>
        <w:rPr>
          <w:rStyle w:val="FootnoteAnchor"/>
          <w:rtl w:val="true"/>
        </w:rPr>
        <w:footnoteReference w:id="47"/>
      </w:r>
      <w:r>
        <w:rPr>
          <w:rFonts w:ascii="Amiri" w:hAnsi="Amiri" w:eastAsia="Amiri" w:cs="Amiri"/>
          <w:color w:val="111111"/>
          <w:sz w:val="28"/>
          <w:sz w:val="28"/>
          <w:szCs w:val="28"/>
          <w:rtl w:val="true"/>
          <w:lang w:bidi="ar-SA"/>
        </w:rPr>
        <w:t xml:space="preserve">في القُبل والدُبُر من غير فرق بين الصغير والكبير والمجنون وغيرهم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w:t>
      </w:r>
      <w:bookmarkStart w:id="125" w:name="pg8988_116068"/>
    </w:p>
    <w:p>
      <w:pPr>
        <w:pStyle w:val="BookText"/>
        <w:rPr/>
      </w:pPr>
      <w:bookmarkEnd w:id="125"/>
      <w:r>
        <w:rPr>
          <w:rFonts w:ascii="Amiri" w:hAnsi="Amiri" w:eastAsia="Amiri" w:cs="Amiri"/>
          <w:color w:val="111111"/>
          <w:sz w:val="28"/>
          <w:sz w:val="28"/>
          <w:szCs w:val="28"/>
          <w:rtl w:val="true"/>
          <w:lang w:bidi="ar-SA"/>
        </w:rPr>
        <w:t xml:space="preserve">وجب الغسل بعد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وجوب الغسل بوطئ البهيمة وكذا الموطوئيّة لها تأمّل فالاحتياط لا يُترك </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1814766_2870459653"/>
      <w:bookmarkStart w:id="127" w:name="_Toc47"/>
      <w:bookmarkEnd w:id="126"/>
      <w:r>
        <w:rPr>
          <w:rtl w:val="true"/>
        </w:rPr>
        <w:t xml:space="preserve">المبحث الثاني </w:t>
      </w:r>
      <w:r>
        <w:rPr>
          <w:rtl w:val="true"/>
        </w:rPr>
        <w:t xml:space="preserve">: </w:t>
      </w:r>
      <w:r>
        <w:rPr>
          <w:rtl w:val="true"/>
        </w:rPr>
        <w:t>فيما يتوقّف على غسل الجنابة</w:t>
      </w:r>
      <w:bookmarkEnd w:id="127"/>
    </w:p>
    <w:p>
      <w:pPr>
        <w:pStyle w:val="BookText"/>
        <w:rPr/>
      </w:pPr>
      <w:r>
        <w:rPr>
          <w:rFonts w:ascii="Amiri" w:hAnsi="Amiri" w:eastAsia="Amiri" w:cs="Amiri"/>
          <w:color w:val="111111"/>
          <w:sz w:val="28"/>
          <w:sz w:val="28"/>
          <w:szCs w:val="28"/>
          <w:rtl w:val="true"/>
          <w:lang w:bidi="ar-SA"/>
        </w:rPr>
        <w:t xml:space="preserve">المبحث الثاني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يتوقّف على غسل الجنابة</w:t>
      </w:r>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الواجب والصلاة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صلاة الجنائز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أجزاؤها المنسيّة والركعات الاحتياطيّة وسجود السهو؛ ولا يشترط في سجود الشكر والتلاوة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بجميع أقسامه بمعنى أنّه لو تعمّد البقاء على الجنابة حتّى طلع الفجر بطل صومه ، وكذا لو نسي الغسل على تفصيل يأتي إن شاء الله في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اسم الله تعالى من غير فرق في أسمائه بین اللغات بل ولو كان جزءًا من اسم 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 وكذا باقي أسمائه تعالى، بل وأسماء الأنبياء والأئمّة سلام الله علیها المقصود معانيها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ويحرم مسّ كتابة القرآن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الدخول في المساجد إلّا اجتيازاً فيما عدا مسجدي الحرام والنبيّ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ويتحقّق الاجتياز بالدخول من باب والخروج من </w:t>
      </w:r>
      <w:bookmarkStart w:id="128" w:name="pg8988_116070"/>
    </w:p>
    <w:p>
      <w:pPr>
        <w:pStyle w:val="BookText"/>
        <w:rPr/>
      </w:pPr>
      <w:bookmarkEnd w:id="128"/>
      <w:r>
        <w:rPr>
          <w:rFonts w:ascii="Amiri" w:hAnsi="Amiri" w:eastAsia="Amiri" w:cs="Amiri"/>
          <w:color w:val="111111"/>
          <w:sz w:val="28"/>
          <w:sz w:val="28"/>
          <w:szCs w:val="28"/>
          <w:rtl w:val="true"/>
          <w:lang w:bidi="ar-SA"/>
        </w:rPr>
        <w:t xml:space="preserve">آخر أو لأخذ شيء منه 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بهما </w:t>
      </w:r>
      <w:r>
        <w:rPr>
          <w:rStyle w:val="FootnoteAnchor"/>
          <w:rtl w:val="true"/>
        </w:rPr>
        <w:footnoteReference w:id="50"/>
      </w:r>
      <w:r>
        <w:rPr>
          <w:rFonts w:ascii="Amiri" w:hAnsi="Amiri" w:eastAsia="Amiri" w:cs="Amiri"/>
          <w:color w:val="111111"/>
          <w:sz w:val="28"/>
          <w:sz w:val="28"/>
          <w:szCs w:val="28"/>
          <w:rtl w:val="true"/>
          <w:lang w:bidi="ar-SA"/>
        </w:rPr>
        <w:t>المشاهد المشرّفة احتياطاً ، وأمّا هما فيحرم الاجتياز فيهما فضلاً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احتلم في أحدهما تَيَمَّم للخروج ما لم يكن زمن الخروج أقصر، وإلّا فالأولى خروجه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اجتناب مطلق وضع شيء في المسجد ولو من خارج أو مجتازاً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شيء من </w:t>
      </w:r>
      <w:r>
        <w:rPr>
          <w:rStyle w:val="FootnoteAnchor"/>
          <w:rtl w:val="true"/>
        </w:rPr>
        <w:footnoteReference w:id="51"/>
      </w:r>
      <w:r>
        <w:rPr>
          <w:rFonts w:ascii="Amiri" w:hAnsi="Amiri" w:eastAsia="Amiri" w:cs="Amiri"/>
          <w:color w:val="111111"/>
          <w:sz w:val="28"/>
          <w:sz w:val="28"/>
          <w:szCs w:val="28"/>
          <w:rtl w:val="true"/>
          <w:lang w:bidi="ar-SA"/>
        </w:rPr>
        <w:t>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اقرء، والنجم ، والم تنزيل ، وحم فصلت، ولو بعض البسملة مع قصد أنّه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الغسل لوجوب شيء من الغايات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لذاته بدونها ولما استحبّ منها بل لكلّ ما ندب له الوضوء لرفع الحدث</w:t>
      </w:r>
      <w:r>
        <w:rPr>
          <w:rFonts w:eastAsia="Amiri" w:cs="Amiri" w:ascii="Amiri" w:hAnsi="Amiri"/>
          <w:color w:val="111111"/>
          <w:sz w:val="28"/>
          <w:szCs w:val="28"/>
          <w:rtl w:val="true"/>
          <w:lang w:bidi="ar-SA"/>
        </w:rPr>
        <w:t>.</w:t>
      </w:r>
    </w:p>
    <w:p>
      <w:pPr>
        <w:pStyle w:val="Heading5"/>
        <w:numPr>
          <w:ilvl w:val="4"/>
          <w:numId w:val="1"/>
        </w:numPr>
        <w:rPr/>
      </w:pPr>
      <w:bookmarkStart w:id="129" w:name="__RefHeading___Toc1814768_2870459653"/>
      <w:bookmarkStart w:id="130" w:name="_Toc48"/>
      <w:bookmarkEnd w:id="129"/>
      <w:r>
        <w:rPr>
          <w:rtl w:val="true"/>
        </w:rPr>
        <w:t xml:space="preserve">المبحث الثالث </w:t>
      </w:r>
      <w:r>
        <w:rPr>
          <w:rtl w:val="true"/>
        </w:rPr>
        <w:t xml:space="preserve">: </w:t>
      </w:r>
      <w:r>
        <w:rPr>
          <w:rtl w:val="true"/>
        </w:rPr>
        <w:t>ما يكره للجنب</w:t>
      </w:r>
      <w:bookmarkEnd w:id="130"/>
    </w:p>
    <w:p>
      <w:pPr>
        <w:pStyle w:val="BookText"/>
        <w:rPr/>
      </w:pPr>
      <w:r>
        <w:rPr>
          <w:rFonts w:ascii="Amiri" w:hAnsi="Amiri" w:eastAsia="Amiri" w:cs="Amiri"/>
          <w:color w:val="111111"/>
          <w:sz w:val="28"/>
          <w:sz w:val="28"/>
          <w:szCs w:val="28"/>
          <w:rtl w:val="true"/>
          <w:lang w:bidi="ar-SA"/>
        </w:rPr>
        <w:t xml:space="preserve">يكره للجنب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والشرب إذا لم يتوضّأ عندهما أو يَتَمَضْمَض أو يستنشق، وقراءة ما زاد على سبع آيات وأشدّ منه قراءة سبعين آية بل الأحوط عدم قراءة شيء من القرآن، والنوم إلّا أن يتوضّأ أو يتيمّم بدل الغسل مع تعذّر الماء</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1814770_2870459653"/>
      <w:bookmarkStart w:id="132" w:name="_Toc49"/>
      <w:bookmarkEnd w:id="131"/>
      <w:r>
        <w:rPr>
          <w:rtl w:val="true"/>
        </w:rPr>
        <w:t>المبحث الرابع</w:t>
      </w:r>
      <w:r>
        <w:rPr>
          <w:rtl w:val="true"/>
        </w:rPr>
        <w:t xml:space="preserve">: </w:t>
      </w:r>
      <w:r>
        <w:rPr>
          <w:rtl w:val="true"/>
        </w:rPr>
        <w:t>في واجباته</w:t>
      </w:r>
      <w:bookmarkEnd w:id="13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مقارنةً لأوّل جزء من الرأس في الترتيب، وأوّل آنات </w:t>
      </w:r>
    </w:p>
    <w:p>
      <w:pPr>
        <w:pStyle w:val="BookText"/>
        <w:rPr/>
      </w:pPr>
      <w:r>
        <w:rPr>
          <w:rFonts w:ascii="Amiri" w:hAnsi="Amiri" w:eastAsia="Amiri" w:cs="Amiri"/>
          <w:color w:val="111111"/>
          <w:sz w:val="28"/>
          <w:sz w:val="28"/>
          <w:szCs w:val="28"/>
          <w:rtl w:val="true"/>
          <w:lang w:bidi="ar-SA"/>
        </w:rPr>
        <w:t xml:space="preserve">مسمّى الارتماس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ونيّة الضمائم والأجزاء والوجه والتعيين كالوضوء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استدامتها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عبرة هنا بحصول الجفاف قبل الإتمام لجواز التفريق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ظاهر البشرة بما يتحقّق به مسمّاه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غسل الشعر وإن كان أحوط فيما هو من توابع الجسد مثلاً، بل وجوبه لا يخلو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غسل ما شكّ أنّه من الظاهر أو من الباطن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في غير الارتماس بأن يغسل تمام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مُدْخِلاً لبعض الجسد معه مقدّمةً، ثمّ تمام النصف الأيمن مُدْخِلاً لبعض الأيسر مقدّمةً ، ثمّ تمام الأيسر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دخول السرّة والعورة في التنصيف، والأولى غسلهما مع الجانبين أو غسلهما تماماً بعد الفراغ من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ترتيب بين أجزاء العضو، والأولى البدأة بالأعلى فالأعلى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ويجزي في الترتيب رمس الرأس أوّلاً ثمّ الجانب الأيمن ثمّ الأيسر، ورمس البعض والصبّ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تحقّق الغسل بتحريك العضو الماكث في الماء بحيث يجري عليه، ولا يحتاج إلى إخراجه ثمّ غمسه على الأصحّ</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الارتماس فهو كيفيّة أخرى مجزيةٌ عن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تغطية البدن بالماء مقارناً للنيّة للتغطية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فيها </w:t>
      </w:r>
      <w:bookmarkStart w:id="133" w:name="pg8988_116074"/>
    </w:p>
    <w:p>
      <w:pPr>
        <w:pStyle w:val="BookText"/>
        <w:rPr/>
      </w:pPr>
      <w:bookmarkEnd w:id="133"/>
      <w:r>
        <w:rPr>
          <w:rFonts w:ascii="Amiri" w:hAnsi="Amiri" w:eastAsia="Amiri" w:cs="Amiri"/>
          <w:color w:val="111111"/>
          <w:sz w:val="28"/>
          <w:sz w:val="28"/>
          <w:szCs w:val="28"/>
          <w:rtl w:val="true"/>
          <w:lang w:bidi="ar-SA"/>
        </w:rPr>
        <w:t>اشتمال الماء على البدن بآنٍ واحدٍ حكمي، بل يكفي فيه انغسال جميع البدن في تلك التغطية ولو على التعاقب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الماء، وطهارته، وإباحة المكان والمصبّ والآنية، والمباشرة اختياراً، وعدم المانع في استعماله لمرضٍ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كالوضوء في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وطهارة المحلّ الذي يجري فيه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نجاسته طهّره أوّلاً ثمّ أجرى عليه الماء للغُسل والأحوط إزالة النجاسة قبل الشروع في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 الجبيرة وسائر أفراد الضرورة والتقيّة والشكّ والنسيان وغيرها كالوضوء إلّا في الموالات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معانيها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واجبة في الغسل </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1814772_2870459653"/>
      <w:bookmarkStart w:id="135" w:name="_Toc50"/>
      <w:bookmarkEnd w:id="134"/>
      <w:r>
        <w:rPr>
          <w:rtl w:val="true"/>
        </w:rPr>
        <w:t>المبحث الخامس</w:t>
      </w:r>
      <w:r>
        <w:rPr>
          <w:rtl w:val="true"/>
        </w:rPr>
        <w:t xml:space="preserve">: </w:t>
      </w:r>
      <w:r>
        <w:rPr>
          <w:rtl w:val="true"/>
        </w:rPr>
        <w:t>في سننه</w:t>
      </w:r>
      <w:bookmarkEnd w:id="135"/>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يستحبّ غَسل اليدين من المرفقين أمامه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تقديم النيّة عنده لكن الأحوط تجديدها عند أوّل غسل الرأس ثمّ المضمضمة والاستنشاق ثلاثاً؛ ومنها غير ذلك</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الاستبراء بالبول قبل الغُسل وليس هو شرطاً في صحّة الغسل، نعم لو تركه واغتسل ثمّ خرج منه بلل مشتبه أعاد الغسل لكونه محكوماً عليه بأنّه مني سواء استَبْرَءَ</w:t>
      </w:r>
      <w:r>
        <w:rPr>
          <w:rStyle w:val="FootnoteAnchor"/>
          <w:rtl w:val="true"/>
        </w:rPr>
        <w:footnoteReference w:id="52"/>
      </w:r>
      <w:r>
        <w:rPr>
          <w:rFonts w:ascii="IRNazanin" w:hAnsi="IRNazanin" w:eastAsia="IRNazanin"/>
          <w:color w:val="111111"/>
          <w:sz w:val="28"/>
          <w:sz w:val="28"/>
          <w:szCs w:val="28"/>
          <w:rtl w:val="true"/>
          <w:lang w:bidi="fa-IR"/>
        </w:rPr>
        <w:t xml:space="preserve">بالخرطات لتعذّر البول </w:t>
      </w:r>
      <w:bookmarkStart w:id="136" w:name="pg8988_116077"/>
    </w:p>
    <w:p>
      <w:pPr>
        <w:pStyle w:val="BookText"/>
        <w:rPr/>
      </w:pPr>
      <w:bookmarkEnd w:id="136"/>
      <w:r>
        <w:rPr>
          <w:rFonts w:ascii="Amiri" w:hAnsi="Amiri" w:eastAsia="Amiri" w:cs="Amiri"/>
          <w:color w:val="111111"/>
          <w:sz w:val="28"/>
          <w:sz w:val="28"/>
          <w:szCs w:val="28"/>
          <w:rtl w:val="true"/>
          <w:lang w:bidi="ar-SA"/>
        </w:rPr>
        <w:t>عليه أم لا ، إلّا إذا علم بذلك أو بغيره عدم بقاء شيء في المخرج بل لا يكون حينئذٍ مشتبهاً بين المني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لم يخرج المشتبه لكنّه بال بعد الغسل ففي إعادته وعدمها وجهان أقواهما العدَم إلّا إذا علم بخروج أجزاء مني مع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ويجزي غسل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الوضوء</w:t>
      </w:r>
      <w:r>
        <w:rPr>
          <w:rStyle w:val="FootnoteAnchor"/>
          <w:rtl w:val="true"/>
        </w:rPr>
        <w:footnoteReference w:id="53"/>
      </w:r>
      <w:r>
        <w:rPr>
          <w:rFonts w:ascii="Amiri" w:hAnsi="Amiri" w:eastAsia="Amiri" w:cs="Amiri"/>
          <w:color w:val="111111"/>
          <w:sz w:val="28"/>
          <w:sz w:val="28"/>
          <w:szCs w:val="28"/>
          <w:rtl w:val="true"/>
          <w:lang w:bidi="ar-SA"/>
        </w:rPr>
        <w:t xml:space="preserve">، ولو تخلّل حدث أصغر في أثنائه فالأقوى الإتمام والوضوء بعده للدخول في الصلاة ونحوها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استیناف الغُسل بعد الإتمام ، والنقض والوضوء لا يترك</w:t>
      </w:r>
      <w:r>
        <w:rPr>
          <w:rFonts w:eastAsia="IRNazanin" w:cs="IRNazanin"/>
          <w:color w:val="111111"/>
          <w:sz w:val="28"/>
          <w:szCs w:val="28"/>
          <w:rtl w:val="true"/>
          <w:lang w:bidi="fa-IR"/>
        </w:rPr>
        <w:t>.</w:t>
      </w:r>
    </w:p>
    <w:p>
      <w:pPr>
        <w:pStyle w:val="Heading4"/>
        <w:numPr>
          <w:ilvl w:val="3"/>
          <w:numId w:val="1"/>
        </w:numPr>
        <w:rPr/>
      </w:pPr>
      <w:bookmarkStart w:id="137" w:name="__RefHeading___Toc1814774_2870459653"/>
      <w:bookmarkStart w:id="138" w:name="_Toc51"/>
      <w:bookmarkEnd w:id="137"/>
      <w:r>
        <w:rPr>
          <w:rtl w:val="true"/>
        </w:rPr>
        <w:t xml:space="preserve">ثانيها </w:t>
      </w:r>
      <w:r>
        <w:rPr>
          <w:rtl w:val="true"/>
        </w:rPr>
        <w:t xml:space="preserve">: </w:t>
      </w:r>
      <w:r>
        <w:rPr>
          <w:rtl w:val="true"/>
        </w:rPr>
        <w:t>الحيض</w:t>
      </w:r>
      <w:bookmarkEnd w:id="138"/>
    </w:p>
    <w:p>
      <w:pPr>
        <w:pStyle w:val="BookText"/>
        <w:rPr/>
      </w:pP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معروف معتاد للنساء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يكون أقل من ثلاثة أيّام متوالية ولا يزيد على عشرة أيّام متوالية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يحدث قبل إكمال تسع سنين ولا بعد تجاوز الستّين للقرشيّة والخمسين لغيرها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دم خرج من المرأة وأمكن أن يكون حيضاً ولم يقصر عن الثلاثة ولم يزد على العشرة فهو حيض سواء كان بأوصاف الحيض </w:t>
      </w:r>
      <w:r>
        <w:rPr>
          <w:rStyle w:val="FootnoteAnchor"/>
          <w:rtl w:val="true"/>
        </w:rPr>
        <w:footnoteReference w:id="55"/>
      </w:r>
      <w:r>
        <w:rPr>
          <w:rFonts w:ascii="Amiri" w:hAnsi="Amiri" w:eastAsia="Amiri" w:cs="Amiri"/>
          <w:color w:val="111111"/>
          <w:sz w:val="28"/>
          <w:sz w:val="28"/>
          <w:szCs w:val="28"/>
          <w:rtl w:val="true"/>
          <w:lang w:bidi="ar-SA"/>
        </w:rPr>
        <w:t xml:space="preserve">أو لم يكن ، وافَقَ العادات أو خالَفَها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ويجب على المرأة أن تتحيّض بمجرد رؤية الدم إن أمكن أن يكون حيضاً إذا رأته في عادتها أو قبلها بيوم أو يومين وكذا بعدها مطلقاً من غير إشكال في 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غير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كالمبتدئة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تحيّضها بمجرّد رؤية الدم قبل مضيّ ثلاثة أيّام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يمكن أن يكون حيضاً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رأته قبل مضي أقلّ الطهر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أيّام من الحيض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تتحيّض به إلّا أن تراه في أثناء عشرة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ومتى تجاوز الدم عشرة أيّام فإن كانت ذات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رأت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إليها سواء كانت وقتيّة وعدديّة، أو عدديّة فقط، أو وقتيّة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كانت عدديّة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كخمسة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حيضها خمسة أيّام، وتجعل العدد في أوّل الوقت إلّا أن يكون هناك تمييز فتجعل أيّام التمييز من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وقتيّة جعلت مبدأ الحيض وقتها ورجعت في عددها إلى التمييز أو الروايات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تكن ذات عادة محفوظة رجعت إلى التمييز بالأوصاف فما وافق وصف دم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السواد، والحمرة المائلة إليه، والدفع، والحرارة ، واللذع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حيض، وما وافق وصف الاستحاضة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الصفرة، والفتور، والبرودة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فاستحاضة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ترجع إلى التمييز إذا أمكن، ولا يمكن إلّا بشروط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اختلاف لون الدم، وأن يكون ما هو بصفة الحيض لا ينقص عن ثلاثة متوالية ولا يزيد على عشرة ، وأن يكون ما هو بصفة الاستحاضة لا ينقص عن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الدم لوناً واحداً أو نقص ما بصفة الحيض عن الثلاثة أو زاد على العشرة أو نقص ما بوصف </w:t>
      </w:r>
      <w:r>
        <w:rPr>
          <w:rStyle w:val="FootnoteAnchor"/>
          <w:rtl w:val="true"/>
        </w:rPr>
        <w:footnoteReference w:id="56"/>
      </w:r>
      <w:r>
        <w:rPr>
          <w:rFonts w:ascii="Amiri" w:hAnsi="Amiri" w:eastAsia="Amiri" w:cs="Amiri"/>
          <w:color w:val="111111"/>
          <w:sz w:val="28"/>
          <w:sz w:val="28"/>
          <w:szCs w:val="28"/>
          <w:rtl w:val="true"/>
          <w:lang w:bidi="ar-SA"/>
        </w:rPr>
        <w:t>الاستحاضة عن العشرة رجعت المبتدئة والمضطربة التي لم تستقرّ لها عادة أيضاً إلى عادة أهلها وأقاربها كالأمّ والأخت والعمّة والخالة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تعذّر رجوعها إليهنّ لفقدهنّ أو عدم التمكّن من اختبارهنّ أو </w:t>
      </w:r>
      <w:r>
        <w:rPr>
          <w:rStyle w:val="FootnoteAnchor"/>
          <w:rtl w:val="true"/>
        </w:rPr>
        <w:footnoteReference w:id="57"/>
      </w:r>
      <w:r>
        <w:rPr>
          <w:rFonts w:ascii="Amiri" w:hAnsi="Amiri" w:eastAsia="Amiri" w:cs="Amiri"/>
          <w:color w:val="111111"/>
          <w:sz w:val="28"/>
          <w:sz w:val="28"/>
          <w:szCs w:val="28"/>
          <w:rtl w:val="true"/>
          <w:lang w:bidi="ar-SA"/>
        </w:rPr>
        <w:t>اختلافهنّ وجب التحيّض في كلّ شهر ستة أو سبعة أيّام من مبدأ رؤية الدم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ومتى انقطع دم الحائض في ضمن العشرة وجب الاستبراء عليها بإلصاق بطنها بالحائط ورفع رجلها اليمنى أو اليسرى ووضعها على الحائط وإدخال القطنة بإصبعها 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خرجت نقيّة وجب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اغتسلت فحدث الدم تحيّضت، فإن انقطع اغتسلت، وهكذا إلى تمام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خرجت متلوّثة بالدمّ فهي حائض ويستمرّ الحكم عليها بالتحيّض إلى تمام العشرة إن لم تكن ذات </w:t>
      </w:r>
      <w:bookmarkStart w:id="139" w:name="pg8988_116083"/>
    </w:p>
    <w:p>
      <w:pPr>
        <w:pStyle w:val="BookText"/>
        <w:rPr/>
      </w:pPr>
      <w:bookmarkEnd w:id="139"/>
      <w:r>
        <w:rPr>
          <w:rFonts w:ascii="Amiri" w:hAnsi="Amiri" w:eastAsia="Amiri" w:cs="Amiri"/>
          <w:color w:val="111111"/>
          <w:sz w:val="28"/>
          <w:sz w:val="28"/>
          <w:szCs w:val="28"/>
          <w:rtl w:val="true"/>
          <w:lang w:bidi="ar-SA"/>
        </w:rPr>
        <w:t>عادة وإلّا فإلى انقضاء 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وتستظهر </w:t>
      </w:r>
      <w:r>
        <w:rPr>
          <w:rStyle w:val="FootnoteAnchor"/>
          <w:rtl w:val="true"/>
        </w:rPr>
        <w:footnoteReference w:id="58"/>
      </w:r>
      <w:r>
        <w:rPr>
          <w:rFonts w:ascii="Amiri" w:hAnsi="Amiri" w:eastAsia="Amiri" w:cs="Amiri"/>
          <w:color w:val="111111"/>
          <w:sz w:val="28"/>
          <w:sz w:val="28"/>
          <w:szCs w:val="28"/>
          <w:rtl w:val="true"/>
          <w:lang w:bidi="ar-SA"/>
        </w:rPr>
        <w:t>حتّى يحصل لها الظنّ باستمرار الدم إلى بعد العشرة ثمّ هي 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لها عدم ترك الاستظهار مع رجاء الانقطاع على العشرة في غير المستمرّة الدم بترك العبادة بعد العادة إلى انقضاء العشرة ، فإن انقطع الدم ما بين العادة والعشرة فحائض وإن تجاوز العشرة رجعت إلى عادتها كما بيّنّا وقضت ما فاتها في أيّام الاستظهار من صلاة وصيام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وغسل الحائض كغسل الجنابة ولا يجزي عن الوضوء </w:t>
      </w:r>
      <w:r>
        <w:rPr>
          <w:rStyle w:val="FootnoteAnchor"/>
          <w:rtl w:val="true"/>
        </w:rPr>
        <w:footnoteReference w:id="59"/>
      </w:r>
      <w:r>
        <w:rPr>
          <w:rFonts w:ascii="Amiri" w:hAnsi="Amiri" w:eastAsia="Amiri" w:cs="Amiri"/>
          <w:color w:val="111111"/>
          <w:sz w:val="28"/>
          <w:sz w:val="28"/>
          <w:szCs w:val="28"/>
          <w:rtl w:val="true"/>
          <w:lang w:bidi="ar-SA"/>
        </w:rPr>
        <w:t xml:space="preserve">في رفع الحدث الأصغر بل لابّد من وضوء قبله أو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ويحرم على الحائض ما يحرم على الجنب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ويحرم وطؤها قُبلاً قبل انقطاع الحيض، ويكره بعده قبل الغسل على الأظهر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يصحّ طلاقها ولا صلاتها ولا صيامها ولا حجّها ولا اعتكافها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عليها قضاء الصوم دون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لها الوضوء والجلوس في مصلّاها وذكر الله بقدر الصلاة</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1814776_2870459653"/>
      <w:bookmarkStart w:id="141" w:name="_Toc52"/>
      <w:bookmarkEnd w:id="140"/>
      <w:r>
        <w:rPr>
          <w:rtl w:val="true"/>
        </w:rPr>
        <w:t xml:space="preserve">ثالثها </w:t>
      </w:r>
      <w:r>
        <w:rPr>
          <w:rtl w:val="true"/>
        </w:rPr>
        <w:t xml:space="preserve">: </w:t>
      </w:r>
      <w:r>
        <w:rPr>
          <w:rtl w:val="true"/>
        </w:rPr>
        <w:t>دم الاستحاضة</w:t>
      </w:r>
      <w:bookmarkEnd w:id="14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ليس بحيض ولا نفاس ما لم يعلم أنّه لجرح أو قرح أو عذرة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أصفر بارد رقيق فاتر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عليها اعتبار الدم بإدخال القطنة فإن كان بحيث لا يغمس القطنة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ثقبها قليلاً بعد الانتظار مدّة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فالاستحاضة قليلة والظاهر رجوعها فى مقدار المكث إلى عادة النساء في الاستظهار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غمستها ولم يَسِل من خلفها فمتوسّطة، وإن سال من وراء القطنة فكثيرة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القليلة أنّه إن كان لدمها فترة تسع الطهارة والصلوة وجب مراعاتها بل الأحوط مراعات الفترة إن كانت تسع الدخول في الصلاة 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فترة كذلك توضّأت لكلّ صلاة فريضة بعد دخول وقتها ولزمها تغيير قطنتها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لها الجمع بين فرض ونفل، ولا بين النوافل المتعدّدة بوضوء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الأجزاء المنسيّة وسجود السهو مع اتّصاله بالصلاة وركعات الاحتياط لا يحتاج إلى تجديد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الوسطى فحكمها كحكم القليلة أيضاً وتزيد عليها بلزوم تغيير الخرقة مع تلوّثها والغسل لصلاة الغداة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انقطع دمها بعد صلاة الغداة أو انتقل إلى وصف القلّة فإنّه بحكم الانقطاع أيضاً وجب الغسل للظهرين سواء انقطع الدم قبل دخول وقتها أو بعدها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الكثيرة فحكمها ما عرفت من الوسطى وتزيد عليها بغسل للظهرين وآخر للعشائين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ومتى فعلت المستحاضة أفعالها اللازمة لها في الصلاة صارت بحكم </w:t>
      </w:r>
      <w:bookmarkStart w:id="142" w:name="pg8988_116087"/>
    </w:p>
    <w:p>
      <w:pPr>
        <w:pStyle w:val="BookText"/>
        <w:rPr/>
      </w:pPr>
      <w:bookmarkEnd w:id="142"/>
      <w:r>
        <w:rPr>
          <w:rFonts w:ascii="Amiri" w:hAnsi="Amiri" w:eastAsia="Amiri" w:cs="Amiri"/>
          <w:color w:val="111111"/>
          <w:sz w:val="28"/>
          <w:sz w:val="28"/>
          <w:szCs w:val="28"/>
          <w:rtl w:val="true"/>
          <w:lang w:bidi="ar-SA"/>
        </w:rPr>
        <w:t xml:space="preserve">الطاهرة من الحدثين الأصغر والأكبر، وإذا أخلّت بشيء من ذلك حتّى تغيير القطنة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بطلت صلاتها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والأحوط تبعيّة الصوم للصلاة من حيث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الوطئ واللبث في المساجد ومسّ كتابة القرآن وقراءة العزائم فإنّها جائزة حال جواز الصلاة عليها دون حالة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الغسل عند انقطاع الدم من ذات الغسل لكلّ ما يتوقّف على الغسل، ووجوب الوضوء كذلك من ذات الوضوء</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1814778_2870459653"/>
      <w:bookmarkStart w:id="144" w:name="_Toc53"/>
      <w:bookmarkEnd w:id="143"/>
      <w:r>
        <w:rPr>
          <w:rtl w:val="true"/>
        </w:rPr>
        <w:t xml:space="preserve">رابعها </w:t>
      </w:r>
      <w:r>
        <w:rPr>
          <w:rtl w:val="true"/>
        </w:rPr>
        <w:t xml:space="preserve">: </w:t>
      </w:r>
      <w:r>
        <w:rPr>
          <w:rtl w:val="true"/>
        </w:rPr>
        <w:t>النفاس</w:t>
      </w:r>
      <w:bookmarkEnd w:id="144"/>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المقارن لخروج بعض الولد والمتأخّر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فالخارج قبل الولادة لا يعدّ نفاساً بل إن أمكن أن يكون حيضاً فهو حيض وإلّا فاستحاضة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ولدت توأمين على التعاقب فالخارج عقيب كلّ منهما نفاس برأسه لا مجموع الدمين نفاس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ويترتّب عليه بعض الثمرات كاحتساب </w:t>
      </w:r>
      <w:r>
        <w:rPr>
          <w:rStyle w:val="FootnoteAnchor"/>
          <w:rtl w:val="true"/>
        </w:rPr>
        <w:footnoteReference w:id="60"/>
      </w:r>
      <w:r>
        <w:rPr>
          <w:rFonts w:ascii="Amiri" w:hAnsi="Amiri" w:eastAsia="Amiri" w:cs="Amiri"/>
          <w:color w:val="111111"/>
          <w:sz w:val="28"/>
          <w:sz w:val="28"/>
          <w:szCs w:val="28"/>
          <w:rtl w:val="true"/>
          <w:lang w:bidi="ar-SA"/>
        </w:rPr>
        <w:t>أكثر الأيّام من ولادة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تر دماً في الولادة فلا نفاس لها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لقليله حدّ فيتحقّق بمسمّى الدم ولو لحظة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وأكثره أكثر الحيض عشرة أيّام، والأولى مراعاة الاحتياط إلى ثمانية عشر يوماً</w:t>
      </w:r>
      <w:r>
        <w:rPr>
          <w:rFonts w:eastAsia="Amiri" w:cs="Amiri" w:ascii="Amiri" w:hAnsi="Amiri"/>
          <w:color w:val="111111"/>
          <w:sz w:val="28"/>
          <w:szCs w:val="28"/>
          <w:rtl w:val="true"/>
          <w:lang w:bidi="ar-SA"/>
        </w:rPr>
        <w:t xml:space="preserve">. </w:t>
      </w:r>
      <w:bookmarkStart w:id="145" w:name="pg8988_116089"/>
    </w:p>
    <w:p>
      <w:pPr>
        <w:pStyle w:val="BookText"/>
        <w:rPr/>
      </w:pPr>
      <w:bookmarkEnd w:id="145"/>
      <w:r>
        <w:rPr>
          <w:rFonts w:ascii="Amiri" w:hAnsi="Amiri" w:eastAsia="Amiri" w:cs="Amiri"/>
          <w:color w:val="111111"/>
          <w:sz w:val="28"/>
          <w:sz w:val="28"/>
          <w:szCs w:val="28"/>
          <w:rtl w:val="true"/>
          <w:lang w:bidi="ar-SA"/>
        </w:rPr>
        <w:t>ومبدأ العشرة من انفصال الولد لا من رؤية الدم قبله فإن انقطع الدم على العشرة فالكلّ نفاس، وإن تجاوز فذات العادة في الحيض ترجع إليها بعد الاستظهار إلى العشرة، وتقضي ما تركته من عبادة في أيّام الاستظهار احتياطاً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زاد على العادة 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ترجع إلى عادتها في النفاس لو فُرِضَتْ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ذات العادة تجعل العشرة نفاساً ومازاد استحاضة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وتستظهر ذات العادة هنا كما في الحيض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رأت في طرفي العادة فمجموعها نفاس، وكذا لو رأته في طرفي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رأته في إحدى طرفيها وانقطع اختصّ المرئي بالنفاس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تجاوز وقد رأته في الطرفين كان حكمها ما ذكرناه من التفصیل بین ذات العادة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رأته في اليوم العاشر فتجاوز ولم تره قبل ذلك كان ذلك اليوم أوّل نفاسها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ومتى انقطع الدم وجب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وغسلها كغسل الحائض وأحكامها كأحكامها على الأحوط </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1814780_2870459653"/>
      <w:bookmarkStart w:id="147" w:name="_Toc54"/>
      <w:bookmarkEnd w:id="146"/>
      <w:r>
        <w:rPr>
          <w:rtl w:val="true"/>
        </w:rPr>
        <w:t xml:space="preserve">خامسها </w:t>
      </w:r>
      <w:r>
        <w:rPr>
          <w:rtl w:val="true"/>
        </w:rPr>
        <w:t xml:space="preserve">: </w:t>
      </w:r>
      <w:r>
        <w:rPr>
          <w:rtl w:val="true"/>
        </w:rPr>
        <w:t>في غسل المسّ</w:t>
      </w:r>
      <w:bookmarkEnd w:id="147"/>
    </w:p>
    <w:p>
      <w:pPr>
        <w:pStyle w:val="BookText"/>
        <w:rPr/>
      </w:pPr>
      <w:r>
        <w:rPr>
          <w:rFonts w:ascii="Amiri" w:hAnsi="Amiri" w:eastAsia="Amiri" w:cs="Amiri"/>
          <w:color w:val="111111"/>
          <w:sz w:val="28"/>
          <w:sz w:val="28"/>
          <w:szCs w:val="28"/>
          <w:rtl w:val="true"/>
          <w:lang w:bidi="ar-SA"/>
        </w:rPr>
        <w:t xml:space="preserve">وكيفيّته ترتيباً وارتماساً كغسل الجنابة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 ميّت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برد جميعه وقبل تمام تغسيله دون قبل برده أو بعد غسله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والشهيد كالمُغَسَّل، وكذا من أمر بتقديم غسله وهو حيّ، بخلاف </w:t>
      </w:r>
      <w:bookmarkStart w:id="148" w:name="pg8988_116091"/>
    </w:p>
    <w:p>
      <w:pPr>
        <w:pStyle w:val="BookText"/>
        <w:rPr/>
      </w:pPr>
      <w:bookmarkEnd w:id="148"/>
      <w:r>
        <w:rPr>
          <w:rFonts w:ascii="Amiri" w:hAnsi="Amiri" w:eastAsia="Amiri" w:cs="Amiri"/>
          <w:color w:val="111111"/>
          <w:sz w:val="28"/>
          <w:sz w:val="28"/>
          <w:szCs w:val="28"/>
          <w:rtl w:val="true"/>
          <w:lang w:bidi="ar-SA"/>
        </w:rPr>
        <w:t xml:space="preserve">المتيمّم فيجب الغُسل بمسّه فضلاً عن غَسل اليد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صدق المسّ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ماحلّه الحياة أم لا فيتحقّق حينئذٍ بمسّ ظفر الميّت ولو بالظفر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لم يصدق المسّ كالشعر ماسّاً أو ممسوساً لم يجب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والقطعة ذات العظم من الميّت أو الحيّ بحكم الميّت في وجوب الغسل بمسّها دون المجرّدة من العظم، وأمّا العظم المجرّد فالأحوط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فيما يتوقّف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كالوضوء كما أن الأقوى انتقاضه به </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1814782_2870459653"/>
      <w:bookmarkStart w:id="150" w:name="_Toc55"/>
      <w:bookmarkEnd w:id="149"/>
      <w:r>
        <w:rPr>
          <w:rtl w:val="true"/>
        </w:rPr>
        <w:t xml:space="preserve">سادسها </w:t>
      </w:r>
      <w:r>
        <w:rPr>
          <w:rtl w:val="true"/>
        </w:rPr>
        <w:t xml:space="preserve">: </w:t>
      </w:r>
      <w:r>
        <w:rPr>
          <w:rtl w:val="true"/>
        </w:rPr>
        <w:t>الموت</w:t>
      </w:r>
      <w:bookmarkEnd w:id="150"/>
    </w:p>
    <w:p>
      <w:pPr>
        <w:pStyle w:val="Heading5"/>
        <w:numPr>
          <w:ilvl w:val="4"/>
          <w:numId w:val="1"/>
        </w:numPr>
        <w:rPr/>
      </w:pPr>
      <w:bookmarkStart w:id="151" w:name="__RefHeading___Toc1814784_2870459653"/>
      <w:bookmarkStart w:id="152" w:name="_Toc56"/>
      <w:bookmarkEnd w:id="151"/>
      <w:r>
        <w:rPr>
          <w:rtl w:val="true"/>
        </w:rPr>
        <w:t>اشارة</w:t>
      </w:r>
      <w:bookmarkEnd w:id="152"/>
    </w:p>
    <w:p>
      <w:pPr>
        <w:pStyle w:val="BookText"/>
        <w:rPr/>
      </w:pPr>
      <w:r>
        <w:rPr>
          <w:rFonts w:ascii="IRNazanin" w:hAnsi="IRNazanin" w:eastAsia="IRNazanin"/>
          <w:color w:val="111111"/>
          <w:sz w:val="28"/>
          <w:sz w:val="28"/>
          <w:szCs w:val="28"/>
          <w:rtl w:val="true"/>
          <w:lang w:bidi="fa-IR"/>
        </w:rPr>
        <w:t xml:space="preserve">فيجب كفايةً تغسيل كلّ ميّت مؤمن أو بحكمه كطفله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سقطاً قد تمّ له أربعة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ومجنونه ومسبيّه الصغير على الأحوط غير شهيد مات في المعركة بين يدي إمام علیه السلام أو نائبه الخاصّ، ولا مستوجب القتل بحدّ رجم أو قصاص فاغتسل غسل الأموات ثمّ قتل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يجب تغسيل كافر بل لا يجوز ، ولا مخالف، وتغسيله على مقتضى مذهبه أولى سيّما حال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يغسل الناصب، ولا الغالي، ولا من نقص عن الأربعة أشهر أو لا يعلم أنّه أتمّها ؛ ولا يغسل قطعة لحم لا عظم فيها أبينت من حيّ أو ميّت، بلى تُلَفُّ بخرقة ويراعى فيها شرائط الكفن وتُدفن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فيها عظم وجب الغسل والتكفين والحنوط إن كانت أحدَ المساجد على الأحوط والدّفن وكذا </w:t>
      </w:r>
    </w:p>
    <w:p>
      <w:pPr>
        <w:pStyle w:val="BookText"/>
        <w:rPr/>
      </w:pPr>
      <w:r>
        <w:rPr>
          <w:rFonts w:ascii="Amiri" w:hAnsi="Amiri" w:eastAsia="Amiri" w:cs="Amiri"/>
          <w:color w:val="111111"/>
          <w:sz w:val="28"/>
          <w:sz w:val="28"/>
          <w:szCs w:val="28"/>
          <w:rtl w:val="true"/>
          <w:lang w:bidi="ar-SA"/>
        </w:rPr>
        <w:t>الصلاة إن كانت 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إلحاق القلب بالصدر وجه موافق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والواجب أن يغسل ثلاثة أغسال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إزالة النجاسة عن بدنه وبرده على الأحوط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بماء السدر ، ثمّ غسل بماء الكافور، ثمّ غسل بماء القراح مرتّباً بينها وبين الأعضاء فى كلّ غسل بأن يبدأ بالرأس أوّلاً ، ثمّ الجانب الأيمن، ثمّ الأيسر على نحو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والمدار في ماء السدر والكافور على ما يسمّى ماء سدر وكافور لا على وجه يخرج الماء عن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عبرة بالقليل من السدر والكافور الذي لا تأثير له في الماء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يوضع ورقات السدر في الماء من غير تأثير ولا ممازجة ، بل لابدّ من امتزاجه مع الماء بالسحق أو المَرْس </w:t>
      </w:r>
      <w:r>
        <w:rPr>
          <w:rStyle w:val="FootnoteAnchor"/>
          <w:rtl w:val="true"/>
        </w:rPr>
        <w:footnoteReference w:id="62"/>
      </w:r>
      <w:r>
        <w:rPr>
          <w:rFonts w:ascii="Amiri" w:hAnsi="Amiri" w:eastAsia="Amiri" w:cs="Amiri"/>
          <w:color w:val="111111"/>
          <w:sz w:val="28"/>
          <w:sz w:val="28"/>
          <w:szCs w:val="28"/>
          <w:rtl w:val="true"/>
          <w:lang w:bidi="ar-SA"/>
        </w:rPr>
        <w:t xml:space="preserve">أو المكث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تعذّر الخليط لم تسقط غسلته بل تجب ثلاثة أغسال ينوي بالأوّلين البدليّة عن السدر والكافور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تعذّر ما يكفي الثلاثة من الماء اقتصر على الممكن مقدّما لماء السدر على ما بعده وهكذا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تعذّر الماء أصلاً وجب التيمّم ثلاثاً بدل الأغسال الثلاثة، وكذا لو تعذّرت غسلة أو غسلتان تيمّم مقام المتعذّر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وتجب النيّة من الغاسل لكلّ واحد من الأغسال الثلاثة ولا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المختار من كون النيّة هي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نيّة المجموع مع استمراره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الجمع بين نيّة المجموع وتكريرها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نوى الصابّ وحده أجزأ، والأحوط أن ينويا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فى الغاسل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والعقل ، والإسلام ، والمماثلة في الذكورة والأنوثة، والاستيذان من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يجوز تغسيل الصبى وإن كان مميّزاً، ولا المجنون، ولا الكافر مع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التعذّر بأن لا يكون مسلم مماثل أو ذو رحم فيصحّ من الكافر المماثل على إشكال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أمكن أن يغسله بوضعه بماءٍ جارٍ أو كرّ بأمر المسلم ونيّته لم يبعد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اعتبار نيّة المسلم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ارتفع العذر بعد تغسيله بأن وجد المسلم المماثل ففي الاجتزاء بتغسيله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الإعادة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تغسيلُ غير المماثل عدا الزوجين، فيجوز لكلّ واحد منهما تغسيل الآخر ولو مع وجود المماثل، ولا يحرم النظر إلى العورة، والأحوط التغسيل من وراء الثياب وإن كان الأظهر عدم وجوبه، ولا فرق في الزوجين بين الحرّة والأمة والدائمة والمنقطعة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والمطلّقة الرجعيّة بحكم الزوجة في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وللمالك تغسيل أمته دون العكس وإن كانت أمّ ولد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جواز ذلك اختياراً أو مع التجريد </w:t>
      </w:r>
      <w:bookmarkStart w:id="153" w:name="pg8988_116097"/>
    </w:p>
    <w:p>
      <w:pPr>
        <w:pStyle w:val="BookText"/>
        <w:rPr/>
      </w:pPr>
      <w:bookmarkEnd w:id="153"/>
      <w:r>
        <w:rPr>
          <w:rFonts w:ascii="Amiri" w:hAnsi="Amiri" w:eastAsia="Amiri" w:cs="Amiri"/>
          <w:color w:val="111111"/>
          <w:sz w:val="28"/>
          <w:sz w:val="28"/>
          <w:szCs w:val="28"/>
          <w:rtl w:val="true"/>
          <w:lang w:bidi="ar-SA"/>
        </w:rPr>
        <w:t xml:space="preserve">عن الثياب تردّد والأقرب الجواز والاحتياط لا يُترك وإن وجب ستر العورة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تعتبر المماثلة في تغسيل الصبي أو الصبيّة إلى 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يجزي التغسيل بدون إذن وليّ الميّت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بالميراث، و مع فقده فالولاية للحاكم ثمّ عدول المسلمين، كلّ ذلك على جهة الاحتياط ؛ والزوج أولى بزوجته من سائر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ويلحق بالتغسيل أمور </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1814786_2870459653"/>
      <w:bookmarkStart w:id="155" w:name="_Toc57"/>
      <w:bookmarkEnd w:id="154"/>
      <w:r>
        <w:rPr>
          <w:rtl w:val="true"/>
        </w:rPr>
        <w:t xml:space="preserve">الأول </w:t>
      </w:r>
      <w:r>
        <w:rPr>
          <w:rtl w:val="true"/>
        </w:rPr>
        <w:t xml:space="preserve">: </w:t>
      </w:r>
      <w:r>
        <w:rPr>
          <w:rtl w:val="true"/>
        </w:rPr>
        <w:t xml:space="preserve">التكفين </w:t>
      </w:r>
      <w:r>
        <w:rPr>
          <w:rtl w:val="true"/>
        </w:rPr>
        <w:t xml:space="preserve">- </w:t>
      </w:r>
      <w:r>
        <w:rPr>
          <w:rtl w:val="true"/>
        </w:rPr>
        <w:t xml:space="preserve">مع الإمكان </w:t>
      </w:r>
      <w:r>
        <w:rPr>
          <w:rtl w:val="true"/>
        </w:rPr>
        <w:t>-</w:t>
      </w:r>
      <w:bookmarkEnd w:id="155"/>
    </w:p>
    <w:p>
      <w:pPr>
        <w:pStyle w:val="BookText"/>
        <w:rPr/>
      </w:pPr>
      <w:r>
        <w:rPr>
          <w:rFonts w:ascii="IRNazanin" w:hAnsi="IRNazanin" w:eastAsia="IRNazanin"/>
          <w:color w:val="111111"/>
          <w:sz w:val="28"/>
          <w:sz w:val="28"/>
          <w:szCs w:val="28"/>
          <w:rtl w:val="true"/>
          <w:lang w:bidi="fa-IR"/>
        </w:rPr>
        <w:t xml:space="preserve">الأول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والواجب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للنساء والرجال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مئزرٌ يستر ما بين الركبة والسرّة والأفضل أن يغطّي الصدر والرجلين، وقميصٌ ينتهي طوله إلى نصف الساق والأفضل بلوغه القدمين، وإزارٌ،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اللفّافة الشاملة لجميع البدن طولاً وعرضاً، والأحوط للإزار زيادته بما يشدّ من طرف الرأس والرجلين طولاً ويردّ أحد جانبيه على الآخر عرضاً ولو بالخياطة بخيوطه على الأفضل، ولا تُبَلُّ بالريق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التعذّر يجزي الثوبان بل الثوب الواحد الشامل لجميع البدن ؛ ولو لم يجد إلّا ما يستر العورة خاصّة وجب</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للرجل والمرأة لفّافتان، وأن يكون للرجل حِبَرَة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ونَمَط </w:t>
      </w:r>
      <w:r>
        <w:rPr>
          <w:rStyle w:val="FootnoteAnchor"/>
          <w:rtl w:val="true"/>
        </w:rPr>
        <w:footnoteReference w:id="65"/>
      </w:r>
      <w:r>
        <w:rPr>
          <w:rFonts w:ascii="Amiri" w:hAnsi="Amiri" w:eastAsia="Amiri" w:cs="Amiri"/>
          <w:color w:val="111111"/>
          <w:sz w:val="28"/>
          <w:sz w:val="28"/>
          <w:szCs w:val="28"/>
          <w:rtl w:val="true"/>
          <w:lang w:bidi="ar-SA"/>
        </w:rPr>
        <w:t xml:space="preserve">، وأن يُلَفّ الفخذان معاً بخرقة تُشَدّ من الحَقْوين </w:t>
      </w:r>
      <w:r>
        <w:rPr>
          <w:rStyle w:val="FootnoteAnchor"/>
          <w:rtl w:val="true"/>
        </w:rPr>
        <w:footnoteReference w:id="66"/>
      </w:r>
      <w:r>
        <w:rPr>
          <w:rFonts w:ascii="Amiri" w:hAnsi="Amiri" w:eastAsia="Amiri" w:cs="Amiri"/>
          <w:color w:val="111111"/>
          <w:sz w:val="28"/>
          <w:sz w:val="28"/>
          <w:szCs w:val="28"/>
          <w:rtl w:val="true"/>
          <w:lang w:bidi="ar-SA"/>
        </w:rPr>
        <w:t xml:space="preserve">ويُضَمّ الفخذان ويُشدّان إلى الركبتين، وأن يزاد للرجل عمامة يؤخذ وسطها فيدار على رأسه بالتدوير ثمّ يلقى فضل الشقّ </w:t>
      </w:r>
      <w:r>
        <w:rPr>
          <w:rStyle w:val="FootnoteAnchor"/>
          <w:rtl w:val="true"/>
        </w:rPr>
        <w:footnoteReference w:id="67"/>
      </w:r>
      <w:r>
        <w:rPr>
          <w:rFonts w:ascii="Amiri" w:hAnsi="Amiri" w:eastAsia="Amiri" w:cs="Amiri"/>
          <w:color w:val="111111"/>
          <w:sz w:val="28"/>
          <w:sz w:val="28"/>
          <w:szCs w:val="28"/>
          <w:rtl w:val="true"/>
          <w:lang w:bidi="ar-SA"/>
        </w:rPr>
        <w:t>الأيمن على الأيسر والأيسر على الأيمن ثمّ يمدّ على صدره، وأن يزاد للمرأة القناع بدلاً عن العمامة، وأن يشدّ على ثدييها خرقة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التكفين بكلّ ما يجوز الصلاة فيه من قطن أو كتان أو شعر أو وبر، عدا جلد المأكول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لا يجوز الصلاة فيه لا يجوز التكفين فیه، فلا يجوز بالحرير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بأس بالممتزج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بالمغصوب ولا بالمتّخذ من غير المأكول ولا بغير الساتر وإن حصل التستّر بمجموع الأثواب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ويستحبّ التكفين بالقطن الأبيض ما عدا الحِبَر، وأن يُكتب على قِطَع الكفن اسمه وأنّه يشهد الشهادتين وإقراره بالأئمّة واحداً بعد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كتب القرآن كلّه لا بأس ما لم يلزم فيه هتك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ويكره أن يكفّن بالسواد، أو بالكتان ، وأن يكتب على الكفن بالسواد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والأفضل الكتابة بتربة سيّد الشهداء علیه السلام</w:t>
      </w:r>
      <w:r>
        <w:rPr>
          <w:rFonts w:eastAsia="IRNazanin" w:cs="IRNazanin"/>
          <w:color w:val="111111"/>
          <w:sz w:val="28"/>
          <w:szCs w:val="28"/>
          <w:rtl w:val="true"/>
          <w:lang w:bidi="fa-IR"/>
        </w:rPr>
        <w:t xml:space="preserve">. </w:t>
      </w:r>
      <w:bookmarkStart w:id="156" w:name="pg8988_116101"/>
    </w:p>
    <w:p>
      <w:pPr>
        <w:pStyle w:val="Heading5"/>
        <w:numPr>
          <w:ilvl w:val="4"/>
          <w:numId w:val="1"/>
        </w:numPr>
        <w:rPr/>
      </w:pPr>
      <w:bookmarkStart w:id="157" w:name="__RefHeading___Toc1814788_2870459653"/>
      <w:bookmarkStart w:id="158" w:name="_Toc58"/>
      <w:bookmarkEnd w:id="156"/>
      <w:bookmarkEnd w:id="157"/>
      <w:r>
        <w:rPr>
          <w:rtl w:val="true"/>
        </w:rPr>
        <w:t xml:space="preserve">الثاني </w:t>
      </w:r>
      <w:r>
        <w:rPr>
          <w:rtl w:val="true"/>
        </w:rPr>
        <w:t xml:space="preserve">: </w:t>
      </w:r>
      <w:r>
        <w:rPr>
          <w:rtl w:val="true"/>
        </w:rPr>
        <w:t>التحنيط</w:t>
      </w:r>
      <w:bookmarkEnd w:id="158"/>
    </w:p>
    <w:p>
      <w:pPr>
        <w:pStyle w:val="BookText"/>
        <w:rPr/>
      </w:pPr>
      <w:r>
        <w:rPr>
          <w:rFonts w:ascii="Amiri" w:hAnsi="Amiri" w:eastAsia="Amiri" w:cs="Amiri"/>
          <w:color w:val="111111"/>
          <w:sz w:val="28"/>
          <w:sz w:val="28"/>
          <w:szCs w:val="28"/>
          <w:rtl w:val="true"/>
          <w:lang w:bidi="ar-SA"/>
        </w:rPr>
        <w:t>يجب تحنيطه بإمساس المساجد السبعة بشيء من الكافور والأحوط أن يكون الإمساس على وجه الوضع مسحاً، والأحوط أن لا ينقص عن قدر الدرهم بل المثقال، وأفضل منه أربعة مثاقيل، والأكمل ثلاثة عشر درهماً وثلث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وجوبه بين الصغير والكبير والذكر والأنثى عدا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فيحرم تحنيطه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من سقط غسله كالشهيد والسقط لدون 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الميّت كالميّت فيجب تحنيطه مع بقاء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التحنيط بين تقديمه على التكفين أو تأخيره، والأحوط تقديمه على التأزير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يُلقى ما فضل من حنوطه على صدره</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1814790_2870459653"/>
      <w:bookmarkStart w:id="160" w:name="_Toc59"/>
      <w:bookmarkEnd w:id="159"/>
      <w:r>
        <w:rPr>
          <w:rtl w:val="true"/>
        </w:rPr>
        <w:t xml:space="preserve">الثالث </w:t>
      </w:r>
      <w:r>
        <w:rPr>
          <w:rtl w:val="true"/>
        </w:rPr>
        <w:t xml:space="preserve">: </w:t>
      </w:r>
      <w:r>
        <w:rPr>
          <w:rtl w:val="true"/>
        </w:rPr>
        <w:t>دفنه</w:t>
      </w:r>
      <w:bookmarkEnd w:id="160"/>
    </w:p>
    <w:p>
      <w:pPr>
        <w:pStyle w:val="BookText"/>
        <w:rPr/>
      </w:pPr>
      <w:r>
        <w:rPr>
          <w:rFonts w:ascii="Amiri" w:hAnsi="Amiri" w:eastAsia="Amiri" w:cs="Amiri"/>
          <w:color w:val="111111"/>
          <w:sz w:val="28"/>
          <w:sz w:val="28"/>
          <w:szCs w:val="28"/>
          <w:rtl w:val="true"/>
          <w:lang w:bidi="ar-SA"/>
        </w:rPr>
        <w:t>والواجب مواراته في الأرض مع الإمكان على وجه يحرس جثّته من السباع ورائحته من الانتشار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تعذّر حفر الأرض لصلابتها وفقد الآلة أجزأ البناء عليه بما يحصّل الفرضين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البناء غير بارز على وجه الأرض فهو كالحفيرة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تعذّرت الأرض ولم يمكن النقل كراكب البحر ثُقِّلَ أو وضع في خابية ليَرْسُب في الماء</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وضعه في القبر مستقبل القبلة على جانبه الأيمن والأحوط </w:t>
      </w:r>
    </w:p>
    <w:p>
      <w:pPr>
        <w:pStyle w:val="BookText"/>
        <w:rPr/>
      </w:pPr>
      <w:r>
        <w:rPr>
          <w:rFonts w:ascii="Amiri" w:hAnsi="Amiri" w:eastAsia="Amiri" w:cs="Amiri"/>
          <w:color w:val="111111"/>
          <w:sz w:val="28"/>
          <w:sz w:val="28"/>
          <w:szCs w:val="28"/>
          <w:rtl w:val="true"/>
          <w:lang w:bidi="ar-SA"/>
        </w:rPr>
        <w:t xml:space="preserve">مراعات ذلك في المُثَقَّل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تعذّر الاستقبال لتردّيه في بئر لا يمكن إخراجه منها سقط ، بل تُعَطَّل البئر وتجعل قبراً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يجب الاستقبال في أهل القبلة فلا يجب في الكافرة إذا حملت من مسلم بل يجب استدبارها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ويستحبّ أن يكون عمق القبر نحو قامة أو إلى الترقوة، وأن يشقّ له لحد ودونه في الفضل الشقّ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الحفر في قعر القبر كالنهر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توضع الجنازة من جانب الرجلين دون القبر بذراعين أو ثلاث، وأن تنقل إلى القبر بثلاث دفعات، وأن يسبق برأسه فى إنزاله إن كان رجلاً والمرأة تنزل عرضاً ، وأن يحلّ عنه عقد الكفن ويوضع خدّه على التراب، وأن يجعل معه شيء من تربة الحسين علیه السلام، وأن توضع معه جريدتان خضراوتان، قدر الجريدة ذراع أو بقدر عظم ذراع أو شبر تجعل أحدهما من جانب الميّت الأيمن قائمة من ترقوته ملصقة بجلده والأخرى من جانب الأيسر كذلك إلّا أنّها بين القميص والإزار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يلقّنه النازل أو غيره قبل وضع اللّبن، وأن يدعوا له عند معاينة القبر وعند تناوله وبعد وضعه وبعد التلقين وعند الخروج بالمأثور</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الخروج من قبل الرجلين، والإهالة </w:t>
      </w:r>
      <w:r>
        <w:rPr>
          <w:rStyle w:val="FootnoteAnchor"/>
          <w:rtl w:val="true"/>
        </w:rPr>
        <w:footnoteReference w:id="68"/>
      </w:r>
      <w:r>
        <w:rPr>
          <w:rFonts w:ascii="Amiri" w:hAnsi="Amiri" w:eastAsia="Amiri" w:cs="Amiri"/>
          <w:color w:val="111111"/>
          <w:sz w:val="28"/>
          <w:sz w:val="28"/>
          <w:szCs w:val="28"/>
          <w:rtl w:val="true"/>
          <w:lang w:bidi="ar-SA"/>
        </w:rPr>
        <w:t xml:space="preserve">بظهور الأكفّ وقال الجوهري في الصحاح </w:t>
      </w:r>
      <w:r>
        <w:rPr>
          <w:rFonts w:eastAsia="Amiri" w:cs="Amiri" w:ascii="Amiri" w:hAnsi="Amiri"/>
          <w:color w:val="111111"/>
          <w:sz w:val="28"/>
          <w:szCs w:val="28"/>
          <w:lang w:bidi="ar-SA"/>
        </w:rPr>
        <w:t>1855/5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وأَهَلْتُ الدّقيق لغةٌ في هِلْتُ ، فهو مُهالٌ ومَهيلٌ</w:t>
      </w:r>
      <w:r>
        <w:rPr>
          <w:rFonts w:eastAsia="Amiri" w:cs="Amiri" w:ascii="Amiri" w:hAnsi="Amiri"/>
          <w:color w:val="111111"/>
          <w:sz w:val="28"/>
          <w:szCs w:val="28"/>
          <w:rtl w:val="true"/>
          <w:lang w:bidi="ar-SA"/>
        </w:rPr>
        <w:t xml:space="preserve">». </w:t>
      </w:r>
      <w:bookmarkStart w:id="161" w:name="pg8988_116105"/>
    </w:p>
    <w:p>
      <w:pPr>
        <w:pStyle w:val="BookText"/>
        <w:rPr/>
      </w:pPr>
      <w:bookmarkEnd w:id="161"/>
      <w:r>
        <w:rPr>
          <w:rFonts w:ascii="Amiri" w:hAnsi="Amiri" w:eastAsia="Amiri" w:cs="Amiri"/>
          <w:color w:val="111111"/>
          <w:sz w:val="28"/>
          <w:sz w:val="28"/>
          <w:szCs w:val="28"/>
          <w:rtl w:val="true"/>
          <w:lang w:bidi="ar-SA"/>
        </w:rPr>
        <w:t xml:space="preserve">مسترجعين، ورفع القبر قدر أربع أصابع مضمومة أو مفروجة، وتسطيحه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تجصيصه والبناء عليه ووضع تراب من خارجٍ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صبّ الماء عليه من قبل رأسه دوراً والفاضل على وسطه ، ووضع الكف مفرّجة الأصابع على قبره مرحِّماً عليه بالمأثور وغيره، وأن تقرأ إنّا أنزلناه سبعاً وآية الكرسى، وأن يكثر من تلاوة القرآن والدعاء عند رأسه قبالة وجهه، وأن يلقّنه وليّه بعد الانصراف، وأن يُعَزَّ المصاب قبل الدفن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ويحرم نبش قبره إلّا إذا بُلي الميّت، أو كُفِّن في مغصوب، أو وقع في قبره مال له قيمة ، أو احتيج </w:t>
      </w:r>
      <w:r>
        <w:rPr>
          <w:rStyle w:val="FootnoteAnchor"/>
          <w:rtl w:val="true"/>
        </w:rPr>
        <w:footnoteReference w:id="69"/>
      </w:r>
      <w:r>
        <w:rPr>
          <w:rFonts w:ascii="Amiri" w:hAnsi="Amiri" w:eastAsia="Amiri" w:cs="Amiri"/>
          <w:color w:val="111111"/>
          <w:sz w:val="28"/>
          <w:sz w:val="28"/>
          <w:szCs w:val="28"/>
          <w:rtl w:val="true"/>
          <w:lang w:bidi="ar-SA"/>
        </w:rPr>
        <w:t xml:space="preserve">للشهادة عليه، أو دفن في مكان مغصوب أو في مقبرة الكفّار وأهل الضلال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ویکره دفن ميّتين في قبر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ويحرم دفن ميّت في قبر آخر إلّا إذا درس وبلي</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1814792_2870459653"/>
      <w:bookmarkStart w:id="163" w:name="_Toc60"/>
      <w:bookmarkEnd w:id="162"/>
      <w:r>
        <w:rPr>
          <w:rtl w:val="true"/>
        </w:rPr>
        <w:t xml:space="preserve">المبحث الثاني </w:t>
      </w:r>
      <w:r>
        <w:rPr>
          <w:rtl w:val="true"/>
        </w:rPr>
        <w:t xml:space="preserve">: </w:t>
      </w:r>
      <w:r>
        <w:rPr>
          <w:rtl w:val="true"/>
        </w:rPr>
        <w:t>في الغسل المندوب</w:t>
      </w:r>
      <w:bookmarkEnd w:id="163"/>
    </w:p>
    <w:p>
      <w:pPr>
        <w:pStyle w:val="BookText"/>
        <w:rPr/>
      </w:pPr>
      <w:r>
        <w:rPr>
          <w:rFonts w:ascii="Amiri" w:hAnsi="Amiri" w:eastAsia="Amiri" w:cs="Amiri"/>
          <w:color w:val="111111"/>
          <w:sz w:val="28"/>
          <w:sz w:val="28"/>
          <w:szCs w:val="28"/>
          <w:rtl w:val="true"/>
          <w:lang w:bidi="ar-SA"/>
        </w:rPr>
        <w:t xml:space="preserve">المبحث الثاني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الغسل المندوب</w:t>
      </w:r>
    </w:p>
    <w:p>
      <w:pPr>
        <w:pStyle w:val="BookText"/>
        <w:rPr/>
      </w:pPr>
      <w:r>
        <w:rPr>
          <w:rFonts w:ascii="Amiri" w:hAnsi="Amiri" w:eastAsia="Amiri" w:cs="Amiri"/>
          <w:color w:val="111111"/>
          <w:sz w:val="28"/>
          <w:sz w:val="28"/>
          <w:szCs w:val="28"/>
          <w:rtl w:val="true"/>
          <w:lang w:bidi="ar-SA"/>
        </w:rPr>
        <w:t>وأفراده كثيرة ربما انتهت إلى ماءة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ووقته ما بين طلوع الفجر منه إلى الزوال، </w:t>
      </w:r>
    </w:p>
    <w:p>
      <w:pPr>
        <w:pStyle w:val="BookText"/>
        <w:rPr/>
      </w:pPr>
      <w:r>
        <w:rPr>
          <w:rFonts w:ascii="Amiri" w:hAnsi="Amiri" w:eastAsia="Amiri" w:cs="Amiri"/>
          <w:color w:val="111111"/>
          <w:sz w:val="28"/>
          <w:sz w:val="28"/>
          <w:szCs w:val="28"/>
          <w:rtl w:val="true"/>
          <w:lang w:bidi="ar-SA"/>
        </w:rPr>
        <w:t>ثمّ بعده إلى آخر يوم السبت وليلته فيكون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تعجيله يوم الخميس لخائف إعواز </w:t>
      </w:r>
      <w:r>
        <w:rPr>
          <w:rStyle w:val="FootnoteAnchor"/>
          <w:rtl w:val="true"/>
        </w:rPr>
        <w:footnoteReference w:id="71"/>
      </w:r>
      <w:r>
        <w:rPr>
          <w:rFonts w:ascii="Amiri" w:hAnsi="Amiri" w:eastAsia="Amiri" w:cs="Amiri"/>
          <w:color w:val="111111"/>
          <w:sz w:val="28"/>
          <w:sz w:val="28"/>
          <w:szCs w:val="28"/>
          <w:rtl w:val="true"/>
          <w:lang w:bidi="ar-SA"/>
        </w:rPr>
        <w:t xml:space="preserve">الماء فإن تمكّن يوم الجمعة قبل الزوال من الماء أعاده أداءً، وقضاءً في زمان القضاء، وإن لم يتمكّن منه كذلك لم يعد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وغسل أيّام العيدين، وعرفة، والتروية، والغدير، والمباهلة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والعشرون من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والمبعث، والمولود، والنيروز، وأوّل رمضان ورجب، وآخره، ونصفه، وليالي النصف من رجب وشعبان، وليلة الفطر، والأفراد من شهر رمضان، وغسلٌ ثانٍ لليلة القدر الأخير إن </w:t>
      </w:r>
      <w:r>
        <w:rPr>
          <w:rStyle w:val="FootnoteAnchor"/>
          <w:rtl w:val="true"/>
        </w:rPr>
        <w:footnoteReference w:id="72"/>
      </w:r>
      <w:r>
        <w:rPr>
          <w:rFonts w:ascii="IRNazanin" w:hAnsi="IRNazanin" w:eastAsia="IRNazanin"/>
          <w:color w:val="111111"/>
          <w:sz w:val="28"/>
          <w:sz w:val="28"/>
          <w:szCs w:val="28"/>
          <w:rtl w:val="true"/>
          <w:lang w:bidi="fa-IR"/>
        </w:rPr>
        <w:t>اغتسل الأوّل من أوّل الليل ، ولدخول مكّة والمدينة ومسجديهما وحرميهما، والإحرام، وقبل الطواف، والوقوف بعرفات والمشعر، والنحر، والذبح ، والحلق، والزيارة، والحاجة، والاستخارة، والاستسقاء، وأخذ التربة الحسينيّة من محلّها، والتوجّه إلى السفر سيّما زيارة الحسين علیه السلام ، وقضاء المفرِّط في صلاة الكسوفين مع احتراق القرص، ومسّ الميّت بعد تغسيله ، ومنها غير ذلك فاتّبعه في مظانّه</w:t>
      </w:r>
      <w:r>
        <w:rPr>
          <w:rFonts w:eastAsia="IRNazanin" w:cs="IRNazanin"/>
          <w:color w:val="111111"/>
          <w:sz w:val="28"/>
          <w:szCs w:val="28"/>
          <w:rtl w:val="true"/>
          <w:lang w:bidi="fa-IR"/>
        </w:rPr>
        <w:t xml:space="preserve">. </w:t>
      </w:r>
      <w:bookmarkStart w:id="164" w:name="pg8988_116110"/>
    </w:p>
    <w:p>
      <w:pPr>
        <w:pStyle w:val="Heading3"/>
        <w:numPr>
          <w:ilvl w:val="2"/>
          <w:numId w:val="1"/>
        </w:numPr>
        <w:rPr/>
      </w:pPr>
      <w:bookmarkStart w:id="165" w:name="__RefHeading___Toc1814794_2870459653"/>
      <w:bookmarkStart w:id="166" w:name="_Toc61"/>
      <w:bookmarkEnd w:id="164"/>
      <w:bookmarkEnd w:id="165"/>
      <w:r>
        <w:rPr>
          <w:rtl w:val="true"/>
        </w:rPr>
        <w:t>المقصد الثالث</w:t>
      </w:r>
      <w:r>
        <w:rPr>
          <w:rtl w:val="true"/>
        </w:rPr>
        <w:t xml:space="preserve">: </w:t>
      </w:r>
      <w:r>
        <w:rPr>
          <w:rtl w:val="true"/>
        </w:rPr>
        <w:t>في التيمّم</w:t>
      </w:r>
      <w:bookmarkEnd w:id="166"/>
    </w:p>
    <w:p>
      <w:pPr>
        <w:pStyle w:val="Heading4"/>
        <w:numPr>
          <w:ilvl w:val="3"/>
          <w:numId w:val="1"/>
        </w:numPr>
        <w:rPr/>
      </w:pPr>
      <w:bookmarkStart w:id="167" w:name="__RefHeading___Toc1814796_2870459653"/>
      <w:bookmarkStart w:id="168" w:name="_Toc62"/>
      <w:bookmarkEnd w:id="167"/>
      <w:r>
        <w:rPr>
          <w:rtl w:val="true"/>
        </w:rPr>
        <w:t>اشارة</w:t>
      </w:r>
      <w:bookmarkEnd w:id="168"/>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1814798_2870459653"/>
      <w:bookmarkStart w:id="170" w:name="_Toc63"/>
      <w:bookmarkEnd w:id="169"/>
      <w:r>
        <w:rPr>
          <w:rtl w:val="true"/>
        </w:rPr>
        <w:t>[</w:t>
      </w:r>
      <w:r>
        <w:rPr>
          <w:rtl w:val="true"/>
        </w:rPr>
        <w:t>المبحث</w:t>
      </w:r>
      <w:r>
        <w:rPr>
          <w:rtl w:val="true"/>
        </w:rPr>
        <w:t xml:space="preserve">] </w:t>
      </w:r>
      <w:r>
        <w:rPr>
          <w:rtl w:val="true"/>
        </w:rPr>
        <w:t xml:space="preserve">الأوّل </w:t>
      </w:r>
      <w:r>
        <w:rPr>
          <w:rtl w:val="true"/>
        </w:rPr>
        <w:t xml:space="preserve">: </w:t>
      </w:r>
      <w:r>
        <w:rPr>
          <w:rtl w:val="true"/>
        </w:rPr>
        <w:t>في مسوّغاته</w:t>
      </w:r>
      <w:bookmarkEnd w:id="170"/>
    </w:p>
    <w:p>
      <w:pPr>
        <w:pStyle w:val="BookText"/>
        <w:rPr/>
      </w:pPr>
      <w:r>
        <w:rPr>
          <w:rFonts w:ascii="Amiri" w:hAnsi="Amiri" w:eastAsia="Amiri" w:cs="Amiri"/>
          <w:color w:val="111111"/>
          <w:sz w:val="28"/>
          <w:sz w:val="28"/>
          <w:szCs w:val="28"/>
          <w:rtl w:val="true"/>
          <w:lang w:bidi="ar-SA"/>
        </w:rPr>
        <w:t>وهي اُمور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وجدان ما يكفيه للطهارة بحيث يصدق عليه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فيه لو كان في فلاة قد احتمل في أحد جوانبها الماء الضرب مع الإمكان في الأرض السهلة غَلْوَة </w:t>
      </w:r>
      <w:r>
        <w:rPr>
          <w:rStyle w:val="FootnoteAnchor"/>
          <w:rtl w:val="true"/>
        </w:rPr>
        <w:footnoteReference w:id="73"/>
      </w:r>
      <w:r>
        <w:rPr>
          <w:rFonts w:ascii="Amiri" w:hAnsi="Amiri" w:eastAsia="Amiri" w:cs="Amiri"/>
          <w:color w:val="111111"/>
          <w:sz w:val="28"/>
          <w:sz w:val="28"/>
          <w:szCs w:val="28"/>
          <w:rtl w:val="true"/>
          <w:lang w:bidi="ar-SA"/>
        </w:rPr>
        <w:t xml:space="preserve">سهمين في الجهات الأربع وفي الحَزْنَة </w:t>
      </w:r>
      <w:r>
        <w:rPr>
          <w:rStyle w:val="FootnoteAnchor"/>
          <w:rtl w:val="true"/>
        </w:rPr>
        <w:footnoteReference w:id="74"/>
      </w:r>
      <w:r>
        <w:rPr>
          <w:rFonts w:ascii="Amiri" w:hAnsi="Amiri" w:eastAsia="Amiri" w:cs="Amiri"/>
          <w:color w:val="111111"/>
          <w:sz w:val="28"/>
          <w:sz w:val="28"/>
          <w:szCs w:val="28"/>
          <w:rtl w:val="true"/>
          <w:lang w:bidi="ar-SA"/>
        </w:rPr>
        <w:t xml:space="preserve">غلوة سهم ولو بنائيّة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أخلّ بالضرب المزبور وتيمّم بطل مع سعة الوقت وإن صادف عدم الماء، ويصحّ مع الضيق وإن أثم بالترك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الضرر المانع من استعماله لمرض أو رمد أو ورم أو جرح أو قرح أو نحوهما إذا كان بحيث لا يلحق بالجبيرة أو ما في حكمها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فرق بين الخوف من حصوله أو من زيادته أو بطئه أو شدّة الألم باستعماله على وجه لا يتحمّل للبرد أو غيره بل لو خاف الشين الذي یعسر تحمّله عادة تيمّم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الخشونة المشوّهة للخلق من جهة البرد ولو لم تصل إلى تشقّق الجلد وخروج الدم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حصوله على دفع ما يضرّ بحاله، بخلاف غير المضرّ فإنّه يجب وإن كان أضعاف ثمن المثل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 الوقت عن تحصيله أو عن استعماله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استعمال الماء في غَسل النّجاسة ونحوه ممّا لا يقوم غير الماء مقامه فإن الظاهر تعيّن التيمّم ، فلو تَطهَّر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ذلك</w:t>
      </w:r>
    </w:p>
    <w:p>
      <w:pPr>
        <w:pStyle w:val="BookText"/>
        <w:rPr/>
      </w:pPr>
      <w:r>
        <w:rPr>
          <w:rFonts w:ascii="Amiri" w:hAnsi="Amiri" w:eastAsia="Amiri" w:cs="Amiri"/>
          <w:color w:val="111111"/>
          <w:sz w:val="28"/>
          <w:sz w:val="28"/>
          <w:szCs w:val="28"/>
          <w:rtl w:val="true"/>
          <w:lang w:bidi="ar-SA"/>
        </w:rPr>
        <w:t>في ضيق الوقت إذا فعله للأمر به من حيث الصلاة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خالف ودفع المضرّ بحاله ثمناً أو تحمّل المنّة ونحو ذلك ممّا كان الممنوع منه مقدّمات الطهارة لا هي نفسها فإنّه ينبغي القطع بالصحّة</w:t>
      </w:r>
      <w:r>
        <w:rPr>
          <w:rFonts w:eastAsia="Amiri" w:cs="Amiri" w:ascii="Amiri" w:hAnsi="Amiri"/>
          <w:color w:val="111111"/>
          <w:sz w:val="28"/>
          <w:szCs w:val="28"/>
          <w:rtl w:val="true"/>
          <w:lang w:bidi="ar-SA"/>
        </w:rPr>
        <w:t xml:space="preserve">. </w:t>
      </w:r>
      <w:bookmarkStart w:id="171" w:name="pg8988_116114"/>
    </w:p>
    <w:p>
      <w:pPr>
        <w:pStyle w:val="Heading4"/>
        <w:numPr>
          <w:ilvl w:val="3"/>
          <w:numId w:val="1"/>
        </w:numPr>
        <w:rPr/>
      </w:pPr>
      <w:bookmarkStart w:id="172" w:name="__RefHeading___Toc1814800_2870459653"/>
      <w:bookmarkStart w:id="173" w:name="_Toc64"/>
      <w:bookmarkEnd w:id="171"/>
      <w:bookmarkEnd w:id="172"/>
      <w:r>
        <w:rPr>
          <w:rtl w:val="true"/>
        </w:rPr>
        <w:t xml:space="preserve">المبحث الثاني </w:t>
      </w:r>
      <w:r>
        <w:rPr>
          <w:rtl w:val="true"/>
        </w:rPr>
        <w:t xml:space="preserve">: </w:t>
      </w:r>
      <w:r>
        <w:rPr>
          <w:rtl w:val="true"/>
        </w:rPr>
        <w:t>فيما يتيمّم به</w:t>
      </w:r>
      <w:bookmarkEnd w:id="173"/>
    </w:p>
    <w:p>
      <w:pPr>
        <w:pStyle w:val="BookText"/>
        <w:rPr/>
      </w:pPr>
      <w:r>
        <w:rPr>
          <w:rFonts w:ascii="Amiri" w:hAnsi="Amiri" w:eastAsia="Amiri" w:cs="Amiri"/>
          <w:color w:val="111111"/>
          <w:sz w:val="28"/>
          <w:sz w:val="28"/>
          <w:szCs w:val="28"/>
          <w:rtl w:val="true"/>
          <w:lang w:bidi="ar-SA"/>
        </w:rPr>
        <w:t>وهو 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وجه الأرض على الأقوى من غير فرق بين التراب والرمل وأرض الجصّ والنورة قبل الإحراق وغيرهما ممّا يندرج تحت اسمها وإن لم يَعْلَق منه في اليد شيء لكن الاحتياط باستعمال التراب ممّا لا ينبغي تركه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لا يندرج تحت اسمها كالنباتات والمعادن والرماد وإن كان منها فلا ريب في عدم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الخزف والجصّ والنورة بعد إحراقها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التيمّم بالصعيد النجس ، ولا المغصوب اختياراً إلّا إذا أُكره على المكث به كالمحبوس ففي صحّة التيمّم إشكال </w:t>
      </w:r>
      <w:r>
        <w:rPr>
          <w:rStyle w:val="FootnoteAnchor"/>
          <w:rtl w:val="true"/>
        </w:rPr>
        <w:footnoteReference w:id="75"/>
      </w:r>
      <w:r>
        <w:rPr>
          <w:rFonts w:ascii="Amiri" w:hAnsi="Amiri" w:eastAsia="Amiri" w:cs="Amiri"/>
          <w:color w:val="111111"/>
          <w:sz w:val="28"/>
          <w:sz w:val="28"/>
          <w:szCs w:val="28"/>
          <w:rtl w:val="true"/>
          <w:lang w:bidi="ar-SA"/>
        </w:rPr>
        <w:t>، ولا الممتزج بغيره بحيث يخرج عن إطلاق اسم التراب فلا يقدح المستهلك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إباحة مكان التيمّم أيضاً كالوضوء بل لو كان التراب في إناء مغصوب لم يصحّ الضرب عليه وإن لم ينحصر فيه بخلاف الماء كما عرفت</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فقد الصعيد يتيمّم بغبار ثوبه أو لِبْد سرجه أو عُرْف </w:t>
      </w:r>
      <w:r>
        <w:rPr>
          <w:rStyle w:val="FootnoteAnchor"/>
          <w:rtl w:val="true"/>
        </w:rPr>
        <w:footnoteReference w:id="76"/>
      </w:r>
      <w:r>
        <w:rPr>
          <w:rFonts w:ascii="Amiri" w:hAnsi="Amiri" w:eastAsia="Amiri" w:cs="Amiri"/>
          <w:color w:val="111111"/>
          <w:sz w:val="28"/>
          <w:sz w:val="28"/>
          <w:szCs w:val="28"/>
          <w:rtl w:val="true"/>
          <w:lang w:bidi="ar-SA"/>
        </w:rPr>
        <w:t xml:space="preserve">دابته أو غيرهما من المشتمل على غبار الأرض ضارباً على ذي الغبار إذا لم </w:t>
      </w:r>
      <w:bookmarkStart w:id="174" w:name="pg8988_116116"/>
    </w:p>
    <w:p>
      <w:pPr>
        <w:pStyle w:val="BookText"/>
        <w:rPr/>
      </w:pPr>
      <w:bookmarkEnd w:id="174"/>
      <w:r>
        <w:rPr>
          <w:rFonts w:ascii="Amiri" w:hAnsi="Amiri" w:eastAsia="Amiri" w:cs="Amiri"/>
          <w:color w:val="111111"/>
          <w:sz w:val="28"/>
          <w:sz w:val="28"/>
          <w:szCs w:val="28"/>
          <w:rtl w:val="true"/>
          <w:lang w:bidi="ar-SA"/>
        </w:rPr>
        <w:t>يتمكّن من نفضه</w:t>
      </w:r>
      <w:r>
        <w:rPr>
          <w:rStyle w:val="FootnoteAnchor"/>
          <w:rtl w:val="true"/>
        </w:rPr>
        <w:footnoteReference w:id="77"/>
      </w:r>
      <w:r>
        <w:rPr>
          <w:rFonts w:ascii="Amiri" w:hAnsi="Amiri" w:eastAsia="Amiri" w:cs="Amiri"/>
          <w:color w:val="111111"/>
          <w:sz w:val="28"/>
          <w:sz w:val="28"/>
          <w:szCs w:val="28"/>
          <w:rtl w:val="true"/>
          <w:lang w:bidi="ar-SA"/>
        </w:rPr>
        <w:t xml:space="preserve">وجمعه ثمّ يتيمّم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فقده يتيمّم بالوحل، ولو تمكّن من تجفيفه ثمّ التيمّم به وجب، فلا يصحّ التيمّم بالثلج ولو لم يجد غيره، ولو لم يتمكّن من حصول مسمّى الغسل فالأحوط المسح بالثلج على أعضاء الوضوء والتيمّم به والصلاة في الوقت ثمّ القضاء إذا تمكّن من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نفض اليدين بعد الضرب </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1814802_2870459653"/>
      <w:bookmarkStart w:id="176" w:name="_Toc65"/>
      <w:bookmarkEnd w:id="175"/>
      <w:r>
        <w:rPr>
          <w:rtl w:val="true"/>
        </w:rPr>
        <w:t xml:space="preserve">المبحث الثالث </w:t>
      </w:r>
      <w:r>
        <w:rPr>
          <w:rtl w:val="true"/>
        </w:rPr>
        <w:t xml:space="preserve">: </w:t>
      </w:r>
      <w:r>
        <w:rPr>
          <w:rtl w:val="true"/>
        </w:rPr>
        <w:t>في كيفيّته</w:t>
      </w:r>
      <w:bookmarkEnd w:id="176"/>
    </w:p>
    <w:p>
      <w:pPr>
        <w:pStyle w:val="BookText"/>
        <w:rPr/>
      </w:pPr>
      <w:r>
        <w:rPr>
          <w:rFonts w:ascii="Amiri" w:hAnsi="Amiri" w:eastAsia="Amiri" w:cs="Amiri"/>
          <w:color w:val="111111"/>
          <w:sz w:val="28"/>
          <w:sz w:val="28"/>
          <w:szCs w:val="28"/>
          <w:rtl w:val="true"/>
          <w:lang w:bidi="ar-SA"/>
        </w:rPr>
        <w:t>وهي مع الاختيار ضرب الأرض بباطن الكفّين معاً دفعة، ثمّ مسح الجبهة والجبين بهما معاً مستوعباً لها من قصاص الشعر إلى طرف الأنف الأعلى وإلى الحاجبين والأحوط المسح عليهما، ثمّ مسح تمام ظاهر الكفّ الأيمن من الزند إلى أطراف الأصابع بباطن الكفّ اليسرى ثم مسح تمام ظاهر الكفّ اليسرى بباطن الكفّ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ما بين الأصابع من الظاهر ، بل الظاهر </w:t>
      </w:r>
      <w:r>
        <w:rPr>
          <w:rStyle w:val="FootnoteAnchor"/>
          <w:rtl w:val="true"/>
        </w:rPr>
        <w:footnoteReference w:id="78"/>
      </w:r>
      <w:r>
        <w:rPr>
          <w:rFonts w:ascii="Amiri" w:hAnsi="Amiri" w:eastAsia="Amiri" w:cs="Amiri"/>
          <w:color w:val="111111"/>
          <w:sz w:val="28"/>
          <w:sz w:val="28"/>
          <w:szCs w:val="28"/>
          <w:rtl w:val="true"/>
          <w:lang w:bidi="ar-SA"/>
        </w:rPr>
        <w:t xml:space="preserve">عدم اعتبار التدقيق والتعمّق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يجزي الوضع من دون مسمّى الضرب، ولا الضرب بظاهرهما، ولا ببعض الباطن بحيث لا يصدق عليه الضرب بتمام الكفّ عرفاً، ولا المسح بأحدهما ، ولا بهما على التعاقب، ولا بهما على وجه لا يصدق </w:t>
      </w:r>
      <w:bookmarkStart w:id="177" w:name="pg8988_116118"/>
    </w:p>
    <w:p>
      <w:pPr>
        <w:pStyle w:val="BookText"/>
        <w:rPr/>
      </w:pPr>
      <w:bookmarkEnd w:id="177"/>
      <w:r>
        <w:rPr>
          <w:rFonts w:ascii="Amiri" w:hAnsi="Amiri" w:eastAsia="Amiri" w:cs="Amiri"/>
          <w:color w:val="111111"/>
          <w:sz w:val="28"/>
          <w:sz w:val="28"/>
          <w:szCs w:val="28"/>
          <w:rtl w:val="true"/>
          <w:lang w:bidi="ar-SA"/>
        </w:rPr>
        <w:t xml:space="preserve">عليه المسح بتمامهما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يجب المسح بكلّ منهما لتمام الممسوح فيجزي التوزيع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تعذّر الضرب أو المسح بالباطن انتقل إلى الظاهر، كما لو تنجّس الباطن نجاسة تتعدّى إلى الصعيد ولم يمكن التجفيف والإزالة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تعذّر الإزالة وعدم التعدّي ضرب بهما ، وإن كانت النجاسة مستوعبة فالأحوط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الضرب بالظهر</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1814804_2870459653"/>
      <w:bookmarkStart w:id="179" w:name="_Toc66"/>
      <w:bookmarkEnd w:id="178"/>
      <w:r>
        <w:rPr>
          <w:rtl w:val="true"/>
        </w:rPr>
        <w:t>المبحث الرابع</w:t>
      </w:r>
      <w:r>
        <w:rPr>
          <w:rtl w:val="true"/>
        </w:rPr>
        <w:t xml:space="preserve">: </w:t>
      </w:r>
      <w:r>
        <w:rPr>
          <w:rtl w:val="true"/>
        </w:rPr>
        <w:t>في الشرائط</w:t>
      </w:r>
      <w:bookmarkEnd w:id="179"/>
    </w:p>
    <w:p>
      <w:pPr>
        <w:pStyle w:val="BookText"/>
        <w:rPr/>
      </w:pPr>
      <w:r>
        <w:rPr>
          <w:rFonts w:ascii="Amiri" w:hAnsi="Amiri" w:eastAsia="Amiri" w:cs="Amiri"/>
          <w:color w:val="111111"/>
          <w:sz w:val="28"/>
          <w:sz w:val="28"/>
          <w:szCs w:val="28"/>
          <w:rtl w:val="true"/>
          <w:lang w:bidi="ar-SA"/>
        </w:rPr>
        <w:t xml:space="preserve">يلزم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على نحو ما في الوضوء مقارنةً للضرب الذي هو أوّل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يجب فيها مع اتّحاد ما في الذمّة منه نيّة البدليّة عن الطهارة بالماء بل ومع التعدّد أيضاً وإن وجب التشخيص بها أو بغيرها سواء قلنا باختلاف كيفيّته عن الغسل والوضوء أو اتّحادها </w:t>
      </w:r>
      <w:r>
        <w:rPr>
          <w:rStyle w:val="FootnoteAnchor"/>
          <w:rtl w:val="true"/>
        </w:rPr>
        <w:footnoteReference w:id="79"/>
      </w:r>
      <w:r>
        <w:rPr>
          <w:rFonts w:ascii="Amiri" w:hAnsi="Amiri" w:eastAsia="Amiri" w:cs="Amiri"/>
          <w:color w:val="111111"/>
          <w:sz w:val="28"/>
          <w:sz w:val="28"/>
          <w:szCs w:val="28"/>
          <w:rtl w:val="true"/>
          <w:lang w:bidi="ar-SA"/>
        </w:rPr>
        <w:t>، ولا نيّة الاستباحة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وتلزم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المباشرة ، والموالات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عن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عدم الفصل المنافي لصورة الترتيب كما وصفناه، والبدأة بالأعلى، وعدم النكس، ورفع الحاجب من الماسح والممسوح، والطهارة فيهما على الأحوط</w:t>
      </w:r>
      <w:r>
        <w:rPr>
          <w:rFonts w:eastAsia="Amiri" w:cs="Amiri" w:ascii="Amiri" w:hAnsi="Amiri"/>
          <w:color w:val="111111"/>
          <w:sz w:val="28"/>
          <w:szCs w:val="28"/>
          <w:rtl w:val="true"/>
          <w:lang w:bidi="ar-SA"/>
        </w:rPr>
        <w:t xml:space="preserve">. </w:t>
      </w:r>
      <w:bookmarkStart w:id="180" w:name="pg8988_116120"/>
    </w:p>
    <w:p>
      <w:pPr>
        <w:pStyle w:val="BookText"/>
        <w:rPr/>
      </w:pPr>
      <w:bookmarkEnd w:id="180"/>
      <w:r>
        <w:rPr>
          <w:rFonts w:ascii="Amiri" w:hAnsi="Amiri" w:eastAsia="Amiri" w:cs="Amiri"/>
          <w:color w:val="111111"/>
          <w:sz w:val="28"/>
          <w:sz w:val="28"/>
          <w:szCs w:val="28"/>
          <w:rtl w:val="true"/>
          <w:lang w:bidi="ar-SA"/>
        </w:rPr>
        <w:t>وحكمه بالنسبة إلى الجبيرة ، والأقطع ، والحائل، والعاجز من المباشرة ، واللحم الزائد، واليد الزائدة، وغير ذلك كالوضوء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استبطان الشعر وإن كان بدلاً عن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فيما هو بدل عن الوضوء ضربة واحدة للوجه واليدين، وعن الغسل ضربتان على الأحوط واحدة للوجه والأخرى لليدين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التعدّد لهما، والأحوط منه تكرّر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ويقوى اتّحاده مع الوضوء بالنسبة إلى الشكّ فيه قبل الانصراف حتّى في بدل الغسل على إشكال خصوصاً في الأخير، فالاحتياط لا يُترك </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1814806_2870459653"/>
      <w:bookmarkStart w:id="182" w:name="_Toc67"/>
      <w:bookmarkEnd w:id="181"/>
      <w:r>
        <w:rPr>
          <w:rtl w:val="true"/>
        </w:rPr>
        <w:t>المبحث الخامس</w:t>
      </w:r>
      <w:r>
        <w:rPr>
          <w:rtl w:val="true"/>
        </w:rPr>
        <w:t xml:space="preserve">: </w:t>
      </w:r>
      <w:r>
        <w:rPr>
          <w:rtl w:val="true"/>
        </w:rPr>
        <w:t>في أحكامه</w:t>
      </w:r>
      <w:bookmarkEnd w:id="182"/>
    </w:p>
    <w:p>
      <w:pPr>
        <w:pStyle w:val="BookText"/>
        <w:rPr/>
      </w:pPr>
      <w:r>
        <w:rPr>
          <w:rFonts w:ascii="Amiri" w:hAnsi="Amiri" w:eastAsia="Amiri" w:cs="Amiri"/>
          <w:color w:val="111111"/>
          <w:sz w:val="28"/>
          <w:sz w:val="28"/>
          <w:szCs w:val="28"/>
          <w:rtl w:val="true"/>
          <w:lang w:bidi="ar-SA"/>
        </w:rPr>
        <w:t xml:space="preserve">لا يصحّ التيمّم للفريضة قبل دخول وقتها ويصحّ بعده وإن لم يتضيّق ما لم يرج زوال العذر في الوقت، والأحوط مراعات الضيق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تيمّم للصلاة يستبيح به لغاية غيرها مع بقاء المسوِّغ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كالمتطهّر</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وينقضه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الأصغر فضلاً عن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بدلاً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والتمكّن </w:t>
      </w:r>
      <w:r>
        <w:rPr>
          <w:rStyle w:val="FootnoteAnchor"/>
          <w:rtl w:val="true"/>
        </w:rPr>
        <w:footnoteReference w:id="81"/>
      </w:r>
      <w:r>
        <w:rPr>
          <w:rFonts w:ascii="Amiri" w:hAnsi="Amiri" w:eastAsia="Amiri" w:cs="Amiri"/>
          <w:color w:val="111111"/>
          <w:sz w:val="28"/>
          <w:sz w:val="28"/>
          <w:szCs w:val="28"/>
          <w:rtl w:val="true"/>
          <w:lang w:bidi="ar-SA"/>
        </w:rPr>
        <w:t xml:space="preserve">من استعمال الماء فإذا تعذّر عليه بعد ذلك أعاد </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التيمّم ولو تمكّن فى أثناء الفريضة مضى ما لم يكن قبل الركوع وإلّا انتقض والأحوط مع السعة الإتمام ثمّ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النافلة فإنّه ينتقض بالوجدان في أثنائها مطلقاً </w:t>
      </w:r>
      <w:r>
        <w:rPr>
          <w:rStyle w:val="FootnoteAnchor"/>
          <w:rtl w:val="true"/>
        </w:rPr>
        <w:footnoteReference w:id="83"/>
      </w:r>
      <w:r>
        <w:rPr>
          <w:rFonts w:ascii="Amiri" w:hAnsi="Amiri" w:eastAsia="Amiri" w:cs="Amiri"/>
          <w:color w:val="111111"/>
          <w:sz w:val="28"/>
          <w:sz w:val="28"/>
          <w:szCs w:val="28"/>
          <w:rtl w:val="true"/>
          <w:lang w:bidi="ar-SA"/>
        </w:rPr>
        <w:t xml:space="preserve">وكذا الطواف واجبه ومندوبه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وتيمّم الميّت لفقد الماء ينتقض بوجدانه قبل الدفن وإن صُلِّيَ عليه، وتعاد الصلاة حينئذٍ بعد الغسل</w:t>
      </w:r>
      <w:r>
        <w:rPr>
          <w:rFonts w:eastAsia="Amiri" w:cs="Amiri" w:ascii="Amiri" w:hAnsi="Amiri"/>
          <w:color w:val="111111"/>
          <w:sz w:val="28"/>
          <w:szCs w:val="28"/>
          <w:rtl w:val="true"/>
          <w:lang w:bidi="ar-SA"/>
        </w:rPr>
        <w:t xml:space="preserve">. </w:t>
      </w:r>
      <w:bookmarkStart w:id="183" w:name="pg8988_116125"/>
    </w:p>
    <w:p>
      <w:pPr>
        <w:pStyle w:val="Heading2"/>
        <w:numPr>
          <w:ilvl w:val="1"/>
          <w:numId w:val="1"/>
        </w:numPr>
        <w:rPr/>
      </w:pPr>
      <w:bookmarkStart w:id="184" w:name="__RefHeading___Toc1814808_2870459653"/>
      <w:bookmarkStart w:id="185" w:name="_Toc68"/>
      <w:bookmarkEnd w:id="183"/>
      <w:bookmarkEnd w:id="184"/>
      <w:r>
        <w:rPr>
          <w:rtl w:val="true"/>
        </w:rPr>
        <w:t>أمّا الخاتمة</w:t>
      </w:r>
      <w:bookmarkEnd w:id="185"/>
    </w:p>
    <w:p>
      <w:pPr>
        <w:pStyle w:val="Heading3"/>
        <w:numPr>
          <w:ilvl w:val="2"/>
          <w:numId w:val="1"/>
        </w:numPr>
        <w:rPr/>
      </w:pPr>
      <w:bookmarkStart w:id="186" w:name="__RefHeading___Toc1814810_2870459653"/>
      <w:bookmarkStart w:id="187" w:name="_Toc69"/>
      <w:bookmarkEnd w:id="186"/>
      <w:r>
        <w:rPr>
          <w:rtl w:val="true"/>
        </w:rPr>
        <w:t>اشارة</w:t>
      </w:r>
      <w:bookmarkEnd w:id="187"/>
    </w:p>
    <w:p>
      <w:pPr>
        <w:pStyle w:val="BookText"/>
        <w:rPr/>
      </w:pPr>
      <w:r>
        <w:rPr>
          <w:rFonts w:ascii="Amiri" w:hAnsi="Amiri" w:eastAsia="Amiri" w:cs="Amiri"/>
          <w:color w:val="111111"/>
          <w:sz w:val="28"/>
          <w:sz w:val="28"/>
          <w:szCs w:val="28"/>
          <w:rtl w:val="true"/>
          <w:lang w:bidi="ar-SA"/>
        </w:rPr>
        <w:t xml:space="preserve">ففيها مباحث </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1814812_2870459653"/>
      <w:bookmarkStart w:id="189" w:name="_Toc70"/>
      <w:bookmarkEnd w:id="188"/>
      <w:r>
        <w:rPr>
          <w:rtl w:val="true"/>
        </w:rPr>
        <w:t>[</w:t>
      </w:r>
      <w:r>
        <w:rPr>
          <w:rtl w:val="true"/>
        </w:rPr>
        <w:t>المبحث</w:t>
      </w:r>
      <w:r>
        <w:rPr>
          <w:rtl w:val="true"/>
        </w:rPr>
        <w:t xml:space="preserve">] </w:t>
      </w:r>
      <w:r>
        <w:rPr>
          <w:rtl w:val="true"/>
        </w:rPr>
        <w:t>الأوّل</w:t>
      </w:r>
      <w:r>
        <w:rPr>
          <w:rtl w:val="true"/>
        </w:rPr>
        <w:t xml:space="preserve">: </w:t>
      </w:r>
      <w:r>
        <w:rPr>
          <w:rtl w:val="true"/>
        </w:rPr>
        <w:t>في النجاسات</w:t>
      </w:r>
      <w:bookmarkEnd w:id="189"/>
    </w:p>
    <w:p>
      <w:pPr>
        <w:pStyle w:val="BookText"/>
        <w:rPr/>
      </w:pPr>
      <w:r>
        <w:rPr>
          <w:rFonts w:ascii="Amiri" w:hAnsi="Amiri" w:eastAsia="Amiri" w:cs="Amiri"/>
          <w:color w:val="111111"/>
          <w:sz w:val="28"/>
          <w:sz w:val="28"/>
          <w:szCs w:val="28"/>
          <w:rtl w:val="true"/>
          <w:lang w:bidi="ar-SA"/>
        </w:rPr>
        <w:t>وهي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والخُرء من الحيوان الغير المأكول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بالعارض كالجلّال وموطوء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نفس سائلة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المأكول وما لا نفس له فإنّهما منهما طاهران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 من كلّ حيوان ذي نفس حلّ أكله أو حرم، دون ما لا نفس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ميتة ما تحلّه الحياة </w:t>
      </w:r>
      <w:r>
        <w:rPr>
          <w:rStyle w:val="FootnoteAnchor"/>
          <w:rtl w:val="true"/>
        </w:rPr>
        <w:footnoteReference w:id="84"/>
      </w:r>
      <w:r>
        <w:rPr>
          <w:rFonts w:ascii="Amiri" w:hAnsi="Amiri" w:eastAsia="Amiri" w:cs="Amiri"/>
          <w:color w:val="111111"/>
          <w:sz w:val="28"/>
          <w:sz w:val="28"/>
          <w:szCs w:val="28"/>
          <w:rtl w:val="true"/>
          <w:lang w:bidi="ar-SA"/>
        </w:rPr>
        <w:t xml:space="preserve">، عدا ما ينفصل من بدن الانسان كالبثور، والثالول ، وقشر الجرب، وما يعلو الجروح والقروح، ونحوه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لا تحلّه الحياة كالعظم والقرن والسنّ والظفر والظلف والحافر والشّعر والصوف والوبر والريش فإنّه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البيض إذا </w:t>
      </w:r>
    </w:p>
    <w:p>
      <w:pPr>
        <w:pStyle w:val="BookText"/>
        <w:rPr/>
      </w:pPr>
      <w:r>
        <w:rPr>
          <w:rFonts w:ascii="Amiri" w:hAnsi="Amiri" w:eastAsia="Amiri" w:cs="Amiri"/>
          <w:color w:val="111111"/>
          <w:sz w:val="28"/>
          <w:sz w:val="28"/>
          <w:szCs w:val="28"/>
          <w:rtl w:val="true"/>
          <w:lang w:bidi="ar-SA"/>
        </w:rPr>
        <w:t>اكتسى القشر الأعلى من مأكول اللحم بل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نجس العين كالكلب وأخويه فلا يستثنى منه شيء حيّاً وميّتاً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ذي النفس وإن لم يكن من عرق ، بخلاف دم غير ذي النفس كالسمك والبقّ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والمشكوك في أنّه من أيّهما محكوم بطهارته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المستحيل من النطفة النجسة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نجس ولو كانت في بيضة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اجتنابها إذا كان فيها دم وإن لم يكن 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اجتناب كلّ ما شكّ في أنّه من الطاهر أو النجس ، واجتناب جميع أفراد الدم من ذي النفس إلّا الدم المتخلّف في المذكّى من ذي النفس المأكول بعد قذفه ما يعتاد من الدم بالذبح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والسابع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والخنزير البرّيّان عيناً ولعاباً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كلب الماء وخنزيره فطاهران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المسكر المائع بالأصل من غير فرق بين المتّخذ من ماء العنب وغيره، بخلاف الجامد كالحشيش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حكمه العصير العنبي إذا غلى بنفسه أو بالنار سواء حصل له ثخانة أم لا، والظاهر عدم انفكاك حرمته عن نجاسته بخلاف ما إذا لم يغل فإنّه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غيره من أفراد العصير ففيه تأمّل فالأحوط اجتنابه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متّخذ من الشعير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منه ما یستعمله الأطبّاء من ماء الشعير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من غير فرق في ذلك بين المرتدّ والكافر الأصلي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والحربي والذمّي والخارجي والغالي والناصبي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النجاسات المسوخات، ولا أولاد الزنا والمخالفون، ولا عرق الجنب من الحرام، وإن كان الاحتياط اجتناب الجميع سيّما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وعرق الإبل الجلّالة لا يُترك</w:t>
      </w:r>
      <w:r>
        <w:rPr>
          <w:rFonts w:eastAsia="Amiri" w:cs="Amiri" w:ascii="Amiri" w:hAnsi="Amiri"/>
          <w:color w:val="111111"/>
          <w:sz w:val="28"/>
          <w:szCs w:val="28"/>
          <w:rtl w:val="true"/>
          <w:lang w:bidi="ar-SA"/>
        </w:rPr>
        <w:t xml:space="preserve">. </w:t>
      </w:r>
      <w:bookmarkStart w:id="190" w:name="pg8988_116131"/>
    </w:p>
    <w:p>
      <w:pPr>
        <w:pStyle w:val="Heading3"/>
        <w:numPr>
          <w:ilvl w:val="2"/>
          <w:numId w:val="1"/>
        </w:numPr>
        <w:rPr/>
      </w:pPr>
      <w:bookmarkStart w:id="191" w:name="__RefHeading___Toc1814814_2870459653"/>
      <w:bookmarkStart w:id="192" w:name="_Toc71"/>
      <w:bookmarkEnd w:id="190"/>
      <w:bookmarkEnd w:id="191"/>
      <w:r>
        <w:rPr>
          <w:rtl w:val="true"/>
        </w:rPr>
        <w:t>المبحث الثاني</w:t>
      </w:r>
      <w:r>
        <w:rPr>
          <w:rtl w:val="true"/>
        </w:rPr>
        <w:t xml:space="preserve">: </w:t>
      </w:r>
      <w:r>
        <w:rPr>
          <w:rtl w:val="true"/>
        </w:rPr>
        <w:t>في كيفيّة التنجيس بها</w:t>
      </w:r>
      <w:bookmarkEnd w:id="192"/>
    </w:p>
    <w:p>
      <w:pPr>
        <w:pStyle w:val="BookText"/>
        <w:rPr/>
      </w:pPr>
      <w:r>
        <w:rPr>
          <w:rFonts w:ascii="Amiri" w:hAnsi="Amiri" w:eastAsia="Amiri" w:cs="Amiri"/>
          <w:color w:val="111111"/>
          <w:sz w:val="28"/>
          <w:sz w:val="28"/>
          <w:szCs w:val="28"/>
          <w:rtl w:val="true"/>
          <w:lang w:bidi="ar-SA"/>
        </w:rPr>
        <w:t xml:space="preserve">لا ينجس الملاقي لها مع اليبوسة فيهما ، سواء في ذلك الميتة وغيرها وإن كان الأحوط فى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البرد والغُسل ، وبعد 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مع النداوة التي لم تنتقل منها أجزاء بالملاقات وإنّما ينجس مع البلّة فى أحدهما بحيث تصل منه إلى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وتسري النجاسة في المائع إلى غير العالي المتّصل بالملاقي إذا كان سائلاً؛ بخلاف الجامد فإنّها تختصّ بالملاقي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نديّاً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تسري منه إلى الجزء الآخر المتّصل به قبل أن ينجس، بخلاف ما يتّصل به بعد النجاسة فإنّه ينجس حينئذٍ مع الرطوبة، بل الظاهر ذلك في مثل البطّيخ والخيار ونحوهما فإنّ الأصحّ عدم السراية، وكذا اليد ونحوها إذا كان عليها بلل من عرق أو غيره متّصل بعضها ببعض على وجه لا ينتقل جزؤه من مكان إلى آخر فإنّ الظاهر عدم السراية،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كلّ ما لم يعلم ميعانه على وجه تسري النجاسة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فالمشكوك فيه لا يحكم بالسراية فيه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وتَثْبُت النجاسة باليقين ، وإخبار ذي اليد ، وشهادة العدلين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ثبوتها بخبر الواحد إشكال</w:t>
      </w:r>
      <w:r>
        <w:rPr>
          <w:rFonts w:eastAsia="Amiri" w:cs="Amiri" w:ascii="Amiri" w:hAnsi="Amiri"/>
          <w:color w:val="111111"/>
          <w:sz w:val="28"/>
          <w:szCs w:val="28"/>
          <w:rtl w:val="true"/>
          <w:lang w:bidi="ar-SA"/>
        </w:rPr>
        <w:t xml:space="preserve">. </w:t>
      </w:r>
      <w:bookmarkStart w:id="193" w:name="pg8988_116133"/>
    </w:p>
    <w:p>
      <w:pPr>
        <w:pStyle w:val="Heading3"/>
        <w:numPr>
          <w:ilvl w:val="2"/>
          <w:numId w:val="1"/>
        </w:numPr>
        <w:rPr/>
      </w:pPr>
      <w:bookmarkStart w:id="194" w:name="__RefHeading___Toc1814816_2870459653"/>
      <w:bookmarkStart w:id="195" w:name="_Toc72"/>
      <w:bookmarkEnd w:id="193"/>
      <w:bookmarkEnd w:id="194"/>
      <w:r>
        <w:rPr>
          <w:rtl w:val="true"/>
        </w:rPr>
        <w:t>المبحث الثالث</w:t>
      </w:r>
      <w:r>
        <w:rPr>
          <w:rtl w:val="true"/>
        </w:rPr>
        <w:t xml:space="preserve">: </w:t>
      </w:r>
      <w:r>
        <w:rPr>
          <w:rtl w:val="true"/>
        </w:rPr>
        <w:t>في أحكامها</w:t>
      </w:r>
      <w:bookmarkEnd w:id="195"/>
    </w:p>
    <w:p>
      <w:pPr>
        <w:pStyle w:val="BookText"/>
        <w:rPr/>
      </w:pPr>
      <w:r>
        <w:rPr>
          <w:rFonts w:ascii="Amiri" w:hAnsi="Amiri" w:eastAsia="Amiri" w:cs="Amiri"/>
          <w:color w:val="111111"/>
          <w:sz w:val="28"/>
          <w:sz w:val="28"/>
          <w:szCs w:val="28"/>
          <w:rtl w:val="true"/>
          <w:lang w:bidi="ar-SA"/>
        </w:rPr>
        <w:t>وهي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Style w:val="FootnoteAnchor"/>
          <w:rtl w:val="true"/>
        </w:rPr>
        <w:footnoteReference w:id="86"/>
      </w:r>
      <w:r>
        <w:rPr>
          <w:rFonts w:ascii="Amiri" w:hAnsi="Amiri" w:eastAsia="Amiri" w:cs="Amiri"/>
          <w:color w:val="111111"/>
          <w:sz w:val="28"/>
          <w:sz w:val="28"/>
          <w:szCs w:val="28"/>
          <w:rtl w:val="true"/>
          <w:lang w:bidi="ar-SA"/>
        </w:rPr>
        <w:t xml:space="preserve">يشترط في صحّة الصلاة وتوابعها طهارة ظاهر بشرة المصلّي وشعره وظفره من النجاسة والمتنجّس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قليلها مثل رؤوس الإبر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وطهارة اللباس حال الصلاة من غير فرق بين الساتر وغيره عدا ما ستعرفه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والطواف واجبه ومندوبه كالصلاة في ذلك</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بين العالم بالحكم التكليفي والوضعي والجاهل بهما فمن تعمّده وصلّى بطلت صلاته على الأصحّ ، بل الأصحّ أنّ الناسي غيرَ الذاكر إلّا بعد الفراغ وفي الأثناء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يعيد الجاهل بالنجاسة حتّى فرغ في الوقت فضلاً عن خارجه وإن كان هو الأحوط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علم بها في الأثناء وأمكنه إزالتها بنزع أو غيره على وجه لا ينافي الصلاة وبقاء التستّر فَعلَ ذلك ، والأحوط الإتمام ثمّ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يمكن ذلك استأنفها من رأس بعد الإزالة إذا كان الوقت واسعاً وإلّا </w:t>
      </w:r>
    </w:p>
    <w:p>
      <w:pPr>
        <w:pStyle w:val="BookText"/>
        <w:rPr/>
      </w:pPr>
      <w:r>
        <w:rPr>
          <w:rFonts w:ascii="Amiri" w:hAnsi="Amiri" w:eastAsia="Amiri" w:cs="Amiri"/>
          <w:color w:val="111111"/>
          <w:sz w:val="28"/>
          <w:sz w:val="28"/>
          <w:szCs w:val="28"/>
          <w:rtl w:val="true"/>
          <w:lang w:bidi="ar-SA"/>
        </w:rPr>
        <w:t>سقط اعتبارها فيصلّي بها ما لم تكن في ساتر مثلاً يمكن نزعه فإنّه ينزعه حينئذٍ ويصلّي عارياً، وكذا لو عرضت له النجاسة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يتمكّن إلّا في الثوب النجس صلّى مع سعة الوقت عارياً وفي الثوب النجس، ومع الضيق صلّى عارياً ثمّ قضى بعد الوقت بثوب طاهر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ما يراد أكله وشربه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طهارة محلّ السجود دون غيره من مكان المصلّي إلّا مع تعدّي النجاسة إلى الثوب والبدن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والمحصور كالنجس بخلاف غیر المحصور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الإعادة مع الجهل والنسيان هنا بل والقضاء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يجد إلّا النجس سجد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تطهير المساجد وما في حكمها من المشاهد المشرّفة والضرائح المعظّمة بل كلّ ما علم من الشرع وجوب تعظيمه على وجه ينافيه التنجّس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الانتفاع المحلّل بالأعيان النجسة والمتنجّسة إلّا ما خرج بالدليل، ولا فرق في ذلك بين الميتة وغيرها </w:t>
      </w:r>
      <w:r>
        <w:rPr>
          <w:rFonts w:eastAsia="Amiri" w:cs="Amiri" w:ascii="Amiri" w:hAnsi="Amiri"/>
          <w:color w:val="111111"/>
          <w:sz w:val="28"/>
          <w:szCs w:val="28"/>
          <w:rtl w:val="true"/>
          <w:lang w:bidi="ar-SA"/>
        </w:rPr>
        <w:t xml:space="preserve">. </w:t>
      </w:r>
      <w:bookmarkStart w:id="196" w:name="pg8988_116137"/>
    </w:p>
    <w:p>
      <w:pPr>
        <w:pStyle w:val="Heading3"/>
        <w:numPr>
          <w:ilvl w:val="2"/>
          <w:numId w:val="1"/>
        </w:numPr>
        <w:rPr/>
      </w:pPr>
      <w:bookmarkStart w:id="197" w:name="__RefHeading___Toc1814818_2870459653"/>
      <w:bookmarkStart w:id="198" w:name="_Toc73"/>
      <w:bookmarkEnd w:id="196"/>
      <w:bookmarkEnd w:id="197"/>
      <w:r>
        <w:rPr>
          <w:rtl w:val="true"/>
        </w:rPr>
        <w:t>المبحث الرابع</w:t>
      </w:r>
      <w:r>
        <w:rPr>
          <w:rtl w:val="true"/>
        </w:rPr>
        <w:t xml:space="preserve">: </w:t>
      </w:r>
      <w:r>
        <w:rPr>
          <w:rtl w:val="true"/>
        </w:rPr>
        <w:t>فيما يُعفى عنه منها في الصلاة</w:t>
      </w:r>
      <w:bookmarkEnd w:id="198"/>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العفو عن دم الجروح والقروح في البدن واللباس حتّى تبرء من غير فرق بين مشقّة الإزالة وإمكان تبديل الثوب وعدمها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العفو عنه مع التعدّي إلى غير محلّه إذا كان متعارفاً التعدّي إليه غالباً لكن لا يتعمّد ذلك، بل لا يبعد تبعيّة العرق ونحوه ممّا یعسر انفكاكه عنه في بعض الأزمنة والأحوال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في دم البواسير الغسل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في البدن واللباس إذا كان سعته أقل من سعة الدرهم البغلي ولم يكن من الحيض والاستحاضة والنفاس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بلغ الدرهم</w:t>
      </w:r>
    </w:p>
    <w:p>
      <w:pPr>
        <w:pStyle w:val="BookText"/>
        <w:rPr/>
      </w:pPr>
      <w:r>
        <w:rPr>
          <w:rFonts w:ascii="Amiri" w:hAnsi="Amiri" w:eastAsia="Amiri" w:cs="Amiri"/>
          <w:color w:val="111111"/>
          <w:sz w:val="28"/>
          <w:sz w:val="28"/>
          <w:szCs w:val="28"/>
          <w:rtl w:val="true"/>
          <w:lang w:bidi="ar-SA"/>
        </w:rPr>
        <w:t>فما فوق أو كان من الدماء الثلاثة فلا يعفى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الدم المعفوّ عنه بين أن يكون دم مأكول اللحم وغيره، بل ولا بين الطاهر العين وغيره حتّى الميتة لكن الاحتياط بالاجتناب</w:t>
      </w:r>
    </w:p>
    <w:p>
      <w:pPr>
        <w:pStyle w:val="BookText"/>
        <w:rPr/>
      </w:pPr>
      <w:r>
        <w:rPr>
          <w:rFonts w:ascii="Amiri" w:hAnsi="Amiri" w:eastAsia="Amiri" w:cs="Amiri"/>
          <w:color w:val="111111"/>
          <w:sz w:val="28"/>
          <w:sz w:val="28"/>
          <w:szCs w:val="28"/>
          <w:rtl w:val="true"/>
          <w:lang w:bidi="ar-SA"/>
        </w:rPr>
        <w:t xml:space="preserve">لا ينبغي تركه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اشتبه الدم بين المعفوّ عنه وغيره حكم بالعفو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الدم متفرّقاً لوحظ التقدير على فرض اجتماعه علی الأصحّ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يعفى عن حمل المتنجّس وإن كان ممّا تتمّ به الصلاة، وإن كان الأحوط اجتنابه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عن كلّ ما لا تتمّ به الصلاة منفرداً من اللباس كالخفّ والجورب ونحوهما إذا تنجّس بنجاسة مأكول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تنجّس بنجاسة غير مأكول اللحم فالأحوط اجتنابه كما أنّ الأقوى المنع من المتّخذ من النجس كجزء الميتة أو شعر الكلب أو أخويه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عن البول في ثوب المربّية للمولود الذكر متّحداً </w:t>
      </w:r>
      <w:r>
        <w:rPr>
          <w:rStyle w:val="FootnoteAnchor"/>
          <w:rtl w:val="true"/>
        </w:rPr>
        <w:footnoteReference w:id="88"/>
      </w:r>
      <w:r>
        <w:rPr>
          <w:rFonts w:ascii="Amiri" w:hAnsi="Amiri" w:eastAsia="Amiri" w:cs="Amiri"/>
          <w:color w:val="111111"/>
          <w:sz w:val="28"/>
          <w:sz w:val="28"/>
          <w:szCs w:val="28"/>
          <w:rtl w:val="true"/>
          <w:lang w:bidi="ar-SA"/>
        </w:rPr>
        <w:t xml:space="preserve">ومتعدّداً إذا غسلته في اليوم والليلة مرّة ولم يكن عندها غيره و إن تمكّنت من شراء واستيجار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يتعدّى من البول إلى غيره، ولا من الثوب إلى البدن ،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المربّية إلى المربّي، ولا إلى ذات الثياب المتعدّدة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احتاجت إلى لبس الجميع كانت كذات الثوب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ويقوى الاجتزاء بالصبّ إذا كان المربّى صبيّاً لم يتغذّ بالطعام، والأحوط المحافظة على الغسل في المقام وإن قلنا بالاكتفاء بالصبّ في غيره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والأقوى سريان العفو إلى غير الفرائض من القضاء والنوافل وإلى ما يتعدّى من ثوبها إلى بدنها من عرقها وبعض الرطوبات، وينبغي حينئذٍ غسل بدنها كلّ يوم مرّة كالثوب</w:t>
      </w:r>
      <w:r>
        <w:rPr>
          <w:rFonts w:eastAsia="Amiri" w:cs="Amiri" w:ascii="Amiri" w:hAnsi="Amiri"/>
          <w:color w:val="111111"/>
          <w:sz w:val="28"/>
          <w:szCs w:val="28"/>
          <w:rtl w:val="true"/>
          <w:lang w:bidi="ar-SA"/>
        </w:rPr>
        <w:t xml:space="preserve">. </w:t>
      </w:r>
      <w:bookmarkStart w:id="199" w:name="pg8988_116141"/>
    </w:p>
    <w:p>
      <w:pPr>
        <w:pStyle w:val="Heading3"/>
        <w:numPr>
          <w:ilvl w:val="2"/>
          <w:numId w:val="1"/>
        </w:numPr>
        <w:rPr/>
      </w:pPr>
      <w:bookmarkStart w:id="200" w:name="__RefHeading___Toc1814820_2870459653"/>
      <w:bookmarkStart w:id="201" w:name="_Toc74"/>
      <w:bookmarkEnd w:id="199"/>
      <w:bookmarkEnd w:id="200"/>
      <w:r>
        <w:rPr>
          <w:rtl w:val="true"/>
        </w:rPr>
        <w:t>المبحث الخامس</w:t>
      </w:r>
      <w:r>
        <w:rPr>
          <w:rtl w:val="true"/>
        </w:rPr>
        <w:t xml:space="preserve">: </w:t>
      </w:r>
      <w:r>
        <w:rPr>
          <w:rtl w:val="true"/>
        </w:rPr>
        <w:t>في المطهّرات، وكيفيّة التطهير، وما يطهَّر بها</w:t>
      </w:r>
      <w:bookmarkEnd w:id="201"/>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مطهّر لكلّ متنجّس يمكن تخلّل الماء أجزاءه إلّا المضاف الذي لا يطهر إلّا بإخراجه عن الإضافة إلى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عرفت أنّه يطهّر نفسه وإن اعتبر في مطهّره كونه ممّا لا ينفعل بالنجاسة كالكرّ ونحوه، بخلاف غيره من المتنجّسات فإنّها تطهر بعد زوال العين بالقليل والكثير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عدم اعتبار العصر والورود والتعدّد بالمطهّر في الثاني من غير فرق بين الجاري منه وغيره وإن كان الاحتياط بالعصر والتعدّد فيما يُعتَبران فيه خصوصاً في الكثير الراكد وخصوصاً في الولوغ</w:t>
      </w:r>
      <w:r>
        <w:rPr>
          <w:rStyle w:val="FootnoteAnchor"/>
          <w:rtl w:val="true"/>
        </w:rPr>
        <w:footnoteReference w:id="89"/>
      </w:r>
      <w:r>
        <w:rPr>
          <w:rFonts w:ascii="Amiri" w:hAnsi="Amiri" w:eastAsia="Amiri" w:cs="Amiri"/>
          <w:color w:val="111111"/>
          <w:sz w:val="28"/>
          <w:sz w:val="28"/>
          <w:szCs w:val="28"/>
          <w:rtl w:val="true"/>
          <w:lang w:bidi="ar-SA"/>
        </w:rPr>
        <w:t xml:space="preserve">ممّا لا ينبغي تركه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التطهير بالقليل فيعتبر فيه انفصال ماء الغسل منه، ويعتبر فيه الورود فلا يجزي وضع المتنجّس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ورد الماء عليه لم يقدح إدارته بعد ذلك على أجزاء المغسول ، والاحتياط بالعصر والتعدّد في متعدّد الغسل لا ينبغي تركه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المتنجّس ببول غير الصبي فإنّ </w:t>
      </w:r>
    </w:p>
    <w:p>
      <w:pPr>
        <w:pStyle w:val="BookText"/>
        <w:rPr/>
      </w:pPr>
      <w:r>
        <w:rPr>
          <w:rFonts w:ascii="Amiri" w:hAnsi="Amiri" w:eastAsia="Amiri" w:cs="Amiri"/>
          <w:color w:val="111111"/>
          <w:sz w:val="28"/>
          <w:sz w:val="28"/>
          <w:szCs w:val="28"/>
          <w:rtl w:val="true"/>
          <w:lang w:bidi="ar-SA"/>
        </w:rPr>
        <w:t>الأصحّ اعتبار التعدّد بالغسل فيه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فرق في اعتبار التعدّد بین بول الانسان وغيره، والجفاف وغيره، والبدن والثوب وغيرهما، حتّى الآنية على الأصحّ ، لكن الاحتياط بتثليث الغسلات في الأخير لا يترك، بل تكفي في التطهير وإن حصلت الإزالة بأحدها </w:t>
      </w:r>
      <w:r>
        <w:rPr>
          <w:rStyle w:val="FootnoteAnchor"/>
          <w:rtl w:val="true"/>
        </w:rPr>
        <w:footnoteReference w:id="90"/>
      </w:r>
      <w:r>
        <w:rPr>
          <w:rFonts w:ascii="IRNazanin" w:hAnsi="IRNazanin" w:eastAsia="IRNazanin"/>
          <w:color w:val="111111"/>
          <w:sz w:val="28"/>
          <w:sz w:val="28"/>
          <w:szCs w:val="28"/>
          <w:rtl w:val="true"/>
          <w:lang w:bidi="fa-IR"/>
        </w:rPr>
        <w:t xml:space="preserve">والأحوط کون الغسلین منها بعد الإزالة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ولابدّ فيها من الورود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في التطهير بالقليل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التعدّد فلا يجزي اتّصال جريان الماء في زمانها</w:t>
      </w:r>
      <w:r>
        <w:rPr>
          <w:rStyle w:val="FootnoteAnchor"/>
          <w:rtl w:val="true"/>
        </w:rPr>
        <w:footnoteReference w:id="91"/>
      </w:r>
      <w:r>
        <w:rPr>
          <w:rFonts w:ascii="IRNazanin" w:hAnsi="IRNazanin" w:eastAsia="IRNazanin"/>
          <w:color w:val="111111"/>
          <w:sz w:val="28"/>
          <w:sz w:val="28"/>
          <w:szCs w:val="28"/>
          <w:rtl w:val="true"/>
          <w:lang w:bidi="fa-IR"/>
        </w:rPr>
        <w:t>على الأقوى</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المتنجّس بغير البول ولم يكن آنية فالأقوى الاجتزاء فيه بالمرّة بعد الإزالة ما لم يتغيّر الماء وإلّا غسله مرّة أخرى، والأحوط التعدّد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الآنية فإن تنجّست بولوغ كلب فيما فيها من الماء أو غيره ممّا يتحقّق معه اسم الولوغ غسلت ثلاثاً أوّلهنّ بالتراب ولا يقوم غيره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في الغسل بالتراب وضع ماء عليه بحيث لا يخرجه عن اسم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مسحه بالتراب الخالص أوّلاً، ثمّ غسله بوضع ماء عليه بحيث لا يخرجه عن اسم التراب، ثمّ بوضع ماءٍ عليه بحيث لا يخرجه التراب عن اسم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ذلك في مطلق المباشرة بالفم كاللطع ونحوه والشرب بلا ولوغ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المباشرة بباقي </w:t>
      </w:r>
    </w:p>
    <w:p>
      <w:pPr>
        <w:pStyle w:val="BookText"/>
        <w:rPr/>
      </w:pPr>
      <w:r>
        <w:rPr>
          <w:rFonts w:ascii="Amiri" w:hAnsi="Amiri" w:eastAsia="Amiri" w:cs="Amiri"/>
          <w:color w:val="111111"/>
          <w:sz w:val="28"/>
          <w:sz w:val="28"/>
          <w:szCs w:val="28"/>
          <w:rtl w:val="true"/>
          <w:lang w:bidi="ar-SA"/>
        </w:rPr>
        <w:t xml:space="preserve">أعضائه فالاحتياط فيه لا يُترك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لا يسري الحكم إلى مباشرة لعابه من غير ولوغ فضلاً عن باقى رطوباته مع أنّ الاحتياط يقتضيه كما أنّه يقتضي </w:t>
      </w:r>
      <w:r>
        <w:rPr>
          <w:rStyle w:val="FootnoteAnchor"/>
          <w:rtl w:val="true"/>
        </w:rPr>
        <w:footnoteReference w:id="93"/>
      </w:r>
      <w:r>
        <w:rPr>
          <w:rFonts w:ascii="Amiri" w:hAnsi="Amiri" w:eastAsia="Amiri" w:cs="Amiri"/>
          <w:color w:val="111111"/>
          <w:sz w:val="28"/>
          <w:sz w:val="28"/>
          <w:szCs w:val="28"/>
          <w:rtl w:val="true"/>
          <w:lang w:bidi="ar-SA"/>
        </w:rPr>
        <w:t>تعدية الحكم إلى غير الإناء خصوصاً مع صدق الولوغ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في التراب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يلحق بالكلب غيره حتّى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ينبغي غسل الإناء سبعاً لشرب الخنزير ولموت الفأرة والجرذ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عدم الوجوب حتّى في الخنزير وإن كان الاحتياط فيه لا يُترك</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ويغسل الإناء من </w:t>
      </w:r>
      <w:r>
        <w:rPr>
          <w:rStyle w:val="FootnoteAnchor"/>
          <w:rtl w:val="true"/>
        </w:rPr>
        <w:footnoteReference w:id="94"/>
      </w:r>
      <w:r>
        <w:rPr>
          <w:rFonts w:ascii="Amiri" w:hAnsi="Amiri" w:eastAsia="Amiri" w:cs="Amiri"/>
          <w:color w:val="111111"/>
          <w:sz w:val="28"/>
          <w:sz w:val="28"/>
          <w:szCs w:val="28"/>
          <w:rtl w:val="true"/>
          <w:lang w:bidi="ar-SA"/>
        </w:rPr>
        <w:t>غيرها من النجاسات ثلاث مرّات بعد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الصبّ لبول الصبي الذي لم يتغذّ بالطعام في مدّة الرضاع من غير علاج وعصر ، بل لا يعتبر التعدّد وإن كان هو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وتُطهَّر الأواني الكبيرة والصغيرة ضيقة الرأس وواسعته بالكثير بأن توضع فيه حتّى يستولي عليها، وبالقليل بإمرار الماء عليها وإدارته فيها </w:t>
      </w:r>
    </w:p>
    <w:p>
      <w:pPr>
        <w:pStyle w:val="BookText"/>
        <w:rPr/>
      </w:pPr>
      <w:r>
        <w:rPr>
          <w:rFonts w:ascii="IRNazanin" w:hAnsi="IRNazanin" w:eastAsia="IRNazanin"/>
          <w:color w:val="111111"/>
          <w:sz w:val="28"/>
          <w:sz w:val="28"/>
          <w:szCs w:val="28"/>
          <w:rtl w:val="true"/>
          <w:lang w:bidi="fa-IR"/>
        </w:rPr>
        <w:t xml:space="preserve">بحيث يستوعب جميع أجزائها بالإيراد ثمّ يراق منها، لكن الاحتياط في فوريّة إتباع الإدارة الإيراد وإتباع الإفراغ الإدارة ممّا لا ينبغي تركه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الأواني الكبار والمثبتة والحياض ونحوها تستوعب بإجراء الماء ثمّ يخرج المجتمع من ماء الغسالة بنزح ونحوه،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یعتبر الفوريّة المزبورة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والأحوط اعتبار تطهير آلة النزح لو أريد إعادتها له، وكذا يد النازح واجتناب ما تقاطر حال النزح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تُطهِّر ما يماسّها من القدم وما يوقى به من النعل والقبقاب</w:t>
      </w:r>
      <w:r>
        <w:rPr>
          <w:rStyle w:val="FootnoteAnchor"/>
          <w:rtl w:val="true"/>
        </w:rPr>
        <w:footnoteReference w:id="95"/>
      </w:r>
      <w:r>
        <w:rPr>
          <w:rFonts w:ascii="Amiri" w:hAnsi="Amiri" w:eastAsia="Amiri" w:cs="Amiri"/>
          <w:color w:val="111111"/>
          <w:sz w:val="28"/>
          <w:sz w:val="28"/>
          <w:szCs w:val="28"/>
          <w:rtl w:val="true"/>
          <w:lang w:bidi="ar-SA"/>
        </w:rPr>
        <w:t>بالمشي أو المسح بها أو بغيرهما ممّا يزول معه عين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زوال عين النجاسة كفت المماسّة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التراب والحجر وغيرهما ممّا يسمّى أرضاً ، والأقوى اشتراط طهارتها وأن لا تكون رطبةً رطوبةً تتعدّى إلى القدم، فلا بأس بالندية التي يصدق معها اليبس عرفاً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والواجب إزالة العين دون الأثر كما في الاستنجاء وإن کان هو الأحوط، بل لا يبعد طهارة الأجزاء الصغار الأرضيّة الباقية في القدم بعد المشي والمسح ، والله أعلم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تُطهِّر الأرض وكلّ ما لا يُنقل من الأبنية وما اتّصل بها من أخشاب وأبواب وأعتاب وأوتاد وأشجار ونبات وإن </w:t>
      </w:r>
    </w:p>
    <w:p>
      <w:pPr>
        <w:pStyle w:val="BookText"/>
        <w:rPr/>
      </w:pPr>
      <w:r>
        <w:rPr>
          <w:rFonts w:ascii="Amiri" w:hAnsi="Amiri" w:eastAsia="Amiri" w:cs="Amiri"/>
          <w:color w:val="111111"/>
          <w:sz w:val="28"/>
          <w:sz w:val="28"/>
          <w:szCs w:val="28"/>
          <w:rtl w:val="true"/>
          <w:lang w:bidi="ar-SA"/>
        </w:rPr>
        <w:t xml:space="preserve">حان قطافها وغيرها حتّى الأواني المثبتة ونحوها والحصر والبواري ممّا ينقل من كلّ نجاسة بعد زوال عينها على وجه يجفّفها تجفيفاً يستند إلى إشراقها ، فلا بأس بمشاركة </w:t>
      </w:r>
      <w:r>
        <w:rPr>
          <w:rStyle w:val="FootnoteAnchor"/>
          <w:rtl w:val="true"/>
        </w:rPr>
        <w:footnoteReference w:id="97"/>
      </w:r>
      <w:r>
        <w:rPr>
          <w:rFonts w:ascii="Amiri" w:hAnsi="Amiri" w:eastAsia="Amiri" w:cs="Amiri"/>
          <w:color w:val="111111"/>
          <w:sz w:val="28"/>
          <w:sz w:val="28"/>
          <w:szCs w:val="28"/>
          <w:rtl w:val="true"/>
          <w:lang w:bidi="ar-SA"/>
        </w:rPr>
        <w:t>الريح بعد فرض الاستناد إلى إشراقها ، والاحتياط في اعتبار اليبس ممّا لا ينبغي تركه وكون الأرض مثلاً رطبة رطوبة تعلق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إشراقها نفسها إلّا أن يكون باطن شيء واحد قد أشرقت على ظاهره فإنّها تطهّرهما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الاستحالة إلى جسم آخر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فتطهّر النار ما أحالته رماداً أو دخاناً أو بخاراً </w:t>
      </w:r>
      <w:r>
        <w:rPr>
          <w:rStyle w:val="FootnoteAnchor"/>
          <w:rtl w:val="true"/>
        </w:rPr>
        <w:footnoteReference w:id="98"/>
      </w:r>
      <w:r>
        <w:rPr>
          <w:rFonts w:ascii="Amiri" w:hAnsi="Amiri" w:eastAsia="Amiri" w:cs="Amiri"/>
          <w:color w:val="111111"/>
          <w:sz w:val="28"/>
          <w:sz w:val="28"/>
          <w:szCs w:val="28"/>
          <w:rtl w:val="true"/>
          <w:lang w:bidi="ar-SA"/>
        </w:rPr>
        <w:t>نجساً كان أو متنجّساً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أحالته</w:t>
      </w:r>
    </w:p>
    <w:p>
      <w:pPr>
        <w:pStyle w:val="BookText"/>
        <w:rPr/>
      </w:pPr>
      <w:r>
        <w:rPr>
          <w:rFonts w:ascii="Amiri" w:hAnsi="Amiri" w:eastAsia="Amiri" w:cs="Amiri"/>
          <w:color w:val="111111"/>
          <w:sz w:val="28"/>
          <w:sz w:val="28"/>
          <w:szCs w:val="28"/>
          <w:rtl w:val="true"/>
          <w:lang w:bidi="ar-SA"/>
        </w:rPr>
        <w:t xml:space="preserve">فحماً أو خزفاً أو جصّاً أو نورة الأحوط </w:t>
      </w:r>
      <w:r>
        <w:rPr>
          <w:rStyle w:val="FootnoteAnchor"/>
          <w:rtl w:val="true"/>
        </w:rPr>
        <w:footnoteReference w:id="99"/>
      </w:r>
      <w:r>
        <w:rPr>
          <w:rFonts w:ascii="Amiri" w:hAnsi="Amiri" w:eastAsia="Amiri" w:cs="Amiri"/>
          <w:color w:val="111111"/>
          <w:sz w:val="28"/>
          <w:sz w:val="28"/>
          <w:szCs w:val="28"/>
          <w:rtl w:val="true"/>
          <w:lang w:bidi="ar-SA"/>
        </w:rPr>
        <w:t>البقاء على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ويطهر الدم والنطفة المستحيلان حيواناً طاهراً، والعذرة والميتة والماء النجس والغذاء النجس إذا صار دوداً أو جزءًا من الخضروات والأشجار والأثمار أو لبناً أو روثاً لمأكول اللحم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الثلثين في العصير بالنار ؛ وفي إلحاق الشمس بها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الثلثين بين الوزن والكيل والمساحة، والأحوط الأوّلان بل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الانتقال بحيث يضاف إلى المنتقل إليه ، فلو عُلِم عدم الإضافة أو لم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كالدم الذي يمصّه </w:t>
      </w:r>
      <w:r>
        <w:rPr>
          <w:rStyle w:val="FootnoteAnchor"/>
          <w:rtl w:val="true"/>
        </w:rPr>
        <w:footnoteReference w:id="100"/>
      </w:r>
      <w:r>
        <w:rPr>
          <w:rFonts w:ascii="Amiri" w:hAnsi="Amiri" w:eastAsia="Amiri" w:cs="Amiri"/>
          <w:color w:val="111111"/>
          <w:sz w:val="28"/>
          <w:sz w:val="28"/>
          <w:szCs w:val="28"/>
          <w:rtl w:val="true"/>
          <w:lang w:bidi="ar-SA"/>
        </w:rPr>
        <w:t xml:space="preserve">العلق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على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فإنّه مطهّر للكافر بأقسامه إلّا الرجل المرتدّ عن فطرة على الأصحّ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يتبع الكافر ما باشره سابقاً حتّى ثيابه، نعم يتبعه فضلاته المتّصلة به من شعره وظفره وبصاقه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الكافر إذا أسلم تبعه ولده </w:t>
      </w:r>
      <w:r>
        <w:rPr>
          <w:rStyle w:val="FootnoteAnchor"/>
          <w:rtl w:val="true"/>
        </w:rPr>
        <w:footnoteReference w:id="102"/>
      </w:r>
      <w:r>
        <w:rPr>
          <w:rFonts w:ascii="Amiri" w:hAnsi="Amiri" w:eastAsia="Amiri" w:cs="Amiri"/>
          <w:color w:val="111111"/>
          <w:sz w:val="28"/>
          <w:sz w:val="28"/>
          <w:szCs w:val="28"/>
          <w:rtl w:val="true"/>
          <w:lang w:bidi="ar-SA"/>
        </w:rPr>
        <w:t xml:space="preserve">في الطهارة أباً أو جدّاً أو أمّاً كتبعيّة الطفل </w:t>
      </w:r>
      <w:r>
        <w:rPr>
          <w:rStyle w:val="FootnoteAnchor"/>
          <w:rtl w:val="true"/>
        </w:rPr>
        <w:footnoteReference w:id="103"/>
      </w:r>
      <w:r>
        <w:rPr>
          <w:rFonts w:ascii="Amiri" w:hAnsi="Amiri" w:eastAsia="Amiri" w:cs="Amiri"/>
          <w:color w:val="111111"/>
          <w:sz w:val="28"/>
          <w:sz w:val="28"/>
          <w:szCs w:val="28"/>
          <w:rtl w:val="true"/>
          <w:lang w:bidi="ar-SA"/>
        </w:rPr>
        <w:t>للسابى إذا لم يكن معه أحد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وحواشي البئر وآلة النزح وأواني الخمر والعصير والعامل وثيابه تتبعها في الطهارة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آلة تغسيل الميّت من السُدَّة </w:t>
      </w:r>
      <w:r>
        <w:rPr>
          <w:rStyle w:val="FootnoteAnchor"/>
          <w:rtl w:val="true"/>
        </w:rPr>
        <w:footnoteReference w:id="104"/>
      </w:r>
      <w:r>
        <w:rPr>
          <w:rFonts w:ascii="Amiri" w:hAnsi="Amiri" w:eastAsia="Amiri" w:cs="Amiri"/>
          <w:color w:val="111111"/>
          <w:sz w:val="28"/>
          <w:sz w:val="28"/>
          <w:szCs w:val="28"/>
          <w:rtl w:val="true"/>
          <w:lang w:bidi="ar-SA"/>
        </w:rPr>
        <w:t>والخرقة وثيابه التي غسّل فيها ويد الغاسل ففيما عدا الأخير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الأجسام المطروحة في الخمر والعصير الغير المستحيلة ففي التبعيّة 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تاسعها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عين النجاسة بالنسبة إلى الصامت من الحيوان وبواطن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مطهّرة للإنسان وثيابه وفرشه وأوانيه وغيرها من توابعه مع علمه بالنجاسة واحتمال التطهير اذا استعمله صاحبه المسلم</w:t>
      </w:r>
    </w:p>
    <w:p>
      <w:pPr>
        <w:pStyle w:val="BookText"/>
        <w:rPr/>
      </w:pPr>
      <w:r>
        <w:rPr>
          <w:rFonts w:ascii="Amiri" w:hAnsi="Amiri" w:eastAsia="Amiri" w:cs="Amiri"/>
          <w:color w:val="111111"/>
          <w:sz w:val="28"/>
          <w:sz w:val="28"/>
          <w:szCs w:val="28"/>
          <w:rtl w:val="true"/>
          <w:lang w:bidi="ar-SA"/>
        </w:rPr>
        <w:t xml:space="preserve">فيما يشترط فيه الطهارة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حادي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استبراء الجلّال بما يزول معه اسم الجلل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مع ذلك اعتبار المدّة المنصوصة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والمتنجّس بعد ثبوت نجاسته لا يرفعها إلّا العلم بالطهارة أو البيّنة أو صاحب اليد والمراد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المستولي على العين بملك أو بإجارة أو إعارة أو نحوها، بل لا يبعد إلحاق الفحوى، بل يقوى كون الظلمة وعمّالهم من ذوي الأيدي على ما في أيديهم وإن كان حراماً ، وكذا الغاصبون، كما أنّه يقوى كون المربّية من ذوات الأيدي على الولد ، والأحوط الاقتصار على المالك والمأذون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الطاهر لا تثبت نجاسته إلّا بذلك</w:t>
      </w:r>
      <w:r>
        <w:rPr>
          <w:rFonts w:eastAsia="Amiri" w:cs="Amiri" w:ascii="Amiri" w:hAnsi="Amiri"/>
          <w:color w:val="111111"/>
          <w:sz w:val="28"/>
          <w:szCs w:val="28"/>
          <w:rtl w:val="true"/>
          <w:lang w:bidi="ar-SA"/>
        </w:rPr>
        <w:t xml:space="preserve">. </w:t>
      </w:r>
      <w:bookmarkStart w:id="202" w:name="pg8988_116156"/>
    </w:p>
    <w:p>
      <w:pPr>
        <w:pStyle w:val="Heading3"/>
        <w:numPr>
          <w:ilvl w:val="2"/>
          <w:numId w:val="1"/>
        </w:numPr>
        <w:rPr/>
      </w:pPr>
      <w:bookmarkStart w:id="203" w:name="__RefHeading___Toc1814822_2870459653"/>
      <w:bookmarkStart w:id="204" w:name="_Toc75"/>
      <w:bookmarkEnd w:id="202"/>
      <w:bookmarkEnd w:id="203"/>
      <w:r>
        <w:rPr>
          <w:rtl w:val="true"/>
        </w:rPr>
        <w:t xml:space="preserve">المبحث السادس </w:t>
      </w:r>
      <w:r>
        <w:rPr>
          <w:rtl w:val="true"/>
        </w:rPr>
        <w:t xml:space="preserve">: </w:t>
      </w:r>
      <w:r>
        <w:rPr>
          <w:rtl w:val="true"/>
        </w:rPr>
        <w:t>في الأواني</w:t>
      </w:r>
      <w:bookmarkEnd w:id="204"/>
    </w:p>
    <w:p>
      <w:pPr>
        <w:pStyle w:val="BookText"/>
        <w:rPr/>
      </w:pPr>
      <w:r>
        <w:rPr>
          <w:rFonts w:ascii="Amiri" w:hAnsi="Amiri" w:eastAsia="Amiri" w:cs="Amiri"/>
          <w:color w:val="111111"/>
          <w:sz w:val="28"/>
          <w:sz w:val="28"/>
          <w:szCs w:val="28"/>
          <w:rtl w:val="true"/>
          <w:lang w:bidi="ar-SA"/>
        </w:rPr>
        <w:t>يحرم استعمال أواني الذهب والفضّة في الأكل والشرب والطهارة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يحرم النقل منها للتفريغ ، وليس النقل للأكل تفريغ وإن قصد على الأصحّ ، والأصحّ حرمة اقتنائها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والمرجع في الآنية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تحقّقه في القليان، ورأس الشطب، وما يجعل موضعاً له، وقراب السيف، والخنجر، والسكّين، وظرف الغالية والكحل والعنبر والمعجون والتتن والتنباك والترياك، والمحابر ، والمجامر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الصغير والكبير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وليست القناديل منها ولا محلّ فصّ الخاتم ونحوه من المتّصل كاتّصاله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عدم كون الحجل المجوّف خصوصاً الصامت منه من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بما يصنع من الفضّة بيتاً للتعويذ كحرز الجواد علیه السلام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والأحوط اجتناب الملبّس جميعه أو أكثره على وجه يكون الكاسي لو </w:t>
      </w:r>
    </w:p>
    <w:p>
      <w:pPr>
        <w:pStyle w:val="BookText"/>
        <w:rPr/>
      </w:pPr>
      <w:r>
        <w:rPr>
          <w:rFonts w:ascii="Amiri" w:hAnsi="Amiri" w:eastAsia="Amiri" w:cs="Amiri"/>
          <w:color w:val="111111"/>
          <w:sz w:val="28"/>
          <w:sz w:val="28"/>
          <w:szCs w:val="28"/>
          <w:rtl w:val="true"/>
          <w:lang w:bidi="ar-SA"/>
        </w:rPr>
        <w:t>نزع إناء مستقلّاً من غير فرق بين تلبيس</w:t>
      </w:r>
      <w:r>
        <w:rPr>
          <w:rStyle w:val="FootnoteAnchor"/>
          <w:rtl w:val="true"/>
        </w:rPr>
        <w:footnoteReference w:id="105"/>
      </w:r>
      <w:r>
        <w:rPr>
          <w:rFonts w:ascii="Amiri" w:hAnsi="Amiri" w:eastAsia="Amiri" w:cs="Amiri"/>
          <w:color w:val="111111"/>
          <w:sz w:val="28"/>
          <w:sz w:val="28"/>
          <w:szCs w:val="28"/>
          <w:rtl w:val="true"/>
          <w:lang w:bidi="ar-SA"/>
        </w:rPr>
        <w:t xml:space="preserve">الظاهر والباطن ، ولا بأس بكسوة البعض التي لم تصل إلى الحدّ المزبور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بالتمويه ولو لجميع الإناء ولا بالممتزج من أحدهما وغيره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والأصحّ جواز استعمال أواني المشركين مع عدم العلم بالنجاسة كأواني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5" w:name="pg8988_116162"/>
      <w:bookmarkStart w:id="206" w:name="pg8988_116162"/>
      <w:bookmarkEnd w:id="206"/>
    </w:p>
    <w:p>
      <w:pPr>
        <w:pStyle w:val="Heading2"/>
        <w:numPr>
          <w:ilvl w:val="1"/>
          <w:numId w:val="1"/>
        </w:numPr>
        <w:rPr/>
      </w:pPr>
      <w:bookmarkStart w:id="207" w:name="pg8988_116162"/>
      <w:bookmarkStart w:id="208" w:name="__RefHeading___Toc1814824_2870459653"/>
      <w:bookmarkStart w:id="209" w:name="_Toc76"/>
      <w:bookmarkEnd w:id="207"/>
      <w:bookmarkEnd w:id="208"/>
      <w:r>
        <w:rPr>
          <w:rtl w:val="true"/>
        </w:rPr>
        <w:t>كتاب الصلاة</w:t>
      </w:r>
      <w:bookmarkEnd w:id="20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0" w:name="__RefHeading___Toc1814826_2870459653"/>
      <w:bookmarkStart w:id="211" w:name="_Toc77"/>
      <w:bookmarkEnd w:id="210"/>
      <w:r>
        <w:rPr>
          <w:rtl w:val="true"/>
        </w:rPr>
        <w:t>اشارة</w:t>
      </w:r>
      <w:bookmarkEnd w:id="21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2" w:name="pg8988_116166"/>
      <w:bookmarkStart w:id="213" w:name="pg8988_116166"/>
      <w:bookmarkEnd w:id="213"/>
    </w:p>
    <w:p>
      <w:pPr>
        <w:pStyle w:val="BookText"/>
        <w:rPr/>
      </w:pPr>
      <w:bookmarkStart w:id="214" w:name="pg8988_116166"/>
      <w:bookmarkEnd w:id="214"/>
      <w:r>
        <w:rPr>
          <w:rFonts w:ascii="Amiri" w:hAnsi="Amiri" w:eastAsia="Amiri" w:cs="Amiri"/>
          <w:color w:val="111111"/>
          <w:sz w:val="28"/>
          <w:sz w:val="28"/>
          <w:szCs w:val="28"/>
          <w:rtl w:val="true"/>
          <w:lang w:bidi="ar-SA"/>
        </w:rPr>
        <w:t xml:space="preserve">وفيه مقاصد </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1814828_2870459653"/>
      <w:bookmarkStart w:id="216" w:name="_Toc78"/>
      <w:bookmarkEnd w:id="215"/>
      <w:r>
        <w:rPr>
          <w:rtl w:val="true"/>
        </w:rPr>
        <w:t>[</w:t>
      </w:r>
      <w:r>
        <w:rPr>
          <w:rtl w:val="true"/>
        </w:rPr>
        <w:t>المقصد</w:t>
      </w:r>
      <w:r>
        <w:rPr>
          <w:rtl w:val="true"/>
        </w:rPr>
        <w:t xml:space="preserve">] </w:t>
      </w:r>
      <w:r>
        <w:rPr>
          <w:rtl w:val="true"/>
        </w:rPr>
        <w:t xml:space="preserve">الأوّل </w:t>
      </w:r>
      <w:r>
        <w:rPr>
          <w:rtl w:val="true"/>
        </w:rPr>
        <w:t xml:space="preserve">: </w:t>
      </w:r>
      <w:r>
        <w:rPr>
          <w:rtl w:val="true"/>
        </w:rPr>
        <w:t>في المقدّمات</w:t>
      </w:r>
      <w:bookmarkEnd w:id="216"/>
    </w:p>
    <w:p>
      <w:pPr>
        <w:pStyle w:val="BookText"/>
        <w:rPr/>
      </w:pPr>
      <w:r>
        <w:rPr>
          <w:rFonts w:ascii="Amiri" w:hAnsi="Amiri" w:eastAsia="Amiri" w:cs="Amiri"/>
          <w:color w:val="111111"/>
          <w:sz w:val="28"/>
          <w:sz w:val="28"/>
          <w:szCs w:val="28"/>
          <w:rtl w:val="true"/>
          <w:lang w:bidi="ar-SA"/>
        </w:rPr>
        <w:t xml:space="preserve">وهي ستّ </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1814830_2870459653"/>
      <w:bookmarkStart w:id="218" w:name="_Toc79"/>
      <w:bookmarkEnd w:id="217"/>
      <w:r>
        <w:rPr>
          <w:rtl w:val="true"/>
        </w:rPr>
        <w:t>[</w:t>
      </w:r>
      <w:r>
        <w:rPr>
          <w:rtl w:val="true"/>
        </w:rPr>
        <w:t xml:space="preserve">المقدّمة </w:t>
      </w:r>
      <w:r>
        <w:rPr>
          <w:rtl w:val="true"/>
        </w:rPr>
        <w:t xml:space="preserve">] </w:t>
      </w:r>
      <w:r>
        <w:rPr>
          <w:rtl w:val="true"/>
        </w:rPr>
        <w:t xml:space="preserve">الأولى </w:t>
      </w:r>
      <w:r>
        <w:rPr>
          <w:rtl w:val="true"/>
        </w:rPr>
        <w:t xml:space="preserve">: </w:t>
      </w:r>
      <w:r>
        <w:rPr>
          <w:rtl w:val="true"/>
        </w:rPr>
        <w:t>في أعداد الفرائض، ومواقيت اليوميّة منها ونوافلها</w:t>
      </w:r>
      <w:bookmarkEnd w:id="218"/>
    </w:p>
    <w:p>
      <w:pPr>
        <w:pStyle w:val="Heading4"/>
        <w:numPr>
          <w:ilvl w:val="3"/>
          <w:numId w:val="1"/>
        </w:numPr>
        <w:rPr/>
      </w:pPr>
      <w:bookmarkStart w:id="219" w:name="__RefHeading___Toc1814832_2870459653"/>
      <w:bookmarkStart w:id="220" w:name="_Toc80"/>
      <w:bookmarkEnd w:id="219"/>
      <w:r>
        <w:rPr>
          <w:rtl w:val="true"/>
        </w:rPr>
        <w:t>اشارة</w:t>
      </w:r>
      <w:bookmarkEnd w:id="220"/>
    </w:p>
    <w:p>
      <w:pPr>
        <w:pStyle w:val="BookText"/>
        <w:rPr/>
      </w:pPr>
      <w:r>
        <w:rPr>
          <w:rFonts w:ascii="Amiri" w:hAnsi="Amiri" w:eastAsia="Amiri" w:cs="Amiri"/>
          <w:color w:val="111111"/>
          <w:sz w:val="28"/>
          <w:sz w:val="28"/>
          <w:szCs w:val="28"/>
          <w:rtl w:val="true"/>
          <w:lang w:bidi="ar-SA"/>
        </w:rPr>
        <w:t xml:space="preserve">وفيها مباحث </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1814834_2870459653"/>
      <w:bookmarkStart w:id="222" w:name="_Toc81"/>
      <w:bookmarkEnd w:id="221"/>
      <w:r>
        <w:rPr>
          <w:rtl w:val="true"/>
        </w:rPr>
        <w:t>[</w:t>
      </w:r>
      <w:r>
        <w:rPr>
          <w:rtl w:val="true"/>
        </w:rPr>
        <w:t>المبحث</w:t>
      </w:r>
      <w:r>
        <w:rPr>
          <w:rtl w:val="true"/>
        </w:rPr>
        <w:t xml:space="preserve">] </w:t>
      </w:r>
      <w:r>
        <w:rPr>
          <w:rtl w:val="true"/>
        </w:rPr>
        <w:t>الأوّل</w:t>
      </w:r>
      <w:r>
        <w:rPr>
          <w:rtl w:val="true"/>
        </w:rPr>
        <w:t xml:space="preserve">: </w:t>
      </w:r>
      <w:r>
        <w:rPr>
          <w:rtl w:val="true"/>
        </w:rPr>
        <w:t>الصلوات الواجبة والمندوبة</w:t>
      </w:r>
      <w:bookmarkEnd w:id="222"/>
    </w:p>
    <w:p>
      <w:pPr>
        <w:pStyle w:val="BookText"/>
        <w:rPr/>
      </w:pPr>
      <w:r>
        <w:rPr>
          <w:rFonts w:ascii="Amiri" w:hAnsi="Amiri" w:eastAsia="Amiri" w:cs="Amiri"/>
          <w:color w:val="111111"/>
          <w:sz w:val="28"/>
          <w:sz w:val="28"/>
          <w:szCs w:val="28"/>
          <w:rtl w:val="true"/>
          <w:lang w:bidi="ar-SA"/>
        </w:rPr>
        <w:t>الصلاة واجبة ومندوبة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والواجبة الآن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اليوميّة، والآيات، والطواف الواجب ، والملتزم بنذر ونحوه، وصلاة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المعهودة للحاضر والمسافر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والمندوبة كثيرة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الرواتب وهي في غير يوم الجمعة أربع وثلاثون ركعة وتزيد في يوم الجمعة أربع ركعات</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1814836_2870459653"/>
      <w:bookmarkStart w:id="224" w:name="_Toc82"/>
      <w:bookmarkEnd w:id="223"/>
      <w:r>
        <w:rPr>
          <w:rtl w:val="true"/>
        </w:rPr>
        <w:t xml:space="preserve">المبحث الثاني </w:t>
      </w:r>
      <w:r>
        <w:rPr>
          <w:rtl w:val="true"/>
        </w:rPr>
        <w:t xml:space="preserve">: </w:t>
      </w:r>
      <w:r>
        <w:rPr>
          <w:rtl w:val="true"/>
        </w:rPr>
        <w:t>في مواقيتها</w:t>
      </w:r>
      <w:bookmarkEnd w:id="22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يدخل وقت الظهر بزوال الشمس فإذا مضى منه مقدار أدائها اشترك </w:t>
      </w:r>
    </w:p>
    <w:p>
      <w:pPr>
        <w:pStyle w:val="BookText"/>
        <w:rPr/>
      </w:pPr>
      <w:r>
        <w:rPr>
          <w:rFonts w:ascii="Amiri" w:hAnsi="Amiri" w:eastAsia="Amiri" w:cs="Amiri"/>
          <w:color w:val="111111"/>
          <w:sz w:val="28"/>
          <w:sz w:val="28"/>
          <w:szCs w:val="28"/>
          <w:rtl w:val="true"/>
          <w:lang w:bidi="ar-SA"/>
        </w:rPr>
        <w:t xml:space="preserve">معه العصر إلى أن يبقى من الغروب </w:t>
      </w:r>
      <w:r>
        <w:rPr>
          <w:rStyle w:val="FootnoteAnchor"/>
          <w:rtl w:val="true"/>
        </w:rPr>
        <w:footnoteReference w:id="106"/>
      </w:r>
      <w:r>
        <w:rPr>
          <w:rFonts w:ascii="Amiri" w:hAnsi="Amiri" w:eastAsia="Amiri" w:cs="Amiri"/>
          <w:color w:val="111111"/>
          <w:sz w:val="28"/>
          <w:sz w:val="28"/>
          <w:szCs w:val="28"/>
          <w:rtl w:val="true"/>
          <w:lang w:bidi="ar-SA"/>
        </w:rPr>
        <w:t xml:space="preserve">مقدار أداء العصر فيختصّ </w:t>
      </w:r>
      <w:r>
        <w:rPr>
          <w:rStyle w:val="FootnoteAnchor"/>
          <w:rtl w:val="true"/>
        </w:rPr>
        <w:footnoteReference w:id="107"/>
      </w:r>
      <w:r>
        <w:rPr>
          <w:rFonts w:ascii="Amiri" w:hAnsi="Amiri" w:eastAsia="Amiri" w:cs="Amiri"/>
          <w:color w:val="111111"/>
          <w:sz w:val="28"/>
          <w:sz w:val="28"/>
          <w:szCs w:val="28"/>
          <w:rtl w:val="true"/>
          <w:lang w:bidi="ar-SA"/>
        </w:rPr>
        <w:t xml:space="preserve">حينئذٍ هو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يدخل وقت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بذهاب الحمرة المشرقيّة ويقوى اعتبار ذهابها إلى أن تجاوز سمت الرأس ، والأحوط مراعات ذهابها من تمام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ويختصّ من أوّله بمقدار أدائه ثمّ يشترك معه العشاء إلى أن يبقى من نصف الليل مقدار أربع ركعات فيختصّ هو لها حينئذٍ ويخرج وقت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المضطرّ لنوم أو نسيان أو غيرهما فالأظهر بقاء الوقت له إلى طلوع الفجر، والأولى عدم التعرّض في النيّة للأداء أو القضاء، بل الأولى ذلك في العامد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يدخل وقت الصبح بطلوع الفجر الصادق المعترض في الأفق المنتشر فيه لا الكاذب المستطيل في السماء المتصاعد المشابه ذَنَب السِّرحان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ويمتدّ وقته إلى طلوع الشمس في أفق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ووقت نافلة الزوال منه إلى تمام سُبعي الشاخص وكذلك نافلة العصر بالنسبة إلى الذراعين، فإن بلغ الظلّ ذلك ولم يكن قد صلّى منها شيئاً فالأولى له البدأة بالفريضة ولو تلبّس منها ولو بركعة زاحم بها الفريضة، وأتمّها مخفّفة بالاقتصار على الحمد </w:t>
      </w:r>
      <w:r>
        <w:rPr>
          <w:rFonts w:eastAsia="Amiri" w:cs="Amiri" w:ascii="Amiri" w:hAnsi="Amiri"/>
          <w:color w:val="111111"/>
          <w:sz w:val="28"/>
          <w:szCs w:val="28"/>
          <w:rtl w:val="true"/>
          <w:lang w:bidi="ar-SA"/>
        </w:rPr>
        <w:t xml:space="preserve">. </w:t>
      </w:r>
      <w:bookmarkStart w:id="225" w:name="pg8988_116170"/>
    </w:p>
    <w:p>
      <w:pPr>
        <w:pStyle w:val="BookText"/>
        <w:rPr/>
      </w:pPr>
      <w:bookmarkEnd w:id="225"/>
      <w:r>
        <w:rPr>
          <w:rFonts w:ascii="Amiri" w:hAnsi="Amiri" w:eastAsia="Amiri" w:cs="Amiri"/>
          <w:color w:val="111111"/>
          <w:sz w:val="28"/>
          <w:sz w:val="28"/>
          <w:szCs w:val="28"/>
          <w:rtl w:val="true"/>
          <w:lang w:bidi="ar-SA"/>
        </w:rPr>
        <w:t xml:space="preserve">ووقت نافلة المغرب بعدها إلى ذهاب الشفق المغربي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جريان حكم المزاحمة فيها كسابقها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ويمتدّ وقت الوتيرة بامتداد وقت العشاء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ووقت نافلة الصبح الفجر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يبقى من طلوع الحمرة قدر الفريضة ويجوز دسّها في صلاة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ووقت صلاة الليل انتصافه إلى طلوع الفجر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والسحر أفضل من غيره، وكونه السدس الأخير من الليل أقرب، وأفضله القريب من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تقديمها على النصف إلّا للمسافر، والشابّ الذي يصعب عليه فعله في الوقت بل يلحق به الشيخ ، وخائف البرد والاحتلام والنوم ، والمريض ، وغيرهم من ذوي الأعذار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حينئذٍ نيّة التعجيل لا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وقضاؤها أفضل من التقديم</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1814838_2870459653"/>
      <w:bookmarkStart w:id="227" w:name="_Toc83"/>
      <w:bookmarkEnd w:id="226"/>
      <w:r>
        <w:rPr>
          <w:rtl w:val="true"/>
        </w:rPr>
        <w:t>المبحث الثالث</w:t>
      </w:r>
      <w:r>
        <w:rPr>
          <w:rtl w:val="true"/>
        </w:rPr>
        <w:t xml:space="preserve">: </w:t>
      </w:r>
      <w:r>
        <w:rPr>
          <w:rtl w:val="true"/>
        </w:rPr>
        <w:t>في الأحكام</w:t>
      </w:r>
      <w:bookmarkEnd w:id="227"/>
    </w:p>
    <w:p>
      <w:pPr>
        <w:pStyle w:val="BookText"/>
        <w:rPr/>
      </w:pPr>
      <w:r>
        <w:rPr>
          <w:rFonts w:ascii="Amiri" w:hAnsi="Amiri" w:eastAsia="Amiri" w:cs="Amiri"/>
          <w:color w:val="111111"/>
          <w:sz w:val="28"/>
          <w:sz w:val="28"/>
          <w:szCs w:val="28"/>
          <w:rtl w:val="true"/>
          <w:lang w:bidi="ar-SA"/>
        </w:rPr>
        <w:t xml:space="preserve">إذا حصل أحد الأعذار المانعة من التكليف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كالجنون والحيض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مضى من الوقت مقدار صلاة المختار بحسب حاله مجتمع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سفراً أو حضراً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يفعل وجب القضاء إذا ارتفع المانع بعد الوقت وإلّا لم يجب، ولكن الأحوط القضاء لو مضى من الوقت ما يسع الصلاة الواجبة مع الطهارة خاصّة دون باقي الشرائط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ارتفع العذر وقد أدرك ركعة وجب ويكون أداء، وإلّا لم يجب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والأحوط للمتمكّن </w:t>
      </w:r>
      <w:r>
        <w:rPr>
          <w:rStyle w:val="FootnoteAnchor"/>
          <w:rtl w:val="true"/>
        </w:rPr>
        <w:footnoteReference w:id="109"/>
      </w:r>
      <w:r>
        <w:rPr>
          <w:rFonts w:ascii="Amiri" w:hAnsi="Amiri" w:eastAsia="Amiri" w:cs="Amiri"/>
          <w:color w:val="111111"/>
          <w:sz w:val="28"/>
          <w:sz w:val="28"/>
          <w:szCs w:val="28"/>
          <w:rtl w:val="true"/>
          <w:lang w:bidi="ar-SA"/>
        </w:rPr>
        <w:t xml:space="preserve">من الطهارة الترابيّة الصلاة وإن فقد سائر الشرائط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العلم لغير ذوي الأعذار بالوقت، والاكتفاء بالبيّنة لا يخلو عن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الظنّ لذوي الأعذار </w:t>
      </w:r>
      <w:r>
        <w:rPr>
          <w:rStyle w:val="FootnoteAnchor"/>
          <w:rtl w:val="true"/>
        </w:rPr>
        <w:footnoteReference w:id="110"/>
      </w:r>
      <w:r>
        <w:rPr>
          <w:rFonts w:ascii="Amiri" w:hAnsi="Amiri" w:eastAsia="Amiri" w:cs="Amiri"/>
          <w:color w:val="111111"/>
          <w:sz w:val="28"/>
          <w:sz w:val="28"/>
          <w:szCs w:val="28"/>
          <w:rtl w:val="true"/>
          <w:lang w:bidi="ar-SA"/>
        </w:rPr>
        <w:t xml:space="preserve">والأفضل الأحوط التأخير حتّى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دخل وقت الصلاة المتلبس بها وهو في أثنائها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فالإعادة أحوط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ويجب الترتيب بين الظهر والعصر والمغرب والعشاء، فمن تركه عمداً أو جهلاً بالحكم أعاد </w:t>
      </w:r>
      <w:r>
        <w:rPr>
          <w:rStyle w:val="FootnoteAnchor"/>
          <w:rtl w:val="true"/>
        </w:rPr>
        <w:footnoteReference w:id="112"/>
      </w:r>
      <w:r>
        <w:rPr>
          <w:rFonts w:ascii="IRNazanin" w:hAnsi="IRNazanin" w:eastAsia="IRNazanin"/>
          <w:color w:val="111111"/>
          <w:sz w:val="28"/>
          <w:sz w:val="28"/>
          <w:szCs w:val="28"/>
          <w:rtl w:val="true"/>
          <w:lang w:bidi="fa-IR"/>
        </w:rPr>
        <w:t xml:space="preserve">ما قدّمه ، أمّا الساهي فلا يعيد إذا وقع في الوقت المشترك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ذكر في الأثناء عدل بنيّةٍ ما لم يتجاوز محلّ العدول وإن كان ما وقع منه في وقت الاختصاص علی وجه، والأحوط إن لم يكن أقوى الإعادة بعد الإتمام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الحكم فيما يجب فيه الترتيب من الفوائت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العدول من الحاضرة إلى الفائتة فغير واجب بل مستحبّ</w:t>
      </w:r>
      <w:r>
        <w:rPr>
          <w:rFonts w:eastAsia="Amiri" w:cs="Amiri" w:ascii="Amiri" w:hAnsi="Amiri"/>
          <w:color w:val="111111"/>
          <w:sz w:val="28"/>
          <w:szCs w:val="28"/>
          <w:rtl w:val="true"/>
          <w:lang w:bidi="ar-SA"/>
        </w:rPr>
        <w:t xml:space="preserve">. </w:t>
      </w:r>
      <w:bookmarkStart w:id="228" w:name="pg8988_116174"/>
    </w:p>
    <w:p>
      <w:pPr>
        <w:pStyle w:val="Heading3"/>
        <w:numPr>
          <w:ilvl w:val="2"/>
          <w:numId w:val="1"/>
        </w:numPr>
        <w:rPr/>
      </w:pPr>
      <w:bookmarkStart w:id="229" w:name="__RefHeading___Toc1814840_2870459653"/>
      <w:bookmarkStart w:id="230" w:name="_Toc84"/>
      <w:bookmarkEnd w:id="228"/>
      <w:bookmarkEnd w:id="229"/>
      <w:r>
        <w:rPr>
          <w:rtl w:val="true"/>
        </w:rPr>
        <w:t>المقدّمة الثانية</w:t>
      </w:r>
      <w:r>
        <w:rPr>
          <w:rtl w:val="true"/>
        </w:rPr>
        <w:t xml:space="preserve">: </w:t>
      </w:r>
      <w:r>
        <w:rPr>
          <w:rtl w:val="true"/>
        </w:rPr>
        <w:t>في القبلة</w:t>
      </w:r>
      <w:bookmarkEnd w:id="230"/>
    </w:p>
    <w:p>
      <w:pPr>
        <w:pStyle w:val="Heading4"/>
        <w:numPr>
          <w:ilvl w:val="3"/>
          <w:numId w:val="1"/>
        </w:numPr>
        <w:rPr/>
      </w:pPr>
      <w:bookmarkStart w:id="231" w:name="__RefHeading___Toc1814842_2870459653"/>
      <w:bookmarkStart w:id="232" w:name="_Toc85"/>
      <w:bookmarkEnd w:id="231"/>
      <w:r>
        <w:rPr>
          <w:rtl w:val="true"/>
        </w:rPr>
        <w:t>اشارة</w:t>
      </w:r>
      <w:bookmarkEnd w:id="232"/>
    </w:p>
    <w:p>
      <w:pPr>
        <w:pStyle w:val="BookText"/>
        <w:rPr/>
      </w:pPr>
      <w:r>
        <w:rPr>
          <w:rFonts w:ascii="Amiri" w:hAnsi="Amiri" w:eastAsia="Amiri" w:cs="Amiri"/>
          <w:color w:val="111111"/>
          <w:sz w:val="28"/>
          <w:sz w:val="28"/>
          <w:szCs w:val="28"/>
          <w:rtl w:val="true"/>
          <w:lang w:bidi="ar-SA"/>
        </w:rPr>
        <w:t xml:space="preserve">وفيها مباحث </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1814844_2870459653"/>
      <w:bookmarkStart w:id="234" w:name="_Toc86"/>
      <w:bookmarkEnd w:id="233"/>
      <w:r>
        <w:rPr>
          <w:rtl w:val="true"/>
        </w:rPr>
        <w:t>[</w:t>
      </w:r>
      <w:r>
        <w:rPr>
          <w:rtl w:val="true"/>
        </w:rPr>
        <w:t>المبحث</w:t>
      </w:r>
      <w:r>
        <w:rPr>
          <w:rtl w:val="true"/>
        </w:rPr>
        <w:t xml:space="preserve">] </w:t>
      </w:r>
      <w:r>
        <w:rPr>
          <w:rtl w:val="true"/>
        </w:rPr>
        <w:t xml:space="preserve">الأوّل </w:t>
      </w:r>
      <w:r>
        <w:rPr>
          <w:rtl w:val="true"/>
        </w:rPr>
        <w:t xml:space="preserve">: </w:t>
      </w:r>
      <w:r>
        <w:rPr>
          <w:rtl w:val="true"/>
        </w:rPr>
        <w:t>في بيانها وكيفيّة استقبالها</w:t>
      </w:r>
      <w:bookmarkEnd w:id="234"/>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الواقع فيه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تخوم الأرض إلى عنان السماء للناس كافّة لا نفس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والمدار على صدق استقباله فلا يقدح خروج ما لا ينافي ذلك من البدن والأحوط الاستقبال بجميع مقاديم البدن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يقدح في صدقه حقيقة في البعيد زيادة العرض كالصف المستطيل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كان المستقبَل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مشاهَد للبعيد انحصر معرفة استقباله فيما يدلّ عليه كوضع الجدي لأهل أواسط العراق مثل الكوفة وبغداد ونحوهما خلف المنكب الأيمن والأحوط أن يكون ذلك في غاية انخفاضه أو ارتفاعه أو مراعات القطب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المنكب بین الكتف والعنق، بل ينبغي وضعه على الجزء المحاذي للأذن منه، وأهل الشرق منه كالبصرة في الأذن اليمنى، و أهل المغرب منه كالموصل بين الكتفين، وأهل الشام خلف الكتف الأيسر، وأهل عدن </w:t>
      </w:r>
      <w:bookmarkStart w:id="235" w:name="pg8988_116176"/>
    </w:p>
    <w:p>
      <w:pPr>
        <w:pStyle w:val="BookText"/>
        <w:rPr/>
      </w:pPr>
      <w:bookmarkEnd w:id="235"/>
      <w:r>
        <w:rPr>
          <w:rFonts w:ascii="Amiri" w:hAnsi="Amiri" w:eastAsia="Amiri" w:cs="Amiri"/>
          <w:color w:val="111111"/>
          <w:sz w:val="28"/>
          <w:sz w:val="28"/>
          <w:szCs w:val="28"/>
          <w:rtl w:val="true"/>
          <w:lang w:bidi="ar-SA"/>
        </w:rPr>
        <w:t>بين العينين، وصنعاء على الأذن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وكسهيل يجعله عكس الجدي، وكوضع أهل العراق مغرب الاعتدال على اليمين ومشرقه على الشمال توسعة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التعذّر فالمرجع فيها قواعد الرصد به مع حصول العلم أو الظنّ الاطمئناني أو الرجوع إلى أهل الرصد، ومع التعذّر يبذل جهده ويعمل على ظنّه ولو من خبر كافر، ومع التعذّر يكتفي بالجهة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يعلمها في أيّ جهة كرّر الصلاة مع السعة أربعاً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بتقصير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وسعه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ويعوّل على قبلة بلد المسلمين في صلاتهم وقبورهم ومحاريبهم إذا لم يعلم الغلط </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1814846_2870459653"/>
      <w:bookmarkStart w:id="237" w:name="_Toc87"/>
      <w:bookmarkEnd w:id="236"/>
      <w:r>
        <w:rPr>
          <w:rtl w:val="true"/>
        </w:rPr>
        <w:t xml:space="preserve">المبحث الثاني </w:t>
      </w:r>
      <w:r>
        <w:rPr>
          <w:rtl w:val="true"/>
        </w:rPr>
        <w:t xml:space="preserve">: </w:t>
      </w:r>
      <w:r>
        <w:rPr>
          <w:rtl w:val="true"/>
        </w:rPr>
        <w:t>فيما يُستقبَل له</w:t>
      </w:r>
      <w:bookmarkEnd w:id="23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الاستقبال مع الإمكان في الفرائض اليوميّة وتوابعها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سجود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الفرائض حتّى صلاة الجنائز وفيما وجب بالعارض من النوافل في وجه وكذا ما صار نفلاً من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في المحتضر بالاستلقاء وكون الوجه وباطن القدمين إلى القبلة، وبالميّت عندالصلاة بالاستلقاء وكون رأسه إلى يمين المصلّي، وعند الدفن بالاضطجاع وكون الرأس إلى المغرب ومقاديم البدن إلى القبلة </w:t>
      </w:r>
      <w:r>
        <w:rPr>
          <w:rFonts w:eastAsia="Amiri" w:cs="Amiri" w:ascii="Amiri" w:hAnsi="Amiri"/>
          <w:color w:val="111111"/>
          <w:sz w:val="28"/>
          <w:szCs w:val="28"/>
          <w:rtl w:val="true"/>
          <w:lang w:bidi="ar-SA"/>
        </w:rPr>
        <w:t xml:space="preserve">. </w:t>
      </w:r>
      <w:bookmarkStart w:id="238" w:name="pg8988_116179"/>
    </w:p>
    <w:p>
      <w:pPr>
        <w:pStyle w:val="BookText"/>
        <w:rPr/>
      </w:pPr>
      <w:bookmarkEnd w:id="238"/>
      <w:r>
        <w:rPr>
          <w:rFonts w:ascii="Amiri" w:hAnsi="Amiri" w:eastAsia="Amiri" w:cs="Amiri"/>
          <w:color w:val="111111"/>
          <w:sz w:val="28"/>
          <w:sz w:val="28"/>
          <w:szCs w:val="28"/>
          <w:rtl w:val="true"/>
          <w:lang w:bidi="ar-SA"/>
        </w:rPr>
        <w:t xml:space="preserve">أمّا النافلة فلا يعتبر فيها الاستقبال إذا صلّيت حال المشي والركوب، بل في السفينة كذلك أيضاً، بخلاف ما لو صلّيت على الأرض في حال الاستقرار فإنّ الأحوط اعتبار الاستقبال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1814848_2870459653"/>
      <w:bookmarkStart w:id="240" w:name="_Toc88"/>
      <w:bookmarkEnd w:id="239"/>
      <w:r>
        <w:rPr>
          <w:rtl w:val="true"/>
        </w:rPr>
        <w:t>المبحث الثالث</w:t>
      </w:r>
      <w:r>
        <w:rPr>
          <w:rtl w:val="true"/>
        </w:rPr>
        <w:t xml:space="preserve">: </w:t>
      </w:r>
      <w:r>
        <w:rPr>
          <w:rtl w:val="true"/>
        </w:rPr>
        <w:t>في الخلل</w:t>
      </w:r>
      <w:bookmarkEnd w:id="24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صلّى إلى جهة أمر بها للظنّ أو للضيق ثمّ تبيّن خطاؤه بعد الفراغ فإن كان منحرفاً إلى ما بين اليمين والشمال صحّت صلاته، فلو كان في الأثناء مضى واستقام في الباقي بقي الوقت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الناسي بل والجاهل بالحكم ولو كان مقصّراً مع حصول نيّة القربة على إشكال وإلّا أعاد في الوقت دون خارجه إن </w:t>
      </w:r>
      <w:r>
        <w:rPr>
          <w:rStyle w:val="FootnoteAnchor"/>
          <w:rtl w:val="true"/>
        </w:rPr>
        <w:footnoteReference w:id="113"/>
      </w:r>
      <w:r>
        <w:rPr>
          <w:rFonts w:ascii="Amiri" w:hAnsi="Amiri" w:eastAsia="Amiri" w:cs="Amiri"/>
          <w:color w:val="111111"/>
          <w:sz w:val="28"/>
          <w:sz w:val="28"/>
          <w:szCs w:val="28"/>
          <w:rtl w:val="true"/>
          <w:lang w:bidi="ar-SA"/>
        </w:rPr>
        <w:t>لم يكن مستدبراً</w:t>
      </w:r>
      <w:r>
        <w:rPr>
          <w:rStyle w:val="FootnoteAnchor"/>
          <w:rtl w:val="true"/>
        </w:rPr>
        <w:footnoteReference w:id="114"/>
      </w:r>
      <w:r>
        <w:rPr>
          <w:rFonts w:ascii="Amiri" w:hAnsi="Amiri" w:eastAsia="Amiri" w:cs="Amiri"/>
          <w:color w:val="111111"/>
          <w:sz w:val="28"/>
          <w:sz w:val="28"/>
          <w:szCs w:val="28"/>
          <w:rtl w:val="true"/>
          <w:lang w:bidi="ar-SA"/>
        </w:rPr>
        <w:t>وإلّا 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القضاء مطلقاً وكذا إذا كان في الأثناء، والأحوط عدم إلحاق الناسي والجاهل هنا في ذلك فيعيدان في الوقت وخارجه بتبيّن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bookmarkStart w:id="241" w:name="pg8988_116181"/>
    </w:p>
    <w:p>
      <w:pPr>
        <w:pStyle w:val="Heading3"/>
        <w:numPr>
          <w:ilvl w:val="2"/>
          <w:numId w:val="1"/>
        </w:numPr>
        <w:rPr/>
      </w:pPr>
      <w:bookmarkStart w:id="242" w:name="__RefHeading___Toc1814850_2870459653"/>
      <w:bookmarkStart w:id="243" w:name="_Toc89"/>
      <w:bookmarkEnd w:id="241"/>
      <w:bookmarkEnd w:id="242"/>
      <w:r>
        <w:rPr>
          <w:rtl w:val="true"/>
        </w:rPr>
        <w:t>المقدّمة الثالثة</w:t>
      </w:r>
      <w:r>
        <w:rPr>
          <w:rtl w:val="true"/>
        </w:rPr>
        <w:t xml:space="preserve">: </w:t>
      </w:r>
      <w:r>
        <w:rPr>
          <w:rtl w:val="true"/>
        </w:rPr>
        <w:t>في الساتر</w:t>
      </w:r>
      <w:bookmarkEnd w:id="243"/>
    </w:p>
    <w:p>
      <w:pPr>
        <w:pStyle w:val="Heading4"/>
        <w:numPr>
          <w:ilvl w:val="3"/>
          <w:numId w:val="1"/>
        </w:numPr>
        <w:rPr/>
      </w:pPr>
      <w:bookmarkStart w:id="244" w:name="__RefHeading___Toc1814852_2870459653"/>
      <w:bookmarkStart w:id="245" w:name="_Toc90"/>
      <w:bookmarkEnd w:id="244"/>
      <w:r>
        <w:rPr>
          <w:rtl w:val="true"/>
        </w:rPr>
        <w:t>اشارة</w:t>
      </w:r>
      <w:bookmarkEnd w:id="245"/>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1814854_2870459653"/>
      <w:bookmarkStart w:id="247" w:name="_Toc91"/>
      <w:bookmarkEnd w:id="246"/>
      <w:r>
        <w:rPr>
          <w:rtl w:val="true"/>
        </w:rPr>
        <w:t>[</w:t>
      </w:r>
      <w:r>
        <w:rPr>
          <w:rtl w:val="true"/>
        </w:rPr>
        <w:t>المبحث</w:t>
      </w:r>
      <w:r>
        <w:rPr>
          <w:rtl w:val="true"/>
        </w:rPr>
        <w:t xml:space="preserve">] </w:t>
      </w:r>
      <w:r>
        <w:rPr>
          <w:rtl w:val="true"/>
        </w:rPr>
        <w:t xml:space="preserve">الأوّل </w:t>
      </w:r>
      <w:r>
        <w:rPr>
          <w:rtl w:val="true"/>
        </w:rPr>
        <w:t xml:space="preserve">: </w:t>
      </w:r>
      <w:r>
        <w:rPr>
          <w:rtl w:val="true"/>
        </w:rPr>
        <w:t>ستر العورة</w:t>
      </w:r>
      <w:bookmarkEnd w:id="247"/>
    </w:p>
    <w:p>
      <w:pPr>
        <w:pStyle w:val="BookText"/>
        <w:rPr/>
      </w:pPr>
      <w:r>
        <w:rPr>
          <w:rFonts w:ascii="Amiri" w:hAnsi="Amiri" w:eastAsia="Amiri" w:cs="Amiri"/>
          <w:color w:val="111111"/>
          <w:sz w:val="28"/>
          <w:sz w:val="28"/>
          <w:szCs w:val="28"/>
          <w:rtl w:val="true"/>
          <w:lang w:bidi="ar-SA"/>
        </w:rPr>
        <w:t>يجب مع الاختيار مسمّى ستر بشرة العورة في الصلاة وتوابعها والنافلة دون صلاة الجنازة وإن كان الأحوط فيها ذلك أيضاً سواء كان ناظراً أم لا أو كان في ظلمة أم لا ؛ والأحوط وجوب ستر الحجم بمعنى الشبح الذي يرى خلف الثوب من غير تمييز للونه دون الشكل الذي يُرى مع اللف بالثوب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الصحّة لو بدت العورة لريح أو غفلة أو كانت بادية من أوّل الأمر ولا يعلم بها لكن يبادر إلى الستر لو علم في الأثناء،والأحوط الإتمام والاستيناف سيّما إذا احتاج سترها بعد العلم إلى زمان 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الإعادة لو نسي الستر من أوّل الأمر أو في الأثناء فضلاً عن العالم ولم يفعل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وعورة الرجل في الصلاة عورته في النظر الدُبُر والقضيب والأنثيان </w:t>
      </w:r>
      <w:bookmarkStart w:id="248" w:name="pg8988_116183"/>
    </w:p>
    <w:p>
      <w:pPr>
        <w:pStyle w:val="BookText"/>
        <w:rPr/>
      </w:pPr>
      <w:bookmarkEnd w:id="248"/>
      <w:r>
        <w:rPr>
          <w:rFonts w:ascii="IRNazanin" w:hAnsi="IRNazanin" w:eastAsia="IRNazanin"/>
          <w:color w:val="111111"/>
          <w:sz w:val="28"/>
          <w:sz w:val="28"/>
          <w:szCs w:val="28"/>
          <w:rtl w:val="true"/>
          <w:lang w:bidi="fa-IR"/>
        </w:rPr>
        <w:t xml:space="preserve">دون العجان </w:t>
      </w:r>
      <w:r>
        <w:rPr>
          <w:rStyle w:val="FootnoteAnchor"/>
          <w:rtl w:val="true"/>
        </w:rPr>
        <w:footnoteReference w:id="115"/>
      </w:r>
      <w:r>
        <w:rPr>
          <w:rFonts w:ascii="Amiri" w:hAnsi="Amiri" w:eastAsia="Amiri" w:cs="Amiri"/>
          <w:color w:val="111111"/>
          <w:sz w:val="28"/>
          <w:sz w:val="28"/>
          <w:szCs w:val="28"/>
          <w:rtl w:val="true"/>
          <w:lang w:bidi="ar-SA"/>
        </w:rPr>
        <w:t>والسرّة والركبة وما بينهما وإن استحبّ ذلك بل هو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وعورة النساء في الصلاة جميعها حتّى الشعر إلّا وجه الوضوء واليدين إلى الزندين والقدمين إلى الساقين ظاهرهما وباطنهما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عليها في الصلاة ستر ما على الوجه من الزينة ولا الشعر الخارج الموصول بشعرها وإن قلنا بوجوبه عن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والأمة مطلقاً كالحرّة في وجوب ستر الرأس</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1814856_2870459653"/>
      <w:bookmarkStart w:id="250" w:name="_Toc92"/>
      <w:bookmarkEnd w:id="249"/>
      <w:r>
        <w:rPr>
          <w:rtl w:val="true"/>
        </w:rPr>
        <w:t xml:space="preserve">المبحث الثاني </w:t>
      </w:r>
      <w:r>
        <w:rPr>
          <w:rtl w:val="true"/>
        </w:rPr>
        <w:t xml:space="preserve">: </w:t>
      </w:r>
      <w:r>
        <w:rPr>
          <w:rtl w:val="true"/>
        </w:rPr>
        <w:t>ما یعتبر في الساتر</w:t>
      </w:r>
      <w:bookmarkEnd w:id="250"/>
    </w:p>
    <w:p>
      <w:pPr>
        <w:pStyle w:val="BookText"/>
        <w:rPr/>
      </w:pPr>
      <w:r>
        <w:rPr>
          <w:rFonts w:ascii="Amiri" w:hAnsi="Amiri" w:eastAsia="Amiri" w:cs="Amiri"/>
          <w:color w:val="111111"/>
          <w:sz w:val="28"/>
          <w:sz w:val="28"/>
          <w:szCs w:val="28"/>
          <w:rtl w:val="true"/>
          <w:lang w:bidi="ar-SA"/>
        </w:rPr>
        <w:t>يعتبر في الساتر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 بل هي شرط في جميع لباس المصلّي عدا ما لا تتمّ به الصلاة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الإباحة، بل هي شرط في جميع لباس المصلّي فلا تصحّ في المغصوب ولو من الجاهل بحرمته أو بإفساده ولو لنسيان إلّا إذا كان جهلاً يعذر فيه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يعلم بغصبيّته صحّت صلاته كالناسي على الأقوى ولو الغاصب، وإن كان الأحوط له بل لمطلق الناسي</w:t>
      </w:r>
    </w:p>
    <w:p>
      <w:pPr>
        <w:pStyle w:val="BookText"/>
        <w:rPr/>
      </w:pPr>
      <w:r>
        <w:rPr>
          <w:rFonts w:ascii="Amiri" w:hAnsi="Amiri" w:eastAsia="Amiri" w:cs="Amiri"/>
          <w:color w:val="111111"/>
          <w:sz w:val="28"/>
          <w:sz w:val="28"/>
          <w:szCs w:val="28"/>
          <w:rtl w:val="true"/>
          <w:lang w:bidi="ar-SA"/>
        </w:rPr>
        <w:t xml:space="preserve">الاستيناف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وحمل المغصوب غير قادح على الأقوی إذا کان بصلاته غیر </w:t>
      </w:r>
    </w:p>
    <w:p>
      <w:pPr>
        <w:pStyle w:val="BookText"/>
        <w:rPr/>
      </w:pPr>
      <w:r>
        <w:rPr>
          <w:rFonts w:ascii="Amiri" w:hAnsi="Amiri" w:eastAsia="Amiri" w:cs="Amiri"/>
          <w:color w:val="111111"/>
          <w:sz w:val="28"/>
          <w:sz w:val="28"/>
          <w:szCs w:val="28"/>
          <w:rtl w:val="true"/>
          <w:lang w:bidi="ar-SA"/>
        </w:rPr>
        <w:t xml:space="preserve">متصرّف فيه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بصلاته متصرّفاً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البطلان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مطلق اللباس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مأكول اللحم إن كان من جلود ذي النفس ونحوها من أجزائه التي تحلّها الحياة، فلا تجوز في غیر المذكّى منه ولو دبغ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والمأخوذ من يد المسلم وما عليه أثر استعماله بحكم المذكّى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لا تجوز في غير المأكول منه وإن ذكّي من غير فرق بین ما يتمّ به الصلاة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والأقوى مساوات الجهل والنسيان لغيرهما فى البطلان كما أنّ الأقوى عدم الفرق بين ذي النفس وغيره بعد الاشتراك في عدم أكل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والأحوط إزالة الطاهر من فضلات غير المأكول كالرطوبة ونحوها عن اللباس والبدن إلّا الإنسان فلا بأس بها سيّما إن </w:t>
      </w:r>
      <w:r>
        <w:rPr>
          <w:rStyle w:val="FootnoteAnchor"/>
          <w:rtl w:val="true"/>
        </w:rPr>
        <w:footnoteReference w:id="117"/>
      </w:r>
      <w:r>
        <w:rPr>
          <w:rFonts w:ascii="Amiri" w:hAnsi="Amiri" w:eastAsia="Amiri" w:cs="Amiri"/>
          <w:color w:val="111111"/>
          <w:sz w:val="28"/>
          <w:sz w:val="28"/>
          <w:szCs w:val="28"/>
          <w:rtl w:val="true"/>
          <w:lang w:bidi="ar-SA"/>
        </w:rPr>
        <w:t xml:space="preserve">كانت منه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بما لا تحلّه الحياة في المأكول كالشعر وإن كان ميتة بخلافه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المأكول وإن كان مذكّى إلّا ما استثني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المحمول من غير مأكول اللحم فالاحتياط فيه لا يُترك، وأشدّ منه احتياطاً المحمول الملتصق بالثوب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بالبدن كالشعر الملقى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 في الساتر بل مطلق الملبوس أنّه من مأكول اللحم أو غيره فلا بأس به، وكذا لا بأس بشمع العسل والحرير الممتزج ودم البق والقمّل والبرغوث ونحوه من فضلات أمثالها ممّا لا لحم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باللباس بل الساتر المتّخذين من وبر الخزّ الخالص </w:t>
      </w:r>
    </w:p>
    <w:p>
      <w:pPr>
        <w:pStyle w:val="BookText"/>
        <w:rPr/>
      </w:pPr>
      <w:r>
        <w:rPr>
          <w:rFonts w:ascii="Amiri" w:hAnsi="Amiri" w:eastAsia="Amiri" w:cs="Amiri"/>
          <w:color w:val="111111"/>
          <w:sz w:val="28"/>
          <w:sz w:val="28"/>
          <w:szCs w:val="28"/>
          <w:rtl w:val="true"/>
          <w:lang w:bidi="ar-SA"/>
        </w:rPr>
        <w:t xml:space="preserve">والمغشوش بما يجوز الصلاة فيه، دون المغشوش بوبر الثعالب والأرانب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السنجاب فالأقوى جواز الصلاة في وبره وجلده بخلاف الفَنَك </w:t>
      </w:r>
      <w:r>
        <w:rPr>
          <w:rStyle w:val="FootnoteAnchor"/>
          <w:rtl w:val="true"/>
        </w:rPr>
        <w:footnoteReference w:id="118"/>
      </w:r>
      <w:r>
        <w:rPr>
          <w:rFonts w:ascii="IRNazanin" w:hAnsi="IRNazanin" w:eastAsia="IRNazanin"/>
          <w:color w:val="111111"/>
          <w:sz w:val="28"/>
          <w:sz w:val="28"/>
          <w:szCs w:val="28"/>
          <w:rtl w:val="true"/>
          <w:lang w:bidi="fa-IR"/>
        </w:rPr>
        <w:t xml:space="preserve">على 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والسمور </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الحواصل الخوارزميّة فالأحوط عدم الصلاة في جلدها ووبرها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مطلق اللباس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حليّاً كالخاتم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الذهب للرجال في الصلاة وغيرها ، بل الاحتياط اجتناب الملحّم به والمذهّب بالتمويه والطلي والمزج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بالمحمول منه مسكوكاً كان أو لا متّخذاً للنّفقة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بشدّ الأسنان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مطلق اللباس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ما لم تتمّ به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حريراً محضاً للرجال، بل لا يجوز لبسه لهم في غير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 في الضرورة كالبرد ونحوه حتّى حال الصلاة مع فرض تحقّقها حالها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الحرب كذلك وإن أمكن نزعه قدر الصلاة حالها، سواء كان تحت الدرع أم لا والأحوط لبس غيره معه ممّا تجوز الصلاة في الحالين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به للنساء ولو في الصلاة، ولا بما لا تتمّ به الصلاة </w:t>
      </w:r>
      <w:bookmarkStart w:id="251" w:name="pg8988_116190"/>
    </w:p>
    <w:p>
      <w:pPr>
        <w:pStyle w:val="BookText"/>
        <w:rPr/>
      </w:pPr>
      <w:bookmarkEnd w:id="251"/>
      <w:r>
        <w:rPr>
          <w:rFonts w:ascii="Amiri" w:hAnsi="Amiri" w:eastAsia="Amiri" w:cs="Amiri"/>
          <w:color w:val="111111"/>
          <w:sz w:val="28"/>
          <w:sz w:val="28"/>
          <w:szCs w:val="28"/>
          <w:rtl w:val="true"/>
          <w:lang w:bidi="ar-SA"/>
        </w:rPr>
        <w:t xml:space="preserve">لمستوي الخلقة لصغره كالتِّكّة </w:t>
      </w:r>
      <w:r>
        <w:rPr>
          <w:rStyle w:val="FootnoteAnchor"/>
          <w:rtl w:val="true"/>
        </w:rPr>
        <w:footnoteReference w:id="120"/>
      </w:r>
      <w:r>
        <w:rPr>
          <w:rFonts w:ascii="Amiri" w:hAnsi="Amiri" w:eastAsia="Amiri" w:cs="Amiri"/>
          <w:color w:val="111111"/>
          <w:sz w:val="28"/>
          <w:sz w:val="28"/>
          <w:szCs w:val="28"/>
          <w:rtl w:val="true"/>
          <w:lang w:bidi="ar-SA"/>
        </w:rPr>
        <w:t xml:space="preserve">والقلنسوة ونحوهما ممّا يندرج في اسم الملبوس كذلك وإن كان الأحوط مع ذلك اجتناب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أيضاً بالمحمول، ولا بالملصق بالثوب، ولا بما لا يُعَدّ لباساً كالفراش والتدثّر به في حال الصلاة وغيرها، ولا بما لا يعدّ ملبوساً كزرّ الثوب وأعلامها وما خيط به منها والسفائف</w:t>
      </w:r>
      <w:r>
        <w:rPr>
          <w:rStyle w:val="FootnoteAnchor"/>
          <w:rtl w:val="true"/>
        </w:rPr>
        <w:footnoteReference w:id="121"/>
      </w:r>
      <w:r>
        <w:rPr>
          <w:rFonts w:ascii="Amiri" w:hAnsi="Amiri" w:eastAsia="Amiri" w:cs="Amiri"/>
          <w:color w:val="111111"/>
          <w:sz w:val="28"/>
          <w:sz w:val="28"/>
          <w:szCs w:val="28"/>
          <w:rtl w:val="true"/>
          <w:lang w:bidi="ar-SA"/>
        </w:rPr>
        <w:t xml:space="preserve">والقياطين وإن تعدّدت وكثرت، وخرق الجبيرة، وعصائب الجروح والقروح، وحفيظة المسلوس والمبطون ، وكرفس الاستحاضة ، وإن كان الأحوط اجتناب جميع ذلك ، ولا بالممتزج ممّا تحلّ به الصلاة على وجهٍ يخرج به عن الخلوص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بالكفّ به وإن زاد على أربع أصابع وإن كان الأحوط الاجتناب عن الزائد</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1814858_2870459653"/>
      <w:bookmarkStart w:id="253" w:name="_Toc93"/>
      <w:bookmarkEnd w:id="252"/>
      <w:r>
        <w:rPr>
          <w:rtl w:val="true"/>
        </w:rPr>
        <w:t xml:space="preserve">المبحث الثالث </w:t>
      </w:r>
      <w:r>
        <w:rPr>
          <w:rtl w:val="true"/>
        </w:rPr>
        <w:t xml:space="preserve">: </w:t>
      </w:r>
      <w:r>
        <w:rPr>
          <w:rtl w:val="true"/>
        </w:rPr>
        <w:t>في الاحکام</w:t>
      </w:r>
      <w:bookmarkEnd w:id="25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يعتبر في التستّر كيفيّة خاصّة ولا في الساتر بعد كونه ممّا يجوز فيه الصلاة فيجزي القطن وغيره وإن لم يكن منسوجاً والأقوى الاجتزاء بالورق والحشيش مع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الطلي بالطين فلا يجزي </w:t>
      </w:r>
      <w:bookmarkStart w:id="254" w:name="pg8988_116192"/>
    </w:p>
    <w:p>
      <w:pPr>
        <w:pStyle w:val="BookText"/>
        <w:rPr/>
      </w:pPr>
      <w:bookmarkEnd w:id="254"/>
      <w:r>
        <w:rPr>
          <w:rFonts w:ascii="Amiri" w:hAnsi="Amiri" w:eastAsia="Amiri" w:cs="Amiri"/>
          <w:color w:val="111111"/>
          <w:sz w:val="28"/>
          <w:sz w:val="28"/>
          <w:szCs w:val="28"/>
          <w:rtl w:val="true"/>
          <w:lang w:bidi="ar-SA"/>
        </w:rPr>
        <w:t xml:space="preserve">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يجزي ستر الدبر بالإليتين والقبل باليدين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لم يوجد ساتر للصلاة سقط وجوب التستّر ، فيصلّي عارياً صلاة المختار مع أمن المطّلع المحترم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والأحوط وضع يديه علی عورته والطلي بالطين إن أمكن، وإن لم يجد الطين فالأحوط له الجمع بین الصلاة مومياً وتماماً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المطّلع يصلّي جالساً ويومي للركوع والسجود برأسه وينبغي كون إيماء السجود أخفض</w:t>
      </w:r>
      <w:r>
        <w:rPr>
          <w:rFonts w:eastAsia="IRNazanin" w:cs="IRNazanin"/>
          <w:color w:val="111111"/>
          <w:sz w:val="28"/>
          <w:szCs w:val="28"/>
          <w:rtl w:val="true"/>
          <w:lang w:bidi="fa-IR"/>
        </w:rPr>
        <w:t>.</w:t>
      </w:r>
    </w:p>
    <w:p>
      <w:pPr>
        <w:pStyle w:val="Heading4"/>
        <w:numPr>
          <w:ilvl w:val="3"/>
          <w:numId w:val="1"/>
        </w:numPr>
        <w:rPr/>
      </w:pPr>
      <w:bookmarkStart w:id="255" w:name="__RefHeading___Toc1814860_2870459653"/>
      <w:bookmarkStart w:id="256" w:name="_Toc94"/>
      <w:bookmarkEnd w:id="255"/>
      <w:r>
        <w:rPr>
          <w:rtl w:val="true"/>
        </w:rPr>
        <w:t xml:space="preserve">المبحث الرابع </w:t>
      </w:r>
      <w:r>
        <w:rPr>
          <w:rtl w:val="true"/>
        </w:rPr>
        <w:t xml:space="preserve">: </w:t>
      </w:r>
      <w:r>
        <w:rPr>
          <w:rtl w:val="true"/>
        </w:rPr>
        <w:t>التستر من جهة التحت</w:t>
      </w:r>
      <w:bookmarkEnd w:id="256"/>
    </w:p>
    <w:p>
      <w:pPr>
        <w:pStyle w:val="BookText"/>
        <w:rPr/>
      </w:pPr>
      <w:r>
        <w:rPr>
          <w:rFonts w:ascii="Amiri" w:hAnsi="Amiri" w:eastAsia="Amiri" w:cs="Amiri"/>
          <w:color w:val="111111"/>
          <w:sz w:val="28"/>
          <w:sz w:val="28"/>
          <w:szCs w:val="28"/>
          <w:rtl w:val="true"/>
          <w:lang w:bidi="ar-SA"/>
        </w:rPr>
        <w:t xml:space="preserve">لا يجب التستّر من جهة التحت للصلاة، نعم إذا كان واقفاً على شبّاك أو طرف سطح بحيث تُرى عورته لو نظر إليها فالأحوط والأقوى التستّر وإن لم يكن هناك ناظر </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1814862_2870459653"/>
      <w:bookmarkStart w:id="258" w:name="_Toc95"/>
      <w:bookmarkEnd w:id="257"/>
      <w:r>
        <w:rPr>
          <w:rtl w:val="true"/>
        </w:rPr>
        <w:t xml:space="preserve">المبحث الخامس </w:t>
      </w:r>
      <w:r>
        <w:rPr>
          <w:rtl w:val="true"/>
        </w:rPr>
        <w:t xml:space="preserve">: </w:t>
      </w:r>
      <w:r>
        <w:rPr>
          <w:rtl w:val="true"/>
        </w:rPr>
        <w:t>في المكروهات</w:t>
      </w:r>
      <w:bookmarkEnd w:id="25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تكره الصلاة حتّى للنساء في الأسود عدا الخفّ والعمامة والكساء ومنه العباء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ترك الرداء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يستحبّ هو له ولغيره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والتعمّم، والتسرول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فيها الاتّزار فوق القميص، والحزام ، واللثام للرجل والنقاب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العمامة المجرّدة عن التحنّك، وفي ثوب المتّهم بالنجاسة أو الغصب، وفي لباس القدم الذي يغطّي ظاهره ولا يغطّي الساق، وأمّا ما كان له ساق تحصل التغطية به فلا كراهة </w:t>
      </w:r>
      <w:r>
        <w:rPr>
          <w:rFonts w:eastAsia="Amiri" w:cs="Amiri" w:ascii="Amiri" w:hAnsi="Amiri"/>
          <w:color w:val="111111"/>
          <w:sz w:val="28"/>
          <w:szCs w:val="28"/>
          <w:rtl w:val="true"/>
          <w:lang w:bidi="ar-SA"/>
        </w:rPr>
        <w:t xml:space="preserve">. </w:t>
      </w:r>
      <w:bookmarkStart w:id="259" w:name="pg8988_116194"/>
    </w:p>
    <w:p>
      <w:pPr>
        <w:pStyle w:val="Heading3"/>
        <w:numPr>
          <w:ilvl w:val="2"/>
          <w:numId w:val="1"/>
        </w:numPr>
        <w:rPr/>
      </w:pPr>
      <w:bookmarkStart w:id="260" w:name="__RefHeading___Toc1814864_2870459653"/>
      <w:bookmarkStart w:id="261" w:name="_Toc96"/>
      <w:bookmarkEnd w:id="259"/>
      <w:bookmarkEnd w:id="260"/>
      <w:r>
        <w:rPr>
          <w:rtl w:val="true"/>
        </w:rPr>
        <w:t xml:space="preserve">المقدّمة الرابعة </w:t>
      </w:r>
      <w:r>
        <w:rPr>
          <w:rtl w:val="true"/>
        </w:rPr>
        <w:t xml:space="preserve">: </w:t>
      </w:r>
      <w:r>
        <w:rPr>
          <w:rtl w:val="true"/>
        </w:rPr>
        <w:t>في مكان المصلّي</w:t>
      </w:r>
      <w:bookmarkEnd w:id="261"/>
    </w:p>
    <w:p>
      <w:pPr>
        <w:pStyle w:val="Heading4"/>
        <w:numPr>
          <w:ilvl w:val="3"/>
          <w:numId w:val="1"/>
        </w:numPr>
        <w:rPr/>
      </w:pPr>
      <w:bookmarkStart w:id="262" w:name="__RefHeading___Toc1814866_2870459653"/>
      <w:bookmarkStart w:id="263" w:name="_Toc97"/>
      <w:bookmarkEnd w:id="262"/>
      <w:r>
        <w:rPr>
          <w:rtl w:val="true"/>
        </w:rPr>
        <w:t>اشارة</w:t>
      </w:r>
      <w:bookmarkEnd w:id="263"/>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1814868_2870459653"/>
      <w:bookmarkStart w:id="265" w:name="_Toc98"/>
      <w:bookmarkEnd w:id="264"/>
      <w:r>
        <w:rPr>
          <w:rtl w:val="true"/>
        </w:rPr>
        <w:t xml:space="preserve">المبحث الأوّل </w:t>
      </w:r>
      <w:r>
        <w:rPr>
          <w:rtl w:val="true"/>
        </w:rPr>
        <w:t xml:space="preserve">: </w:t>
      </w:r>
      <w:r>
        <w:rPr>
          <w:rtl w:val="true"/>
        </w:rPr>
        <w:t>في الأحكام</w:t>
      </w:r>
      <w:bookmarkEnd w:id="265"/>
    </w:p>
    <w:p>
      <w:pPr>
        <w:pStyle w:val="BookText"/>
        <w:rPr/>
      </w:pPr>
      <w:r>
        <w:rPr>
          <w:rFonts w:ascii="Amiri" w:hAnsi="Amiri" w:eastAsia="Amiri" w:cs="Amiri"/>
          <w:color w:val="111111"/>
          <w:sz w:val="28"/>
          <w:sz w:val="28"/>
          <w:szCs w:val="28"/>
          <w:rtl w:val="true"/>
          <w:lang w:bidi="ar-SA"/>
        </w:rPr>
        <w:t>كلّ مكان تجوز الصلاة فيه إلّا المغصوب للعالم بغصبه المختار دون الجاهل والمضطرّ كالمحبوس بباطل بل والناسي وغيرهم ممّن لا يحرم المكث عليه من غير فرق بين الغاصب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وصلاة المضطرّ كغيره بقيام وركوع وسجود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في نحو المسجد لو غَصَب حقَّ سبق من آخر الاجتناب</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استقرّ عليه 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بوسائط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شغله من الفضاء في قيامه وركوعه وسجوده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فساد في الصلاة تحت السقف المغصوب والخيمة كذلك فضلاً عن الدار والخيمة التي وقع الغصب في بعض سورها أو أطنابها أو حبالها أو أوتادها أو غير ذلك على الأقوى </w:t>
      </w:r>
      <w:r>
        <w:rPr>
          <w:rFonts w:eastAsia="Amiri" w:cs="Amiri" w:ascii="Amiri" w:hAnsi="Amiri"/>
          <w:color w:val="111111"/>
          <w:sz w:val="28"/>
          <w:szCs w:val="28"/>
          <w:rtl w:val="true"/>
          <w:lang w:bidi="ar-SA"/>
        </w:rPr>
        <w:t xml:space="preserve">. </w:t>
      </w:r>
      <w:bookmarkStart w:id="266" w:name="pg8988_116196"/>
    </w:p>
    <w:p>
      <w:pPr>
        <w:pStyle w:val="BookText"/>
        <w:rPr/>
      </w:pPr>
      <w:bookmarkEnd w:id="266"/>
      <w:r>
        <w:rPr>
          <w:rFonts w:ascii="Amiri" w:hAnsi="Amiri" w:eastAsia="Amiri" w:cs="Amiri"/>
          <w:color w:val="111111"/>
          <w:sz w:val="28"/>
          <w:sz w:val="28"/>
          <w:szCs w:val="28"/>
          <w:rtl w:val="true"/>
          <w:lang w:bidi="ar-SA"/>
        </w:rPr>
        <w:t xml:space="preserve">ولا غصب مع شاهد الحال كالمضايف فإنّه يؤخذ بها ما لم يعلم الكراهة أو كانت فحوى بمعنى القطع بالرضا، بل الظاهر عدم الغصب فيما جرت السيرة على فعل ذلك فيه من غير بحث من مالكه وأنّه مولّى عليه كالأراضي المتّسعة بل وإن علم كونه مولّى عليه بل الظاهر كون السيرة على ذلك في ذات الاتّساع العظيم بحيث يتعسّر اجتنابها على </w:t>
      </w:r>
      <w:r>
        <w:rPr>
          <w:rStyle w:val="FootnoteAnchor"/>
          <w:rtl w:val="true"/>
        </w:rPr>
        <w:footnoteReference w:id="122"/>
      </w:r>
      <w:r>
        <w:rPr>
          <w:rFonts w:ascii="Amiri" w:hAnsi="Amiri" w:eastAsia="Amiri" w:cs="Amiri"/>
          <w:color w:val="111111"/>
          <w:sz w:val="28"/>
          <w:sz w:val="28"/>
          <w:szCs w:val="28"/>
          <w:rtl w:val="true"/>
          <w:lang w:bidi="ar-SA"/>
        </w:rPr>
        <w:t xml:space="preserve">الناس حتّى لو علم الكراهة فضلاً عن عدم العلم </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1814870_2870459653"/>
      <w:bookmarkStart w:id="268" w:name="_Toc99"/>
      <w:bookmarkEnd w:id="267"/>
      <w:r>
        <w:rPr>
          <w:rtl w:val="true"/>
        </w:rPr>
        <w:t xml:space="preserve">المبحث الثاني </w:t>
      </w:r>
      <w:r>
        <w:rPr>
          <w:rtl w:val="true"/>
        </w:rPr>
        <w:t xml:space="preserve">: </w:t>
      </w:r>
      <w:r>
        <w:rPr>
          <w:rtl w:val="true"/>
        </w:rPr>
        <w:t>في محاذات الرجل والمرأة</w:t>
      </w:r>
      <w:bookmarkEnd w:id="268"/>
    </w:p>
    <w:p>
      <w:pPr>
        <w:pStyle w:val="BookText"/>
        <w:rPr/>
      </w:pPr>
      <w:r>
        <w:rPr>
          <w:rFonts w:ascii="Amiri" w:hAnsi="Amiri" w:eastAsia="Amiri" w:cs="Amiri"/>
          <w:color w:val="111111"/>
          <w:sz w:val="28"/>
          <w:sz w:val="28"/>
          <w:szCs w:val="28"/>
          <w:rtl w:val="true"/>
          <w:lang w:bidi="ar-SA"/>
        </w:rPr>
        <w:t>الأقوى صحّة صلاة كلّ من الرجل والمرأة مع المحاذات التامّة أو تقدّم المرأة وإن لم يكن حائلاً ولا عشرة أذرع، وإنّما هو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لهما الترك أو إعادة الصلاة إن اقترنا وللمتأخّر إن تعاقبا 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مع الحائل ؛ والأولى كونه مانعاً للمشاهدة أو مع البُعد بعشرة أذرع باليد والأولى كونه من مسجده إلى موقفها </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1814872_2870459653"/>
      <w:bookmarkStart w:id="270" w:name="_Toc100"/>
      <w:bookmarkEnd w:id="269"/>
      <w:r>
        <w:rPr>
          <w:rtl w:val="true"/>
        </w:rPr>
        <w:t xml:space="preserve">المبحث الثالث </w:t>
      </w:r>
      <w:r>
        <w:rPr>
          <w:rtl w:val="true"/>
        </w:rPr>
        <w:t xml:space="preserve">: </w:t>
      </w:r>
      <w:r>
        <w:rPr>
          <w:rtl w:val="true"/>
        </w:rPr>
        <w:t>في مسجد الجبهة</w:t>
      </w:r>
      <w:bookmarkEnd w:id="27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خصوص مسجد الجبهة قد عرفت اعتبار طهارته دون غيره إلّا </w:t>
      </w:r>
      <w:r>
        <w:rPr>
          <w:rStyle w:val="FootnoteAnchor"/>
          <w:rtl w:val="true"/>
        </w:rPr>
        <w:footnoteReference w:id="123"/>
      </w:r>
      <w:r>
        <w:rPr>
          <w:rFonts w:ascii="Amiri" w:hAnsi="Amiri" w:eastAsia="Amiri" w:cs="Amiri"/>
          <w:color w:val="111111"/>
          <w:sz w:val="28"/>
          <w:sz w:val="28"/>
          <w:szCs w:val="28"/>
          <w:rtl w:val="true"/>
          <w:lang w:bidi="ar-SA"/>
        </w:rPr>
        <w:t xml:space="preserve">مع التعدّي، بل عرفت وجوب اجتناب المشتبه بالنجس مع الانحصار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ويعتبر فيه مع الاختيار كونه أرضاً أو نباتاً أو قرطاساً ولا يصحّ ما عداها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بالأرض ما يصحّ التيمّم به وقد عرفت في بابه ، ولا فرق بين التراب وغيره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النبات فيجوز السجود على غير المآكل والملابس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السجود على المخبوز والمطبوخ والحبوب المعتاد أكلها كالحنطة ونحوها والفواكه والبقول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اجتناب الثمرة المأكولة مطلقاً من غير فرق بين قشرها ونواها وغيرهما </w:t>
      </w:r>
      <w:r>
        <w:rPr>
          <w:rStyle w:val="FootnoteAnchor"/>
          <w:rtl w:val="true"/>
        </w:rPr>
        <w:footnoteReference w:id="124"/>
      </w:r>
      <w:r>
        <w:rPr>
          <w:rFonts w:ascii="Amiri" w:hAnsi="Amiri" w:eastAsia="Amiri" w:cs="Amiri"/>
          <w:color w:val="111111"/>
          <w:sz w:val="28"/>
          <w:sz w:val="28"/>
          <w:szCs w:val="28"/>
          <w:rtl w:val="true"/>
          <w:lang w:bidi="ar-SA"/>
        </w:rPr>
        <w:t>مع الاتّصال وعدمه، وصلت إلى حدّ تُؤكل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بغير المأكول كالحنظل والخُرنوب </w:t>
      </w:r>
      <w:r>
        <w:rPr>
          <w:rStyle w:val="FootnoteAnchor"/>
          <w:rtl w:val="true"/>
        </w:rPr>
        <w:footnoteReference w:id="125"/>
      </w:r>
      <w:r>
        <w:rPr>
          <w:rFonts w:ascii="Amiri" w:hAnsi="Amiri" w:eastAsia="Amiri" w:cs="Amiri"/>
          <w:color w:val="111111"/>
          <w:sz w:val="28"/>
          <w:sz w:val="28"/>
          <w:szCs w:val="28"/>
          <w:rtl w:val="true"/>
          <w:lang w:bidi="ar-SA"/>
        </w:rPr>
        <w:t xml:space="preserve">وما لا يؤكل إلّا عند المخمصة أو بُهم الناس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العقاقير فالأحوط اجتناب ما اعتيد أكله ولو في حال من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يمنع شرب التنباك عن جواز السجود عليه </w:t>
      </w:r>
      <w:r>
        <w:rPr>
          <w:rFonts w:eastAsia="Amiri" w:cs="Amiri" w:ascii="Amiri" w:hAnsi="Amiri"/>
          <w:color w:val="111111"/>
          <w:sz w:val="28"/>
          <w:szCs w:val="28"/>
          <w:rtl w:val="true"/>
          <w:lang w:bidi="ar-SA"/>
        </w:rPr>
        <w:t xml:space="preserve">. </w:t>
      </w:r>
      <w:bookmarkStart w:id="271" w:name="pg8988_116201"/>
    </w:p>
    <w:p>
      <w:pPr>
        <w:pStyle w:val="BookText"/>
        <w:rPr/>
      </w:pPr>
      <w:bookmarkEnd w:id="271"/>
      <w:r>
        <w:rPr>
          <w:rFonts w:ascii="Amiri" w:hAnsi="Amiri" w:eastAsia="Amiri" w:cs="Amiri"/>
          <w:color w:val="111111"/>
          <w:sz w:val="28"/>
          <w:sz w:val="28"/>
          <w:szCs w:val="28"/>
          <w:rtl w:val="true"/>
          <w:lang w:bidi="ar-SA"/>
        </w:rPr>
        <w:t>والكلام في الملبوس كالمأكول، فلا يجوز على القطن والكتان وإن لم ينسجا بل وإن لم يغزلا بل الأحوط اجتنابهما قبل استعدادهما للغزل ، ولا بأس بالسجود على خشبهما وورقهما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القرطاس فيجوز السجود عليه وإن كان فيه جزء من النورة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المتّخذ من الحرير فالأحوط عدم السجود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وأفضل الثلاثة </w:t>
      </w:r>
      <w:r>
        <w:rPr>
          <w:rStyle w:val="FootnoteAnchor"/>
          <w:rtl w:val="true"/>
        </w:rPr>
        <w:footnoteReference w:id="127"/>
      </w:r>
      <w:r>
        <w:rPr>
          <w:rFonts w:ascii="Amiri" w:hAnsi="Amiri" w:eastAsia="Amiri" w:cs="Amiri"/>
          <w:color w:val="111111"/>
          <w:sz w:val="28"/>
          <w:sz w:val="28"/>
          <w:szCs w:val="28"/>
          <w:rtl w:val="true"/>
          <w:lang w:bidi="ar-SA"/>
        </w:rPr>
        <w:t>التربة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يجد شيئاً من الثلاثة أو وجده ولم يتمكّن من السجود عليه لحرارة أو برد أو تقيّة سقط اعتباره والاحتياط في هذه الحالة بالسجود على ثوبه القطن أو الكتان ثمّ المعادن الأرضيّة ثمّ ظهر الكفّ </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1814874_2870459653"/>
      <w:bookmarkStart w:id="273" w:name="_Toc101"/>
      <w:bookmarkEnd w:id="272"/>
      <w:r>
        <w:rPr>
          <w:rtl w:val="true"/>
        </w:rPr>
        <w:t xml:space="preserve">المبحث الرابع </w:t>
      </w:r>
      <w:r>
        <w:rPr>
          <w:rtl w:val="true"/>
        </w:rPr>
        <w:t xml:space="preserve">: </w:t>
      </w:r>
      <w:r>
        <w:rPr>
          <w:rtl w:val="true"/>
        </w:rPr>
        <w:t>في الاستقرار</w:t>
      </w:r>
      <w:bookmarkEnd w:id="27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يعتبر في المكان كونه قارّاً غير مفوّت للاستقرار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صلّى اختياراً في سفينة أو بيدر </w:t>
      </w:r>
      <w:r>
        <w:rPr>
          <w:rStyle w:val="FootnoteAnchor"/>
          <w:rtl w:val="true"/>
        </w:rPr>
        <w:footnoteReference w:id="128"/>
      </w:r>
      <w:r>
        <w:rPr>
          <w:rFonts w:ascii="Amiri" w:hAnsi="Amiri" w:eastAsia="Amiri" w:cs="Amiri"/>
          <w:color w:val="111111"/>
          <w:sz w:val="28"/>
          <w:sz w:val="28"/>
          <w:szCs w:val="28"/>
          <w:rtl w:val="true"/>
          <w:lang w:bidi="ar-SA"/>
        </w:rPr>
        <w:t xml:space="preserve">أو غيرهما بطلت صلاته مع فوات الاستقرار بخلاف ما لو إذا لم تفت بل يصدق أنّه مستقرّ فإنّها تصحّ وإن كانت السفينة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سائرة مع فرض المحافظة على الاستقبال ونحوه من الشرائط ؛ نعم الأحوط ترك الصلاة في السفينة الجارية ولو مع استيفاء الأفعال والشروط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مضطرباً أوّل الوقوف أو السجود </w:t>
      </w:r>
      <w:bookmarkStart w:id="274" w:name="pg8988_116203"/>
    </w:p>
    <w:p>
      <w:pPr>
        <w:pStyle w:val="BookText"/>
        <w:rPr/>
      </w:pPr>
      <w:bookmarkEnd w:id="274"/>
      <w:r>
        <w:rPr>
          <w:rFonts w:ascii="Amiri" w:hAnsi="Amiri" w:eastAsia="Amiri" w:cs="Amiri"/>
          <w:color w:val="111111"/>
          <w:sz w:val="28"/>
          <w:sz w:val="28"/>
          <w:szCs w:val="28"/>
          <w:rtl w:val="true"/>
          <w:lang w:bidi="ar-SA"/>
        </w:rPr>
        <w:t>ثمّ استقرّ جاز إلّا مع البطء المفسد للصلاة لمحو ونحوه، نعم عليه أن يكفّ عن القراءة والذكر ونحوهما حال الاضطراب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مع الاختيار أمّا مع الاضطرار فلا بأس فيصلّي على الدابّة مراعياً للاستقبال بما تمكّنه من صلاته ولو بتكبيرة الاحرام وإلّا سقط من رأس والأحوط تحرّي الأقرب فالأقرب إلى القبلة </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1814876_2870459653"/>
      <w:bookmarkStart w:id="276" w:name="_Toc102"/>
      <w:bookmarkEnd w:id="275"/>
      <w:r>
        <w:rPr>
          <w:rtl w:val="true"/>
        </w:rPr>
        <w:t xml:space="preserve">المبحث الخامس </w:t>
      </w:r>
      <w:r>
        <w:rPr>
          <w:rtl w:val="true"/>
        </w:rPr>
        <w:t xml:space="preserve">: </w:t>
      </w:r>
      <w:r>
        <w:rPr>
          <w:rtl w:val="true"/>
        </w:rPr>
        <w:t>الصلاة في الكعبة</w:t>
      </w:r>
      <w:bookmarkEnd w:id="276"/>
    </w:p>
    <w:p>
      <w:pPr>
        <w:pStyle w:val="BookText"/>
        <w:rPr/>
      </w:pPr>
      <w:r>
        <w:rPr>
          <w:rFonts w:ascii="Amiri" w:hAnsi="Amiri" w:eastAsia="Amiri" w:cs="Amiri"/>
          <w:color w:val="111111"/>
          <w:sz w:val="28"/>
          <w:sz w:val="28"/>
          <w:szCs w:val="28"/>
          <w:rtl w:val="true"/>
          <w:lang w:bidi="ar-SA"/>
        </w:rPr>
        <w:t>الأولى بل الأحوط عدم صلاة الفريضة في جوف الكعبة ولا على سطحها وإن كان الأقوى الجواز ويجب في الصلاة على سطحها إبراز شيء منها ليستقبله ؛ أما مع الاضطرار فلا إشكال في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بل الأحوط </w:t>
      </w:r>
      <w:r>
        <w:rPr>
          <w:rStyle w:val="FootnoteAnchor"/>
          <w:rtl w:val="true"/>
        </w:rPr>
        <w:footnoteReference w:id="129"/>
      </w:r>
      <w:r>
        <w:rPr>
          <w:rFonts w:ascii="Amiri" w:hAnsi="Amiri" w:eastAsia="Amiri" w:cs="Amiri"/>
          <w:color w:val="111111"/>
          <w:sz w:val="28"/>
          <w:sz w:val="28"/>
          <w:szCs w:val="28"/>
          <w:rtl w:val="true"/>
          <w:lang w:bidi="ar-SA"/>
        </w:rPr>
        <w:t>أن لا يتقدّم على قبر معصوم بل ولا يحاذيه</w:t>
      </w:r>
      <w:r>
        <w:rPr>
          <w:rStyle w:val="FootnoteAnchor"/>
          <w:rtl w:val="true"/>
        </w:rPr>
        <w:footnoteReference w:id="130"/>
      </w:r>
      <w:r>
        <w:rPr>
          <w:rFonts w:ascii="IRNazanin" w:hAnsi="IRNazanin" w:eastAsia="IRNazanin"/>
          <w:color w:val="111111"/>
          <w:sz w:val="28"/>
          <w:sz w:val="28"/>
          <w:szCs w:val="28"/>
          <w:rtl w:val="true"/>
          <w:lang w:bidi="fa-IR"/>
        </w:rPr>
        <w:t>لحسن التأدّب</w:t>
      </w:r>
      <w:r>
        <w:rPr>
          <w:rFonts w:eastAsia="IRNazanin" w:cs="IRNazanin"/>
          <w:color w:val="111111"/>
          <w:sz w:val="28"/>
          <w:szCs w:val="28"/>
          <w:rtl w:val="true"/>
          <w:lang w:bidi="fa-IR"/>
        </w:rPr>
        <w:t>.</w:t>
      </w:r>
    </w:p>
    <w:p>
      <w:pPr>
        <w:pStyle w:val="Heading4"/>
        <w:numPr>
          <w:ilvl w:val="3"/>
          <w:numId w:val="1"/>
        </w:numPr>
        <w:rPr/>
      </w:pPr>
      <w:bookmarkStart w:id="277" w:name="__RefHeading___Toc1814878_2870459653"/>
      <w:bookmarkStart w:id="278" w:name="_Toc103"/>
      <w:bookmarkEnd w:id="277"/>
      <w:r>
        <w:rPr>
          <w:rtl w:val="true"/>
        </w:rPr>
        <w:t xml:space="preserve">المبحث السادس </w:t>
      </w:r>
      <w:r>
        <w:rPr>
          <w:rtl w:val="true"/>
        </w:rPr>
        <w:t xml:space="preserve">: </w:t>
      </w:r>
      <w:r>
        <w:rPr>
          <w:rtl w:val="true"/>
        </w:rPr>
        <w:t>في المكروهات</w:t>
      </w:r>
      <w:bookmarkEnd w:id="27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تكره الصّلاة في الحمام ، والمزبلة ، وفي المكان المتخّذ للكنيف ولو سطحاً متّخذا مبالا، وفى أعطان الإبل ومرابط الخيل والبغال والحمير ، وبين يديه نار مضرمة ولو سراجا، ولا على قبر أو في القبلة قبرٌ وبين قبرين فصاعداً وفي المقبرة، وغير ذلك من المكروهات</w:t>
      </w:r>
      <w:r>
        <w:rPr>
          <w:rFonts w:eastAsia="Amiri" w:cs="Amiri" w:ascii="Amiri" w:hAnsi="Amiri"/>
          <w:color w:val="111111"/>
          <w:sz w:val="28"/>
          <w:szCs w:val="28"/>
          <w:rtl w:val="true"/>
          <w:lang w:bidi="ar-SA"/>
        </w:rPr>
        <w:t xml:space="preserve">. </w:t>
      </w:r>
      <w:bookmarkStart w:id="279" w:name="pg8988_116205"/>
    </w:p>
    <w:p>
      <w:pPr>
        <w:pStyle w:val="Heading3"/>
        <w:numPr>
          <w:ilvl w:val="2"/>
          <w:numId w:val="1"/>
        </w:numPr>
        <w:rPr/>
      </w:pPr>
      <w:bookmarkStart w:id="280" w:name="__RefHeading___Toc1814880_2870459653"/>
      <w:bookmarkStart w:id="281" w:name="_Toc104"/>
      <w:bookmarkEnd w:id="279"/>
      <w:bookmarkEnd w:id="280"/>
      <w:r>
        <w:rPr>
          <w:rtl w:val="true"/>
        </w:rPr>
        <w:t>المقدّمة الخامسة</w:t>
      </w:r>
      <w:r>
        <w:rPr>
          <w:rtl w:val="true"/>
        </w:rPr>
        <w:t xml:space="preserve">: </w:t>
      </w:r>
      <w:r>
        <w:rPr>
          <w:rtl w:val="true"/>
        </w:rPr>
        <w:t>في الأذان والأقامة</w:t>
      </w:r>
      <w:bookmarkEnd w:id="281"/>
    </w:p>
    <w:p>
      <w:pPr>
        <w:pStyle w:val="Heading4"/>
        <w:numPr>
          <w:ilvl w:val="3"/>
          <w:numId w:val="1"/>
        </w:numPr>
        <w:rPr/>
      </w:pPr>
      <w:bookmarkStart w:id="282" w:name="__RefHeading___Toc1814882_2870459653"/>
      <w:bookmarkStart w:id="283" w:name="_Toc105"/>
      <w:bookmarkEnd w:id="282"/>
      <w:r>
        <w:rPr>
          <w:rtl w:val="true"/>
        </w:rPr>
        <w:t>اشارة</w:t>
      </w:r>
      <w:bookmarkEnd w:id="283"/>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1814884_2870459653"/>
      <w:bookmarkStart w:id="285" w:name="_Toc106"/>
      <w:bookmarkEnd w:id="284"/>
      <w:r>
        <w:rPr>
          <w:rtl w:val="true"/>
        </w:rPr>
        <w:t xml:space="preserve">المبحث الأوّل </w:t>
      </w:r>
      <w:r>
        <w:rPr>
          <w:rtl w:val="true"/>
        </w:rPr>
        <w:t xml:space="preserve">: </w:t>
      </w:r>
      <w:r>
        <w:rPr>
          <w:rtl w:val="true"/>
        </w:rPr>
        <w:t>في الأحکام</w:t>
      </w:r>
      <w:bookmarkEnd w:id="285"/>
    </w:p>
    <w:p>
      <w:pPr>
        <w:pStyle w:val="BookText"/>
        <w:rPr/>
      </w:pPr>
      <w:r>
        <w:rPr>
          <w:rFonts w:ascii="Amiri" w:hAnsi="Amiri" w:eastAsia="Amiri" w:cs="Amiri"/>
          <w:color w:val="111111"/>
          <w:sz w:val="28"/>
          <w:sz w:val="28"/>
          <w:szCs w:val="28"/>
          <w:rtl w:val="true"/>
          <w:lang w:bidi="ar-SA"/>
        </w:rPr>
        <w:t xml:space="preserve">هما مستحبّان مؤكّدان للصّلوات الخمس خاصّة عدا ما ستعرف وأشدّهما تأكّدا الإقامة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ويسقط الأذان لعصر يوم الجمعة عند استحباب الجمع مع الصلاة فيه ولو ظهرا بل الأقوى والأحوط تركه في هذا الحال، والعصر وعشاء المستحاضة التي تجمعها مع الظهر والمغرب</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ويسقطان معاً بقيام البعض في الجماعة المعتدّ بها عن حاضرها، والغائب إذا أتاها قبل التفرّق عن موضع الصلاة إذا كان مسجداً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دلّ عليه النّصوص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قصد الإتيان لها أو لا، صلّى جماعة معها أو مع غيرها أو فرادى، اتّحد </w:t>
      </w:r>
      <w:r>
        <w:rPr>
          <w:rStyle w:val="FootnoteAnchor"/>
          <w:rtl w:val="true"/>
        </w:rPr>
        <w:footnoteReference w:id="132"/>
      </w:r>
      <w:r>
        <w:rPr>
          <w:rFonts w:ascii="Amiri" w:hAnsi="Amiri" w:eastAsia="Amiri" w:cs="Amiri"/>
          <w:color w:val="111111"/>
          <w:sz w:val="28"/>
          <w:sz w:val="28"/>
          <w:szCs w:val="28"/>
          <w:rtl w:val="true"/>
          <w:lang w:bidi="ar-SA"/>
        </w:rPr>
        <w:t xml:space="preserve">فرضه معها أم لا بعد الاشتراك في </w:t>
      </w:r>
      <w:bookmarkStart w:id="286" w:name="pg8988_116207"/>
    </w:p>
    <w:p>
      <w:pPr>
        <w:pStyle w:val="BookText"/>
        <w:rPr/>
      </w:pPr>
      <w:bookmarkEnd w:id="286"/>
      <w:r>
        <w:rPr>
          <w:rFonts w:ascii="Amiri" w:hAnsi="Amiri" w:eastAsia="Amiri" w:cs="Amiri"/>
          <w:color w:val="111111"/>
          <w:sz w:val="28"/>
          <w:sz w:val="28"/>
          <w:szCs w:val="28"/>
          <w:rtl w:val="true"/>
          <w:lang w:bidi="ar-SA"/>
        </w:rPr>
        <w:t>الأداء ؛ أمّا مع الاختلاف فيه وفي القضاء عن النفس أو الغير فإشكال فالأقوى عدم السقوط خصوصاً 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اتّحاد المكان عرفاً ويقوى كون السقوط في الفرض عزيمة لا رخصة وهو الموافق للاحتياط</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1814886_2870459653"/>
      <w:bookmarkStart w:id="288" w:name="_Toc107"/>
      <w:bookmarkEnd w:id="287"/>
      <w:r>
        <w:rPr>
          <w:rtl w:val="true"/>
        </w:rPr>
        <w:t xml:space="preserve">المبحث الثاني </w:t>
      </w:r>
      <w:r>
        <w:rPr>
          <w:rtl w:val="true"/>
        </w:rPr>
        <w:t xml:space="preserve">: </w:t>
      </w:r>
      <w:r>
        <w:rPr>
          <w:rtl w:val="true"/>
        </w:rPr>
        <w:t>في فصول الأذان والإقامة وما يشترط فيهما</w:t>
      </w:r>
      <w:bookmarkEnd w:id="288"/>
    </w:p>
    <w:p>
      <w:pPr>
        <w:pStyle w:val="BookText"/>
        <w:rPr/>
      </w:pPr>
      <w:r>
        <w:rPr>
          <w:rFonts w:ascii="Amiri" w:hAnsi="Amiri" w:eastAsia="Amiri" w:cs="Amiri"/>
          <w:color w:val="111111"/>
          <w:sz w:val="28"/>
          <w:sz w:val="28"/>
          <w:szCs w:val="28"/>
          <w:rtl w:val="true"/>
          <w:lang w:bidi="ar-SA"/>
        </w:rPr>
        <w:t xml:space="preserve">فصول الأذان ثمانية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أربعاً، ثمّ الشهادة بالتوحيد، ثمّ بالرسالة،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 على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التكبير ، ثمّ التهليل ؛ كلّ فصل مرّتان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هي فصول الإقامة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الحيعلات إلّا أنّها أجمع مثنى مثنى إلّا التهليل في آخرها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فيهما </w:t>
      </w:r>
      <w:r>
        <w:rPr>
          <w:rStyle w:val="FootnoteAnchor"/>
          <w:rtl w:val="true"/>
        </w:rPr>
        <w:footnoteReference w:id="133"/>
      </w:r>
      <w:r>
        <w:rPr>
          <w:rFonts w:ascii="IRNazanin" w:hAnsi="IRNazanin" w:eastAsia="IRNazanin"/>
          <w:color w:val="111111"/>
          <w:sz w:val="28"/>
          <w:sz w:val="28"/>
          <w:szCs w:val="28"/>
          <w:rtl w:val="true"/>
          <w:lang w:bidi="fa-IR"/>
        </w:rPr>
        <w:t>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ابتداءً واستدامة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فيها بعد القربة تعيين الفرض مع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والإسلام بل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البلوغ فلا يعتبر في الأذان دون الإقامة على الأحوط فيُعْتَدّ بأذان المميّز دون غيره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بينهما وبين فصولهما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فيهما أو في فصولهما تلافاه قبل تجاوز المحلّ لا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والإقامة محلّ آخر لو شكّ </w:t>
      </w:r>
      <w:bookmarkStart w:id="289" w:name="pg8988_116209"/>
    </w:p>
    <w:p>
      <w:pPr>
        <w:pStyle w:val="BookText"/>
        <w:rPr/>
      </w:pPr>
      <w:bookmarkEnd w:id="289"/>
      <w:r>
        <w:rPr>
          <w:rFonts w:ascii="Amiri" w:hAnsi="Amiri" w:eastAsia="Amiri" w:cs="Amiri"/>
          <w:color w:val="111111"/>
          <w:sz w:val="28"/>
          <w:sz w:val="28"/>
          <w:szCs w:val="28"/>
          <w:rtl w:val="true"/>
          <w:lang w:bidi="ar-SA"/>
        </w:rPr>
        <w:t xml:space="preserve">في الأذان أو بعض فصوله ، بل يقوى كون كلّ فصل محلّاً آخر بالنسبة إلى ما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الموالات بينهما وبين فصولهما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بما لا يقدح في عرف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 فلو ألحن بشيء منها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وقت الفريضة، فلا يصحّان مع التقدّم ولو بعضاً إلّا في صورة صحّة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ويجزي الجامعَ للفريضتين</w:t>
      </w:r>
      <w:r>
        <w:rPr>
          <w:rStyle w:val="FootnoteAnchor"/>
          <w:rtl w:val="true"/>
        </w:rPr>
        <w:footnoteReference w:id="134"/>
      </w:r>
      <w:r>
        <w:rPr>
          <w:rFonts w:ascii="Amiri" w:hAnsi="Amiri" w:eastAsia="Amiri" w:cs="Amiri"/>
          <w:color w:val="111111"/>
          <w:sz w:val="28"/>
          <w:sz w:val="28"/>
          <w:szCs w:val="28"/>
          <w:rtl w:val="true"/>
          <w:lang w:bidi="ar-SA"/>
        </w:rPr>
        <w:t>دخولُ الوقت الأوّل منهما ، ولا يبعد جواز تقديم الأذان قبل الفجر للإعلام</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1814888_2870459653"/>
      <w:bookmarkStart w:id="291" w:name="_Toc108"/>
      <w:bookmarkEnd w:id="290"/>
      <w:r>
        <w:rPr>
          <w:rtl w:val="true"/>
        </w:rPr>
        <w:t xml:space="preserve">المبحث الثالث </w:t>
      </w:r>
      <w:r>
        <w:rPr>
          <w:rtl w:val="true"/>
        </w:rPr>
        <w:t xml:space="preserve">: </w:t>
      </w:r>
      <w:r>
        <w:rPr>
          <w:rtl w:val="true"/>
        </w:rPr>
        <w:t>في المستحبّات</w:t>
      </w:r>
      <w:bookmarkEnd w:id="291"/>
    </w:p>
    <w:p>
      <w:pPr>
        <w:pStyle w:val="BookText"/>
        <w:rPr/>
      </w:pPr>
      <w:r>
        <w:rPr>
          <w:rFonts w:ascii="Amiri" w:hAnsi="Amiri" w:eastAsia="Amiri" w:cs="Amiri"/>
          <w:color w:val="111111"/>
          <w:sz w:val="28"/>
          <w:sz w:val="28"/>
          <w:szCs w:val="28"/>
          <w:rtl w:val="true"/>
          <w:lang w:bidi="ar-SA"/>
        </w:rPr>
        <w:t xml:space="preserve">يستحبّ في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من الحدث ، والقيام، وعدم الكلام في خلاله ، والاستقبال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الإقامة فلا ريب في تأكد ما عدا الأوّل فيها </w:t>
      </w:r>
      <w:r>
        <w:rPr>
          <w:rStyle w:val="FootnoteAnchor"/>
          <w:rtl w:val="true"/>
        </w:rPr>
        <w:footnoteReference w:id="135"/>
      </w:r>
      <w:r>
        <w:rPr>
          <w:rFonts w:ascii="Amiri" w:hAnsi="Amiri" w:eastAsia="Amiri" w:cs="Amiri"/>
          <w:color w:val="111111"/>
          <w:sz w:val="28"/>
          <w:sz w:val="28"/>
          <w:szCs w:val="28"/>
          <w:rtl w:val="true"/>
          <w:lang w:bidi="ar-SA"/>
        </w:rPr>
        <w:t xml:space="preserve">، وأمّا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اشتراطها به كما أن الأحوط ذلك فيما بعده إلّا انّ الأقوى ما عرفت</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الفصل بين الأذان والإقامة بركعتين في غير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كونهما من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خطوة أو قعدة أو سجدة أو ذكر أو دعاء أو كلام في غير الغداة أو سكوت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الاقتصار في المغرب </w:t>
      </w:r>
    </w:p>
    <w:p>
      <w:pPr>
        <w:pStyle w:val="BookText"/>
        <w:rPr/>
      </w:pPr>
      <w:r>
        <w:rPr>
          <w:rFonts w:ascii="Amiri" w:hAnsi="Amiri" w:eastAsia="Amiri" w:cs="Amiri"/>
          <w:color w:val="111111"/>
          <w:sz w:val="28"/>
          <w:sz w:val="28"/>
          <w:szCs w:val="28"/>
          <w:rtl w:val="true"/>
          <w:lang w:bidi="ar-SA"/>
        </w:rPr>
        <w:t>على الخطوة والسكتة أو التسبيحة وتخصيص الفصل بالخطوة بالمنفرد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حكاية الأذان للإعلام أو للصلاة جماعة أو فرادي مكروهاً أو مستحبّاً دون المحرّم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ترك الأذان والإقامة أو هما عمداً حتّى أحرم لم يجز قطعها واستينافها، نعم لو كان عن نسيان جاز له القطع ما لم يركع منفرداً كان أو غيره حال الذّكر ، بخلاف ما إذا عزم على الترك زماناً معتدّاً به ثمّ أراد الرجوع وكذا لو بقي على التردّد كذلك</w:t>
      </w:r>
      <w:r>
        <w:rPr>
          <w:rFonts w:eastAsia="Amiri" w:cs="Amiri" w:ascii="Amiri" w:hAnsi="Amiri"/>
          <w:color w:val="111111"/>
          <w:sz w:val="28"/>
          <w:szCs w:val="28"/>
          <w:rtl w:val="true"/>
          <w:lang w:bidi="ar-SA"/>
        </w:rPr>
        <w:t xml:space="preserve">. </w:t>
      </w:r>
      <w:bookmarkStart w:id="292" w:name="pg8988_116213"/>
    </w:p>
    <w:p>
      <w:pPr>
        <w:pStyle w:val="Heading3"/>
        <w:numPr>
          <w:ilvl w:val="2"/>
          <w:numId w:val="1"/>
        </w:numPr>
        <w:rPr/>
      </w:pPr>
      <w:bookmarkStart w:id="293" w:name="__RefHeading___Toc1814890_2870459653"/>
      <w:bookmarkStart w:id="294" w:name="_Toc109"/>
      <w:bookmarkEnd w:id="292"/>
      <w:bookmarkEnd w:id="293"/>
      <w:r>
        <w:rPr>
          <w:rtl w:val="true"/>
        </w:rPr>
        <w:t xml:space="preserve">المقدّمة السادسة </w:t>
      </w:r>
      <w:r>
        <w:rPr>
          <w:rtl w:val="true"/>
        </w:rPr>
        <w:t xml:space="preserve">: </w:t>
      </w:r>
      <w:r>
        <w:rPr>
          <w:rtl w:val="true"/>
        </w:rPr>
        <w:t>ما ينبغي للمصلّي</w:t>
      </w:r>
      <w:bookmarkEnd w:id="294"/>
    </w:p>
    <w:p>
      <w:pPr>
        <w:pStyle w:val="BookText"/>
        <w:rPr/>
      </w:pPr>
      <w:r>
        <w:rPr>
          <w:rFonts w:ascii="Amiri" w:hAnsi="Amiri" w:eastAsia="Amiri" w:cs="Amiri"/>
          <w:color w:val="111111"/>
          <w:sz w:val="28"/>
          <w:sz w:val="28"/>
          <w:szCs w:val="28"/>
          <w:rtl w:val="true"/>
          <w:lang w:bidi="ar-SA"/>
        </w:rPr>
        <w:t xml:space="preserve">ينبغي للمصلّي إحضار تمام قلبه تمام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يحسب للعبد من صلاته إلّا ما أقبل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والخشوع والخضوع والوقار والسكينة والطيب والزيّ الحسن والسواك قبل الدخول فيها وأن يكون في يده خاتم عقيق فإنّ الركعة فيه 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ويبذل جهده في الحذر عن مكايد الشيطان وحبائله </w:t>
      </w:r>
      <w:r>
        <w:rPr>
          <w:rStyle w:val="FootnoteAnchor"/>
          <w:rtl w:val="true"/>
        </w:rPr>
        <w:footnoteReference w:id="136"/>
      </w:r>
      <w:r>
        <w:rPr>
          <w:rFonts w:ascii="Amiri" w:hAnsi="Amiri" w:eastAsia="Amiri" w:cs="Amiri"/>
          <w:color w:val="111111"/>
          <w:sz w:val="28"/>
          <w:sz w:val="28"/>
          <w:szCs w:val="28"/>
          <w:rtl w:val="true"/>
          <w:lang w:bidi="ar-SA"/>
        </w:rPr>
        <w:t xml:space="preserve">فإنّه لا يزال يختلس للعابد في عبادته ويوقعه في الشكّ فيها ، فإذا عرف كيده أرغم أنفه بعدم إطاعته في تجديد العبادة وآيسه من الطمع فيه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وإيّاك والقيام في الصلاة كسلاً ثقيلاً أو لاهيا أو مستعجلاً أو مدافعاً للبول والغائط والريح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تمتخط ولا تَنْخَم ولا تبصق ولا تختصر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تضع يدك على خاصرتك معتمداً على أحد وركيك </w:t>
      </w:r>
      <w:r>
        <w:rPr>
          <w:rFonts w:eastAsia="Amiri" w:cs="Amiri" w:ascii="Amiri" w:hAnsi="Amiri"/>
          <w:color w:val="111111"/>
          <w:sz w:val="28"/>
          <w:szCs w:val="28"/>
          <w:rtl w:val="true"/>
          <w:lang w:bidi="ar-SA"/>
        </w:rPr>
        <w:t xml:space="preserve">-. </w:t>
      </w:r>
      <w:bookmarkStart w:id="295" w:name="pg8988_116215"/>
    </w:p>
    <w:p>
      <w:pPr>
        <w:pStyle w:val="Heading3"/>
        <w:numPr>
          <w:ilvl w:val="2"/>
          <w:numId w:val="1"/>
        </w:numPr>
        <w:rPr/>
      </w:pPr>
      <w:bookmarkStart w:id="296" w:name="__RefHeading___Toc1814892_2870459653"/>
      <w:bookmarkStart w:id="297" w:name="_Toc110"/>
      <w:bookmarkEnd w:id="295"/>
      <w:bookmarkEnd w:id="296"/>
      <w:r>
        <w:rPr>
          <w:rtl w:val="true"/>
        </w:rPr>
        <w:t xml:space="preserve">المقصد الثاني </w:t>
      </w:r>
      <w:r>
        <w:rPr>
          <w:rtl w:val="true"/>
        </w:rPr>
        <w:t xml:space="preserve">: </w:t>
      </w:r>
      <w:r>
        <w:rPr>
          <w:rtl w:val="true"/>
        </w:rPr>
        <w:t>في أفعال الصلاة</w:t>
      </w:r>
      <w:bookmarkEnd w:id="297"/>
    </w:p>
    <w:p>
      <w:pPr>
        <w:pStyle w:val="Heading4"/>
        <w:numPr>
          <w:ilvl w:val="3"/>
          <w:numId w:val="1"/>
        </w:numPr>
        <w:rPr/>
      </w:pPr>
      <w:bookmarkStart w:id="298" w:name="__RefHeading___Toc1814894_2870459653"/>
      <w:bookmarkStart w:id="299" w:name="_Toc111"/>
      <w:bookmarkEnd w:id="298"/>
      <w:r>
        <w:rPr>
          <w:rtl w:val="true"/>
        </w:rPr>
        <w:t>اشارة</w:t>
      </w:r>
      <w:bookmarkEnd w:id="299"/>
    </w:p>
    <w:p>
      <w:pPr>
        <w:pStyle w:val="BookText"/>
        <w:rPr/>
      </w:pPr>
      <w:r>
        <w:rPr>
          <w:rFonts w:ascii="Amiri" w:hAnsi="Amiri" w:eastAsia="Amiri" w:cs="Amiri"/>
          <w:color w:val="111111"/>
          <w:sz w:val="28"/>
          <w:sz w:val="28"/>
          <w:szCs w:val="28"/>
          <w:rtl w:val="true"/>
          <w:lang w:bidi="ar-SA"/>
        </w:rPr>
        <w:t xml:space="preserve">وأصول واجباتها أحد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وتكبيرة الإحرام، وقيام، وركوع ،وسجود، وقراءة ، وذكر ، وتشهّد ، وتسليم، وترتيب، وموالاة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وتتبعها واجبات ومسنونات كما تعرفه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والتكبيرة والثلاثة التي بعدها أركان تبطل الصلاة بزيادتها ونقصها عمداً وسهواً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النيّة إلّا أن الحقّ أنّها شرط لا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باقي الواجبات فهى كالأركان زيادة ونقصا عمداً لا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وينحصر البحث في عشر فصول </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1814896_2870459653"/>
      <w:bookmarkStart w:id="301" w:name="_Toc112"/>
      <w:bookmarkEnd w:id="300"/>
      <w:r>
        <w:rPr>
          <w:rtl w:val="true"/>
        </w:rPr>
        <w:t>الفصل الأوّل</w:t>
      </w:r>
      <w:r>
        <w:rPr>
          <w:rtl w:val="true"/>
        </w:rPr>
        <w:t xml:space="preserve">: </w:t>
      </w:r>
      <w:r>
        <w:rPr>
          <w:rtl w:val="true"/>
        </w:rPr>
        <w:t>في النيّة</w:t>
      </w:r>
      <w:bookmarkEnd w:id="301"/>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الفعل بعنوان الامتثال للمنعم متقرّباً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نيّة التقرّب إليه زيادة على ما ذكر من قصد الفعل ممتثلاً لأنّه قد يمتثل الأمر تقرّباً إلى غيره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يعتبر فيها غير الإخلاص وغير التعيين مع تعدّد المكلّف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p>
    <w:p>
      <w:pPr>
        <w:pStyle w:val="BookText"/>
        <w:rPr/>
      </w:pPr>
      <w:r>
        <w:rPr>
          <w:rFonts w:ascii="Amiri" w:hAnsi="Amiri" w:eastAsia="Amiri" w:cs="Amiri"/>
          <w:color w:val="111111"/>
          <w:sz w:val="28"/>
          <w:sz w:val="28"/>
          <w:szCs w:val="28"/>
          <w:rtl w:val="true"/>
          <w:lang w:bidi="ar-SA"/>
        </w:rPr>
        <w:t xml:space="preserve">يجب نيّة الوجوب أو الندب ولا القضاء أو الأداء ولا القصر ولا الإتمام حتّى في أماكن التخيير ولا غير ذلك إلّا مع توقّف التعيين </w:t>
      </w:r>
      <w:r>
        <w:rPr>
          <w:rStyle w:val="FootnoteAnchor"/>
          <w:rtl w:val="true"/>
        </w:rPr>
        <w:footnoteReference w:id="137"/>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الفرائض والنوافل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يجب في النيّة الإخطار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الفكري والتصوّر القلبي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يكفي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المؤثّرة في وجود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ولايجب تصوّر الصلاة تفصيلاً بل يكفى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يقدح مع نيّة الوجوب اشتمالها على المندوبات، ولابدّ من نيّة الجملة أو الأجزاء على وجه يرجع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والرياء في ابتداء النيّة أو في الأثناء أو فى أجزائها الواجبة أو المندوبة مبطل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Style w:val="FootnoteAnchor"/>
          <w:rtl w:val="true"/>
        </w:rPr>
        <w:footnoteReference w:id="138"/>
      </w:r>
      <w:r>
        <w:rPr>
          <w:rFonts w:ascii="IRNazanin" w:hAnsi="IRNazanin" w:eastAsia="IRNazanin"/>
          <w:color w:val="111111"/>
          <w:sz w:val="28"/>
          <w:sz w:val="28"/>
          <w:szCs w:val="28"/>
          <w:rtl w:val="true"/>
          <w:lang w:bidi="fa-IR"/>
        </w:rPr>
        <w:t>لا تبطل بالمتأخّر وإن 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 ما نافى الإخلاص بالعبادة أبطلها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ينافيه ضمّ بعض الغايات الراجحة بل وإن لم تكن راجحة ولكن كان الضمّ تبعيّاً، و من ذلك قصد إفهام الغير برفع الصوت في القراءة أو الذكر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ووقت النيّة عند تكبيرة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فيها سهل بعد ما عرفت أنّها الداعي</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فيها الاستدامة بمعنى عدم خلوّ شيء من أجزاء الصلاة عن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نوى الخروج في الأثناء ثمّ عاد إلى النيّة الأولى قبل وقوع </w:t>
      </w:r>
      <w:bookmarkStart w:id="302" w:name="pg8988_116219"/>
    </w:p>
    <w:p>
      <w:pPr>
        <w:pStyle w:val="BookText"/>
        <w:rPr/>
      </w:pPr>
      <w:bookmarkEnd w:id="302"/>
      <w:r>
        <w:rPr>
          <w:rFonts w:ascii="Amiri" w:hAnsi="Amiri" w:eastAsia="Amiri" w:cs="Amiri"/>
          <w:color w:val="111111"/>
          <w:sz w:val="28"/>
          <w:sz w:val="28"/>
          <w:szCs w:val="28"/>
          <w:rtl w:val="true"/>
          <w:lang w:bidi="ar-SA"/>
        </w:rPr>
        <w:t>المنافي أو شيء من أفعال الصلاة بعنوان أنّه منها فالأحوط إتمام الصلاة واستينافها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تردّد في القطع وعدمه أو نوى أنّه يخرج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كان التردّد في بطلان الصلاة لعروض شيء من مبطلاتها وعدمه فلا إشكال في الصحّة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نوى صلاة فذكر سابقةً عدل إليها وجوباً في المؤدّاتين وفي المقضيّتين، وندباً في المؤدّاة إلى المقضيّة ما لم يتجاوز محلّ العدول وإلّا أتمّها ويأتي بالسابقة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عدول في فرائض الصلاة إلى مثلها في غير 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العدول مجرّد نيّةٍ من غير حاجة إلى ما ذكر في ابتداء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عدل حيث لا يجوز العدول مطلقاً بطلتا معا </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1814898_2870459653"/>
      <w:bookmarkStart w:id="304" w:name="_Toc113"/>
      <w:bookmarkEnd w:id="303"/>
      <w:r>
        <w:rPr>
          <w:rtl w:val="true"/>
        </w:rPr>
        <w:t>الفصل الثاني</w:t>
      </w:r>
      <w:r>
        <w:rPr>
          <w:rtl w:val="true"/>
        </w:rPr>
        <w:t xml:space="preserve">: </w:t>
      </w:r>
      <w:r>
        <w:rPr>
          <w:rtl w:val="true"/>
        </w:rPr>
        <w:t>في تكبيرة الإحرام</w:t>
      </w:r>
      <w:bookmarkEnd w:id="304"/>
    </w:p>
    <w:p>
      <w:pPr>
        <w:pStyle w:val="Heading5"/>
        <w:numPr>
          <w:ilvl w:val="4"/>
          <w:numId w:val="1"/>
        </w:numPr>
        <w:rPr/>
      </w:pPr>
      <w:bookmarkStart w:id="305" w:name="__RefHeading___Toc1814900_2870459653"/>
      <w:bookmarkStart w:id="306" w:name="_Toc114"/>
      <w:bookmarkEnd w:id="305"/>
      <w:r>
        <w:rPr>
          <w:rtl w:val="true"/>
        </w:rPr>
        <w:t>اشارة</w:t>
      </w:r>
      <w:bookmarkEnd w:id="306"/>
    </w:p>
    <w:p>
      <w:pPr>
        <w:pStyle w:val="BookText"/>
        <w:rPr/>
      </w:pPr>
      <w:r>
        <w:rPr>
          <w:rFonts w:ascii="Amiri" w:hAnsi="Amiri" w:eastAsia="Amiri" w:cs="Amiri"/>
          <w:color w:val="111111"/>
          <w:sz w:val="28"/>
          <w:sz w:val="28"/>
          <w:szCs w:val="28"/>
          <w:rtl w:val="true"/>
          <w:lang w:bidi="ar-SA"/>
        </w:rPr>
        <w:t>وفيه بحثان</w:t>
      </w:r>
      <w:r>
        <w:rPr>
          <w:rFonts w:eastAsia="Amiri" w:cs="Amiri" w:ascii="Amiri" w:hAnsi="Amiri"/>
          <w:color w:val="111111"/>
          <w:sz w:val="28"/>
          <w:szCs w:val="28"/>
          <w:rtl w:val="true"/>
          <w:lang w:bidi="ar-SA"/>
        </w:rPr>
        <w:t>:</w:t>
      </w:r>
    </w:p>
    <w:p>
      <w:pPr>
        <w:pStyle w:val="Heading5"/>
        <w:numPr>
          <w:ilvl w:val="4"/>
          <w:numId w:val="1"/>
        </w:numPr>
        <w:rPr/>
      </w:pPr>
      <w:bookmarkStart w:id="307" w:name="__RefHeading___Toc1814902_2870459653"/>
      <w:bookmarkStart w:id="308" w:name="_Toc115"/>
      <w:bookmarkEnd w:id="307"/>
      <w:r>
        <w:rPr>
          <w:rtl w:val="true"/>
        </w:rPr>
        <w:t xml:space="preserve">المبحث الأوّل </w:t>
      </w:r>
      <w:r>
        <w:rPr>
          <w:rtl w:val="true"/>
        </w:rPr>
        <w:t xml:space="preserve">: </w:t>
      </w:r>
      <w:r>
        <w:rPr>
          <w:rtl w:val="true"/>
        </w:rPr>
        <w:t>في الأحكام</w:t>
      </w:r>
      <w:bookmarkEnd w:id="30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ركن تبطل الصلاة بنقصها عمداً أو سهواً أو زيادتها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كبّر للإفتتاح ثمّ زاد ثانية عمداً أو سهواً بطلت واحتاجت إلى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تبطل بالشّفع وتصحّ بالوتر</w:t>
      </w:r>
      <w:r>
        <w:rPr>
          <w:rFonts w:eastAsia="Amiri" w:cs="Amiri" w:ascii="Amiri" w:hAnsi="Amiri"/>
          <w:color w:val="111111"/>
          <w:sz w:val="28"/>
          <w:szCs w:val="28"/>
          <w:rtl w:val="true"/>
          <w:lang w:bidi="ar-SA"/>
        </w:rPr>
        <w:t xml:space="preserve">. </w:t>
      </w:r>
      <w:bookmarkStart w:id="309" w:name="pg8988_116221"/>
    </w:p>
    <w:p>
      <w:pPr>
        <w:pStyle w:val="BookText"/>
        <w:rPr/>
      </w:pPr>
      <w:bookmarkEnd w:id="309"/>
      <w:r>
        <w:rPr>
          <w:rFonts w:ascii="Amiri" w:hAnsi="Amiri" w:eastAsia="Amiri" w:cs="Amiri"/>
          <w:color w:val="111111"/>
          <w:sz w:val="28"/>
          <w:sz w:val="28"/>
          <w:szCs w:val="28"/>
          <w:rtl w:val="true"/>
          <w:lang w:bidi="ar-SA"/>
        </w:rPr>
        <w:t>وصورتها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تنعقد بدونها ، أو برديفها ولو باللفظ العربي، ولا بها ملحونةً بالمادة أو الإعراب أو إخراج الحروف من غير مخرجها، أو ناقصةً ولو حرفاً، أو زائدةً كذلك ولو المتولّد من إشباع الهاء أو همزة أكبر أو بائه بحيث يخرج عن صدق صورة التكبير، أو غير ذلك ممّا يغيّر هيئتها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الوقوف على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فيها القيام فلو تركه عمداً أو سهواً بطلت بل لابدّ من تقديمه عليها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كون الاستقرار فيها كالقيام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اقترانها بالنيّة على حسب 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سهل بناء على ما عرفت من أنّها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تعلّمها على من لا يحسنها، ولا يجوز له الصلاة قبل الضيق مع رجاء التعلّم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والأخرس يأتي بها بقدر الإمكان فإن عجز عن النطق أصلاً عقد قلبه بلفظها أو بمعناها على الأحوط ولو </w:t>
      </w:r>
      <w:r>
        <w:rPr>
          <w:rStyle w:val="FootnoteAnchor"/>
          <w:rtl w:val="true"/>
        </w:rPr>
        <w:footnoteReference w:id="139"/>
      </w:r>
      <w:r>
        <w:rPr>
          <w:rFonts w:ascii="Amiri" w:hAnsi="Amiri" w:eastAsia="Amiri" w:cs="Amiri"/>
          <w:color w:val="111111"/>
          <w:sz w:val="28"/>
          <w:sz w:val="28"/>
          <w:szCs w:val="28"/>
          <w:rtl w:val="true"/>
          <w:lang w:bidi="ar-SA"/>
        </w:rPr>
        <w:t>اجمالاً وأشار إليه بيده ولسانه وصوته كغيرها من مقاصده</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1814904_2870459653"/>
      <w:bookmarkStart w:id="311" w:name="_Toc116"/>
      <w:bookmarkEnd w:id="310"/>
      <w:r>
        <w:rPr>
          <w:rtl w:val="true"/>
        </w:rPr>
        <w:t xml:space="preserve">المبحث الثاني </w:t>
      </w:r>
      <w:r>
        <w:rPr>
          <w:rtl w:val="true"/>
        </w:rPr>
        <w:t xml:space="preserve">: </w:t>
      </w:r>
      <w:r>
        <w:rPr>
          <w:rtl w:val="true"/>
        </w:rPr>
        <w:t>في المستحبّات</w:t>
      </w:r>
      <w:bookmarkEnd w:id="311"/>
    </w:p>
    <w:p>
      <w:pPr>
        <w:pStyle w:val="BookText"/>
        <w:rPr/>
      </w:pPr>
      <w:r>
        <w:rPr>
          <w:rFonts w:ascii="Amiri" w:hAnsi="Amiri" w:eastAsia="Amiri" w:cs="Amiri"/>
          <w:color w:val="111111"/>
          <w:sz w:val="28"/>
          <w:sz w:val="28"/>
          <w:szCs w:val="28"/>
          <w:rtl w:val="true"/>
          <w:lang w:bidi="ar-SA"/>
        </w:rPr>
        <w:t xml:space="preserve">يستحبّ إضافة ستّ تكبيرات إليها فتكون سبعاً وهو أقصى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ودونه الخمس، ثمّ الثلاث</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الإتيان بعد الإحرام في الصلاة بجميع تكبيراتها وهي </w:t>
      </w:r>
      <w:bookmarkStart w:id="312" w:name="pg8988_116223"/>
    </w:p>
    <w:p>
      <w:pPr>
        <w:pStyle w:val="BookText"/>
        <w:rPr/>
      </w:pPr>
      <w:bookmarkEnd w:id="312"/>
      <w:r>
        <w:rPr>
          <w:rFonts w:ascii="Amiri" w:hAnsi="Amiri" w:eastAsia="Amiri" w:cs="Amiri"/>
          <w:color w:val="111111"/>
          <w:sz w:val="28"/>
          <w:sz w:val="28"/>
          <w:szCs w:val="28"/>
          <w:rtl w:val="true"/>
          <w:lang w:bidi="ar-SA"/>
        </w:rPr>
        <w:t>إحدى عشرة في صلاة الصبح عدا تكبيرة الإحرام وتزيد المغرب خمساً والرباعيّة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تعيين تكبيرة الإحرام بأيّ سبع شاء، والأولى اختيار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رفع اليدين بالتكبير إلى الأذنين مُبتدِئاً بهما بابتدائه ومنتهياً بانتهائه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وينبغى ضمّ أصابعها حتى الإبهام والخنصر ، والاستقبال بباطنها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الاستحباب بين التكبير الواجب والمستحب </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1814906_2870459653"/>
      <w:bookmarkStart w:id="314" w:name="_Toc117"/>
      <w:bookmarkEnd w:id="313"/>
      <w:r>
        <w:rPr>
          <w:rtl w:val="true"/>
        </w:rPr>
        <w:t>الفصل الثالث</w:t>
      </w:r>
      <w:r>
        <w:rPr>
          <w:rtl w:val="true"/>
        </w:rPr>
        <w:t xml:space="preserve">: </w:t>
      </w:r>
      <w:r>
        <w:rPr>
          <w:rtl w:val="true"/>
        </w:rPr>
        <w:t>في القيام</w:t>
      </w:r>
      <w:bookmarkEnd w:id="314"/>
    </w:p>
    <w:p>
      <w:pPr>
        <w:pStyle w:val="Heading5"/>
        <w:numPr>
          <w:ilvl w:val="4"/>
          <w:numId w:val="1"/>
        </w:numPr>
        <w:rPr/>
      </w:pPr>
      <w:bookmarkStart w:id="315" w:name="__RefHeading___Toc1814908_2870459653"/>
      <w:bookmarkStart w:id="316" w:name="_Toc118"/>
      <w:bookmarkEnd w:id="315"/>
      <w:r>
        <w:rPr>
          <w:rtl w:val="true"/>
        </w:rPr>
        <w:t>اشارة</w:t>
      </w:r>
      <w:bookmarkEnd w:id="316"/>
    </w:p>
    <w:p>
      <w:pPr>
        <w:pStyle w:val="BookText"/>
        <w:rPr/>
      </w:pPr>
      <w:r>
        <w:rPr>
          <w:rFonts w:ascii="Amiri" w:hAnsi="Amiri" w:eastAsia="Amiri" w:cs="Amiri"/>
          <w:color w:val="111111"/>
          <w:sz w:val="28"/>
          <w:sz w:val="28"/>
          <w:szCs w:val="28"/>
          <w:rtl w:val="true"/>
          <w:lang w:bidi="ar-SA"/>
        </w:rPr>
        <w:t>وفيه بحثان</w:t>
      </w:r>
      <w:r>
        <w:rPr>
          <w:rFonts w:eastAsia="Amiri" w:cs="Amiri" w:ascii="Amiri" w:hAnsi="Amiri"/>
          <w:color w:val="111111"/>
          <w:sz w:val="28"/>
          <w:szCs w:val="28"/>
          <w:rtl w:val="true"/>
          <w:lang w:bidi="ar-SA"/>
        </w:rPr>
        <w:t>:</w:t>
      </w:r>
    </w:p>
    <w:p>
      <w:pPr>
        <w:pStyle w:val="Heading5"/>
        <w:numPr>
          <w:ilvl w:val="4"/>
          <w:numId w:val="1"/>
        </w:numPr>
        <w:rPr/>
      </w:pPr>
      <w:bookmarkStart w:id="317" w:name="__RefHeading___Toc1814910_2870459653"/>
      <w:bookmarkStart w:id="318" w:name="_Toc119"/>
      <w:bookmarkEnd w:id="317"/>
      <w:r>
        <w:rPr>
          <w:rtl w:val="true"/>
        </w:rPr>
        <w:t xml:space="preserve">المبحث الأوّل </w:t>
      </w:r>
      <w:r>
        <w:rPr>
          <w:rtl w:val="true"/>
        </w:rPr>
        <w:t xml:space="preserve">: </w:t>
      </w:r>
      <w:r>
        <w:rPr>
          <w:rtl w:val="true"/>
        </w:rPr>
        <w:t>في الأحكام</w:t>
      </w:r>
      <w:bookmarkEnd w:id="318"/>
    </w:p>
    <w:p>
      <w:pPr>
        <w:pStyle w:val="BookText"/>
        <w:rPr/>
      </w:pPr>
      <w:r>
        <w:rPr>
          <w:rFonts w:ascii="Amiri" w:hAnsi="Amiri" w:eastAsia="Amiri" w:cs="Amiri"/>
          <w:color w:val="111111"/>
          <w:sz w:val="28"/>
          <w:sz w:val="28"/>
          <w:szCs w:val="28"/>
          <w:rtl w:val="true"/>
          <w:lang w:bidi="ar-SA"/>
        </w:rPr>
        <w:t xml:space="preserve">القيام ركن في تكبيرة الإحرام وفي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وقوع الركوع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أخلّ فيهما عمداً أو سهواً بطلت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وواجب غير ركن فى حال القراءة يبطل تركه عمداً لا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زيادة القيام سهواً كما لو قام في محلّ القعود فلا تبطل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الاعتدال بحسب حال المصلّى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فيه الوقوف على الرجلين فلا يجزي الواحدة، والأحوط كونه على القدمين دون الأصابع وأصل القدمين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فيه الاستقلال مع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صلّى مستنداً عمداً بطلت </w:t>
      </w:r>
    </w:p>
    <w:p>
      <w:pPr>
        <w:pStyle w:val="BookText"/>
        <w:rPr/>
      </w:pPr>
      <w:r>
        <w:rPr>
          <w:rFonts w:ascii="IRNazanin" w:hAnsi="IRNazanin" w:eastAsia="IRNazanin"/>
          <w:color w:val="111111"/>
          <w:sz w:val="28"/>
          <w:sz w:val="28"/>
          <w:szCs w:val="28"/>
          <w:rtl w:val="true"/>
          <w:lang w:bidi="fa-IR"/>
        </w:rPr>
        <w:t>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بأس مع الاضطرار </w:t>
      </w:r>
      <w:r>
        <w:rPr>
          <w:rStyle w:val="FootnoteAnchor"/>
          <w:rtl w:val="true"/>
        </w:rPr>
        <w:footnoteReference w:id="140"/>
      </w:r>
      <w:r>
        <w:rPr>
          <w:rFonts w:ascii="Amiri" w:hAnsi="Amiri" w:eastAsia="Amiri" w:cs="Amiri"/>
          <w:color w:val="111111"/>
          <w:sz w:val="28"/>
          <w:sz w:val="28"/>
          <w:szCs w:val="28"/>
          <w:rtl w:val="true"/>
          <w:lang w:bidi="ar-SA"/>
        </w:rPr>
        <w:t xml:space="preserve">فيصلّي معتمداً على شيء مقدِّماً له على القعود والتَفَحُّج </w:t>
      </w:r>
      <w:r>
        <w:rPr>
          <w:rStyle w:val="FootnoteAnchor"/>
          <w:rtl w:val="true"/>
        </w:rPr>
        <w:footnoteReference w:id="141"/>
      </w:r>
      <w:r>
        <w:rPr>
          <w:rFonts w:ascii="Amiri" w:hAnsi="Amiri" w:eastAsia="Amiri" w:cs="Amiri"/>
          <w:color w:val="111111"/>
          <w:sz w:val="28"/>
          <w:sz w:val="28"/>
          <w:szCs w:val="28"/>
          <w:rtl w:val="true"/>
          <w:lang w:bidi="ar-SA"/>
        </w:rPr>
        <w:t>الفاحش والانحناء والميل إلى أحد الجانبين وغيرهما ممّا يخرج عن اسم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يتخيّر فيها مع انحصار القدرة بها إن لم يكن بعضها أقرب إلى القيام وإلّا تعين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تعذّر القيام أصلاً حتّى ما كان في صورة الركوع صلّى جالساً ويجري فيه ما سمعت من الاعتماد وغيره، فإن تعذّر صلّى مضطجعاً على الجانب الأيمن، فإن تعذّر فعلى الأيسر، فإن تعذّر فمستلقياً مومياً للركوع والسجود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تعذّرهما عليه كسابقه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برأسه، فإن تعذّر فبالعينين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وليجعل إيماء سجوده أخفض منه لركوعه، والأحوط زيادة غمض العين في السجود عليه للركوع، وأحوط منه وضع ما يصحّ السجود عليه على جبهته والإيماء بالمساجد الأخر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قدر على القيام في بعض الصلاة وجب عليه فإذا تجدّد العجز جَلَس مراعياً ترتيبَ الصلاة فيقوم للقراءة وإن علم بعجزه حال الركوع ويترك القراءة لو كان في أثنائها حتّى يستقرّ في المرتبة العليا، وكذا القادر و</w:t>
      </w:r>
      <w:r>
        <w:rPr>
          <w:rStyle w:val="FootnoteAnchor"/>
          <w:rtl w:val="true"/>
        </w:rPr>
        <w:footnoteReference w:id="142"/>
      </w:r>
      <w:r>
        <w:rPr>
          <w:rFonts w:ascii="Amiri" w:hAnsi="Amiri" w:eastAsia="Amiri" w:cs="Amiri"/>
          <w:color w:val="111111"/>
          <w:sz w:val="28"/>
          <w:sz w:val="28"/>
          <w:szCs w:val="28"/>
          <w:rtl w:val="true"/>
          <w:lang w:bidi="ar-SA"/>
        </w:rPr>
        <w:t>لو تجدّد له العجز فلا يقرأ حال الهويّ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القرار في القيام وغيره من الأفعال كالركوع والسجود والقعود حتّى حال القدر المستحبّ منها </w:t>
      </w:r>
      <w:r>
        <w:rPr>
          <w:rFonts w:eastAsia="Amiri" w:cs="Amiri" w:ascii="Amiri" w:hAnsi="Amiri"/>
          <w:color w:val="111111"/>
          <w:sz w:val="28"/>
          <w:szCs w:val="28"/>
          <w:rtl w:val="true"/>
          <w:lang w:bidi="ar-SA"/>
        </w:rPr>
        <w:t xml:space="preserve">. </w:t>
      </w:r>
      <w:bookmarkStart w:id="319" w:name="pg8988_116228"/>
    </w:p>
    <w:p>
      <w:pPr>
        <w:pStyle w:val="Heading5"/>
        <w:numPr>
          <w:ilvl w:val="4"/>
          <w:numId w:val="1"/>
        </w:numPr>
        <w:rPr/>
      </w:pPr>
      <w:bookmarkStart w:id="320" w:name="__RefHeading___Toc1814912_2870459653"/>
      <w:bookmarkStart w:id="321" w:name="_Toc120"/>
      <w:bookmarkEnd w:id="319"/>
      <w:bookmarkEnd w:id="320"/>
      <w:r>
        <w:rPr>
          <w:rtl w:val="true"/>
        </w:rPr>
        <w:t xml:space="preserve">المبحث الثاني </w:t>
      </w:r>
      <w:r>
        <w:rPr>
          <w:rtl w:val="true"/>
        </w:rPr>
        <w:t xml:space="preserve">: </w:t>
      </w:r>
      <w:r>
        <w:rPr>
          <w:rtl w:val="true"/>
        </w:rPr>
        <w:t>في المستحبّات</w:t>
      </w:r>
      <w:bookmarkEnd w:id="321"/>
    </w:p>
    <w:p>
      <w:pPr>
        <w:pStyle w:val="BookText"/>
        <w:rPr/>
      </w:pPr>
      <w:r>
        <w:rPr>
          <w:rFonts w:ascii="IRNazanin" w:hAnsi="IRNazanin" w:eastAsia="IRNazanin"/>
          <w:color w:val="111111"/>
          <w:sz w:val="28"/>
          <w:sz w:val="28"/>
          <w:szCs w:val="28"/>
          <w:rtl w:val="true"/>
          <w:lang w:bidi="fa-IR"/>
        </w:rPr>
        <w:t xml:space="preserve">يستحبّ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إسدال المنكبين وإرسال اليدين واضعاً کفّیه علی فخذیه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الأيمن على الأيمن وكذا الأيسر على الأيسر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والنظر إلى موضع سجوده، وصفّ القدمين موجِّهاً بأصابعهما إلى القبلة مفرِّقاً بينهما ولو بإصبع والشبر أقصى الفضل </w:t>
      </w:r>
      <w:r>
        <w:rPr>
          <w:rFonts w:eastAsia="IRNazanin" w:cs="IRNazanin"/>
          <w:color w:val="111111"/>
          <w:sz w:val="28"/>
          <w:szCs w:val="28"/>
          <w:rtl w:val="true"/>
          <w:lang w:bidi="fa-IR"/>
        </w:rPr>
        <w:t>.</w:t>
      </w:r>
    </w:p>
    <w:p>
      <w:pPr>
        <w:pStyle w:val="Heading4"/>
        <w:numPr>
          <w:ilvl w:val="3"/>
          <w:numId w:val="1"/>
        </w:numPr>
        <w:rPr/>
      </w:pPr>
      <w:bookmarkStart w:id="322" w:name="__RefHeading___Toc1814914_2870459653"/>
      <w:bookmarkStart w:id="323" w:name="_Toc121"/>
      <w:bookmarkEnd w:id="322"/>
      <w:r>
        <w:rPr>
          <w:rtl w:val="true"/>
        </w:rPr>
        <w:t>الفصل الرابع</w:t>
      </w:r>
      <w:r>
        <w:rPr>
          <w:rtl w:val="true"/>
        </w:rPr>
        <w:t xml:space="preserve">: </w:t>
      </w:r>
      <w:r>
        <w:rPr>
          <w:rtl w:val="true"/>
        </w:rPr>
        <w:t>في القراءة</w:t>
      </w:r>
      <w:bookmarkEnd w:id="323"/>
    </w:p>
    <w:p>
      <w:pPr>
        <w:pStyle w:val="Heading5"/>
        <w:numPr>
          <w:ilvl w:val="4"/>
          <w:numId w:val="1"/>
        </w:numPr>
        <w:rPr/>
      </w:pPr>
      <w:bookmarkStart w:id="324" w:name="__RefHeading___Toc1814916_2870459653"/>
      <w:bookmarkStart w:id="325" w:name="_Toc122"/>
      <w:bookmarkEnd w:id="324"/>
      <w:r>
        <w:rPr>
          <w:rtl w:val="true"/>
        </w:rPr>
        <w:t>اشارة</w:t>
      </w:r>
      <w:bookmarkEnd w:id="325"/>
    </w:p>
    <w:p>
      <w:pPr>
        <w:pStyle w:val="BookText"/>
        <w:rPr/>
      </w:pPr>
      <w:r>
        <w:rPr>
          <w:rFonts w:ascii="Amiri" w:hAnsi="Amiri" w:eastAsia="Amiri" w:cs="Amiri"/>
          <w:color w:val="111111"/>
          <w:sz w:val="28"/>
          <w:sz w:val="28"/>
          <w:szCs w:val="28"/>
          <w:rtl w:val="true"/>
          <w:lang w:bidi="ar-SA"/>
        </w:rPr>
        <w:t>وفيه بحثان</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1814918_2870459653"/>
      <w:bookmarkStart w:id="327" w:name="_Toc123"/>
      <w:bookmarkEnd w:id="326"/>
      <w:r>
        <w:rPr>
          <w:rtl w:val="true"/>
        </w:rPr>
        <w:t xml:space="preserve">المبحث الأوّل </w:t>
      </w:r>
      <w:r>
        <w:rPr>
          <w:rtl w:val="true"/>
        </w:rPr>
        <w:t xml:space="preserve">: </w:t>
      </w:r>
      <w:r>
        <w:rPr>
          <w:rtl w:val="true"/>
        </w:rPr>
        <w:t>في الأحكام</w:t>
      </w:r>
      <w:bookmarkEnd w:id="327"/>
    </w:p>
    <w:p>
      <w:pPr>
        <w:pStyle w:val="BookText"/>
        <w:rPr/>
      </w:pPr>
      <w:r>
        <w:rPr>
          <w:rFonts w:ascii="Amiri" w:hAnsi="Amiri" w:eastAsia="Amiri" w:cs="Amiri"/>
          <w:color w:val="111111"/>
          <w:sz w:val="28"/>
          <w:sz w:val="28"/>
          <w:szCs w:val="28"/>
          <w:rtl w:val="true"/>
          <w:lang w:bidi="ar-SA"/>
        </w:rPr>
        <w:t>يجب في الركعة الأولى والثانية من الفرائض قراءة الفاتحة ثمّ سورة كاملة غيرها عقيبها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ويرخّص في الاقتصار على الحمد في المرض والاستعجال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يجوز قراءة ما يفوت الوقت به من السور الطوال ولا إحدى سور العزائم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قرأ عامداً منها استأنف ولا بأس بقراءة العزائم في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ويجزي في السورة إحدى المعوّذتين والأقوى اتّحاد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لإيلاف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فيجب جمعها مترتّبتين مُثَنِّیاً للبسملة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والأقوى عدم وجوب تعيين السورة وإن كان الأحوط تعيينها ببسملتها ، كما أنّ الأقوى كراهة القِران بين السورتين بل الاحتياط بتركه لا ينبغي تركه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ويجب على العالم من الرجال الجهر بالقراءة في الصبح وأوليي</w:t>
      </w:r>
      <w:r>
        <w:rPr>
          <w:rStyle w:val="FootnoteAnchor"/>
          <w:rtl w:val="true"/>
        </w:rPr>
        <w:footnoteReference w:id="143"/>
      </w:r>
      <w:r>
        <w:rPr>
          <w:rFonts w:ascii="Amiri" w:hAnsi="Amiri" w:eastAsia="Amiri" w:cs="Amiri"/>
          <w:color w:val="111111"/>
          <w:sz w:val="28"/>
          <w:sz w:val="28"/>
          <w:szCs w:val="28"/>
          <w:rtl w:val="true"/>
          <w:lang w:bidi="ar-SA"/>
        </w:rPr>
        <w:t xml:space="preserve">المغرب والعشاء، والإخفات فيما عدا البسملة في الظهرين غير صلاة الجمعة أو ظهر يومها، والأحوط الإخفات فيهما أيضاً من غير فرق فيما ذكر بين الإمام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عكس عامداً بطلت صلاته بخلاف الناسي والجاهل بأصل الحكم غير المتنبّه للسؤال، بل لا يعيدان ما وقع بعد ارتفاع العذر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والجهل بمعنى الجهر والإخفات ليس عذراً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جهر على النساء بل يتخيّرن بينه وبين الإخفات مع عدم 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الإخفات فيجب عليهنّ فيما يجب على الرجال، ويُعْذَرن فيما يُعْذرون فيه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وأقلّ الجهر أن يسمع القريب الصحيح إذا استمع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الإخفات فالظاهر أنّه القدر الذي يتحقّق به أصل اللفظ فإنّ الشرط في إجزاء ما 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قرآناً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يسمعه المتلفّظ به تحقيقاً أو تقديراً، ولا ينافيه إسماع الغير الذي هو أقرب من سمع نفسه، نعم ينافيه سماع الغير الذي هو أبعد من ذلك تمام لفظه وإن كان بصوت خفيّ، فما يستعمله بعض الناس في الإخفات بحيث يسمعه البعيد إلّا أنّه بصوت خفيّ كالمبحوح </w:t>
      </w:r>
      <w:r>
        <w:rPr>
          <w:rStyle w:val="FootnoteAnchor"/>
          <w:rtl w:val="true"/>
        </w:rPr>
        <w:footnoteReference w:id="144"/>
      </w:r>
      <w:r>
        <w:rPr>
          <w:rFonts w:ascii="Amiri" w:hAnsi="Amiri" w:eastAsia="Amiri" w:cs="Amiri"/>
          <w:color w:val="111111"/>
          <w:sz w:val="28"/>
          <w:sz w:val="28"/>
          <w:szCs w:val="28"/>
          <w:rtl w:val="true"/>
          <w:lang w:bidi="ar-SA"/>
        </w:rPr>
        <w:t xml:space="preserve">في غير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الجهر المنكر الزائد على </w:t>
      </w:r>
    </w:p>
    <w:p>
      <w:pPr>
        <w:pStyle w:val="BookText"/>
        <w:rPr/>
      </w:pPr>
      <w:r>
        <w:rPr>
          <w:rFonts w:ascii="IRNazanin" w:hAnsi="IRNazanin" w:eastAsia="IRNazanin"/>
          <w:color w:val="111111"/>
          <w:sz w:val="28"/>
          <w:sz w:val="28"/>
          <w:szCs w:val="28"/>
          <w:rtl w:val="true"/>
          <w:lang w:bidi="fa-IR"/>
        </w:rPr>
        <w:t>المعتاد، فلو فعله فالظاهر الفساد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وتجب القراءة الصحيحة فلو أخلّ عامداً بحرف أو حركة أو مدّ واجب أو تشديد أو أثبت همزة الوصل فيه أو حذف القطع فيه بطلت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اجتناب الوقف على المتحرّك والدرج للساكن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وجوب جميع ما وجب في النحو والصرف دون ما ذكره علماء التجويد ممّا خرج عنهما من مدّ أو إدغام مع الغنّة أو بدونها أو إمالة أو إشباع أو تفخيم أو ترقيق أو غيرها من المحسِّنات حتّى إدغام النون والتنوين في 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ابتداء كلمة أخرى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الاحتياط لا ينبغى تركه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تعلّم الفاتحة إن لم يُحسنها وإن تمكّن من الإيتمام، فإن لم يستطع إلّا الملحون أو المبدل فيه بعض الحروف كالتمتام</w:t>
      </w:r>
      <w:r>
        <w:rPr>
          <w:rStyle w:val="FootnoteAnchor"/>
          <w:rtl w:val="true"/>
        </w:rPr>
        <w:footnoteReference w:id="145"/>
      </w:r>
      <w:r>
        <w:rPr>
          <w:rFonts w:ascii="Amiri" w:hAnsi="Amiri" w:eastAsia="Amiri" w:cs="Amiri"/>
          <w:color w:val="111111"/>
          <w:sz w:val="28"/>
          <w:sz w:val="28"/>
          <w:szCs w:val="28"/>
          <w:rtl w:val="true"/>
          <w:lang w:bidi="ar-SA"/>
        </w:rPr>
        <w:t xml:space="preserve">ممّا لا يخرج عن اسم القراءة أجزأ ذلك، بل الأقوى عدم وجوب الإيتمام عليه كالأخرس وإن كان الأولى لهم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قابلاً للتعليم وضاق الوقت فالأحوط الإيتمام إن أمكن وإلّا قرأ ما يُحسنه منها ممّا يعدّ قرآناً بنفسه وعَوَّض عن الفائت بقدره قرآناً غيرها، والأحوط تكرار ما يحسنه بقدره</w:t>
      </w:r>
      <w:r>
        <w:rPr>
          <w:rFonts w:eastAsia="Amiri" w:cs="Amiri" w:ascii="Amiri" w:hAnsi="Amiri"/>
          <w:color w:val="111111"/>
          <w:sz w:val="28"/>
          <w:szCs w:val="28"/>
          <w:rtl w:val="true"/>
          <w:lang w:bidi="ar-SA"/>
        </w:rPr>
        <w:t xml:space="preserve">. </w:t>
      </w:r>
      <w:bookmarkStart w:id="328" w:name="pg8988_116234"/>
    </w:p>
    <w:p>
      <w:pPr>
        <w:pStyle w:val="BookText"/>
        <w:rPr/>
      </w:pPr>
      <w:bookmarkEnd w:id="328"/>
      <w:r>
        <w:rPr>
          <w:rFonts w:ascii="Amiri" w:hAnsi="Amiri" w:eastAsia="Amiri" w:cs="Amiri"/>
          <w:color w:val="111111"/>
          <w:sz w:val="28"/>
          <w:sz w:val="28"/>
          <w:szCs w:val="28"/>
          <w:rtl w:val="true"/>
          <w:lang w:bidi="ar-SA"/>
        </w:rPr>
        <w:t>وأمّا السورة فيجب تعلّمها لكن إجراء حكم عدم تيسّر الفاتحة هنا هو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ويتخيّر فيما عدا الأوليين من فرائضه بين الذكر والفاتحة وإن نسيها في الأوليين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والأفضل الذكر وصورته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والأحوط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ويلزم الإخفات حتّى بالبسملة في القراءة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الجهل والنسيان هنا ما سمعته؛ وفي التسبيحات إشكال</w:t>
      </w:r>
      <w:r>
        <w:rPr>
          <w:rFonts w:eastAsia="Amiri" w:cs="Amiri" w:ascii="Amiri" w:hAnsi="Amiri"/>
          <w:color w:val="111111"/>
          <w:sz w:val="28"/>
          <w:szCs w:val="28"/>
          <w:rtl w:val="true"/>
          <w:lang w:bidi="ar-SA"/>
        </w:rPr>
        <w:t>.</w:t>
      </w:r>
    </w:p>
    <w:p>
      <w:pPr>
        <w:pStyle w:val="Heading5"/>
        <w:numPr>
          <w:ilvl w:val="4"/>
          <w:numId w:val="1"/>
        </w:numPr>
        <w:rPr/>
      </w:pPr>
      <w:bookmarkStart w:id="329" w:name="__RefHeading___Toc1814920_2870459653"/>
      <w:bookmarkStart w:id="330" w:name="_Toc124"/>
      <w:bookmarkEnd w:id="329"/>
      <w:r>
        <w:rPr>
          <w:rtl w:val="true"/>
        </w:rPr>
        <w:t xml:space="preserve">المبحث الثاني </w:t>
      </w:r>
      <w:r>
        <w:rPr>
          <w:rtl w:val="true"/>
        </w:rPr>
        <w:t xml:space="preserve">: </w:t>
      </w:r>
      <w:r>
        <w:rPr>
          <w:rtl w:val="true"/>
        </w:rPr>
        <w:t>في المستحبّات</w:t>
      </w:r>
      <w:bookmarkEnd w:id="33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يستحبّ الاستعاذة بالله السميع العليم من الشيطان الرجيم قبل الشروع في القراءة سرّاً في الركعة الأولى، والجهر بالبسملة فيما يخفت به، وإفصاح الحروف، والوقف على فواصل الآيات، وقراءة السّور القصار من المفصّل وهو من سورة محمّد صلی الله علیه و آله و سلم إلى الآخر 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جاء نصر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ألهيٰكم التكاثر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العصر والمغرب، والوسط منه 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الظهر والعشاء، وطواله 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الصبح ؛ والأولى اختيار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القصار في الأولى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الثانية بل لا يبعد استحبابهما في جميع الفرائض بل ورد أنّه لا تزكو الصلاة إلّا بهما </w:t>
      </w:r>
      <w:r>
        <w:rPr>
          <w:rStyle w:val="FootnoteAnchor"/>
          <w:rtl w:val="true"/>
        </w:rPr>
        <w:footnoteReference w:id="146"/>
      </w:r>
      <w:r>
        <w:rPr>
          <w:rFonts w:ascii="Amiri" w:hAnsi="Amiri" w:eastAsia="Amiri" w:cs="Amiri"/>
          <w:color w:val="111111"/>
          <w:sz w:val="28"/>
          <w:sz w:val="28"/>
          <w:szCs w:val="28"/>
          <w:rtl w:val="true"/>
          <w:lang w:bidi="ar-SA"/>
        </w:rPr>
        <w:t xml:space="preserve">، وقراءة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أولى فرائض ليلة </w:t>
      </w:r>
      <w:bookmarkStart w:id="331" w:name="pg8988_116236"/>
    </w:p>
    <w:p>
      <w:pPr>
        <w:pStyle w:val="BookText"/>
        <w:rPr/>
      </w:pPr>
      <w:bookmarkEnd w:id="331"/>
      <w:r>
        <w:rPr>
          <w:rFonts w:ascii="Amiri" w:hAnsi="Amiri" w:eastAsia="Amiri" w:cs="Amiri"/>
          <w:color w:val="111111"/>
          <w:sz w:val="28"/>
          <w:sz w:val="28"/>
          <w:szCs w:val="28"/>
          <w:rtl w:val="true"/>
          <w:lang w:bidi="ar-SA"/>
        </w:rPr>
        <w:t>الجمعة ويومها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ثانية الجمعة أو ظهرها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ثانية صبحها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ثانية عشائها ومغربها </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1814922_2870459653"/>
      <w:bookmarkStart w:id="333" w:name="_Toc125"/>
      <w:bookmarkEnd w:id="332"/>
      <w:r>
        <w:rPr>
          <w:rtl w:val="true"/>
        </w:rPr>
        <w:t>الفصل الخامس</w:t>
      </w:r>
      <w:r>
        <w:rPr>
          <w:rtl w:val="true"/>
        </w:rPr>
        <w:t xml:space="preserve">: </w:t>
      </w:r>
      <w:r>
        <w:rPr>
          <w:rtl w:val="true"/>
        </w:rPr>
        <w:t>في الركوع</w:t>
      </w:r>
      <w:bookmarkEnd w:id="333"/>
    </w:p>
    <w:p>
      <w:pPr>
        <w:pStyle w:val="Heading5"/>
        <w:numPr>
          <w:ilvl w:val="4"/>
          <w:numId w:val="1"/>
        </w:numPr>
        <w:rPr/>
      </w:pPr>
      <w:bookmarkStart w:id="334" w:name="__RefHeading___Toc1814924_2870459653"/>
      <w:bookmarkStart w:id="335" w:name="_Toc126"/>
      <w:bookmarkEnd w:id="334"/>
      <w:r>
        <w:rPr>
          <w:rtl w:val="true"/>
        </w:rPr>
        <w:t>اشارة</w:t>
      </w:r>
      <w:bookmarkEnd w:id="335"/>
    </w:p>
    <w:p>
      <w:pPr>
        <w:pStyle w:val="BookText"/>
        <w:rPr/>
      </w:pPr>
      <w:r>
        <w:rPr>
          <w:rFonts w:ascii="Amiri" w:hAnsi="Amiri" w:eastAsia="Amiri" w:cs="Amiri"/>
          <w:color w:val="111111"/>
          <w:sz w:val="28"/>
          <w:sz w:val="28"/>
          <w:szCs w:val="28"/>
          <w:rtl w:val="true"/>
          <w:lang w:bidi="ar-SA"/>
        </w:rPr>
        <w:t>وفيه بحثان</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1814926_2870459653"/>
      <w:bookmarkStart w:id="337" w:name="_Toc127"/>
      <w:bookmarkEnd w:id="336"/>
      <w:r>
        <w:rPr>
          <w:rtl w:val="true"/>
        </w:rPr>
        <w:t xml:space="preserve">المبحث الأوّل </w:t>
      </w:r>
      <w:r>
        <w:rPr>
          <w:rtl w:val="true"/>
        </w:rPr>
        <w:t xml:space="preserve">: </w:t>
      </w:r>
      <w:r>
        <w:rPr>
          <w:rtl w:val="true"/>
        </w:rPr>
        <w:t>في الأحكام</w:t>
      </w:r>
      <w:bookmarkEnd w:id="337"/>
    </w:p>
    <w:p>
      <w:pPr>
        <w:pStyle w:val="BookText"/>
        <w:rPr/>
      </w:pPr>
      <w:r>
        <w:rPr>
          <w:rFonts w:ascii="Amiri" w:hAnsi="Amiri" w:eastAsia="Amiri" w:cs="Amiri"/>
          <w:color w:val="111111"/>
          <w:sz w:val="28"/>
          <w:sz w:val="28"/>
          <w:szCs w:val="28"/>
          <w:rtl w:val="true"/>
          <w:lang w:bidi="ar-SA"/>
        </w:rPr>
        <w:t>يجب في كلّ ركعة من الفرائض اليوميّة ركوع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ركن تبطل الصلاة بزيادته ونقصه عمداً وسهواً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فيه من الانحناء بحيث تصل اليد إلى الركبة والأحوط الراحة </w:t>
      </w:r>
    </w:p>
    <w:p>
      <w:pPr>
        <w:pStyle w:val="BookText"/>
        <w:rPr/>
      </w:pPr>
      <w:r>
        <w:rPr>
          <w:rFonts w:ascii="Amiri" w:hAnsi="Amiri" w:eastAsia="Amiri" w:cs="Amiri"/>
          <w:color w:val="111111"/>
          <w:sz w:val="28"/>
          <w:sz w:val="28"/>
          <w:szCs w:val="28"/>
          <w:rtl w:val="true"/>
          <w:lang w:bidi="ar-SA"/>
        </w:rPr>
        <w:t>بحيث لو أراد وضع شيء منها عليها لوضعه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المستوي كطويل اليدين يرجع إلى المستوي، ولو لم يتمكّن منه أتى بالممكن ولا ينتقل إلى 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يتمكّن منه أصلاً فإن أمكن الهوي من القيام إلى الجلوس تعيّن عليه ذلك وإلّا فالركوع جالساً إن لم يتمكّن من الهوي أيضاً لا يخلو عن قوّة وإلّا أوماً برأسه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وركوع الجالس بالانحناء الذي يتحقّق به مسمّاه ويتحقّق بحيث يساوي بوجهه ركبتيه ، والأفضل بحيث يحاذي مسجده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فيه الانتصاب على الركبتين وإن كان أحوط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فيه الذكر تسبيحاً أو تكبيراً أو تهليلاً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التثليث بالذكر بالتكرار والأحوط اختيار التسبيح من أفراده مخيّراً بين الثلاث الصغرى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التسبيحة الكبرى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العظيم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والأفضل تكريرها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تعيين الواجب منها وإن كان أولى</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فيه الطمأنينة والأحوط الاستيناف للصلاة بتركها فيه أصلاً سهواً فضلاً عن العمد، وتجب أيضاً قدر الذكر الواجب فلو تركها فيه عمداً بطلت صلاته بخلاف السهو والأحوط الاستيناف معه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يتمكّن منها سقطت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رفع الرأس منه منتصباً مطمئنّاً فلو سجد قبله عامداً بطلت صلاته </w:t>
      </w:r>
      <w:r>
        <w:rPr>
          <w:rFonts w:eastAsia="Amiri" w:cs="Amiri" w:ascii="Amiri" w:hAnsi="Amiri"/>
          <w:color w:val="111111"/>
          <w:sz w:val="28"/>
          <w:szCs w:val="28"/>
          <w:rtl w:val="true"/>
          <w:lang w:bidi="ar-SA"/>
        </w:rPr>
        <w:t xml:space="preserve">. </w:t>
      </w:r>
      <w:bookmarkStart w:id="338" w:name="pg8988_116240"/>
    </w:p>
    <w:p>
      <w:pPr>
        <w:pStyle w:val="Heading5"/>
        <w:numPr>
          <w:ilvl w:val="4"/>
          <w:numId w:val="1"/>
        </w:numPr>
        <w:rPr/>
      </w:pPr>
      <w:bookmarkStart w:id="339" w:name="__RefHeading___Toc1814928_2870459653"/>
      <w:bookmarkStart w:id="340" w:name="_Toc128"/>
      <w:bookmarkEnd w:id="338"/>
      <w:bookmarkEnd w:id="339"/>
      <w:r>
        <w:rPr>
          <w:rtl w:val="true"/>
        </w:rPr>
        <w:t xml:space="preserve">المبحث الثاني </w:t>
      </w:r>
      <w:r>
        <w:rPr>
          <w:rtl w:val="true"/>
        </w:rPr>
        <w:t xml:space="preserve">: </w:t>
      </w:r>
      <w:r>
        <w:rPr>
          <w:rtl w:val="true"/>
        </w:rPr>
        <w:t>في المستحبّات</w:t>
      </w:r>
      <w:bookmarkEnd w:id="340"/>
    </w:p>
    <w:p>
      <w:pPr>
        <w:pStyle w:val="BookText"/>
        <w:rPr/>
      </w:pPr>
      <w:r>
        <w:rPr>
          <w:rFonts w:ascii="Amiri" w:hAnsi="Amiri" w:eastAsia="Amiri" w:cs="Amiri"/>
          <w:color w:val="111111"/>
          <w:sz w:val="28"/>
          <w:sz w:val="28"/>
          <w:szCs w:val="28"/>
          <w:rtl w:val="true"/>
          <w:lang w:bidi="ar-SA"/>
        </w:rPr>
        <w:t>يستحبّ التكبير للركوع منتصباً رافعاً يديه كما في تكبيرة الإحرام للإفتتاح والأحوط عدم ترك التكبير، ووضع الكفّين على الركبتين مفرّجات الأصابع ممكّناً لهما من عينهما اليمنى على اليمنى واليسرى على اليسرى، وردّ الركبتين إلى الخلف، وتسوية الظهر، والتّجنيح</w:t>
      </w:r>
      <w:r>
        <w:rPr>
          <w:rStyle w:val="FootnoteAnchor"/>
          <w:rtl w:val="true"/>
        </w:rPr>
        <w:footnoteReference w:id="147"/>
      </w:r>
      <w:r>
        <w:rPr>
          <w:rFonts w:ascii="Amiri" w:hAnsi="Amiri" w:eastAsia="Amiri" w:cs="Amiri"/>
          <w:color w:val="111111"/>
          <w:sz w:val="28"/>
          <w:sz w:val="28"/>
          <w:szCs w:val="28"/>
          <w:rtl w:val="true"/>
          <w:lang w:bidi="ar-SA"/>
        </w:rPr>
        <w:t xml:space="preserve">بالمرفقين، وشغل النظر حاله إلى ما بين الرجلين، والتسبيح ثلاثاً أو سبعاً ولا بأس بالزيادة ويقطع على الوتر، وقول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رفع الرأس قائماً </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1814930_2870459653"/>
      <w:bookmarkStart w:id="342" w:name="_Toc129"/>
      <w:bookmarkEnd w:id="341"/>
      <w:r>
        <w:rPr>
          <w:rtl w:val="true"/>
        </w:rPr>
        <w:t>الفصل السادس</w:t>
      </w:r>
      <w:r>
        <w:rPr>
          <w:rtl w:val="true"/>
        </w:rPr>
        <w:t xml:space="preserve">: </w:t>
      </w:r>
      <w:r>
        <w:rPr>
          <w:rtl w:val="true"/>
        </w:rPr>
        <w:t>في السجود</w:t>
      </w:r>
      <w:bookmarkEnd w:id="342"/>
    </w:p>
    <w:p>
      <w:pPr>
        <w:pStyle w:val="Heading5"/>
        <w:numPr>
          <w:ilvl w:val="4"/>
          <w:numId w:val="1"/>
        </w:numPr>
        <w:rPr/>
      </w:pPr>
      <w:bookmarkStart w:id="343" w:name="__RefHeading___Toc1814932_2870459653"/>
      <w:bookmarkStart w:id="344" w:name="_Toc130"/>
      <w:bookmarkEnd w:id="343"/>
      <w:r>
        <w:rPr>
          <w:rtl w:val="true"/>
        </w:rPr>
        <w:t>اشارة</w:t>
      </w:r>
      <w:bookmarkEnd w:id="344"/>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Heading5"/>
        <w:numPr>
          <w:ilvl w:val="4"/>
          <w:numId w:val="1"/>
        </w:numPr>
        <w:rPr/>
      </w:pPr>
      <w:bookmarkStart w:id="345" w:name="__RefHeading___Toc1814934_2870459653"/>
      <w:bookmarkStart w:id="346" w:name="_Toc131"/>
      <w:bookmarkEnd w:id="345"/>
      <w:r>
        <w:rPr>
          <w:rtl w:val="true"/>
        </w:rPr>
        <w:t xml:space="preserve">المبحث الأوّل </w:t>
      </w:r>
      <w:r>
        <w:rPr>
          <w:rtl w:val="true"/>
        </w:rPr>
        <w:t xml:space="preserve">: </w:t>
      </w:r>
      <w:r>
        <w:rPr>
          <w:rtl w:val="true"/>
        </w:rPr>
        <w:t>في الأحکام</w:t>
      </w:r>
      <w:bookmarkEnd w:id="346"/>
    </w:p>
    <w:p>
      <w:pPr>
        <w:pStyle w:val="BookText"/>
        <w:rPr/>
      </w:pPr>
      <w:r>
        <w:rPr>
          <w:rFonts w:ascii="Amiri" w:hAnsi="Amiri" w:eastAsia="Amiri" w:cs="Amiri"/>
          <w:color w:val="111111"/>
          <w:sz w:val="28"/>
          <w:sz w:val="28"/>
          <w:szCs w:val="28"/>
          <w:rtl w:val="true"/>
          <w:lang w:bidi="ar-SA"/>
        </w:rPr>
        <w:t xml:space="preserve">يجب في كلّ ركعة سجدتان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معاً ركن تبطل بزيادتهما معاً أو نقصانهما معاً في الركعة الواحدة ولو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زاد واحدة أو نقصها سهواً فلا بطلان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ولابدّ فيه من الانحناء ووضع الجبهة بحيث يتحقّق مسمّاه، وعلى ذلك تدور الركنيّة والزيادة والنقصان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ويجب فيه أمور أخر لا مدخليّة لها في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على الأعضاء السبعة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ويجب الباطن من الكفّين مع الاختيار ولا يجب استيعاب تمام باطن الكفّ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الإبهامان فيجزي السجود على ظاهرهما وباطنهما والأحوط مراعات طرفيهما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قُطِعا ولم يبق ما يمكن السجود عليه أو كانا قصيرين كذلك سجد على باقي 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يجب الاستيعاب في الجبهة بل يكفي السجود على مسمّاها ويتحقّق بمقدار الدرهم والأحوط كونه مجتمعاً لا متفرّقاً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قُصاص الشعر وطرف الأنف الأعلى والحاجبين طولاً وما بين الجبينين عرضاً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ولابدّ من رفع مانع المباشرة لمحلّ السجود عنها 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وتختصّ الجبهة بوجوب وضعها على الأرض أو ما في حكمها، والأحوط انفصاله عنها عند كلّ سجدة بل هو أقوى فيما يتوقّف الصدق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الذكر على نحو الركوع، والأولى إبدال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التسبيحة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وتجب الطمأنينة فيه كما في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كون المساجد السبعة في محالّها حاله إلى تمامه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الرأس من السجدة الأولى معتدلاً مطمئنّاً كما في الرفع من الركوع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ينحني للسجود بحيث يساوي موضع جبهته موقفه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بتفاوت قدر لبنة موضوعة على أكبر سطوحها في الرفع والخفض </w:t>
      </w:r>
      <w:bookmarkStart w:id="347" w:name="pg8988_116245"/>
    </w:p>
    <w:p>
      <w:pPr>
        <w:pStyle w:val="BookText"/>
        <w:rPr/>
      </w:pPr>
      <w:bookmarkEnd w:id="347"/>
      <w:r>
        <w:rPr>
          <w:rFonts w:ascii="Amiri" w:hAnsi="Amiri" w:eastAsia="Amiri" w:cs="Amiri"/>
          <w:color w:val="111111"/>
          <w:sz w:val="28"/>
          <w:sz w:val="28"/>
          <w:szCs w:val="28"/>
          <w:rtl w:val="true"/>
          <w:lang w:bidi="ar-SA"/>
        </w:rPr>
        <w:t>فلو كان أزيد لم تصحّ الصلاة، ولا فرق بين الانحدار والتسنّم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يقدح ذلك في باقي المساجد بعضها مع بعض أو مع الجبهة ما لم يخرج عن مسمّى السجود وإن كان اعتباره أحوط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وضع جبهته على الممنوع لارتفاع جاز رفع الجبهة عنه إن كان </w:t>
      </w:r>
      <w:r>
        <w:rPr>
          <w:rStyle w:val="FootnoteAnchor"/>
          <w:rtl w:val="true"/>
        </w:rPr>
        <w:footnoteReference w:id="148"/>
      </w:r>
      <w:r>
        <w:rPr>
          <w:rFonts w:ascii="Amiri" w:hAnsi="Amiri" w:eastAsia="Amiri" w:cs="Amiri"/>
          <w:color w:val="111111"/>
          <w:sz w:val="28"/>
          <w:sz w:val="28"/>
          <w:szCs w:val="28"/>
          <w:rtl w:val="true"/>
          <w:lang w:bidi="ar-SA"/>
        </w:rPr>
        <w:t xml:space="preserve">الارتفاع بحيث لا يصدق عليه السجود وإلّا تعيّن 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الممتنع لغير ذلك فإنّه يجرّ جبهته ولا يرفعها مطلقاً بحيث يزيد سجدة</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1814936_2870459653"/>
      <w:bookmarkStart w:id="349" w:name="_Toc132"/>
      <w:bookmarkEnd w:id="348"/>
      <w:r>
        <w:rPr>
          <w:rtl w:val="true"/>
        </w:rPr>
        <w:t xml:space="preserve">المبحث الثاني </w:t>
      </w:r>
      <w:r>
        <w:rPr>
          <w:rtl w:val="true"/>
        </w:rPr>
        <w:t xml:space="preserve">: </w:t>
      </w:r>
      <w:r>
        <w:rPr>
          <w:rtl w:val="true"/>
        </w:rPr>
        <w:t>حكم العاجز عن السجود</w:t>
      </w:r>
      <w:bookmarkEnd w:id="349"/>
    </w:p>
    <w:p>
      <w:pPr>
        <w:pStyle w:val="BookText"/>
        <w:rPr/>
      </w:pPr>
      <w:r>
        <w:rPr>
          <w:rFonts w:ascii="Amiri" w:hAnsi="Amiri" w:eastAsia="Amiri" w:cs="Amiri"/>
          <w:color w:val="111111"/>
          <w:sz w:val="28"/>
          <w:sz w:val="28"/>
          <w:szCs w:val="28"/>
          <w:rtl w:val="true"/>
          <w:lang w:bidi="ar-SA"/>
        </w:rPr>
        <w:t>من عجز عن السجود انحنى بما يتمكّن ورفع المسجد إلى الجبهة واضعاً لها عليه باعتماد محافظاً على الواجب من الذكر والطمأنينة وغيرهما حتّى وَضْع باقي المساجد في محالّها، فإن لم يتمكّن من الانحناء أصلاً أومأ بالرأس، فإن لم يتمكّن فبالعينين والأحوط له رفع المسجد مع ذلك بل الأحوط وضع ما يتمكّن من المساجد في محلّه</w:t>
      </w:r>
      <w:r>
        <w:rPr>
          <w:rFonts w:eastAsia="Amiri" w:cs="Amiri" w:ascii="Amiri" w:hAnsi="Amiri"/>
          <w:color w:val="111111"/>
          <w:sz w:val="28"/>
          <w:szCs w:val="28"/>
          <w:rtl w:val="true"/>
          <w:lang w:bidi="ar-SA"/>
        </w:rPr>
        <w:t>.</w:t>
      </w:r>
    </w:p>
    <w:p>
      <w:pPr>
        <w:pStyle w:val="Heading5"/>
        <w:numPr>
          <w:ilvl w:val="4"/>
          <w:numId w:val="1"/>
        </w:numPr>
        <w:rPr/>
      </w:pPr>
      <w:bookmarkStart w:id="350" w:name="__RefHeading___Toc1814938_2870459653"/>
      <w:bookmarkStart w:id="351" w:name="_Toc133"/>
      <w:bookmarkEnd w:id="350"/>
      <w:r>
        <w:rPr>
          <w:rtl w:val="true"/>
        </w:rPr>
        <w:t xml:space="preserve">المبحث الثالث </w:t>
      </w:r>
      <w:r>
        <w:rPr>
          <w:rtl w:val="true"/>
        </w:rPr>
        <w:t xml:space="preserve">: </w:t>
      </w:r>
      <w:r>
        <w:rPr>
          <w:rtl w:val="true"/>
        </w:rPr>
        <w:t>في المستحبّات</w:t>
      </w:r>
      <w:bookmarkEnd w:id="35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يستحبّ التكبير حال الانتصاب قائماً أو قاعداً للأخذ فيه والرفع منه على نحو ما سبق، والدعاء بالمأثور، وتكرار الذكر، والقطع علی الوتر، والانتصاب مطمئنّاً بعد الجلوس من السجدة الثانية بل الأحوط عدم تركه، والسبق باليدين إلى الأرض حال الهوي إليه، وإرغام الأنف على ما يصحّ السجود عليه، وبسط اليدين مضمومَتَي الأصابع حتّى </w:t>
      </w:r>
      <w:bookmarkStart w:id="352" w:name="pg8988_116247"/>
    </w:p>
    <w:p>
      <w:pPr>
        <w:pStyle w:val="BookText"/>
        <w:rPr/>
      </w:pPr>
      <w:bookmarkEnd w:id="352"/>
      <w:r>
        <w:rPr>
          <w:rFonts w:ascii="Amiri" w:hAnsi="Amiri" w:eastAsia="Amiri" w:cs="Amiri"/>
          <w:color w:val="111111"/>
          <w:sz w:val="28"/>
          <w:sz w:val="28"/>
          <w:szCs w:val="28"/>
          <w:rtl w:val="true"/>
          <w:lang w:bidi="ar-SA"/>
        </w:rPr>
        <w:t xml:space="preserve">الإبهام حذاء الأذنين، وشغل النظر حاله إلى طرف الأنف، وغير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5"/>
        <w:numPr>
          <w:ilvl w:val="4"/>
          <w:numId w:val="1"/>
        </w:numPr>
        <w:rPr/>
      </w:pPr>
      <w:bookmarkStart w:id="353" w:name="__RefHeading___Toc1814940_2870459653"/>
      <w:bookmarkStart w:id="354" w:name="_Toc134"/>
      <w:bookmarkEnd w:id="353"/>
      <w:r>
        <w:rPr>
          <w:rtl w:val="true"/>
        </w:rPr>
        <w:t xml:space="preserve">المبحث الرابع </w:t>
      </w:r>
      <w:r>
        <w:rPr>
          <w:rtl w:val="true"/>
        </w:rPr>
        <w:t xml:space="preserve">: </w:t>
      </w:r>
      <w:r>
        <w:rPr>
          <w:rtl w:val="true"/>
        </w:rPr>
        <w:t>السجدات الواجبة و المستحبّه و أحکامها</w:t>
      </w:r>
      <w:bookmarkEnd w:id="354"/>
    </w:p>
    <w:p>
      <w:pPr>
        <w:pStyle w:val="BookText"/>
        <w:rPr/>
      </w:pPr>
      <w:r>
        <w:rPr>
          <w:rFonts w:ascii="Amiri" w:hAnsi="Amiri" w:eastAsia="Amiri" w:cs="Amiri"/>
          <w:color w:val="111111"/>
          <w:sz w:val="28"/>
          <w:sz w:val="28"/>
          <w:szCs w:val="28"/>
          <w:rtl w:val="true"/>
          <w:lang w:bidi="ar-SA"/>
        </w:rPr>
        <w:t xml:space="preserve">يجب السجود بالسهو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تسمعه إن شاء الله في حكم الخلل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،وبتلاوة آياته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يَسْتَكْبِرُونَ</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آلم 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تَعْبُدُونَ</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فوراً، فإن لم يفعل أتى به في الزمان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المستمع دون السامع وإن كان الأحوط له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مجموع الآية لا بعضها، ويتكرّر بتكرّره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یستحبّ فيما عدا ذلك، والمعروف أحد عشر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السورة الأعراف </w:t>
      </w:r>
      <w:r>
        <w:rPr>
          <w:rStyle w:val="FootnoteAnchor"/>
          <w:rtl w:val="true"/>
        </w:rPr>
        <w:footnoteReference w:id="151"/>
      </w:r>
      <w:r>
        <w:rPr>
          <w:rFonts w:ascii="IRNazanin" w:hAnsi="IRNazanin" w:eastAsia="IRNazanin"/>
          <w:color w:val="111111"/>
          <w:sz w:val="28"/>
          <w:sz w:val="28"/>
          <w:szCs w:val="28"/>
          <w:rtl w:val="true"/>
          <w:lang w:bidi="fa-IR"/>
        </w:rPr>
        <w:t xml:space="preserve">، والرعد </w:t>
      </w:r>
      <w:r>
        <w:rPr>
          <w:rStyle w:val="FootnoteAnchor"/>
          <w:rtl w:val="true"/>
        </w:rPr>
        <w:footnoteReference w:id="152"/>
      </w:r>
      <w:r>
        <w:rPr>
          <w:rFonts w:ascii="IRNazanin" w:hAnsi="IRNazanin" w:eastAsia="IRNazanin"/>
          <w:color w:val="111111"/>
          <w:sz w:val="28"/>
          <w:sz w:val="28"/>
          <w:szCs w:val="28"/>
          <w:rtl w:val="true"/>
          <w:lang w:bidi="fa-IR"/>
        </w:rPr>
        <w:t xml:space="preserve">، والنحل </w:t>
      </w:r>
      <w:r>
        <w:rPr>
          <w:rStyle w:val="FootnoteAnchor"/>
          <w:rtl w:val="true"/>
        </w:rPr>
        <w:footnoteReference w:id="153"/>
      </w:r>
      <w:r>
        <w:rPr>
          <w:rFonts w:ascii="Amiri" w:hAnsi="Amiri" w:eastAsia="Amiri" w:cs="Amiri"/>
          <w:color w:val="111111"/>
          <w:sz w:val="28"/>
          <w:sz w:val="28"/>
          <w:szCs w:val="28"/>
          <w:rtl w:val="true"/>
          <w:lang w:bidi="ar-SA"/>
        </w:rPr>
        <w:t>،وبني إسرائيل</w:t>
      </w:r>
      <w:r>
        <w:rPr>
          <w:rStyle w:val="FootnoteAnchor"/>
          <w:rtl w:val="true"/>
        </w:rPr>
        <w:footnoteReference w:id="154"/>
      </w:r>
      <w:r>
        <w:rPr>
          <w:rFonts w:ascii="Amiri" w:hAnsi="Amiri" w:eastAsia="Amiri" w:cs="Amiri"/>
          <w:color w:val="111111"/>
          <w:sz w:val="28"/>
          <w:sz w:val="28"/>
          <w:szCs w:val="28"/>
          <w:rtl w:val="true"/>
          <w:lang w:bidi="ar-SA"/>
        </w:rPr>
        <w:t>، ومريم</w:t>
      </w:r>
      <w:r>
        <w:rPr>
          <w:rStyle w:val="FootnoteAnchor"/>
          <w:rtl w:val="true"/>
        </w:rPr>
        <w:footnoteReference w:id="155"/>
      </w:r>
      <w:r>
        <w:rPr>
          <w:rFonts w:ascii="Amiri" w:hAnsi="Amiri" w:eastAsia="Amiri" w:cs="Amiri"/>
          <w:color w:val="111111"/>
          <w:sz w:val="28"/>
          <w:sz w:val="28"/>
          <w:szCs w:val="28"/>
          <w:rtl w:val="true"/>
          <w:lang w:bidi="ar-SA"/>
        </w:rPr>
        <w:t>، وموضعين من الحجّ</w:t>
      </w:r>
      <w:r>
        <w:rPr>
          <w:rStyle w:val="FootnoteAnchor"/>
          <w:rtl w:val="true"/>
        </w:rPr>
        <w:footnoteReference w:id="156"/>
      </w:r>
      <w:r>
        <w:rPr>
          <w:rFonts w:ascii="Amiri" w:hAnsi="Amiri" w:eastAsia="Amiri" w:cs="Amiri"/>
          <w:color w:val="111111"/>
          <w:sz w:val="28"/>
          <w:sz w:val="28"/>
          <w:szCs w:val="28"/>
          <w:rtl w:val="true"/>
          <w:lang w:bidi="ar-SA"/>
        </w:rPr>
        <w:t xml:space="preserve">، وفي </w:t>
      </w:r>
      <w:bookmarkStart w:id="355" w:name="pg8988_116249"/>
    </w:p>
    <w:p>
      <w:pPr>
        <w:pStyle w:val="BookText"/>
        <w:rPr/>
      </w:pPr>
      <w:bookmarkEnd w:id="355"/>
      <w:r>
        <w:rPr>
          <w:rFonts w:ascii="IRNazanin" w:hAnsi="IRNazanin" w:eastAsia="IRNazanin"/>
          <w:color w:val="111111"/>
          <w:sz w:val="28"/>
          <w:sz w:val="28"/>
          <w:szCs w:val="28"/>
          <w:rtl w:val="true"/>
          <w:lang w:bidi="fa-IR"/>
        </w:rPr>
        <w:t xml:space="preserve">الفرقان </w:t>
      </w:r>
      <w:r>
        <w:rPr>
          <w:rStyle w:val="FootnoteAnchor"/>
          <w:rtl w:val="true"/>
        </w:rPr>
        <w:footnoteReference w:id="157"/>
      </w:r>
      <w:r>
        <w:rPr>
          <w:rFonts w:ascii="IRNazanin" w:hAnsi="IRNazanin" w:eastAsia="IRNazanin"/>
          <w:color w:val="111111"/>
          <w:sz w:val="28"/>
          <w:sz w:val="28"/>
          <w:szCs w:val="28"/>
          <w:rtl w:val="true"/>
          <w:lang w:bidi="fa-IR"/>
        </w:rPr>
        <w:t xml:space="preserve">، والنمل </w:t>
      </w:r>
      <w:r>
        <w:rPr>
          <w:rStyle w:val="FootnoteAnchor"/>
          <w:rtl w:val="true"/>
        </w:rPr>
        <w:footnoteReference w:id="158"/>
      </w:r>
      <w:r>
        <w:rPr>
          <w:rFonts w:ascii="IRNazanin" w:hAnsi="IRNazanin" w:eastAsia="IRNazanin"/>
          <w:color w:val="111111"/>
          <w:sz w:val="28"/>
          <w:sz w:val="28"/>
          <w:szCs w:val="28"/>
          <w:rtl w:val="true"/>
          <w:lang w:bidi="fa-IR"/>
        </w:rPr>
        <w:t>، وص</w:t>
      </w:r>
      <w:r>
        <w:rPr>
          <w:rStyle w:val="FootnoteAnchor"/>
          <w:rtl w:val="true"/>
        </w:rPr>
        <w:footnoteReference w:id="159"/>
      </w:r>
      <w:r>
        <w:rPr>
          <w:rFonts w:ascii="IRNazanin" w:hAnsi="IRNazanin" w:eastAsia="IRNazanin"/>
          <w:color w:val="111111"/>
          <w:sz w:val="28"/>
          <w:sz w:val="28"/>
          <w:szCs w:val="28"/>
          <w:rtl w:val="true"/>
          <w:lang w:bidi="fa-IR"/>
        </w:rPr>
        <w:t xml:space="preserve">، والانشقاق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يشترط في صحّته ولا في وجوبه أو ندبه طهارة من الحدث ولا الخبث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وتسجد الحائض وجوباً أو ندباً كغيرها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الاستقبال، ولا طهارة المسجد ، ولا الستر فضلاً عن صفات الساتر فيصحّ حتّى في المغصوب إذا لم يكن السجود تصرّفاً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يعتبر إباحة المكان وعدم علوّ المسجد زائداً على المقدار المزبور والأحوط مساواته لسجود الصلاة في وضع الجبهة على ما يصحّ السجود عليه ووضع باقي المساجد في محالّها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فيه ذكر أصلاً، نعم يستحبّ فيه قول المأثور</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1814942_2870459653"/>
      <w:bookmarkStart w:id="357" w:name="_Toc135"/>
      <w:bookmarkEnd w:id="356"/>
      <w:r>
        <w:rPr>
          <w:rtl w:val="true"/>
        </w:rPr>
        <w:t>الفصل السابع</w:t>
      </w:r>
      <w:r>
        <w:rPr>
          <w:rtl w:val="true"/>
        </w:rPr>
        <w:t xml:space="preserve">: </w:t>
      </w:r>
      <w:r>
        <w:rPr>
          <w:rtl w:val="true"/>
        </w:rPr>
        <w:t>في التشهّد</w:t>
      </w:r>
      <w:bookmarkEnd w:id="357"/>
    </w:p>
    <w:p>
      <w:pPr>
        <w:pStyle w:val="BookText"/>
        <w:rPr/>
      </w:pPr>
      <w:r>
        <w:rPr>
          <w:rFonts w:ascii="Amiri" w:hAnsi="Amiri" w:eastAsia="Amiri" w:cs="Amiri"/>
          <w:color w:val="111111"/>
          <w:sz w:val="28"/>
          <w:sz w:val="28"/>
          <w:szCs w:val="28"/>
          <w:rtl w:val="true"/>
          <w:lang w:bidi="ar-SA"/>
        </w:rPr>
        <w:t>وهو واجب في الثنائيّة مرّة بعد رفع الرأس من السجدة الأخيرة من الركعة الثانية، وفي الثلاثيّة والرباعيّة مرّتين بعد السجدة الأخيرة من الركعة الأخيرة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الشهادتان ، ثمّ الصلاة على محمّد وآله، فيجزي أشهد أن لا إله إلّا الله ، وأشهد أنّ محمّداً رسول الله، وما به يتحقّق الصلاة على </w:t>
      </w:r>
      <w:bookmarkStart w:id="358" w:name="pg8988_116251"/>
    </w:p>
    <w:p>
      <w:pPr>
        <w:pStyle w:val="BookText"/>
        <w:rPr/>
      </w:pPr>
      <w:bookmarkEnd w:id="358"/>
      <w:r>
        <w:rPr>
          <w:rFonts w:ascii="Amiri" w:hAnsi="Amiri" w:eastAsia="Amiri" w:cs="Amiri"/>
          <w:color w:val="111111"/>
          <w:sz w:val="28"/>
          <w:sz w:val="28"/>
          <w:szCs w:val="28"/>
          <w:rtl w:val="true"/>
          <w:lang w:bidi="ar-SA"/>
        </w:rPr>
        <w:t>محمّد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 شَرِيكَ لَهُ وَأَشْهَدُ أَنَّ مُحَمّداً عَبْدُهُ وَرَسُولُهُ اللَّهُمَّ صَلِّ عَلى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الترتيب والعربيّة كغيرها من الأذكار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الجلوس متورّكاً ، وافتتاح التشهّدين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وَالْحَمْدُ لِلَّهِ وَخَيْرُ الْأَسْمَاءِ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بأس بإضافة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وَتَقَبَّلْ شَفَاعَتَهُ فِي أُمَّتِهِ وَارْفَعْ دَرَجَتَهُ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الصلاة على النبيّ بعد التشهّدين</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1814944_2870459653"/>
      <w:bookmarkStart w:id="360" w:name="_Toc136"/>
      <w:bookmarkEnd w:id="359"/>
      <w:r>
        <w:rPr>
          <w:rtl w:val="true"/>
        </w:rPr>
        <w:t>الفصل الثامن</w:t>
      </w:r>
      <w:r>
        <w:rPr>
          <w:rtl w:val="true"/>
        </w:rPr>
        <w:t xml:space="preserve">: </w:t>
      </w:r>
      <w:r>
        <w:rPr>
          <w:rtl w:val="true"/>
        </w:rPr>
        <w:t>في التسليم</w:t>
      </w:r>
      <w:bookmarkEnd w:id="360"/>
    </w:p>
    <w:p>
      <w:pPr>
        <w:pStyle w:val="BookText"/>
        <w:rPr/>
      </w:pPr>
      <w:r>
        <w:rPr>
          <w:rFonts w:ascii="Amiri" w:hAnsi="Amiri" w:eastAsia="Amiri" w:cs="Amiri"/>
          <w:color w:val="111111"/>
          <w:sz w:val="28"/>
          <w:sz w:val="28"/>
          <w:szCs w:val="28"/>
          <w:rtl w:val="true"/>
          <w:lang w:bidi="ar-SA"/>
        </w:rPr>
        <w:t>وهو واجب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الاجتزاء بإحدى صيغَتَي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فلا تبطل الصلاة بتركها ولو عمداً والأحوط المحافظة عليها والأحوط الجمع بين الصيغتين بعدها مقدِّماً الأولى مُضيفاً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ورحمة الله وبركاته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والاحتياط بالإتيان بهما لا ينبغي تركه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 عدم اعتبار نيّة الخروج به بل لو نوى عدمه عمداً خرج فضلاً عن السهو والأحوط الاستيناف للصلاة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حالة الجلوس الطمأنينة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التورّك، وإيماء المنفرد والإمام بمؤخّر عينيه إلى يمينه، وتسليم المأموم تسليمتين إلى اليمين واليسار إن كان فيه مأموم وإلّا فواحدة كالأوّلَيْن</w:t>
      </w:r>
      <w:r>
        <w:rPr>
          <w:rFonts w:eastAsia="Amiri" w:cs="Amiri" w:ascii="Amiri" w:hAnsi="Amiri"/>
          <w:color w:val="111111"/>
          <w:sz w:val="28"/>
          <w:szCs w:val="28"/>
          <w:rtl w:val="true"/>
          <w:lang w:bidi="ar-SA"/>
        </w:rPr>
        <w:t xml:space="preserve">. </w:t>
      </w:r>
      <w:bookmarkStart w:id="361" w:name="pg8988_116253"/>
    </w:p>
    <w:p>
      <w:pPr>
        <w:pStyle w:val="Heading4"/>
        <w:numPr>
          <w:ilvl w:val="3"/>
          <w:numId w:val="1"/>
        </w:numPr>
        <w:rPr/>
      </w:pPr>
      <w:bookmarkStart w:id="362" w:name="__RefHeading___Toc1814946_2870459653"/>
      <w:bookmarkStart w:id="363" w:name="_Toc137"/>
      <w:bookmarkEnd w:id="361"/>
      <w:bookmarkEnd w:id="362"/>
      <w:r>
        <w:rPr>
          <w:rtl w:val="true"/>
        </w:rPr>
        <w:t>الفصل التاسع</w:t>
      </w:r>
      <w:r>
        <w:rPr>
          <w:rtl w:val="true"/>
        </w:rPr>
        <w:t xml:space="preserve">: </w:t>
      </w:r>
      <w:r>
        <w:rPr>
          <w:rtl w:val="true"/>
        </w:rPr>
        <w:t>في الترتيب</w:t>
      </w:r>
      <w:bookmarkEnd w:id="363"/>
    </w:p>
    <w:p>
      <w:pPr>
        <w:pStyle w:val="BookText"/>
        <w:rPr/>
      </w:pPr>
      <w:r>
        <w:rPr>
          <w:rFonts w:ascii="Amiri" w:hAnsi="Amiri" w:eastAsia="Amiri" w:cs="Amiri"/>
          <w:color w:val="111111"/>
          <w:sz w:val="28"/>
          <w:sz w:val="28"/>
          <w:szCs w:val="28"/>
          <w:rtl w:val="true"/>
          <w:lang w:bidi="ar-SA"/>
        </w:rPr>
        <w:t xml:space="preserve">يجب الترتيب في أفعال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تركه عمداً بطلت صلاته وكذا السهو لو قدّم ركناً على ركن، أمّا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ركع قبل القراءة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 وكذا غير الأركان بعضها على بعض سهواً ولكن يعود على ما يحصل به الترتيب مع الإمكان</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1814948_2870459653"/>
      <w:bookmarkStart w:id="365" w:name="_Toc138"/>
      <w:bookmarkEnd w:id="364"/>
      <w:r>
        <w:rPr>
          <w:rtl w:val="true"/>
        </w:rPr>
        <w:t>الفصل العاشر</w:t>
      </w:r>
      <w:r>
        <w:rPr>
          <w:rtl w:val="true"/>
        </w:rPr>
        <w:t xml:space="preserve">: </w:t>
      </w:r>
      <w:r>
        <w:rPr>
          <w:rtl w:val="true"/>
        </w:rPr>
        <w:t>في الموالات</w:t>
      </w:r>
      <w:bookmarkEnd w:id="365"/>
    </w:p>
    <w:p>
      <w:pPr>
        <w:pStyle w:val="BookText"/>
        <w:rPr/>
      </w:pPr>
      <w:r>
        <w:rPr>
          <w:rFonts w:ascii="Amiri" w:hAnsi="Amiri" w:eastAsia="Amiri" w:cs="Amiri"/>
          <w:color w:val="111111"/>
          <w:sz w:val="28"/>
          <w:sz w:val="28"/>
          <w:szCs w:val="28"/>
          <w:rtl w:val="true"/>
          <w:lang w:bidi="ar-SA"/>
        </w:rPr>
        <w:t xml:space="preserve">تجب الموالات في أفعالها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الفصل بحيث تنمحي صورتها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تجب الموالات في القراءة والتكبير والذكر بالنسبة إلى الآيات والكلمات والحروف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ومدار الجميع على محو أسمائها فلو أخلّ عمداً بطلت صلاته، وسهواً لا بأس إلّا إذا أخلّ بموالات الصلاة ولكن مع كونه في المحلّ يُعيد على ما يحصل به الموالات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ويلحق بهذا المبحث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استحباب القنوت مرّة قبل ركوع الركعة الثانية في الفرائض اليوميّة جهريّة كانت أو إخفاتيّة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نسيه فَعَلَه بعد رفع الرأس منه، فإن لم يذكر فبعد الفراغ</w:t>
      </w:r>
      <w:r>
        <w:rPr>
          <w:rFonts w:eastAsia="Amiri" w:cs="Amiri" w:ascii="Amiri" w:hAnsi="Amiri"/>
          <w:color w:val="111111"/>
          <w:sz w:val="28"/>
          <w:szCs w:val="28"/>
          <w:rtl w:val="true"/>
          <w:lang w:bidi="ar-SA"/>
        </w:rPr>
        <w:t xml:space="preserve">. </w:t>
      </w:r>
      <w:bookmarkStart w:id="366" w:name="pg8988_116256"/>
    </w:p>
    <w:p>
      <w:pPr>
        <w:pStyle w:val="Heading3"/>
        <w:numPr>
          <w:ilvl w:val="2"/>
          <w:numId w:val="1"/>
        </w:numPr>
        <w:rPr/>
      </w:pPr>
      <w:bookmarkStart w:id="367" w:name="__RefHeading___Toc1814950_2870459653"/>
      <w:bookmarkStart w:id="368" w:name="_Toc139"/>
      <w:bookmarkEnd w:id="366"/>
      <w:bookmarkEnd w:id="367"/>
      <w:r>
        <w:rPr>
          <w:rtl w:val="true"/>
        </w:rPr>
        <w:t xml:space="preserve">المقصد الثالث </w:t>
      </w:r>
      <w:r>
        <w:rPr>
          <w:rtl w:val="true"/>
        </w:rPr>
        <w:t xml:space="preserve">: </w:t>
      </w:r>
      <w:r>
        <w:rPr>
          <w:rtl w:val="true"/>
        </w:rPr>
        <w:t>في مبطلات الصلاة</w:t>
      </w:r>
      <w:bookmarkEnd w:id="368"/>
    </w:p>
    <w:p>
      <w:pPr>
        <w:pStyle w:val="BookText"/>
        <w:rPr/>
      </w:pPr>
      <w:r>
        <w:rPr>
          <w:rFonts w:ascii="Amiri" w:hAnsi="Amiri" w:eastAsia="Amiri" w:cs="Amiri"/>
          <w:color w:val="111111"/>
          <w:sz w:val="28"/>
          <w:sz w:val="28"/>
          <w:szCs w:val="28"/>
          <w:rtl w:val="true"/>
          <w:lang w:bidi="ar-SA"/>
        </w:rPr>
        <w:t xml:space="preserve">المقصد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مبطلات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الأصغر والأكبر عمداً أو </w:t>
      </w:r>
      <w:r>
        <w:rPr>
          <w:rStyle w:val="FootnoteAnchor"/>
          <w:rtl w:val="true"/>
        </w:rPr>
        <w:footnoteReference w:id="161"/>
      </w:r>
      <w:r>
        <w:rPr>
          <w:rFonts w:ascii="Amiri" w:hAnsi="Amiri" w:eastAsia="Amiri" w:cs="Amiri"/>
          <w:color w:val="111111"/>
          <w:sz w:val="28"/>
          <w:sz w:val="28"/>
          <w:szCs w:val="28"/>
          <w:rtl w:val="true"/>
          <w:lang w:bidi="ar-SA"/>
        </w:rPr>
        <w:t>سهواً أو سبقاً في غير المسلوس والمبطون والمستحاضة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تعمّد التكفير تأدّباً وخضوعاً لغیر تقيّة، ولا بأس به مع التقيّة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إحدى اليدين على الأخرى كما يصنعه غيرنا، سواء كانتا </w:t>
      </w:r>
      <w:r>
        <w:rPr>
          <w:rStyle w:val="FootnoteAnchor"/>
          <w:rtl w:val="true"/>
        </w:rPr>
        <w:footnoteReference w:id="162"/>
      </w:r>
      <w:r>
        <w:rPr>
          <w:rFonts w:ascii="Amiri" w:hAnsi="Amiri" w:eastAsia="Amiri" w:cs="Amiri"/>
          <w:color w:val="111111"/>
          <w:sz w:val="28"/>
          <w:sz w:val="28"/>
          <w:szCs w:val="28"/>
          <w:rtl w:val="true"/>
          <w:lang w:bidi="ar-SA"/>
        </w:rPr>
        <w:t>فوق السرّة أو تحتها ، ووجد الحائل بين اليدين أم لا ،سواء وضع الكفّ على الكف أو الذراع على العضد، بل الظاهر تحقّقه بوضع الذراع على 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ليس منه الوضع لغرض كالحكّة ونحوه، والأحوط اجتنابه حتّى في حال الجلوس، بل لا بأس في الاحتياط في جميع هذه الصور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الالتفات بالكلّ إلى الخلف أو اليمين أو الشمال أو ما بينهما بحيث يخرج عن الاستقبال، فإنّ تعمّد ذلك كلّه مبطل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الأقوى</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ذلك في الالتفات بالوجه فقط إلى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يبطلها الالتفات بالوجه يميناً وشمالاً إن لم يكن فاحشاً مع بقاء البدن مستقبلاً وإن كان الأحوط اجتنابه، وأمّا لو كان فاحشاً فالاحتياط لا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البطلان مع السهو والقسر فيما عرفت إبطاله بالعمد إلّا ما لا يخرج به عن جهة المشرق والمغرب وإن كان بالكلّ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الكلام ولو بحرفين مهملين حصل ثانيهما من إشباع حركةِ أوّلِهِما ، أو حرفٍ مُفهم بذاته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السهو وبخلاف غير المُفهِم وإن أفهم بالقرائن ما لم يتّصل بأقوال الصلاة فيفسدها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كان قرآناً غير موجب للسجدة والقِران </w:t>
      </w:r>
      <w:r>
        <w:rPr>
          <w:rStyle w:val="FootnoteAnchor"/>
          <w:rtl w:val="true"/>
        </w:rPr>
        <w:footnoteReference w:id="164"/>
      </w:r>
      <w:r>
        <w:rPr>
          <w:rFonts w:ascii="Amiri" w:hAnsi="Amiri" w:eastAsia="Amiri" w:cs="Amiri"/>
          <w:color w:val="111111"/>
          <w:sz w:val="28"/>
          <w:sz w:val="28"/>
          <w:szCs w:val="28"/>
          <w:rtl w:val="true"/>
          <w:lang w:bidi="ar-SA"/>
        </w:rPr>
        <w:t>أو ذكراً أو دعاءً بغير محرّم فلا بأس به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بأس بردّ سلام التحيّة، بل هو واجب</w:t>
      </w:r>
      <w:r>
        <w:rPr>
          <w:rStyle w:val="FootnoteAnchor"/>
          <w:rtl w:val="true"/>
        </w:rPr>
        <w:footnoteReference w:id="165"/>
      </w:r>
      <w:r>
        <w:rPr>
          <w:rFonts w:ascii="Amiri" w:hAnsi="Amiri" w:eastAsia="Amiri" w:cs="Amiri"/>
          <w:color w:val="111111"/>
          <w:sz w:val="28"/>
          <w:sz w:val="28"/>
          <w:szCs w:val="28"/>
          <w:rtl w:val="true"/>
          <w:lang w:bidi="ar-SA"/>
        </w:rPr>
        <w:t xml:space="preserve">وإن كانت التحيّة بغير الصيغة القرآنيّة، وإن كان لا بطلان مع الترك حتّى لو اشتغل بالقراءة ونحوها في الأصح وإن أثم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الردّ بالمثل وإن كان مخالفاً للصيغة القرآنيّة بل الأحوط مراعات المثليّة في الصيغ الأربع </w:t>
      </w:r>
      <w:r>
        <w:rPr>
          <w:rStyle w:val="FootnoteAnchor"/>
          <w:rtl w:val="true"/>
        </w:rPr>
        <w:footnoteReference w:id="166"/>
      </w:r>
      <w:r>
        <w:rPr>
          <w:rFonts w:ascii="Amiri" w:hAnsi="Amiri" w:eastAsia="Amiri" w:cs="Amiri"/>
          <w:color w:val="111111"/>
          <w:sz w:val="28"/>
          <w:sz w:val="28"/>
          <w:szCs w:val="28"/>
          <w:rtl w:val="true"/>
          <w:lang w:bidi="ar-SA"/>
        </w:rPr>
        <w:t xml:space="preserve">وإن كان وجوب ذلك لا يخلو من </w:t>
      </w:r>
    </w:p>
    <w:p>
      <w:pPr>
        <w:pStyle w:val="BookText"/>
        <w:rPr/>
      </w:pPr>
      <w:r>
        <w:rPr>
          <w:rFonts w:ascii="Amiri" w:hAnsi="Amiri" w:eastAsia="Amiri" w:cs="Amiri"/>
          <w:color w:val="111111"/>
          <w:sz w:val="28"/>
          <w:sz w:val="28"/>
          <w:szCs w:val="28"/>
          <w:rtl w:val="true"/>
          <w:lang w:bidi="ar-SA"/>
        </w:rPr>
        <w:t xml:space="preserve">منع خصوصاً إذا كان الجواب بالصيغة القرآنيّة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السلام ملحوناً أو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الردّ بغير الملحون وبتقديم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حينئذٍ ملاحظة الدعائيّة، وأحوط منه استيناف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قام الغير بالردّ لم يجز ذلك للمصلّي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قيام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مميّزاً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xml:space="preserve">ويجب الفوريّة العرفيّة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القهقهة ولو اضطراراً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بالسهو </w:t>
      </w:r>
      <w:r>
        <w:rPr>
          <w:rStyle w:val="FootnoteAnchor"/>
          <w:rtl w:val="true"/>
        </w:rPr>
        <w:footnoteReference w:id="168"/>
      </w:r>
      <w:r>
        <w:rPr>
          <w:rFonts w:ascii="IRNazanin" w:hAnsi="IRNazanin" w:eastAsia="IRNazanin"/>
          <w:color w:val="111111"/>
          <w:sz w:val="28"/>
          <w:sz w:val="28"/>
          <w:szCs w:val="28"/>
          <w:rtl w:val="true"/>
          <w:lang w:bidi="fa-IR"/>
        </w:rPr>
        <w:t xml:space="preserve">ولا بالتبسّم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الضحك المشتمل على الصوت والمدّ والترجيع بل مطلق الصوت على الأحوط ، بل الأحوط البطلان في المشتمل عليه تقديراً كمن منع نفسه إلّا أنّه امتلأ جوفه ضحكاً وارتعش مثلاً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البكاء بالصوت لفوات أمر دنيوي أو طلبه بخلاف ما لو كان للسهو أو بلا صوت أو لأمر أخروي وإن كان الأحوط الاستيناف فيما لا يشتمل على الصوت كما أنّ الأحوط ذلك فيمن غلب عليه البكاء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فعل ماحٍ </w:t>
      </w:r>
      <w:r>
        <w:rPr>
          <w:rStyle w:val="FootnoteAnchor"/>
          <w:rtl w:val="true"/>
        </w:rPr>
        <w:footnoteReference w:id="169"/>
      </w:r>
      <w:r>
        <w:rPr>
          <w:rFonts w:ascii="Amiri" w:hAnsi="Amiri" w:eastAsia="Amiri" w:cs="Amiri"/>
          <w:color w:val="111111"/>
          <w:sz w:val="28"/>
          <w:sz w:val="28"/>
          <w:szCs w:val="28"/>
          <w:rtl w:val="true"/>
          <w:lang w:bidi="ar-SA"/>
        </w:rPr>
        <w:t xml:space="preserve">مُذْهِبِ لصورتها وإن كان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كالوثبة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مبطل عمداً أو سهواً، بخلاف غير الماحي وإن كثر كحركة الأصابع ونحوه إذا لم يفوّت الموالات، أمّا المفوِّت للموالات بمعنى المتابعة العرفيّة فهو مبطل مع العمد دون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والشرب وإن كانا قليلين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بابتلاع السكّر المذاب وبقايا الطعام في الفم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كغيرهما في إبطال الماحي منهما عمداً وسهواً، والمفوِّت للموالات غير الماحى عمداً لا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جميع هذه المبطلات بين الفريضة والنافلة إلّا في مقام خاص في الوتر مع الشرائط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الفاتحة لغير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بالسهو والتقيّة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عدد غير الرباعيّة والأوليين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تسمعه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حادي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جزء أو نقصانه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القِران بين السورتين في الفريضة بعد الفاتحة فالأحوط اجتنابه، بل لا يُترك هذا الاحتياط</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ويكره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نفخ موضع السجود ، والبصاق، وفرقعة الأصابع، ومدافعة البول والغائط </w:t>
      </w:r>
      <w:r>
        <w:rPr>
          <w:rFonts w:eastAsia="Amiri" w:cs="Amiri" w:ascii="Amiri" w:hAnsi="Amiri"/>
          <w:color w:val="111111"/>
          <w:sz w:val="28"/>
          <w:szCs w:val="28"/>
          <w:rtl w:val="true"/>
          <w:lang w:bidi="ar-SA"/>
        </w:rPr>
        <w:t xml:space="preserve">. </w:t>
      </w:r>
      <w:bookmarkStart w:id="369" w:name="pg8988_116266"/>
    </w:p>
    <w:p>
      <w:pPr>
        <w:pStyle w:val="Heading3"/>
        <w:numPr>
          <w:ilvl w:val="2"/>
          <w:numId w:val="1"/>
        </w:numPr>
        <w:rPr/>
      </w:pPr>
      <w:bookmarkStart w:id="370" w:name="__RefHeading___Toc1814952_2870459653"/>
      <w:bookmarkStart w:id="371" w:name="_Toc140"/>
      <w:bookmarkEnd w:id="369"/>
      <w:bookmarkEnd w:id="370"/>
      <w:r>
        <w:rPr>
          <w:rtl w:val="true"/>
        </w:rPr>
        <w:t xml:space="preserve">المقصد الرابع </w:t>
      </w:r>
      <w:r>
        <w:rPr>
          <w:rtl w:val="true"/>
        </w:rPr>
        <w:t xml:space="preserve">: </w:t>
      </w:r>
      <w:r>
        <w:rPr>
          <w:rtl w:val="true"/>
        </w:rPr>
        <w:t>في صلاة الآيات</w:t>
      </w:r>
      <w:bookmarkEnd w:id="371"/>
    </w:p>
    <w:p>
      <w:pPr>
        <w:pStyle w:val="Heading4"/>
        <w:numPr>
          <w:ilvl w:val="3"/>
          <w:numId w:val="1"/>
        </w:numPr>
        <w:rPr/>
      </w:pPr>
      <w:bookmarkStart w:id="372" w:name="__RefHeading___Toc1814954_2870459653"/>
      <w:bookmarkStart w:id="373" w:name="_Toc141"/>
      <w:bookmarkEnd w:id="372"/>
      <w:r>
        <w:rPr>
          <w:rtl w:val="true"/>
        </w:rPr>
        <w:t>اشارة</w:t>
      </w:r>
      <w:bookmarkEnd w:id="373"/>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1814956_2870459653"/>
      <w:bookmarkStart w:id="375" w:name="_Toc142"/>
      <w:bookmarkEnd w:id="374"/>
      <w:r>
        <w:rPr>
          <w:rtl w:val="true"/>
        </w:rPr>
        <w:t>[</w:t>
      </w:r>
      <w:r>
        <w:rPr>
          <w:rtl w:val="true"/>
        </w:rPr>
        <w:t>المبحث</w:t>
      </w:r>
      <w:r>
        <w:rPr>
          <w:rtl w:val="true"/>
        </w:rPr>
        <w:t xml:space="preserve">] </w:t>
      </w:r>
      <w:r>
        <w:rPr>
          <w:rtl w:val="true"/>
        </w:rPr>
        <w:t>الأوّل</w:t>
      </w:r>
      <w:r>
        <w:rPr>
          <w:rtl w:val="true"/>
        </w:rPr>
        <w:t xml:space="preserve">: </w:t>
      </w:r>
      <w:r>
        <w:rPr>
          <w:rtl w:val="true"/>
        </w:rPr>
        <w:t>في السبب</w:t>
      </w:r>
      <w:bookmarkEnd w:id="37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كسوف الشمس ، وخسوف القمر ولو بعضهما </w:t>
      </w:r>
      <w:r>
        <w:rPr>
          <w:rStyle w:val="FootnoteAnchor"/>
          <w:rtl w:val="true"/>
        </w:rPr>
        <w:footnoteReference w:id="170"/>
      </w:r>
      <w:r>
        <w:rPr>
          <w:rFonts w:ascii="Amiri" w:hAnsi="Amiri" w:eastAsia="Amiri" w:cs="Amiri"/>
          <w:color w:val="111111"/>
          <w:sz w:val="28"/>
          <w:sz w:val="28"/>
          <w:szCs w:val="28"/>
          <w:rtl w:val="true"/>
          <w:lang w:bidi="ar-SA"/>
        </w:rPr>
        <w:t xml:space="preserve">وإن لم يحصل منهما خوف، والزلزلة ، وغير المعتاد من الرياح السود والحمر والصفر والظلمة الشديدة والصاعقة والصيحة والهدّة والنار التي تظهر في السماء، ونحوها من الآيات المخوّفة عند غالب الناس وإن كانت أرضيّة كالخسف ونحوه </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عبرة بغير المخوّف ولا بخوف النادر</w:t>
      </w:r>
      <w:r>
        <w:rPr>
          <w:rFonts w:eastAsia="Amiri" w:cs="Amiri" w:ascii="Amiri" w:hAnsi="Amiri"/>
          <w:color w:val="111111"/>
          <w:sz w:val="28"/>
          <w:szCs w:val="28"/>
          <w:rtl w:val="true"/>
          <w:lang w:bidi="ar-SA"/>
        </w:rPr>
        <w:t xml:space="preserve">. </w:t>
      </w:r>
      <w:bookmarkStart w:id="376" w:name="pg8988_116269"/>
    </w:p>
    <w:p>
      <w:pPr>
        <w:pStyle w:val="Heading4"/>
        <w:numPr>
          <w:ilvl w:val="3"/>
          <w:numId w:val="1"/>
        </w:numPr>
        <w:rPr/>
      </w:pPr>
      <w:bookmarkStart w:id="377" w:name="__RefHeading___Toc1814958_2870459653"/>
      <w:bookmarkStart w:id="378" w:name="_Toc143"/>
      <w:bookmarkEnd w:id="376"/>
      <w:bookmarkEnd w:id="377"/>
      <w:r>
        <w:rPr>
          <w:rtl w:val="true"/>
        </w:rPr>
        <w:t xml:space="preserve">المبحث الثاني </w:t>
      </w:r>
      <w:r>
        <w:rPr>
          <w:rtl w:val="true"/>
        </w:rPr>
        <w:t xml:space="preserve">: </w:t>
      </w:r>
      <w:r>
        <w:rPr>
          <w:rtl w:val="true"/>
        </w:rPr>
        <w:t>وقت أداء الصلاة</w:t>
      </w:r>
      <w:bookmarkEnd w:id="378"/>
    </w:p>
    <w:p>
      <w:pPr>
        <w:pStyle w:val="BookText"/>
        <w:rPr/>
      </w:pPr>
      <w:r>
        <w:rPr>
          <w:rFonts w:ascii="Amiri" w:hAnsi="Amiri" w:eastAsia="Amiri" w:cs="Amiri"/>
          <w:color w:val="111111"/>
          <w:sz w:val="28"/>
          <w:sz w:val="28"/>
          <w:szCs w:val="28"/>
          <w:rtl w:val="true"/>
          <w:lang w:bidi="ar-SA"/>
        </w:rPr>
        <w:t xml:space="preserve">وقت أداء صلاة الكسوفين إلى تمام الانجلاء على الأصحّ ، وكذا كلّ آية يسع وقتها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نيّة الأداء أوّل الوقت قبل الأخذ بالانجلاء والقربة المطلقة في غيره بل لا يُترك هذا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يعلم بالكسوف حتّى خرج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تمام الانجلاء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القرص محترقاً كلّه لم يجب القضاء، وكذا غيره من الآيات ذوات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علم وأهمل ولو نسياناً أو كان القرص محترقاً كلّه وجب القضاء</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ويختص الوجوب بمن في بلد الآية دون المتّصل به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379" w:name="pg8988_116272"/>
    </w:p>
    <w:p>
      <w:pPr>
        <w:pStyle w:val="Heading4"/>
        <w:numPr>
          <w:ilvl w:val="3"/>
          <w:numId w:val="1"/>
        </w:numPr>
        <w:rPr/>
      </w:pPr>
      <w:bookmarkStart w:id="380" w:name="__RefHeading___Toc1814960_2870459653"/>
      <w:bookmarkStart w:id="381" w:name="_Toc144"/>
      <w:bookmarkEnd w:id="379"/>
      <w:bookmarkEnd w:id="380"/>
      <w:r>
        <w:rPr>
          <w:rtl w:val="true"/>
        </w:rPr>
        <w:t xml:space="preserve">المبحث الثالث </w:t>
      </w:r>
      <w:r>
        <w:rPr>
          <w:rtl w:val="true"/>
        </w:rPr>
        <w:t xml:space="preserve">: </w:t>
      </w:r>
      <w:r>
        <w:rPr>
          <w:rtl w:val="true"/>
        </w:rPr>
        <w:t>في تقديم صلاة الآيات على اليوميّة وعكسه</w:t>
      </w:r>
      <w:bookmarkEnd w:id="381"/>
    </w:p>
    <w:p>
      <w:pPr>
        <w:pStyle w:val="BookText"/>
        <w:rPr/>
      </w:pPr>
      <w:r>
        <w:rPr>
          <w:rFonts w:ascii="IRNazanin" w:hAnsi="IRNazanin" w:eastAsia="IRNazanin"/>
          <w:color w:val="111111"/>
          <w:sz w:val="28"/>
          <w:sz w:val="28"/>
          <w:szCs w:val="28"/>
          <w:rtl w:val="true"/>
          <w:lang w:bidi="fa-IR"/>
        </w:rPr>
        <w:t>إذا حصل الكسوف في وقت الصلاة اليوميّة واتّسع الوقت لهما جاز تقدیم أيّهما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شرع في صلاة الكسوف المتّسعة فظهر له ضيق وقت اليوميّة بحيث يخشى فوات اليوميّة إذا أتمّ الكسوف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فُرِض سعة وقته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وصلّى اليوميّة ثمّ عاد إلى صلاة الكسوف من محلّ القطع إذا لم يقع منه مُنافٍ غير الفعل</w:t>
      </w:r>
      <w:r>
        <w:rPr>
          <w:rStyle w:val="FootnoteAnchor"/>
          <w:rtl w:val="true"/>
        </w:rPr>
        <w:footnoteReference w:id="173"/>
      </w:r>
      <w:r>
        <w:rPr>
          <w:rFonts w:ascii="Amiri" w:hAnsi="Amiri" w:eastAsia="Amiri" w:cs="Amiri"/>
          <w:color w:val="111111"/>
          <w:sz w:val="28"/>
          <w:sz w:val="28"/>
          <w:szCs w:val="28"/>
          <w:rtl w:val="true"/>
          <w:lang w:bidi="ar-SA"/>
        </w:rPr>
        <w:t>المذكور باليوميّة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ضاق وقت الكسوف واتّسع وقت اليوميّة قَدَّم الكسوف بل يقطعها لو ظهر ذلك في الأثناء</w:t>
      </w:r>
      <w:r>
        <w:rPr>
          <w:rFonts w:eastAsia="Amiri" w:cs="Amiri" w:ascii="Amiri" w:hAnsi="Amiri"/>
          <w:color w:val="111111"/>
          <w:sz w:val="28"/>
          <w:szCs w:val="28"/>
          <w:rtl w:val="true"/>
          <w:lang w:bidi="ar-SA"/>
        </w:rPr>
        <w:t xml:space="preserve">. </w:t>
      </w:r>
      <w:bookmarkStart w:id="382" w:name="pg8988_116275"/>
    </w:p>
    <w:p>
      <w:pPr>
        <w:pStyle w:val="Heading4"/>
        <w:numPr>
          <w:ilvl w:val="3"/>
          <w:numId w:val="1"/>
        </w:numPr>
        <w:rPr/>
      </w:pPr>
      <w:bookmarkStart w:id="383" w:name="__RefHeading___Toc1814962_2870459653"/>
      <w:bookmarkStart w:id="384" w:name="_Toc145"/>
      <w:bookmarkEnd w:id="382"/>
      <w:bookmarkEnd w:id="383"/>
      <w:r>
        <w:rPr>
          <w:rtl w:val="true"/>
        </w:rPr>
        <w:t xml:space="preserve">المبحث الرابع </w:t>
      </w:r>
      <w:r>
        <w:rPr>
          <w:rtl w:val="true"/>
        </w:rPr>
        <w:t xml:space="preserve">: </w:t>
      </w:r>
      <w:r>
        <w:rPr>
          <w:rtl w:val="true"/>
        </w:rPr>
        <w:t>کيفيّة صلاة الآیات و أحکامها</w:t>
      </w:r>
      <w:bookmarkEnd w:id="384"/>
    </w:p>
    <w:p>
      <w:pPr>
        <w:pStyle w:val="BookText"/>
        <w:rPr/>
      </w:pPr>
      <w:r>
        <w:rPr>
          <w:rFonts w:ascii="Amiri" w:hAnsi="Amiri" w:eastAsia="Amiri" w:cs="Amiri"/>
          <w:color w:val="111111"/>
          <w:sz w:val="28"/>
          <w:sz w:val="28"/>
          <w:szCs w:val="28"/>
          <w:rtl w:val="true"/>
          <w:lang w:bidi="ar-SA"/>
        </w:rPr>
        <w:t xml:space="preserve">هي ركعتان في كلّ ركعة خمس ركوعات </w:t>
      </w:r>
      <w:r>
        <w:rPr>
          <w:rStyle w:val="FootnoteAnchor"/>
          <w:rtl w:val="true"/>
        </w:rPr>
        <w:footnoteReference w:id="174"/>
      </w:r>
      <w:r>
        <w:rPr>
          <w:rFonts w:ascii="Amiri" w:hAnsi="Amiri" w:eastAsia="Amiri" w:cs="Amiri"/>
          <w:color w:val="111111"/>
          <w:sz w:val="28"/>
          <w:sz w:val="28"/>
          <w:szCs w:val="28"/>
          <w:rtl w:val="true"/>
          <w:lang w:bidi="ar-SA"/>
        </w:rPr>
        <w:t xml:space="preserve">وصورتها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يُحْرِم مقارناً للنيّة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يقرأ الحمد والسورة ، ثمّ يركع، ثمّ يرفع رأسه، ثمّ يقرأ الحمد والسورة كذلك حتّى يتمّ خمساً على هذا الترتيب، ثمّ يسجد سجدتين، ثمّ يقوم للركعة الثانية فيفعل كما فعل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محافظاً على ما عرفت وجوبه في الفريضة من الشرائط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صلاته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ويجزي تفريق سورة واحدة على كلّ ركعةٍ فيقرأ في كلّ قيام آية أو بعض آية بعد قراءة الحمد في القيام الأوّل فيكون مجموع قراءته في الركعتين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الفاتحة مرّتين والسورة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يجزي الاقتصار على بعض السورة في تمام الركعة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وجوب القراءة عليه من حيث نقص كما أنّ الأحوط عدم قراءة الفاتحة حينئذٍ</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أكمل السورة ولو في القيام الثاني وجبت الفاتحة في القيام الثالث وسورة أو بعضها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لو ركع الركوع الخامس عن بعض السورة فالأقوى وجوب الحمد إذا قام للثانية ثمّ القراءة من حيث 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وحكمها كالفريضة في جميع ما قدّمناه فيها من واجب ومندوب عدا ما عرفت وتعرف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والركوعات الزائدة أركان أيضاً، وكذا القيام المتّصل بها تبطل بزيادتها و نقصها عمداً أو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شكّ في عدد ركعتيها بطلت فإنّها من الثنائيّة، ولو شكّ في عدد ركوعاتها فهو كالفريضة يأتي به مادام في المحلّ ويمضي إن خرج عنه، ولا تبطل بذلك إلّا إذا بان النقصان أو رجع إلى الشكّ في الركعات كما شكّ أنّه هل هو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آخر الركعة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أوّل الركعة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فيها الجماعة ، وأسلم صورها أن يدرك الإمام قبل الركوع الأوّل وفيه من الركعة الأولى أو الثانية فيجعلها أولى له ويفترق عن الإمام في محلّ المفارقة ويتمّ الصلاة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ويتحمّل فيها الإمام القراءة كالفريضة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قبل كلّ ركوع ثان بعد القراءة قنوت، فيكون في مجموع الركعتين خمس قنوتات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الاجتزاء بقنوتين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قبل الركوع الخامس وثانيهما قبل العاشر ، بل يجوز الاقتصار على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وصلاة الآيات واجبة على كلّ مكلّف إلّا الحائض والنفساء فإنّه لا يجب عليهما ذات الوقت منها أداءً ولا قضاءً، أمّا غيرها فالأحوط فعلها بعد الطهارة</w:t>
      </w:r>
      <w:r>
        <w:rPr>
          <w:rFonts w:eastAsia="Amiri" w:cs="Amiri" w:ascii="Amiri" w:hAnsi="Amiri"/>
          <w:color w:val="111111"/>
          <w:sz w:val="28"/>
          <w:szCs w:val="28"/>
          <w:rtl w:val="true"/>
          <w:lang w:bidi="ar-SA"/>
        </w:rPr>
        <w:t xml:space="preserve">. </w:t>
      </w:r>
      <w:bookmarkStart w:id="385" w:name="pg8988_116282"/>
    </w:p>
    <w:p>
      <w:pPr>
        <w:pStyle w:val="Heading3"/>
        <w:numPr>
          <w:ilvl w:val="2"/>
          <w:numId w:val="1"/>
        </w:numPr>
        <w:rPr/>
      </w:pPr>
      <w:bookmarkStart w:id="386" w:name="__RefHeading___Toc1814964_2870459653"/>
      <w:bookmarkStart w:id="387" w:name="_Toc146"/>
      <w:bookmarkEnd w:id="385"/>
      <w:bookmarkEnd w:id="386"/>
      <w:r>
        <w:rPr>
          <w:rtl w:val="true"/>
        </w:rPr>
        <w:t xml:space="preserve">المقصد الخامس </w:t>
      </w:r>
      <w:r>
        <w:rPr>
          <w:rtl w:val="true"/>
        </w:rPr>
        <w:t xml:space="preserve">: </w:t>
      </w:r>
      <w:r>
        <w:rPr>
          <w:rtl w:val="true"/>
        </w:rPr>
        <w:t>في أحكام الخلل</w:t>
      </w:r>
      <w:bookmarkEnd w:id="387"/>
    </w:p>
    <w:p>
      <w:pPr>
        <w:pStyle w:val="Heading4"/>
        <w:numPr>
          <w:ilvl w:val="3"/>
          <w:numId w:val="1"/>
        </w:numPr>
        <w:rPr/>
      </w:pPr>
      <w:bookmarkStart w:id="388" w:name="__RefHeading___Toc1814966_2870459653"/>
      <w:bookmarkStart w:id="389" w:name="_Toc147"/>
      <w:bookmarkEnd w:id="388"/>
      <w:r>
        <w:rPr>
          <w:rtl w:val="true"/>
        </w:rPr>
        <w:t>اشارة</w:t>
      </w:r>
      <w:bookmarkEnd w:id="389"/>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1814968_2870459653"/>
      <w:bookmarkStart w:id="391" w:name="_Toc148"/>
      <w:bookmarkEnd w:id="390"/>
      <w:r>
        <w:rPr>
          <w:rtl w:val="true"/>
        </w:rPr>
        <w:t>[</w:t>
      </w:r>
      <w:r>
        <w:rPr>
          <w:rtl w:val="true"/>
        </w:rPr>
        <w:t>المبحث</w:t>
      </w:r>
      <w:r>
        <w:rPr>
          <w:rtl w:val="true"/>
        </w:rPr>
        <w:t xml:space="preserve">] </w:t>
      </w:r>
      <w:r>
        <w:rPr>
          <w:rtl w:val="true"/>
        </w:rPr>
        <w:t>الأوّل</w:t>
      </w:r>
      <w:bookmarkEnd w:id="391"/>
    </w:p>
    <w:p>
      <w:pPr>
        <w:pStyle w:val="BookText"/>
        <w:rPr/>
      </w:pPr>
      <w:r>
        <w:rPr>
          <w:rFonts w:ascii="Amiri" w:hAnsi="Amiri" w:eastAsia="Amiri" w:cs="Amiri"/>
          <w:color w:val="111111"/>
          <w:sz w:val="28"/>
          <w:sz w:val="28"/>
          <w:szCs w:val="28"/>
          <w:rtl w:val="true"/>
          <w:lang w:bidi="ar-SA"/>
        </w:rPr>
        <w:t>قد عرفت أنّ من أخلّ بالطهارة من الحدث بطلت صلاته عالماً أو جاهلاً عامداً أو ساهياً بخلاف الخبث فقد عرفت التفصيل فيه و في غيره من الشرائط، وأنّ من أخلّ بشيء من الواجبات للصلاة بطلت صلاته ولو حركة من قراءتها وأذكارها الواجبة مع العلم بالحكم وبدونه ، وكذا من زاد فيها جزءًا في ابتداء النيّة أو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بزيادة غير الركن ونقصانه سهواً وإن خرج عن المحلّ بخلاف الركن فإنّ زيادته ونقصه حتّى يخرج عن المحلّ مبطل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يتدارك الناقص في المحلّ ويعيد ما هو مترتّب عليه كمن نسي القراءة أو الذكر أو أبعاضهما أو </w:t>
      </w:r>
      <w:r>
        <w:rPr>
          <w:rStyle w:val="FootnoteAnchor"/>
          <w:rtl w:val="true"/>
        </w:rPr>
        <w:footnoteReference w:id="175"/>
      </w:r>
      <w:r>
        <w:rPr>
          <w:rFonts w:ascii="Amiri" w:hAnsi="Amiri" w:eastAsia="Amiri" w:cs="Amiri"/>
          <w:color w:val="111111"/>
          <w:sz w:val="28"/>
          <w:sz w:val="28"/>
          <w:szCs w:val="28"/>
          <w:rtl w:val="true"/>
          <w:lang w:bidi="ar-SA"/>
        </w:rPr>
        <w:t xml:space="preserve">الترتيب فيهما أو إعرابهما أو القيام فيهما أو الطمأنينة فيه أو غير ذلك ممّا يجب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الجهر </w:t>
      </w:r>
    </w:p>
    <w:p>
      <w:pPr>
        <w:pStyle w:val="BookText"/>
        <w:rPr/>
      </w:pPr>
      <w:r>
        <w:rPr>
          <w:rFonts w:ascii="Amiri" w:hAnsi="Amiri" w:eastAsia="Amiri" w:cs="Amiri"/>
          <w:color w:val="111111"/>
          <w:sz w:val="28"/>
          <w:sz w:val="28"/>
          <w:szCs w:val="28"/>
          <w:rtl w:val="true"/>
          <w:lang w:bidi="ar-SA"/>
        </w:rPr>
        <w:t xml:space="preserve">والإخفات فإنّ الظاهر عدم وجوب تلافيهما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176"/>
      </w:r>
      <w:r>
        <w:rPr>
          <w:rFonts w:ascii="IRNazanin" w:hAnsi="IRNazanin" w:eastAsia="IRNazanin"/>
          <w:color w:val="111111"/>
          <w:sz w:val="28"/>
          <w:sz w:val="28"/>
          <w:szCs w:val="28"/>
          <w:rtl w:val="true"/>
          <w:lang w:bidi="fa-IR"/>
        </w:rPr>
        <w:t xml:space="preserve">ذَكَر قبل أن يصل إلى حدّ الركوع، أو الذكر في الركوع أو الطمأنينة وذَكَر قبل أن يخرج عن مسمّى الركوع، أو الانتصاب من الركوع أو الطمأنينة فیه وذَكَر قبل أن يدخل في السجود ، أو الذكر في السجود أو الطمأنينة فيه أو وَضْع أحد المساجد حاله وذَكَر قبل أن يخرج من مسمّى السجود، أو الانتصاب من السجود الأوّل أو الطمأنينة فيه وذَكَر قبل الدخول في مسمّى السجود الثاني، أو السجدة الثانية وذَكَر قبل الوصول إلى حدّ الراكع أو قبل التسليم في السجدة الأخيرة، أو التشهّد أو بعضه أو الترتيب فيه أو إعراباً أو الطمأنينة فيه و </w:t>
      </w:r>
      <w:r>
        <w:rPr>
          <w:rStyle w:val="FootnoteAnchor"/>
          <w:rtl w:val="true"/>
        </w:rPr>
        <w:footnoteReference w:id="177"/>
      </w:r>
      <w:r>
        <w:rPr>
          <w:rFonts w:ascii="Amiri" w:hAnsi="Amiri" w:eastAsia="Amiri" w:cs="Amiri"/>
          <w:color w:val="111111"/>
          <w:sz w:val="28"/>
          <w:sz w:val="28"/>
          <w:szCs w:val="28"/>
          <w:rtl w:val="true"/>
          <w:lang w:bidi="ar-SA"/>
        </w:rPr>
        <w:t xml:space="preserve">ذَكَر قبل الركوع أو قبل التسليم في التشهّد الأخير ، أو التسليم وذَكَره قبل حصول ما يُبطِل الصلاة عمداً أو سهواً ، فإن لم يتدارك ذلك بطلت صلاته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يذكر شيئاً من ذلك إلّا بعد الخروج عن المحلّ المزبور فلا تَدارُكَ وصحّت صلاته إلّا السجدة والتشهّد أو بعضه فإنّه يقضيها بعد الصلاة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الركن فإن نسيه ولم يذكر إلّا بعد الدخول في ركن آخر أو بعد صدور المبطل عمداً أو سهواً في السجدتين الأخيرتين بطلت صلاته وإلّا تدارك ويعيد ما بعده المترتّب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الإعادة في نسيان السجدتين حتّى سلّم وإن لم يَصْدُر المبطل</w:t>
      </w:r>
      <w:r>
        <w:rPr>
          <w:rFonts w:eastAsia="Amiri" w:cs="Amiri" w:ascii="Amiri" w:hAnsi="Amiri"/>
          <w:color w:val="111111"/>
          <w:sz w:val="28"/>
          <w:szCs w:val="28"/>
          <w:rtl w:val="true"/>
          <w:lang w:bidi="ar-SA"/>
        </w:rPr>
        <w:t xml:space="preserve">. </w:t>
      </w:r>
      <w:bookmarkStart w:id="392" w:name="pg8988_116288"/>
    </w:p>
    <w:p>
      <w:pPr>
        <w:pStyle w:val="Heading4"/>
        <w:numPr>
          <w:ilvl w:val="3"/>
          <w:numId w:val="1"/>
        </w:numPr>
        <w:rPr/>
      </w:pPr>
      <w:bookmarkStart w:id="393" w:name="__RefHeading___Toc1814970_2870459653"/>
      <w:bookmarkStart w:id="394" w:name="_Toc149"/>
      <w:bookmarkEnd w:id="392"/>
      <w:bookmarkEnd w:id="393"/>
      <w:r>
        <w:rPr>
          <w:rtl w:val="true"/>
        </w:rPr>
        <w:t>المبحث الثاني</w:t>
      </w:r>
      <w:r>
        <w:rPr>
          <w:rtl w:val="true"/>
        </w:rPr>
        <w:t xml:space="preserve">: </w:t>
      </w:r>
      <w:r>
        <w:rPr>
          <w:rtl w:val="true"/>
        </w:rPr>
        <w:t>في الشكّ</w:t>
      </w:r>
      <w:bookmarkEnd w:id="394"/>
    </w:p>
    <w:p>
      <w:pPr>
        <w:pStyle w:val="Heading5"/>
        <w:numPr>
          <w:ilvl w:val="4"/>
          <w:numId w:val="1"/>
        </w:numPr>
        <w:rPr/>
      </w:pPr>
      <w:bookmarkStart w:id="395" w:name="__RefHeading___Toc1814972_2870459653"/>
      <w:bookmarkStart w:id="396" w:name="_Toc150"/>
      <w:bookmarkEnd w:id="395"/>
      <w:r>
        <w:rPr>
          <w:rtl w:val="true"/>
        </w:rPr>
        <w:t>اشارة</w:t>
      </w:r>
      <w:bookmarkEnd w:id="396"/>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 أنّه صلّى أم لا وكان بعد مضيّ الوقت لم يلتفت و إلّا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الظنّ كالشكّ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يلتفت إلى الشكّ في شيء منها بعد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عبرة بكثرة الشكّ في الركعات والأفعال بل يبني على وقوع الفعل ما لم يكن مفسداً فيبني حينئذٍ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كثر شكّه في فعل خاصّ فهو كثير الشكّ فيه دون غيره وكذا لو كان كثيره في غير الصلاة دونها </w:t>
      </w:r>
      <w:r>
        <w:rPr>
          <w:rStyle w:val="FootnoteAnchor"/>
          <w:rtl w:val="true"/>
        </w:rPr>
        <w:footnoteReference w:id="178"/>
      </w:r>
      <w:r>
        <w:rPr>
          <w:rFonts w:ascii="Amiri" w:hAnsi="Amiri" w:eastAsia="Amiri" w:cs="Amiri"/>
          <w:color w:val="111111"/>
          <w:sz w:val="28"/>
          <w:sz w:val="28"/>
          <w:szCs w:val="28"/>
          <w:rtl w:val="true"/>
          <w:lang w:bidi="ar-SA"/>
        </w:rPr>
        <w:t>والمرجع في الكثرة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حكم للشكّ في عدد ركعات الاحتياطيّة وعدد سجدتي السهو بل يبني على الأكثر ما لم يكن مفسداً فيبني على الأقلّ، لكن الأحوط فى سجدتي السهو الإعادة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 في شيء من أفعال الصلاة وقد دخل في غيره ممّا </w:t>
      </w:r>
      <w:bookmarkStart w:id="397" w:name="pg8988_116291"/>
    </w:p>
    <w:p>
      <w:pPr>
        <w:pStyle w:val="BookText"/>
        <w:rPr/>
      </w:pPr>
      <w:bookmarkEnd w:id="397"/>
      <w:r>
        <w:rPr>
          <w:rFonts w:ascii="Amiri" w:hAnsi="Amiri" w:eastAsia="Amiri" w:cs="Amiri"/>
          <w:color w:val="111111"/>
          <w:sz w:val="28"/>
          <w:sz w:val="28"/>
          <w:szCs w:val="28"/>
          <w:rtl w:val="true"/>
          <w:lang w:bidi="ar-SA"/>
        </w:rPr>
        <w:t xml:space="preserve">هو مترتّب عليه وإن كان مندوباً لم يلتفت ويأتي به لو لم يدخل من غير فرق بين الأوّلتين والأخيرتين ، والأصحّ إرادة مطلق الغير حتّى السورة بالنسبة إلى الفاتحة فلا يلتفت إلى الشكّ فيها وهو أَخَذَ في السورة بل ولا إلى أوّل السورة وهو في آخرها بل ولا إلى الآية وهو الآية المتأخّرة بل ولا إلى أوّلها وهو في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الاحتياط في الجميع لا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إلى السورة وهو في القنوت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الركوع أو الانتصاب وهو في الهويّ إلى السجود بل مطلق الدخول في مقدّمات الأفعال فالاحتياط بالتدارك والإعادة بعد الفراغ لا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إلى السجود وهو قائم أو في التشهّد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شكّ في صحّة الواقع وفساده فالأقوى عدم الالتفات وإن كان في المحلّ لكن الاحتياط هنا </w:t>
      </w:r>
      <w:r>
        <w:rPr>
          <w:rStyle w:val="FootnoteAnchor"/>
          <w:rtl w:val="true"/>
        </w:rPr>
        <w:footnoteReference w:id="179"/>
      </w:r>
      <w:r>
        <w:rPr>
          <w:rFonts w:ascii="Amiri" w:hAnsi="Amiri" w:eastAsia="Amiri" w:cs="Amiri"/>
          <w:color w:val="111111"/>
          <w:sz w:val="28"/>
          <w:sz w:val="28"/>
          <w:szCs w:val="28"/>
          <w:rtl w:val="true"/>
          <w:lang w:bidi="ar-SA"/>
        </w:rPr>
        <w:t xml:space="preserve">الإتيان بالقراءة والذكر بقصد القربة وفي الأركان المضيّ والإعادة </w:t>
      </w:r>
      <w:r>
        <w:rPr>
          <w:rFonts w:eastAsia="Amiri" w:cs="Amiri" w:ascii="Amiri" w:hAnsi="Amiri"/>
          <w:color w:val="111111"/>
          <w:sz w:val="28"/>
          <w:szCs w:val="28"/>
          <w:rtl w:val="true"/>
          <w:lang w:bidi="ar-SA"/>
        </w:rPr>
        <w:t>.</w:t>
      </w:r>
    </w:p>
    <w:p>
      <w:pPr>
        <w:pStyle w:val="Heading5"/>
        <w:numPr>
          <w:ilvl w:val="4"/>
          <w:numId w:val="1"/>
        </w:numPr>
        <w:rPr/>
      </w:pPr>
      <w:bookmarkStart w:id="398" w:name="__RefHeading___Toc1814974_2870459653"/>
      <w:bookmarkStart w:id="399" w:name="_Toc151"/>
      <w:bookmarkEnd w:id="398"/>
      <w:r>
        <w:rPr>
          <w:rtl w:val="true"/>
        </w:rPr>
        <w:t>الشكّ في أعداد ركعات الفريضة</w:t>
      </w:r>
      <w:bookmarkEnd w:id="399"/>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أعداد ركعات الفريضة، وهو بعد الاستقرار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مجرّد حصوله وإن 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مفسد إلّا صُوَراً في الرباعيّة بعد إحراز الأوّلتين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الثنائيّة والثلاثيّة والأوّلتين من الرباعيّة </w:t>
      </w:r>
      <w:r>
        <w:rPr>
          <w:rFonts w:eastAsia="Amiri" w:cs="Amiri" w:ascii="Amiri" w:hAnsi="Amiri"/>
          <w:color w:val="111111"/>
          <w:sz w:val="28"/>
          <w:szCs w:val="28"/>
          <w:rtl w:val="true"/>
          <w:lang w:bidi="ar-SA"/>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إحديها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الشكّ بین الإثنين والثلاث بعد رفع الرأس من السجدة الأخيرة ؛ يبني على الثلاث ويتمّ صلاته ثمّ يحتاط بركعة من قيام أو ركعتين من جلوس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الثلاث والأربع في أيّ موضع كان ؛ فإنّه يبني على الأربع ويتمّ صلاته ويحتاط بركعة من قيام أو ركعتين من جلوس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الشكّ بین الإثنين والأربع بعد رفع الرأس من السجدة الأخيرة؛ فإنّه يبني على الأربع و يتمّ صلاته ثمّ يحتاط بركعتين من قيام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الشكّ بین الإثنين والثلاث والأربع بعد رفع الرأس من السجدة الأخيرة ؛ فإنّه يبني على الأربع ويتمّ صلاته ثمّ يحتاط بركعتين من قيام وركعتين من 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تأخير الركعتين من جلوس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الأربع و الخمس بعد رفع الرأس من السجدة الأخيرة ؛ فإنّه </w:t>
      </w:r>
      <w:r>
        <w:rPr>
          <w:rStyle w:val="FootnoteAnchor"/>
          <w:rtl w:val="true"/>
        </w:rPr>
        <w:footnoteReference w:id="180"/>
      </w:r>
      <w:r>
        <w:rPr>
          <w:rFonts w:ascii="Amiri" w:hAnsi="Amiri" w:eastAsia="Amiri" w:cs="Amiri"/>
          <w:color w:val="111111"/>
          <w:sz w:val="28"/>
          <w:sz w:val="28"/>
          <w:szCs w:val="28"/>
          <w:rtl w:val="true"/>
          <w:lang w:bidi="ar-SA"/>
        </w:rPr>
        <w:t>يبنى على الأربع ويتشهّد ويسلّم ثم يسجد سجدتي السهو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الشكّ بین الأربع والخمس في حال القيام ؛ فإنّه يهدم ويجلس، ويرجع شكّه إلى ما بين الثلاث والأربع، فيبني على الأربع ويتمّ صلاته ثمّ يحتاط بركعةٍ من قيام أو ركعتين من جلوس</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الثلاث والخمس حال القيام؛ فإنّه يهدم، ويرجع شكّه إلى الشكّ بين الإثنين والأربع، فيتمّ صلاته ويعمل عمله كما في الصورة الثالثة </w:t>
      </w:r>
      <w:r>
        <w:rPr>
          <w:rFonts w:eastAsia="Amiri" w:cs="Amiri" w:ascii="Amiri" w:hAnsi="Amiri"/>
          <w:color w:val="111111"/>
          <w:sz w:val="28"/>
          <w:szCs w:val="28"/>
          <w:rtl w:val="true"/>
          <w:lang w:bidi="ar-SA"/>
        </w:rPr>
        <w:t xml:space="preserve">. </w:t>
      </w:r>
      <w:bookmarkStart w:id="400" w:name="pg8988_116297"/>
    </w:p>
    <w:p>
      <w:pPr>
        <w:pStyle w:val="BookText"/>
        <w:rPr/>
      </w:pPr>
      <w:bookmarkEnd w:id="400"/>
      <w:r>
        <w:rPr>
          <w:rFonts w:ascii="IRNazanin" w:hAnsi="IRNazanin" w:eastAsia="IRNazanin"/>
          <w:color w:val="111111"/>
          <w:sz w:val="28"/>
          <w:sz w:val="28"/>
          <w:szCs w:val="28"/>
          <w:rtl w:val="true"/>
          <w:lang w:bidi="fa-IR"/>
        </w:rPr>
        <w:t xml:space="preserve">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الشكّ بین الثلاث والأربع والخمس حال القيام؛ فإنّه يهدم، ويرجع شكّه إلى الشكّ بين الإثنين والثلاث والأربع، فيتمّ صلاته ويعمل عمله كما في الصورة الرابعة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الشكّ بین الخمس والستّ حال القيام؛ فإنّه يهدم، ويرجع شكّه إلى الشكّ بين الأربع والخمس، فيتمّ صلاته ويسجد للسهو مرّتين بل ثلاث مرّات إن اشتغل حال القيام بالقراءة أو التسبيح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في الخمسة الأخيرة استيناف الصلاة من رأس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بالشكّ فيما 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تساوي الطرفين لا الظَّنّ فإنّ الأقوى كونه كاليقين </w:t>
      </w:r>
      <w:r>
        <w:rPr>
          <w:rStyle w:val="FootnoteAnchor"/>
          <w:rtl w:val="true"/>
        </w:rPr>
        <w:footnoteReference w:id="181"/>
      </w:r>
      <w:r>
        <w:rPr>
          <w:rFonts w:ascii="Amiri" w:hAnsi="Amiri" w:eastAsia="Amiri" w:cs="Amiri"/>
          <w:color w:val="111111"/>
          <w:sz w:val="28"/>
          <w:sz w:val="28"/>
          <w:szCs w:val="28"/>
          <w:rtl w:val="true"/>
          <w:lang w:bidi="ar-SA"/>
        </w:rPr>
        <w:t>في الفعل والترك والركعات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شكّ ثمّ ظنّ كان العمل على الأخير كالعكس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تردّد في أنّ الحاصل له ظنّ أو شكّ كما يتّفق غالباً فهو شكّ </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1814976_2870459653"/>
      <w:bookmarkStart w:id="402" w:name="_Toc152"/>
      <w:bookmarkEnd w:id="401"/>
      <w:r>
        <w:rPr>
          <w:rtl w:val="true"/>
        </w:rPr>
        <w:t>صلاة الاحتياط</w:t>
      </w:r>
      <w:bookmarkEnd w:id="402"/>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ركعات الاحتياط واجبة ، فلا يجوز أن يدعها ويعيد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فيها من نيّة، وتكبيرة الاحرام، وقراءة الفاتحة سرّاً حتّى البسملة على الأحوط ، وركوع ، وسجود، وتشهّد، وتسليم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قنوت فيها وإن كانت ركعتين، ولا أذان، ولا إقامة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ويلاحظ فيها الجزئيّة والاستقلال فتبطل الصلاة بتخلّل المنافي فيها </w:t>
      </w:r>
    </w:p>
    <w:p>
      <w:pPr>
        <w:pStyle w:val="BookText"/>
        <w:rPr/>
      </w:pPr>
      <w:r>
        <w:rPr>
          <w:rFonts w:ascii="Amiri" w:hAnsi="Amiri" w:eastAsia="Amiri" w:cs="Amiri"/>
          <w:color w:val="111111"/>
          <w:sz w:val="28"/>
          <w:sz w:val="28"/>
          <w:szCs w:val="28"/>
          <w:rtl w:val="true"/>
          <w:lang w:bidi="ar-SA"/>
        </w:rPr>
        <w:t xml:space="preserve">أو بينها وبين الصلاة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يُقضی من أجزاء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والتشهّد وأبعاضه خصوصاً الصلاة على النبيّ صلی الله علیه و آله و سلم فينوي أنّهما عوض عن ذلك مقارناً للنيّة لأوّلهما محافظاً على ما يجب فيهما حال الصلاة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الفصل بينهما وبينها بالمنافي، ولو فَصَّل استأنف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فعلهما </w:t>
      </w:r>
      <w:r>
        <w:rPr>
          <w:rStyle w:val="FootnoteAnchor"/>
          <w:rtl w:val="true"/>
        </w:rPr>
        <w:footnoteReference w:id="183"/>
      </w:r>
      <w:r>
        <w:rPr>
          <w:rFonts w:ascii="Amiri" w:hAnsi="Amiri" w:eastAsia="Amiri" w:cs="Amiri"/>
          <w:color w:val="111111"/>
          <w:sz w:val="28"/>
          <w:sz w:val="28"/>
          <w:szCs w:val="28"/>
          <w:rtl w:val="true"/>
          <w:lang w:bidi="ar-SA"/>
        </w:rPr>
        <w:t xml:space="preserve">قبل ذلك </w:t>
      </w:r>
      <w:r>
        <w:rPr>
          <w:rFonts w:eastAsia="Amiri" w:cs="Amiri" w:ascii="Amiri" w:hAnsi="Amiri"/>
          <w:color w:val="111111"/>
          <w:sz w:val="28"/>
          <w:szCs w:val="28"/>
          <w:rtl w:val="true"/>
          <w:lang w:bidi="ar-SA"/>
        </w:rPr>
        <w:t xml:space="preserve">. </w:t>
      </w:r>
      <w:bookmarkStart w:id="403" w:name="pg8988_116303"/>
    </w:p>
    <w:p>
      <w:pPr>
        <w:pStyle w:val="Heading4"/>
        <w:numPr>
          <w:ilvl w:val="3"/>
          <w:numId w:val="1"/>
        </w:numPr>
        <w:rPr/>
      </w:pPr>
      <w:bookmarkStart w:id="404" w:name="__RefHeading___Toc1814978_2870459653"/>
      <w:bookmarkStart w:id="405" w:name="_Toc153"/>
      <w:bookmarkEnd w:id="403"/>
      <w:bookmarkEnd w:id="404"/>
      <w:r>
        <w:rPr>
          <w:rtl w:val="true"/>
        </w:rPr>
        <w:t>المبحث الثالث</w:t>
      </w:r>
      <w:r>
        <w:rPr>
          <w:rtl w:val="true"/>
        </w:rPr>
        <w:t xml:space="preserve">: </w:t>
      </w:r>
      <w:r>
        <w:rPr>
          <w:rtl w:val="true"/>
        </w:rPr>
        <w:t>في السهو</w:t>
      </w:r>
      <w:bookmarkEnd w:id="405"/>
    </w:p>
    <w:p>
      <w:pPr>
        <w:pStyle w:val="BookText"/>
        <w:rPr/>
      </w:pPr>
      <w:r>
        <w:rPr>
          <w:rFonts w:ascii="Amiri" w:hAnsi="Amiri" w:eastAsia="Amiri" w:cs="Amiri"/>
          <w:color w:val="111111"/>
          <w:sz w:val="28"/>
          <w:sz w:val="28"/>
          <w:szCs w:val="28"/>
          <w:rtl w:val="true"/>
          <w:lang w:bidi="ar-SA"/>
        </w:rPr>
        <w:t xml:space="preserve">يجب سجود السهو للكلام ساهياً، والسلام في غير محلّه، والشكّ بين الأربع والخمس، بل لكلّ زيادة ونقيصة ولم يذكرها في محلّها وإن قضاها بعد الصلاة كالسجدة والتشهّد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سجود في نسيان المستحبّات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الواحد وإن طال له سجدتا السهو، نعم لو تعدّد بأن ذكر في الأثناء ثمّ سهى فتكلّم تعدّد السجود كما في غيره من الأسباب، فإنّ الظاهر تعدّده بتعدّدها اتّحد جنسها أو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السلام لو وقع مرّةً واحدةً ولو بجميع صيغه سجد له مرّةً، ولو وقع مرّات سجد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تعدّده لكلّ تسليم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ترتيب في سجود السهو بترتيب أسبابه ؛ وهو مؤخّر عن الأجزاء المنسيّة والركعات الاحتياطيّة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تأخير الأجزاء المنسيّة عن الركعات الاحتياطيّة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تأخيره عن الصلاة فلو أخّره عامداً عصى بالتأخير وصلاته صحيحة</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وتجب فيه النيّة مقارنة لأوّل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فيه التكبير والأحوط فعله، كما أنّ الأحوط مراعات جميع ما يجب في سجود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الطهارة والسّتر والاستقبال وغيرها من الشرائط والموانع فضلاً عمّا يجب من الطمأنينة والسجود على الأعضاء ووضع الجبهة على ما يصحّ السجود عليه والانتصاب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وَصَلَّى اللهُ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وَبِاللهِ اللَّهُمَّ صَلِّ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السَّلامُ عَلَيْكَ أَيُّهَا النَّبِيُّ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فيه التشهّد والتسليم، والواجب من الأخیر المخرج، والأحوط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التشهّد الخفيف وهو الشهادتان والصلاة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جواز غيره ممّا يجوز في الصلاة بل هو الأحوط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bookmarkStart w:id="406" w:name="pg8988_116309"/>
    </w:p>
    <w:p>
      <w:pPr>
        <w:pStyle w:val="Heading3"/>
        <w:numPr>
          <w:ilvl w:val="2"/>
          <w:numId w:val="1"/>
        </w:numPr>
        <w:rPr/>
      </w:pPr>
      <w:bookmarkStart w:id="407" w:name="__RefHeading___Toc1814980_2870459653"/>
      <w:bookmarkStart w:id="408" w:name="_Toc154"/>
      <w:bookmarkEnd w:id="406"/>
      <w:bookmarkEnd w:id="407"/>
      <w:r>
        <w:rPr>
          <w:rtl w:val="true"/>
        </w:rPr>
        <w:t xml:space="preserve">المقصد السادس </w:t>
      </w:r>
      <w:r>
        <w:rPr>
          <w:rtl w:val="true"/>
        </w:rPr>
        <w:t xml:space="preserve">: </w:t>
      </w:r>
      <w:r>
        <w:rPr>
          <w:rtl w:val="true"/>
        </w:rPr>
        <w:t>في القضاء</w:t>
      </w:r>
      <w:bookmarkEnd w:id="408"/>
    </w:p>
    <w:p>
      <w:pPr>
        <w:pStyle w:val="BookText"/>
        <w:rPr/>
      </w:pPr>
      <w:r>
        <w:rPr>
          <w:rFonts w:ascii="Amiri" w:hAnsi="Amiri" w:eastAsia="Amiri" w:cs="Amiri"/>
          <w:color w:val="111111"/>
          <w:sz w:val="28"/>
          <w:sz w:val="28"/>
          <w:szCs w:val="28"/>
          <w:rtl w:val="true"/>
          <w:lang w:bidi="ar-SA"/>
        </w:rPr>
        <w:t xml:space="preserve">يجب فعل الفريضة اليوميّة عدا الجمعة خارج الوقت على كلّ من لم يفعلها لعذر أو غيره إلّا إذا ترك في مجموع الوقت لصغرٍ ، أو جنون، أو إغماء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من فعله ويظنّ ترتّب الفوات عليه وإلّا فوجوب القضاء لا يخلو عن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حيض، أو نفاس، أو كفر أصلي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ترتيب الفوائت اليوميّة مع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قضاء السابقة في الفوات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غيرها من الفوائت فيجوز قضاء الخسوف </w:t>
      </w:r>
      <w:r>
        <w:rPr>
          <w:rStyle w:val="FootnoteAnchor"/>
          <w:rtl w:val="true"/>
        </w:rPr>
        <w:footnoteReference w:id="185"/>
      </w:r>
      <w:r>
        <w:rPr>
          <w:rFonts w:ascii="Amiri" w:hAnsi="Amiri" w:eastAsia="Amiri" w:cs="Amiri"/>
          <w:color w:val="111111"/>
          <w:sz w:val="28"/>
          <w:sz w:val="28"/>
          <w:szCs w:val="28"/>
          <w:rtl w:val="true"/>
          <w:lang w:bidi="ar-SA"/>
        </w:rPr>
        <w:t>قبل الكسوف وإن تأخّر فواتها كما يجوز تقديمه على اليوميّة وإن تقدّم فواتها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الأقوى سقوطه في اليوميّة مع الجهل به إذا استلزم التكرار مشقّة لا تتحمّل وإلّا كما لو فاته ظهر وعصر صلّى ظهراً بين عصرين أو عصراً بين ظهرين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نيّة الأولى فالأولى لو كان الفائت الظهر من أيّام متعدّدة أو العصر مثلاً كذلك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تُرَتَّب الحاضرة على الفائتة، نعم الأحوط ترتّب الفائتة الواحدة على فوائت يوم الذكر ؛ ولا يجب الفوريّة فيه</w:t>
      </w:r>
      <w:r>
        <w:rPr>
          <w:rFonts w:eastAsia="Amiri" w:cs="Amiri" w:ascii="Amiri" w:hAnsi="Amiri"/>
          <w:color w:val="111111"/>
          <w:sz w:val="28"/>
          <w:szCs w:val="28"/>
          <w:rtl w:val="true"/>
          <w:lang w:bidi="ar-SA"/>
        </w:rPr>
        <w:t xml:space="preserve">. </w:t>
      </w:r>
      <w:bookmarkStart w:id="409" w:name="pg8988_116312"/>
    </w:p>
    <w:p>
      <w:pPr>
        <w:pStyle w:val="Heading3"/>
        <w:numPr>
          <w:ilvl w:val="2"/>
          <w:numId w:val="1"/>
        </w:numPr>
        <w:rPr/>
      </w:pPr>
      <w:bookmarkStart w:id="410" w:name="__RefHeading___Toc1814982_2870459653"/>
      <w:bookmarkStart w:id="411" w:name="_Toc155"/>
      <w:bookmarkEnd w:id="409"/>
      <w:bookmarkEnd w:id="410"/>
      <w:r>
        <w:rPr>
          <w:rtl w:val="true"/>
        </w:rPr>
        <w:t xml:space="preserve">المقصد السابع </w:t>
      </w:r>
      <w:r>
        <w:rPr>
          <w:rtl w:val="true"/>
        </w:rPr>
        <w:t xml:space="preserve">: </w:t>
      </w:r>
      <w:r>
        <w:rPr>
          <w:rtl w:val="true"/>
        </w:rPr>
        <w:t>في صلاة الجماعة</w:t>
      </w:r>
      <w:bookmarkEnd w:id="411"/>
    </w:p>
    <w:p>
      <w:pPr>
        <w:pStyle w:val="Heading4"/>
        <w:numPr>
          <w:ilvl w:val="3"/>
          <w:numId w:val="1"/>
        </w:numPr>
        <w:rPr/>
      </w:pPr>
      <w:bookmarkStart w:id="412" w:name="__RefHeading___Toc1814984_2870459653"/>
      <w:bookmarkStart w:id="413" w:name="_Toc156"/>
      <w:bookmarkEnd w:id="412"/>
      <w:r>
        <w:rPr>
          <w:rtl w:val="true"/>
        </w:rPr>
        <w:t>اشارة</w:t>
      </w:r>
      <w:bookmarkEnd w:id="413"/>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1814986_2870459653"/>
      <w:bookmarkStart w:id="415" w:name="_Toc157"/>
      <w:bookmarkEnd w:id="414"/>
      <w:r>
        <w:rPr>
          <w:rtl w:val="true"/>
        </w:rPr>
        <w:t>[</w:t>
      </w:r>
      <w:r>
        <w:rPr>
          <w:rtl w:val="true"/>
        </w:rPr>
        <w:t>المبحث</w:t>
      </w:r>
      <w:r>
        <w:rPr>
          <w:rtl w:val="true"/>
        </w:rPr>
        <w:t xml:space="preserve">] </w:t>
      </w:r>
      <w:r>
        <w:rPr>
          <w:rtl w:val="true"/>
        </w:rPr>
        <w:t xml:space="preserve">الأوّل </w:t>
      </w:r>
      <w:r>
        <w:rPr>
          <w:rtl w:val="true"/>
        </w:rPr>
        <w:t xml:space="preserve">: </w:t>
      </w:r>
      <w:r>
        <w:rPr>
          <w:rtl w:val="true"/>
        </w:rPr>
        <w:t>في الأحكام</w:t>
      </w:r>
      <w:bookmarkEnd w:id="415"/>
    </w:p>
    <w:p>
      <w:pPr>
        <w:pStyle w:val="BookText"/>
        <w:rPr/>
      </w:pPr>
      <w:r>
        <w:rPr>
          <w:rFonts w:ascii="Amiri" w:hAnsi="Amiri" w:eastAsia="Amiri" w:cs="Amiri"/>
          <w:color w:val="111111"/>
          <w:sz w:val="28"/>
          <w:sz w:val="28"/>
          <w:szCs w:val="28"/>
          <w:rtl w:val="true"/>
          <w:lang w:bidi="ar-SA"/>
        </w:rPr>
        <w:t>الجماعة من المستحبّات المؤكّدة في الفرائض جميعها وغير مشروعة في النوافل الأصليّة إلّا في صلاة الاستسقاء، نعم لا بأس بها فيما صار نفلاً بالعارض كالعيدين والمتبرّع بها والمعادة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ويأتمّ مصلّي اليوميّة بآخر وإن اختلفا في القصر والتمام والأداء والقضاء بل والوجوب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ومنتهى ما تدرك به الركعة في ابتداء الجماعة إدراك الإمام راكعاً حال ركوع المأموم ولو بعد الفراغ من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ركع فشكّ في إدراكه على النحو المزبور حَكَم بعدمه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عَلِم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فتبطل صلاته ، نعم له الدخول مع احتمال اللحوق كالمطمئنّ فإن لحق صحّت صلاته وإلّا فإمّا أن ينفرد أو ينتظر الركعة الأخرى إن نوى الإيتمام</w:t>
      </w:r>
      <w:r>
        <w:rPr>
          <w:rStyle w:val="FootnoteAnchor"/>
          <w:rtl w:val="true"/>
        </w:rPr>
        <w:footnoteReference w:id="186"/>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p>
    <w:p>
      <w:pPr>
        <w:pStyle w:val="BookText"/>
        <w:rPr/>
      </w:pPr>
      <w:r>
        <w:rPr>
          <w:rFonts w:ascii="Amiri" w:hAnsi="Amiri" w:eastAsia="Amiri" w:cs="Amiri"/>
          <w:color w:val="111111"/>
          <w:sz w:val="28"/>
          <w:sz w:val="28"/>
          <w:szCs w:val="28"/>
          <w:rtl w:val="true"/>
          <w:lang w:bidi="ar-SA"/>
        </w:rPr>
        <w:t xml:space="preserve">علم عدم اللحوق قبل الركوع لم يجز له الركوع ولا ينتظر الإمام إلى الركعة الثانية إن نوى الإيتمام بالركعة الأولى لعدم تحقّق نيّة الإيتمام بل المتعيّن عليه الإتمام منفرداً ، نعم لو نوى الإيتمام مطلقاً كان له الانفراد أو </w:t>
      </w:r>
      <w:r>
        <w:rPr>
          <w:rStyle w:val="FootnoteAnchor"/>
          <w:rtl w:val="true"/>
        </w:rPr>
        <w:footnoteReference w:id="187"/>
      </w:r>
      <w:r>
        <w:rPr>
          <w:rFonts w:ascii="Amiri" w:hAnsi="Amiri" w:eastAsia="Amiri" w:cs="Amiri"/>
          <w:color w:val="111111"/>
          <w:sz w:val="28"/>
          <w:sz w:val="28"/>
          <w:szCs w:val="28"/>
          <w:rtl w:val="true"/>
          <w:lang w:bidi="ar-SA"/>
        </w:rPr>
        <w:t xml:space="preserve">الانتظار إلى الركعة الثانية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ويدرك فضل الجماعة بالدخول مع الإمام على أيّ حال لكن لا تُدْرَك الركعة إلّا بما عرفت ، فله حينئذٍ الدخول معه في التشهّد الأخير بأن ينوي ويكبّر ثمّ يجلس معه ، فإذا سلّم قام وصلّى ولا يستأنف نيّة وتكبيرة وقد حصل له فضل الجماعة وإن لم تحصل ركعة </w:t>
      </w:r>
      <w:r>
        <w:rPr>
          <w:rFonts w:eastAsia="Amiri" w:cs="Amiri" w:ascii="Amiri" w:hAnsi="Amiri"/>
          <w:color w:val="111111"/>
          <w:sz w:val="28"/>
          <w:szCs w:val="28"/>
          <w:rtl w:val="true"/>
          <w:lang w:bidi="ar-SA"/>
        </w:rPr>
        <w:t xml:space="preserve">. </w:t>
      </w:r>
      <w:bookmarkStart w:id="416" w:name="pg8988_116318"/>
    </w:p>
    <w:p>
      <w:pPr>
        <w:pStyle w:val="Heading4"/>
        <w:numPr>
          <w:ilvl w:val="3"/>
          <w:numId w:val="1"/>
        </w:numPr>
        <w:rPr/>
      </w:pPr>
      <w:bookmarkStart w:id="417" w:name="__RefHeading___Toc1814988_2870459653"/>
      <w:bookmarkStart w:id="418" w:name="_Toc158"/>
      <w:bookmarkEnd w:id="416"/>
      <w:bookmarkEnd w:id="417"/>
      <w:r>
        <w:rPr>
          <w:rtl w:val="true"/>
        </w:rPr>
        <w:t xml:space="preserve">المبحث الثاني </w:t>
      </w:r>
      <w:r>
        <w:rPr>
          <w:rtl w:val="true"/>
        </w:rPr>
        <w:t xml:space="preserve">: </w:t>
      </w:r>
      <w:r>
        <w:rPr>
          <w:rtl w:val="true"/>
        </w:rPr>
        <w:t>في شرائط الجماعة</w:t>
      </w:r>
      <w:bookmarkEnd w:id="418"/>
    </w:p>
    <w:p>
      <w:pPr>
        <w:pStyle w:val="BookText"/>
        <w:rPr/>
      </w:pPr>
      <w:r>
        <w:rPr>
          <w:rFonts w:ascii="Amiri" w:hAnsi="Amiri" w:eastAsia="Amiri" w:cs="Amiri"/>
          <w:color w:val="111111"/>
          <w:sz w:val="28"/>
          <w:sz w:val="28"/>
          <w:szCs w:val="28"/>
          <w:rtl w:val="true"/>
          <w:lang w:bidi="ar-SA"/>
        </w:rPr>
        <w:t xml:space="preserve">لا تصحّ الجماعة مع الحائل المانع من مشاهدة من يعتبر مشاهدته فيها من الإمام أو المأموم في سائر أحواله كالقيام والقعود ونحوهما، جداراً كان الحائل أو غيره ولو انساناً إلّا إذا كان مأموماً لم يعلم فساد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يعتبر ذلك إذا كان المأموم رجلاً ، وأمّا المرأة فلا بأس إذا كان الإمام رجلاً وعلمَتْ بأحواله لتَتَمكَّنَ </w:t>
      </w:r>
      <w:r>
        <w:rPr>
          <w:rStyle w:val="FootnoteAnchor"/>
          <w:rtl w:val="true"/>
        </w:rPr>
        <w:footnoteReference w:id="188"/>
      </w:r>
      <w:r>
        <w:rPr>
          <w:rFonts w:ascii="Amiri" w:hAnsi="Amiri" w:eastAsia="Amiri" w:cs="Amiri"/>
          <w:color w:val="111111"/>
          <w:sz w:val="28"/>
          <w:sz w:val="28"/>
          <w:szCs w:val="28"/>
          <w:rtl w:val="true"/>
          <w:lang w:bidi="ar-SA"/>
        </w:rPr>
        <w:t xml:space="preserve">من المتابعة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الحائل قصيراً لا يمنع المشاهدة في سائر الأحوال فلا بأس، وكذا لو كان الحائل شبّاكاً </w:t>
      </w:r>
      <w:r>
        <w:rPr>
          <w:rStyle w:val="FootnoteAnchor"/>
          <w:rtl w:val="true"/>
        </w:rPr>
        <w:footnoteReference w:id="189"/>
      </w:r>
      <w:r>
        <w:rPr>
          <w:rFonts w:ascii="Amiri" w:hAnsi="Amiri" w:eastAsia="Amiri" w:cs="Amiri"/>
          <w:color w:val="111111"/>
          <w:sz w:val="28"/>
          <w:sz w:val="28"/>
          <w:szCs w:val="28"/>
          <w:rtl w:val="true"/>
          <w:lang w:bidi="ar-SA"/>
        </w:rPr>
        <w:t>لا يمنع المشاهدة في سائر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الظلمة والغبار ونحوهما حائلاً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تقدح حيلولة </w:t>
      </w:r>
    </w:p>
    <w:p>
      <w:pPr>
        <w:pStyle w:val="BookText"/>
        <w:rPr/>
      </w:pPr>
      <w:r>
        <w:rPr>
          <w:rFonts w:ascii="Amiri" w:hAnsi="Amiri" w:eastAsia="Amiri" w:cs="Amiri"/>
          <w:color w:val="111111"/>
          <w:sz w:val="28"/>
          <w:sz w:val="28"/>
          <w:szCs w:val="28"/>
          <w:rtl w:val="true"/>
          <w:lang w:bidi="ar-SA"/>
        </w:rPr>
        <w:t xml:space="preserve">المأمومين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بغير المستقرّ من الحائل كالشخص المستطرق ونحوه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مع علوّ موضع الإمام على موضع المأموم علوّاً معتدّاً به دفعيّاً كالأبنية ونحوها لا انحداريّاً من غير فرق بين المأموم البصير والأعمى والرجل وغيره، ولا بأس بغير المعتدّ بما هو دون ثلاثة أصابع بل إصبعين ونحوه ولا بالعلوّ الانحداري التدريجي على وجه لا ينافي انبساط الأرض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كان انحدار مثل الجبل فالأحوط عدم الزيادة على ثلاثة أصابع بل إصبعين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بعلوّ المأموم عن الإمام ولو بكثير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لا يجوز تباعد المأموم عن الإمام بما يكون كثيراً في العادة بالنسبة إلى صلاة الجماعة إلّا إذا كان في صفّ متّصل بالقريب أو ليس بينه وبين مَن تَقدَّم مِن التباعد المزبور وهكذا حتّى ينتهي إلى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الأفضل والأحوط تقدير البعد بالخطوة التي تملأ الفرج ملاحظاً فيه موقف المصلّي فيجوز ما كان بقدرها من البعد لا أزيد ، بل الأحوط مراعاة الخطوة المتعارفة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وفواصل الصفوف اللاحقة لا تقدح إذا كان قدّامهم من لم يكن بينهم وبينه البعد المانع أو متّصلاً بمن كان كذلك ممّن على جانبه الأيمن </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الصفّ الأوّل ففواصله مخلّة بصلاةِ مَن بَعُد عن الإمام البُعْدَ المانع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والفصل لعدم التكبير بعد التهيّؤ للصلاة غير مخلّ فللبعيد الإحرام قبل إحرام القريب فضلاً عن حال عدم العلم به، والأحوط 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تجدّد البُعد في الأئناء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لانتهاء صلاة الصفوف المتخلّلة مثلاً لكون فرضهم القصر أو لعدولهم إلى الانفراد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بطلان الاقتداء والعمل على الانفراد</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لا يجوز تقديم المأموم على الإمام في الموقف في الابتداء والأثناء فلو تعمّده باقياً على الإيتمام بطلت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تقدّم سهواً أو غلطاً أو إكراهاً فبطلان الجماعة لا يخلو عن قوّة بل لا ينبغي ترك الاحتياط في المساوات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تقدّم الإمام في مجرّد الموقف بل الأقوى اعتبار صدق تقدّمه عرفاً في جميع الأحوال حتّى السجود</w:t>
      </w:r>
      <w:r>
        <w:rPr>
          <w:rFonts w:eastAsia="Amiri" w:cs="Amiri" w:ascii="Amiri" w:hAnsi="Amiri"/>
          <w:color w:val="111111"/>
          <w:sz w:val="28"/>
          <w:szCs w:val="28"/>
          <w:rtl w:val="true"/>
          <w:lang w:bidi="ar-SA"/>
        </w:rPr>
        <w:t xml:space="preserve">. </w:t>
      </w:r>
      <w:bookmarkStart w:id="419" w:name="pg8988_116327"/>
    </w:p>
    <w:p>
      <w:pPr>
        <w:pStyle w:val="Heading4"/>
        <w:numPr>
          <w:ilvl w:val="3"/>
          <w:numId w:val="1"/>
        </w:numPr>
        <w:rPr/>
      </w:pPr>
      <w:bookmarkStart w:id="420" w:name="__RefHeading___Toc1814990_2870459653"/>
      <w:bookmarkStart w:id="421" w:name="_Toc159"/>
      <w:bookmarkEnd w:id="419"/>
      <w:bookmarkEnd w:id="420"/>
      <w:r>
        <w:rPr>
          <w:rtl w:val="true"/>
        </w:rPr>
        <w:t xml:space="preserve">المبحث الثالث </w:t>
      </w:r>
      <w:r>
        <w:rPr>
          <w:rtl w:val="true"/>
        </w:rPr>
        <w:t xml:space="preserve">: </w:t>
      </w:r>
      <w:r>
        <w:rPr>
          <w:rtl w:val="true"/>
        </w:rPr>
        <w:t>في نیّة الإیتمام و متابعة الإمام</w:t>
      </w:r>
      <w:bookmarkEnd w:id="421"/>
    </w:p>
    <w:p>
      <w:pPr>
        <w:pStyle w:val="BookText"/>
        <w:rPr/>
      </w:pPr>
      <w:r>
        <w:rPr>
          <w:rFonts w:ascii="Amiri" w:hAnsi="Amiri" w:eastAsia="Amiri" w:cs="Amiri"/>
          <w:color w:val="111111"/>
          <w:sz w:val="28"/>
          <w:sz w:val="28"/>
          <w:szCs w:val="28"/>
          <w:rtl w:val="true"/>
          <w:lang w:bidi="ar-SA"/>
        </w:rPr>
        <w:t xml:space="preserve">لابدّ في الجماعة من نيّة الإيتمام فلو لم ينوها لم تحصل إلّا أنّ صلاته صحيحة إذا لم يكن شرطها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يقع منه ما يخلّ بصلاة المنفرد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ولابدّ فيها من القصد إلى إمام متّحد متعيّن بالاسم أو بالإشارة أو بالصفة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التعيين أن ينوي هذا المقدّم مع العلم بعدالته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بل الأقوى عدم نقل نيّته إلى إمام آخر اختياراً ولو مع وجود المرجّح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لفضل ونحوه ممّا يعود إلى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ليس للمنفرد تجديد الإيتمام في الأثناء</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وللمؤتمّ نيّة الانفراد اختياراً في جميع الأحوال، والأحوط اجتنابه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للمأموم غير المسبوق القراءةُ في أوّلتَي الفريضة الإخفاتيّة والأحوط تركها، ويستحبّ له حينئذٍ الاشتغال بالتسبيح والصلاة على محمّد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والأحوط عدم القراءة في أوّلتَي الجهريّة إذا سمع ولو الهمهمة، بل ينبغي الإنصات له ، بل الأحوط له الطمأنينة حال قراءة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يسمع حتّى الهمهمة جاز له القراءة، بل الأحوط </w:t>
      </w:r>
    </w:p>
    <w:p>
      <w:pPr>
        <w:pStyle w:val="BookText"/>
        <w:rPr/>
      </w:pPr>
      <w:r>
        <w:rPr>
          <w:rFonts w:ascii="Amiri" w:hAnsi="Amiri" w:eastAsia="Amiri" w:cs="Amiri"/>
          <w:color w:val="111111"/>
          <w:sz w:val="28"/>
          <w:sz w:val="28"/>
          <w:szCs w:val="28"/>
          <w:rtl w:val="true"/>
          <w:lang w:bidi="ar-SA"/>
        </w:rPr>
        <w:t xml:space="preserve">القراءة بنيّة القربة المطلقة و </w:t>
      </w:r>
      <w:r>
        <w:rPr>
          <w:rStyle w:val="FootnoteAnchor"/>
          <w:rtl w:val="true"/>
        </w:rPr>
        <w:footnoteReference w:id="191"/>
      </w:r>
      <w:r>
        <w:rPr>
          <w:rFonts w:ascii="Amiri" w:hAnsi="Amiri" w:eastAsia="Amiri" w:cs="Amiri"/>
          <w:color w:val="111111"/>
          <w:sz w:val="28"/>
          <w:sz w:val="28"/>
          <w:szCs w:val="28"/>
          <w:rtl w:val="true"/>
          <w:lang w:bidi="ar-SA"/>
        </w:rPr>
        <w:t xml:space="preserve">لا بنيّة الجزئيّة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الأخيرتان فالأقوى مساوات المأموم للمنفرد في وجوب القراءة أو الذكر وإن قرأ الإمام 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ويجب على المأموم أيضاً متابعة الإمام في الأفعال بمعنى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المقارنة له أو تأخّره عنه لا متفاحشاً، وإلّا كان غير جائز كالتقدّم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ترك المتابعة سهواً أو لزعم رفع الإمام رأسه مثلاً فالأقوى وجوب تداركها وإن استلزم زيادة ركن فإنّه مغتفر في الجماعة في نحو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لو لم یفعل فالأقوى الصحّة وإن أثم، والأحوط الاستيناف مع التدارك المستلزم لزيادة الركن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الأقوال فيجب المتابعة في تكبيرة الإحرام بل الأقوى عدم شروع المأموم فيها إلّا بعد فراغ الإمام، فلو كبّر قبل ذلك لم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تجب في المستحبّ مطلقاً ولا في غير المسموع من الواجب، نعم لا يُترك الاحتياط في المسموع منه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يتحمّل الإمام عن المأموم غير القراءة في الأوّلتين إذا ائتمّ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لم يدركهما وائتم في غيرهما فإنّه يجب عليه القراءة حينئذٍ إخفاتاً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أوّل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جهريّة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أعجله الإمام عن السورة تركها وركع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قطع الفاتحة لو أعجله عن إتمامها إشكال الأحوط الانفراد، كما أنّ الأحوط في ابتداء الإيتمام انتظار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إلى حال الركوع فينوي ويكبّر ويركع معه ولا يتلبّس بالفاتحة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ائتمّ بثانيته تَحَمَّل القراءة وقرأ هو في ثالثة الإمام لأنّها ثانيته ويتابعه استحباباً في التشهّد والقنوت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إن لم يكن الأقوى التجافى حينئذٍ، كما أنّ الأحوط له التسبيح عوض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ويتخلّف عن الإمام في القيام لتشهّده ثمّ يلحقه في القيام</w:t>
      </w:r>
      <w:r>
        <w:rPr>
          <w:rFonts w:eastAsia="Amiri" w:cs="Amiri" w:ascii="Amiri" w:hAnsi="Amiri"/>
          <w:color w:val="111111"/>
          <w:sz w:val="28"/>
          <w:szCs w:val="28"/>
          <w:rtl w:val="true"/>
          <w:lang w:bidi="ar-SA"/>
        </w:rPr>
        <w:t xml:space="preserve">. </w:t>
      </w:r>
      <w:bookmarkStart w:id="422" w:name="pg8988_116336"/>
    </w:p>
    <w:p>
      <w:pPr>
        <w:pStyle w:val="Heading4"/>
        <w:numPr>
          <w:ilvl w:val="3"/>
          <w:numId w:val="1"/>
        </w:numPr>
        <w:rPr/>
      </w:pPr>
      <w:bookmarkStart w:id="423" w:name="__RefHeading___Toc1814992_2870459653"/>
      <w:bookmarkStart w:id="424" w:name="_Toc160"/>
      <w:bookmarkEnd w:id="422"/>
      <w:bookmarkEnd w:id="423"/>
      <w:r>
        <w:rPr>
          <w:rtl w:val="true"/>
        </w:rPr>
        <w:t xml:space="preserve">المبحث الرابع </w:t>
      </w:r>
      <w:r>
        <w:rPr>
          <w:rtl w:val="true"/>
        </w:rPr>
        <w:t xml:space="preserve">: </w:t>
      </w:r>
      <w:r>
        <w:rPr>
          <w:rtl w:val="true"/>
        </w:rPr>
        <w:t>شرائط إمام الجماعة</w:t>
      </w:r>
      <w:bookmarkEnd w:id="424"/>
    </w:p>
    <w:p>
      <w:pPr>
        <w:pStyle w:val="BookText"/>
        <w:rPr/>
      </w:pPr>
      <w:r>
        <w:rPr>
          <w:rFonts w:ascii="Amiri" w:hAnsi="Amiri" w:eastAsia="Amiri" w:cs="Amiri"/>
          <w:color w:val="111111"/>
          <w:sz w:val="28"/>
          <w:sz w:val="28"/>
          <w:szCs w:val="28"/>
          <w:rtl w:val="true"/>
          <w:lang w:bidi="ar-SA"/>
        </w:rPr>
        <w:t xml:space="preserve">يعتبر في الإمام العدالة ظاهراً ، فلا تجوز الصلاة خلف الفاسق ولا مجهول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الظاهر باجتناب منافيات المروّة الدالّة على عدم مبالات مرتكبها بالدين والكبائر التي منها الإصرار على الصغائر بشرط أن يحصل منه الظن بأنّ في الشخص حالة تمنعه عن ارتكاب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معصية عظيمة في نفسها ؛ وتُعْرَف بالنصّ عليها أو بتوعّد النار عليها في كتاب أو سنّة أو بعظمته في نفس أهل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لا يكون ابن زنا، ولا يكون قاعداً للقائمين على الأصحّ ، وكذا المضطجع للجالسين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القاعد للقاعد، والمضطجع لمثله، والقائم لهما، والجالس للمضطجع ، والمتيمّم للمتوضّي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الجبيرة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ومستصحب النجاسة لعذر لغيره فلا بأس</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يجوز إيتمام القاري بمن لا يُحسنها لعدم إخراج الحروف من مخرجه أو إبداله أو حذفه أو نحو ذلك حتّى اللّحن في الإعراب وإن كان لعدم استطاعته غير ذلك، ولكن الظاهر أنّ ذلك إذا ائتمّ به في </w:t>
      </w:r>
    </w:p>
    <w:p>
      <w:pPr>
        <w:pStyle w:val="BookText"/>
        <w:rPr/>
      </w:pPr>
      <w:r>
        <w:rPr>
          <w:rFonts w:ascii="Amiri" w:hAnsi="Amiri" w:eastAsia="Amiri" w:cs="Amiri"/>
          <w:color w:val="111111"/>
          <w:sz w:val="28"/>
          <w:sz w:val="28"/>
          <w:szCs w:val="28"/>
          <w:rtl w:val="true"/>
          <w:lang w:bidi="ar-SA"/>
        </w:rPr>
        <w:t>محلّ القراءة التي يتحمّلها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غيرها فالأقوى الجواز كالإيتمام بمن لا يُحسن غير القراءة من الأذكار الواجبة إذا كان لعدم استطاعته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على غير المحسن الإيتمام بمن أحسن وإن كان أحوط ، نعم يتّجه الوجوب في تارك التعلّم مع التمكّن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الإيتمام بمن لا يتمكّن من كمال الإفصاح بالحروف أو كمال التأدية ونحوه ممّا لا يخلّ بالقدر الواجب من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يعتبر في الإمام الذكورة إن كان المأموم ذكراً فقط، أو خنثى كذلك، أو مع 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أنثى فقط جاز أن يؤمّها أنثى فضلاً عن الخنثى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يؤمّ الخنثى ذكراً بل ولا خنثى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الإيتمام مع العلم بفساد صلاة الإمام لترك وضوء وغيره وإن كان الإمام جاهلاً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علم المأموم قبل الإيتمام وإن نسيه حاله </w:t>
      </w:r>
      <w:r>
        <w:rPr>
          <w:rStyle w:val="FootnoteAnchor"/>
          <w:rtl w:val="true"/>
        </w:rPr>
        <w:footnoteReference w:id="192"/>
      </w:r>
      <w:r>
        <w:rPr>
          <w:rFonts w:ascii="Amiri" w:hAnsi="Amiri" w:eastAsia="Amiri" w:cs="Amiri"/>
          <w:color w:val="111111"/>
          <w:sz w:val="28"/>
          <w:sz w:val="28"/>
          <w:szCs w:val="28"/>
          <w:rtl w:val="true"/>
          <w:lang w:bidi="ar-SA"/>
        </w:rPr>
        <w:t>، أمّا إذا علم بعد الفراغ صحّت صلاته وإن وجب على الإمام الإعادة أو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في الأثناء انفرد وتمّت صلاته والأحوط استيناف القراءة مع بقاء محلّها ؛ وكذا الحال لو بان فسق الإمام أو كفره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للمأموم الوقوف عن يمين الإمام إن اتّحد، وخلفه إن كان أكثر أو امرأة بل هو أحوط ، وأن يكون في الصفّ الأوّل أهل الفضل </w:t>
      </w:r>
    </w:p>
    <w:p>
      <w:pPr>
        <w:pStyle w:val="BookText"/>
        <w:rPr/>
      </w:pPr>
      <w:r>
        <w:rPr>
          <w:rFonts w:ascii="Amiri" w:hAnsi="Amiri" w:eastAsia="Amiri" w:cs="Amiri"/>
          <w:color w:val="111111"/>
          <w:sz w:val="28"/>
          <w:sz w:val="28"/>
          <w:szCs w:val="28"/>
          <w:rtl w:val="true"/>
          <w:lang w:bidi="ar-SA"/>
        </w:rPr>
        <w:t>ويمينه أفضلهم والصفّ الثاني لمن دونهم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وقوف المأموم وحده في صفّ إلّا أن تمتلي الصفوف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الأولى حينئذٍ أن يكون جناحاً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يصلّى المأموم نافلة إذا اقيمت، ووقت القيام إذا قال المؤذّن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للإمام أن يُسمِع مَن خلفَه كلَّ ما يقوله عدا ما يجب فيه الإخفات، بخلاف المأموم ، بل الظاهر كراهة إسماعه شيئاً ممّا يقوله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bookmarkStart w:id="425" w:name="pg8988_116346"/>
    </w:p>
    <w:p>
      <w:pPr>
        <w:pStyle w:val="Heading3"/>
        <w:numPr>
          <w:ilvl w:val="2"/>
          <w:numId w:val="1"/>
        </w:numPr>
        <w:rPr/>
      </w:pPr>
      <w:bookmarkStart w:id="426" w:name="__RefHeading___Toc1814994_2870459653"/>
      <w:bookmarkStart w:id="427" w:name="_Toc161"/>
      <w:bookmarkEnd w:id="425"/>
      <w:bookmarkEnd w:id="426"/>
      <w:r>
        <w:rPr>
          <w:rtl w:val="true"/>
        </w:rPr>
        <w:t xml:space="preserve">المقصد الثامن </w:t>
      </w:r>
      <w:r>
        <w:rPr>
          <w:rtl w:val="true"/>
        </w:rPr>
        <w:t xml:space="preserve">: </w:t>
      </w:r>
      <w:r>
        <w:rPr>
          <w:rtl w:val="true"/>
        </w:rPr>
        <w:t>في صلاة المسافر</w:t>
      </w:r>
      <w:bookmarkEnd w:id="427"/>
    </w:p>
    <w:p>
      <w:pPr>
        <w:pStyle w:val="Heading4"/>
        <w:numPr>
          <w:ilvl w:val="3"/>
          <w:numId w:val="1"/>
        </w:numPr>
        <w:rPr/>
      </w:pPr>
      <w:bookmarkStart w:id="428" w:name="__RefHeading___Toc1814996_2870459653"/>
      <w:bookmarkStart w:id="429" w:name="_Toc162"/>
      <w:bookmarkEnd w:id="428"/>
      <w:r>
        <w:rPr>
          <w:rtl w:val="true"/>
        </w:rPr>
        <w:t>في شروط القصر</w:t>
      </w:r>
      <w:bookmarkEnd w:id="429"/>
    </w:p>
    <w:p>
      <w:pPr>
        <w:pStyle w:val="BookText"/>
        <w:rPr/>
      </w:pPr>
      <w:r>
        <w:rPr>
          <w:rFonts w:ascii="Amiri" w:hAnsi="Amiri" w:eastAsia="Amiri" w:cs="Amiri"/>
          <w:color w:val="111111"/>
          <w:sz w:val="28"/>
          <w:sz w:val="28"/>
          <w:szCs w:val="28"/>
          <w:rtl w:val="true"/>
          <w:lang w:bidi="ar-SA"/>
        </w:rPr>
        <w:t xml:space="preserve">والكلام في شروطها ؛ 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 xml:space="preserve">قصد المسافة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فراسخ امتداديّة ذهاباً أو إياباً أو ملفّقة من أربعة ذهاباً وأربعة إياباً، سواء رجع ليومه </w:t>
      </w:r>
      <w:r>
        <w:rPr>
          <w:rStyle w:val="FootnoteAnchor"/>
          <w:rtl w:val="true"/>
        </w:rPr>
        <w:footnoteReference w:id="194"/>
      </w:r>
      <w:r>
        <w:rPr>
          <w:rFonts w:ascii="Amiri" w:hAnsi="Amiri" w:eastAsia="Amiri" w:cs="Amiri"/>
          <w:color w:val="111111"/>
          <w:sz w:val="28"/>
          <w:sz w:val="28"/>
          <w:szCs w:val="28"/>
          <w:rtl w:val="true"/>
          <w:lang w:bidi="ar-SA"/>
        </w:rPr>
        <w:t>أو غيره ما لم يحصل أحد القواطع لسفره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بالفرسخ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إثنا عشر ألف ذراع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نقص عن ذلك ولو يسيراً بقي على التمام، ولو شكّ في بلوغها فكذلك، وكذا لو 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بثبوتها بالبيّنة، وفي خبر العدل إشكال فالاحتياط 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يكلّف الاختبار </w:t>
      </w:r>
      <w:r>
        <w:rPr>
          <w:rStyle w:val="FootnoteAnchor"/>
          <w:rtl w:val="true"/>
        </w:rPr>
        <w:footnoteReference w:id="195"/>
      </w:r>
      <w:r>
        <w:rPr>
          <w:rFonts w:ascii="Amiri" w:hAnsi="Amiri" w:eastAsia="Amiri" w:cs="Amiri"/>
          <w:color w:val="111111"/>
          <w:sz w:val="28"/>
          <w:sz w:val="28"/>
          <w:szCs w:val="28"/>
          <w:rtl w:val="true"/>
          <w:lang w:bidi="ar-SA"/>
        </w:rPr>
        <w:t xml:space="preserve">المستلزم للعسر والحرج ، أمّا غيره كالسؤال ونحوه فالأحوط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ظهر له في أثناء السير أنّ المقصد مسافة قَصَّر وإن لم يكن الباقي يبلغها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ومبدأ حساب المسافة في صغار البلدان ومتوسطاتها من السور، ومنتهى البيوت فيما لا سور فيها، وآخر المحلّة في البلدان الكبار الخارقة للعادة بحيث يكون المحلّة منها قدر البلد المعتاد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للبلد طريقان وسلك أبعدهما مسافة قصّر وإن كان ذلك لإرادة التقصير ، ولو سلك الأقرب وكان دون الأربع لم يقصّر فيه حتّى لو كان بنيّة الرجوع في الأبعد الذي هو مسافة والأحوط حينئذٍ الجمع</w:t>
      </w:r>
      <w:r>
        <w:rPr>
          <w:rStyle w:val="FootnoteAnchor"/>
          <w:rtl w:val="true"/>
        </w:rPr>
        <w:footnoteReference w:id="196"/>
      </w:r>
      <w:r>
        <w:rPr>
          <w:rFonts w:ascii="Amiri" w:hAnsi="Amiri" w:eastAsia="Amiri" w:cs="Amiri"/>
          <w:color w:val="111111"/>
          <w:sz w:val="28"/>
          <w:sz w:val="28"/>
          <w:szCs w:val="28"/>
          <w:rtl w:val="true"/>
          <w:lang w:bidi="ar-SA"/>
        </w:rPr>
        <w:t>، نعم يقصّر متى شرع في الرجوع في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لم يكن مسافة فلا يقصّر لو رجع فيه وإن كان سبعة أو أقرب وقصد الرجوع من أوّل الأمر، والأحوط الجمع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قصد ما دون المسافة ثمّ تجدد له قصد آخر مثلها أتمّ ولو زاد المجموع على المسافة، فإن عاد وقد كملت المسافة قصّر بالضرب، وكذا لو طلب دابّة شردت أو غيرها أو آبقاً ولم يكن قاصداً في طلبه مسافة وإن قطع مسافات، نعم يقصّر لو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مقصداً يبلغ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خرج ينتظر رفقةً إن تيسّروا سافر معهم فإن كان على حدّ مسافة قصّر في سفره وموضع انتظاره، وإن كان دونها أتمّ حتّى يتيسّر له الرفقة ويسافر ، نعم لو اطمأنّ بحصول الرفقة قصّر بخروجه عن محلّ الترخّص</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في اعتبار قصد المسافة بين التابع وغيره سواء كانت </w:t>
      </w:r>
    </w:p>
    <w:p>
      <w:pPr>
        <w:pStyle w:val="BookText"/>
        <w:rPr/>
      </w:pPr>
      <w:r>
        <w:rPr>
          <w:rFonts w:ascii="Amiri" w:hAnsi="Amiri" w:eastAsia="Amiri" w:cs="Amiri"/>
          <w:color w:val="111111"/>
          <w:sz w:val="28"/>
          <w:sz w:val="28"/>
          <w:szCs w:val="28"/>
          <w:rtl w:val="true"/>
          <w:lang w:bidi="ar-SA"/>
        </w:rPr>
        <w:t xml:space="preserve">التبعيّة لوجوب الإطاعة كالزوجة والعبد أو اختياريّة كالخادم ونحوه أو قهريّة كالأسير والمكره ونحوهما ؛ فإنّ تبعيّة القصد لقصد المتبوع كافٍ في وجوب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يعتبر العلم بكون قصد المتبوع مسافة، فلو لم يعلم 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الاستخبار ولا على المتبوع 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استمرار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عدل عنه قبل بلوغ أربعة فراسخ أتمّ، وكذا لو تردّد، ومضى ما صلّاه قصراً ولا يحتاج </w:t>
      </w:r>
      <w:r>
        <w:rPr>
          <w:rStyle w:val="FootnoteAnchor"/>
          <w:rtl w:val="true"/>
        </w:rPr>
        <w:footnoteReference w:id="198"/>
      </w:r>
      <w:r>
        <w:rPr>
          <w:rFonts w:ascii="Amiri" w:hAnsi="Amiri" w:eastAsia="Amiri" w:cs="Amiri"/>
          <w:color w:val="111111"/>
          <w:sz w:val="28"/>
          <w:sz w:val="28"/>
          <w:szCs w:val="28"/>
          <w:rtl w:val="true"/>
          <w:lang w:bidi="ar-SA"/>
        </w:rPr>
        <w:t>إلى الإعادة في الوقت وخارجه، وإن كان بعد بلوغها بقي على التقصير وإن لم يرجع ليومه</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ويكفي في الاستمرار المزبور بقاء قصد النوع وإن عدل عن الشخص كما لو قصد السفر إلى مكان مخصوص فعدل عنه إلى آخر يبلغ ما مضى وما بقي إليه مسافة فإنّه يقصّر حينئذٍ</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تردّد في الأثناء ثمّ عاد إلى الجزم قبل أن يقطع شيئاً رجع إلى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قطع حال التردّد ثمّ رجع إلى الجزم اكتفى ببلوغ ما قطعه </w:t>
      </w:r>
    </w:p>
    <w:p>
      <w:pPr>
        <w:pStyle w:val="BookText"/>
        <w:rPr/>
      </w:pPr>
      <w:r>
        <w:rPr>
          <w:rFonts w:ascii="Amiri" w:hAnsi="Amiri" w:eastAsia="Amiri" w:cs="Amiri"/>
          <w:color w:val="111111"/>
          <w:sz w:val="28"/>
          <w:sz w:val="28"/>
          <w:szCs w:val="28"/>
          <w:rtl w:val="true"/>
          <w:lang w:bidi="ar-SA"/>
        </w:rPr>
        <w:t xml:space="preserve">حال الجزم وما بقي مسافة وإسقاط ما قطعه حال التردّد، والأحوط له الجمع مع قصور ما بقي من المسافة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ينوي قطع المسافة بإقامة عشرة أيّام فصاعداً في أثنائها أو مرور في وطنه وإلّا أتمّ في طريقه، كما لو عزم على قطع أربعة فراسخ قاصداً لنيّة الإقامة في أثنائها أو على رأسها أو كان له وطن كذلك وقصد المرور به ، وكذا لو كان متردّداً في نيّة الإقامة أو المرور بالمنزل على وجه ينافي قصد قطع المسافة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لم يكن كذلك كما إذا قَصدَها لكن احتمل عروض مقتضٍ لنيّة الإقامة في الأثناء أو المرور في المنزل فإنّه يقصّر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عدل عن نيّة الإقامة أو المرور بالمنزل فإن كان الباقي بعد العدول يبلغ المسافة من دون تلفيق ما مضى قصّر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أنّ نيّة الإقامة والمرور منافيان للسفر لو حصلا </w:t>
      </w:r>
      <w:r>
        <w:rPr>
          <w:rStyle w:val="FootnoteAnchor"/>
          <w:rtl w:val="true"/>
        </w:rPr>
        <w:footnoteReference w:id="201"/>
      </w:r>
      <w:r>
        <w:rPr>
          <w:rFonts w:ascii="Amiri" w:hAnsi="Amiri" w:eastAsia="Amiri" w:cs="Amiri"/>
          <w:color w:val="111111"/>
          <w:sz w:val="28"/>
          <w:sz w:val="28"/>
          <w:szCs w:val="28"/>
          <w:rtl w:val="true"/>
          <w:lang w:bidi="ar-SA"/>
        </w:rPr>
        <w:t>ابتداءً كذلك يقطعانه بعد تحقّقه بمعنى أنّ من سافر ووجب عليه القصر فنوى الإقامة في مكان أو مرّ في وطن عاد إلى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بقى متردّداً ثلاثين يوماً احتاج في عود القصر إلى مسافة جديدة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بينه وبين وطنه الآخر أو المحلّ الذي عزم على الإقامة فيه مسافة القصر قصّر في طريقه خاصّة، ولا يكفي هنا الأربعة فراسخ </w:t>
      </w:r>
      <w:bookmarkStart w:id="430" w:name="pg8988_116359"/>
    </w:p>
    <w:p>
      <w:pPr>
        <w:pStyle w:val="BookText"/>
        <w:rPr/>
      </w:pPr>
      <w:bookmarkEnd w:id="430"/>
      <w:r>
        <w:rPr>
          <w:rFonts w:ascii="Amiri" w:hAnsi="Amiri" w:eastAsia="Amiri" w:cs="Amiri"/>
          <w:color w:val="111111"/>
          <w:sz w:val="28"/>
          <w:sz w:val="28"/>
          <w:szCs w:val="28"/>
          <w:rtl w:val="true"/>
          <w:lang w:bidi="ar-SA"/>
        </w:rPr>
        <w:t>لانقطاع السفر بأحد الأمرين فلا يتلفّق حينئذٍ ذهابه وإيابه</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1814998_2870459653"/>
      <w:bookmarkStart w:id="432" w:name="_Toc163"/>
      <w:bookmarkEnd w:id="431"/>
      <w:r>
        <w:rPr>
          <w:rtl w:val="true"/>
        </w:rPr>
        <w:t>في قواطع السفر</w:t>
      </w:r>
      <w:bookmarkEnd w:id="432"/>
    </w:p>
    <w:p>
      <w:pPr>
        <w:pStyle w:val="BookText"/>
        <w:rPr/>
      </w:pPr>
      <w:r>
        <w:rPr>
          <w:rFonts w:ascii="Amiri" w:hAnsi="Amiri" w:eastAsia="Amiri" w:cs="Amiri"/>
          <w:color w:val="111111"/>
          <w:sz w:val="28"/>
          <w:sz w:val="28"/>
          <w:szCs w:val="28"/>
          <w:rtl w:val="true"/>
          <w:lang w:bidi="ar-SA"/>
        </w:rPr>
        <w:t xml:space="preserve">وقد ظهر أن قواطع السفر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الذي يتّخذ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مقرّاً له على الدوام مستمرّاً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فيه بعد الاتّخاذ المزبور حصول ملك له، ولا كونه واحداً ، ولا إقامة ستّة أشهر كما لا يكفي فيه مجرّد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لابدّ فيه من الإقامة في الجملة بحيث يعدّ أنّه وطن عرفاً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عدل عن المتَّخَذ إلى غيره ولم يكن له ملك زال حكم الوطنيّة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ملك قد جلس فيه حال الاتّخاذ المزبور ستّة أشهر ولو متفرّقة ففي جريان حكم الوطنيّة عليه مادام مالكاً إشكال والأحوط الجمع ، فلو خرج عن الملك خرج عن حكم 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ملكه نخلاً ونحوها ممّا هو غير قابل للسكنى لم يكن وطناً لكن الاحتياط </w:t>
      </w:r>
      <w:r>
        <w:rPr>
          <w:rStyle w:val="FootnoteAnchor"/>
          <w:rtl w:val="true"/>
        </w:rPr>
        <w:footnoteReference w:id="202"/>
      </w:r>
      <w:r>
        <w:rPr>
          <w:rFonts w:ascii="Amiri" w:hAnsi="Amiri" w:eastAsia="Amiri" w:cs="Amiri"/>
          <w:color w:val="111111"/>
          <w:sz w:val="28"/>
          <w:sz w:val="28"/>
          <w:szCs w:val="28"/>
          <w:rtl w:val="true"/>
          <w:lang w:bidi="ar-SA"/>
        </w:rPr>
        <w:t>فيه أيضاً لا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يعزم على مكث عشرة أيّامٍ فصاعداً متوالية بلياليها المتوسّطة في مكان أو يعلم بقاءه فيه كذلك، أمّا الظنّ فلا يكفي فضلاً عن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تلفيق اليوم المنكسر على يوم آخر لكن الاحتياط بالجمع لا يُترك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يعتبر في نيّة الإقامة قصد عدم الخروج عن خطّة سور البلد بل لو قصد حالها الخروج إلى بعض بساتينها ونحوها ممّا لا ينافي صدق </w:t>
      </w:r>
    </w:p>
    <w:p>
      <w:pPr>
        <w:pStyle w:val="BookText"/>
        <w:rPr/>
      </w:pPr>
      <w:r>
        <w:rPr>
          <w:rFonts w:ascii="Amiri" w:hAnsi="Amiri" w:eastAsia="Amiri" w:cs="Amiri"/>
          <w:color w:val="111111"/>
          <w:sz w:val="28"/>
          <w:sz w:val="28"/>
          <w:szCs w:val="28"/>
          <w:rtl w:val="true"/>
          <w:lang w:bidi="ar-SA"/>
        </w:rPr>
        <w:t xml:space="preserve">اسم الإقامة في البلد عرفاً جرى عليه حكم المقيم وإن خرج بل وإن كثر تردّده وإن تجاوز محلّ الترخّص ما لم يبلغ المسافة ، بل هو مقيم وإن قصد حال النيّة الخروج إلى ما دون المسافة ممّا هو خارج عن حدود البلد إذا لم يناف صدق اسم الإقامة عشراً في البلد عرفاً كما إذا قصد الخروج في زمان قليل، وإن كان لا ينبغي ترك الاحتياط بالجمع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تصحّ نيّة الإقامة في بيوت الأعراب ما لم يطمئنّ بعدم الرحيل مقدارها أو يعزم على المكث بعدهم على إتمامها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نوى الإقامة ثمّ بدا له فإن صلّى بنيّة الإقامة فريضة تماماً بقي على حكمه إلى أن يسافر بل وكذا لو صلّاها غافلاً </w:t>
      </w:r>
      <w:r>
        <w:rPr>
          <w:rStyle w:val="FootnoteAnchor"/>
          <w:rtl w:val="true"/>
        </w:rPr>
        <w:footnoteReference w:id="203"/>
      </w:r>
      <w:r>
        <w:rPr>
          <w:rFonts w:ascii="Amiri" w:hAnsi="Amiri" w:eastAsia="Amiri" w:cs="Amiri"/>
          <w:color w:val="111111"/>
          <w:sz w:val="28"/>
          <w:sz w:val="28"/>
          <w:szCs w:val="28"/>
          <w:rtl w:val="true"/>
          <w:lang w:bidi="ar-SA"/>
        </w:rPr>
        <w:t xml:space="preserve">وإن كان الأحوط الجمع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البقاء وعدمه ثلاثين يوماً ولو بتلفيق المنكسر أيضاً في مكان واحد كما في الإقامة، ولا فرق بين البلد والمفازة والأحوط في الأخيرة الجمع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وحكمه كالإقامة في الصلاة تماماً وفي انقطاع السفر بحيث يحتاج </w:t>
      </w:r>
      <w:r>
        <w:rPr>
          <w:rStyle w:val="FootnoteAnchor"/>
          <w:rtl w:val="true"/>
        </w:rPr>
        <w:footnoteReference w:id="204"/>
      </w:r>
      <w:r>
        <w:rPr>
          <w:rFonts w:ascii="Amiri" w:hAnsi="Amiri" w:eastAsia="Amiri" w:cs="Amiri"/>
          <w:color w:val="111111"/>
          <w:sz w:val="28"/>
          <w:sz w:val="28"/>
          <w:szCs w:val="28"/>
          <w:rtl w:val="true"/>
          <w:lang w:bidi="ar-SA"/>
        </w:rPr>
        <w:t>القصر إلى مسافة جديدة، وفي حكم التردّد إلى ما دون المسافة وفي غير ذلك</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خرج في أثناء الثلاثين إلى مكان آخر غير الأوّل دون المسافة </w:t>
      </w:r>
    </w:p>
    <w:p>
      <w:pPr>
        <w:pStyle w:val="BookText"/>
        <w:rPr/>
      </w:pPr>
      <w:r>
        <w:rPr>
          <w:rFonts w:ascii="Amiri" w:hAnsi="Amiri" w:eastAsia="Amiri" w:cs="Amiri"/>
          <w:color w:val="111111"/>
          <w:sz w:val="28"/>
          <w:sz w:val="28"/>
          <w:szCs w:val="28"/>
          <w:rtl w:val="true"/>
          <w:lang w:bidi="ar-SA"/>
        </w:rPr>
        <w:t xml:space="preserve">لا يُترك الاحتياط بالجمع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شروط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السفر سائغاً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معصية لم يقصّر سواء كان بنفسه معصية كإباق العبد أو غايته على وجه يتبعها في التحريم كالسفر لقطع الطريق ونيل المظالم من السلطان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منه ما وقع المحرّم في أثنائه إذا لم يكن بحيث يؤدّي إلى حرمة نفس السفر فيبقى على القصر حينئذٍ، أمّا لو كان كذلك كركوب الدابّة المغصوبة ونحوها فإنّه يتمّ وإن كان الاحتياط بالجمع لا ينبغي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ابتداء سفره طاعة فقصد المعصية في الأثناء انقطع ترخّصه وإن كان قطع مسافات، كما أنّه يترخّص لو عدل عن سفر المعصية في الأثناء إذا كان الباقى </w:t>
      </w:r>
      <w:r>
        <w:rPr>
          <w:rStyle w:val="FootnoteAnchor"/>
          <w:rtl w:val="true"/>
        </w:rPr>
        <w:footnoteReference w:id="205"/>
      </w:r>
      <w:r>
        <w:rPr>
          <w:rFonts w:ascii="Amiri" w:hAnsi="Amiri" w:eastAsia="Amiri" w:cs="Amiri"/>
          <w:color w:val="111111"/>
          <w:sz w:val="28"/>
          <w:sz w:val="28"/>
          <w:szCs w:val="28"/>
          <w:rtl w:val="true"/>
          <w:lang w:bidi="ar-SA"/>
        </w:rPr>
        <w:t xml:space="preserve">مسافة </w:t>
      </w:r>
      <w:r>
        <w:rPr>
          <w:rStyle w:val="FootnoteAnchor"/>
          <w:rtl w:val="true"/>
        </w:rPr>
        <w:footnoteReference w:id="206"/>
      </w:r>
      <w:r>
        <w:rPr>
          <w:rFonts w:ascii="Amiri" w:hAnsi="Amiri" w:eastAsia="Amiri" w:cs="Amiri"/>
          <w:color w:val="111111"/>
          <w:sz w:val="28"/>
          <w:sz w:val="28"/>
          <w:szCs w:val="28"/>
          <w:rtl w:val="true"/>
          <w:lang w:bidi="ar-SA"/>
        </w:rPr>
        <w:t>ولو أربعة فراسخ إذا كان مريداً للرجوع كما تقدّم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سافر للصيد لهواً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يستعمله أبناء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ويقصّر في رجوعه إذا كان مسافة كما في كلّ مسافر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لقوته أو قوت عياله قصّر أيضاً، ولو كان للتجارة أفطر واحتاط بالإتمام والقصر في الصلاة وإن كان القصر لا يخلو عن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وتابع الجائر على وجه يكون من أعوانه وجنده يُتمّ حتّى لو كان سفر الجائر طاعة فإنّه حينئذٍ يقصّر في نفسه دون أتباعه، بل قد يقال </w:t>
      </w:r>
    </w:p>
    <w:p>
      <w:pPr>
        <w:pStyle w:val="BookText"/>
        <w:rPr/>
      </w:pPr>
      <w:r>
        <w:rPr>
          <w:rFonts w:ascii="Amiri" w:hAnsi="Amiri" w:eastAsia="Amiri" w:cs="Amiri"/>
          <w:color w:val="111111"/>
          <w:sz w:val="28"/>
          <w:sz w:val="28"/>
          <w:szCs w:val="28"/>
          <w:rtl w:val="true"/>
          <w:lang w:bidi="ar-SA"/>
        </w:rPr>
        <w:t xml:space="preserve">بالتمام للتابع المُعِدّ نفسه لامتثال أمر الجائر لو سافر امتثالاً لأمره وإن كان مباحاً إلّا أنّ الأحوط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التابع المكره أو لتحصيل غرض منه من دفع مظلمة أو نحوها فحكمه القصر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يتّخذ السفر عملاً له كالمكاري والملّاح وغيره من أصحاب السفن والساعي ونحوهم ممّن عمله ذلك، فإنّ هؤلاء يُتمّون الصلاة في سفرهم الذي هو عمل لهم وإن استعملوه لأنفسهم كحمل المكاري متاعه أو أهله إلى مكان آخر من غير فرق بين من عنده بعض الدواب يُكريها إلى الأماكن إلى بلاد يبلغ المسافة فكراها إلى غيرها من البلدان البعيدة وبين غيره، كلّ ذلك إذا كان في السفر الثالث مع عدم تحقّق الإقامة عقيب الأوّلين وفي الثانية إشكال أحوطه الجمع ، كما أنّ الأحوط ذلك في مثل الملّاح الذي فارق سفينته وسافر للزيارة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الحملداريّة الذين يسافرون في خصوص أشهر الحجّ فالأقوى لهم القصر بخلاف من اتّخذ ذلك منهم عملاً في تمام السنة كالذين يكرون الأعاجم من أماكنهم إلى الحجّ ذهاباً وإياباً بحيث يستغرق ذلك سنةً أو </w:t>
      </w:r>
      <w:r>
        <w:rPr>
          <w:rStyle w:val="FootnoteAnchor"/>
          <w:rtl w:val="true"/>
        </w:rPr>
        <w:footnoteReference w:id="207"/>
      </w:r>
      <w:r>
        <w:rPr>
          <w:rFonts w:ascii="Amiri" w:hAnsi="Amiri" w:eastAsia="Amiri" w:cs="Amiri"/>
          <w:color w:val="111111"/>
          <w:sz w:val="28"/>
          <w:sz w:val="28"/>
          <w:szCs w:val="28"/>
          <w:rtl w:val="true"/>
          <w:lang w:bidi="ar-SA"/>
        </w:rPr>
        <w:t>معظمها فإنّه يتمّ حينئذٍ</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التردّد عملاً له لكن دون المسافة كالاحتطاب ونحوه قصّر إذا سافر ولو للاحتطاب ، إلّا إذا صار الاحتطاب إلى المسافة عملاً له </w:t>
      </w:r>
    </w:p>
    <w:p>
      <w:pPr>
        <w:pStyle w:val="BookText"/>
        <w:rPr/>
      </w:pPr>
      <w:r>
        <w:rPr>
          <w:rFonts w:ascii="Amiri" w:hAnsi="Amiri" w:eastAsia="Amiri" w:cs="Amiri"/>
          <w:color w:val="111111"/>
          <w:sz w:val="28"/>
          <w:sz w:val="28"/>
          <w:szCs w:val="28"/>
          <w:rtl w:val="true"/>
          <w:lang w:bidi="ar-SA"/>
        </w:rPr>
        <w:t xml:space="preserve">عرفاً فإنّه يتمّ حينئذٍ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والمدار على صدق اتّخاذ</w:t>
      </w:r>
      <w:r>
        <w:rPr>
          <w:rStyle w:val="FootnoteAnchor"/>
          <w:rtl w:val="true"/>
        </w:rPr>
        <w:footnoteReference w:id="208"/>
      </w:r>
      <w:r>
        <w:rPr>
          <w:rFonts w:ascii="Amiri" w:hAnsi="Amiri" w:eastAsia="Amiri" w:cs="Amiri"/>
          <w:color w:val="111111"/>
          <w:sz w:val="28"/>
          <w:sz w:val="28"/>
          <w:szCs w:val="28"/>
          <w:rtl w:val="true"/>
          <w:lang w:bidi="ar-SA"/>
        </w:rPr>
        <w:t>السفر عملاً عرفاً ولو كان في سفرةٍ واحدة لطولها وتكرّر ذلك منه من مكان غير بلده إلى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يعتبر في استمراره على التمام أن لا يقيم في بلده عشرة أيّام ولو غير منويّة ولو ملفّقةً من مجموع أيّام يخرج في أثنائها إلى ما دون المسافة، أمّا غير بلده فلابدّ من نيّتها من دون حصولها تماماً، ومتى حصلت العشرة المزبورة انقطع حكم عمليّة السفر وعاد إلى القصر لكن في السفرة الأولى خاصّة دون الثانية وإن كان الأحوط في الثانية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في أرض واسعةٍ قد اتّخذها مقرّاً إلّا أنّه كلّ سنة في مكان منها يقصّر إذا سافر من مقرّ سنته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يضرب في الأرض حتّى يصل إلى محلّ الترخّص، فلا يقصّر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الذي يتوارى عنه صورة جدران بيوت البلد وأشكالها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أشباحها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يخفى عليه الأذان، والأحوط مراعاتهما ذهاباً وأسبقهما إياباً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والمدار فيهما على المعتادَين دون الخارقَين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عبرة بالأعلام والمنارة بل والسور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اعتبار خفاء مطلق الصوت حتّى المتردّد بين كونه أذاناً وغيره فضلاً عن المميّز أذاناً </w:t>
      </w:r>
    </w:p>
    <w:p>
      <w:pPr>
        <w:pStyle w:val="BookText"/>
        <w:rPr/>
      </w:pPr>
      <w:r>
        <w:rPr>
          <w:rFonts w:ascii="Amiri" w:hAnsi="Amiri" w:eastAsia="Amiri" w:cs="Amiri"/>
          <w:color w:val="111111"/>
          <w:sz w:val="28"/>
          <w:sz w:val="28"/>
          <w:szCs w:val="28"/>
          <w:rtl w:val="true"/>
          <w:lang w:bidi="ar-SA"/>
        </w:rPr>
        <w:t>لكن لا يميّز بين فصوله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كونه على مرتفع معتاد في أذان مثل تلك البلدة، وأمّا المنارة وإن اعتيد في زمان أو بلد فلا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البدوي ونحوه ممّن لا جدران لبيوتهم خفاء البيوت ولا يحتاج إلى تقدير الجدران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ومتّسع البلاد بحيث يكون محالّها كالقرى المتعدّدة يعتبر أذان محلّتها وبيوتها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وينقطع السفر بالوصول إلى محلّ ترخّص من وطنه أو محلّ يجزم على الإقامة فيه، والأحوط له تأخير الصلاة إلى دخول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تمّت هذه الشرائط وجب على المسافر القصر فلو صلّى تماماً فى غير الأماكن الأربعة عالماً بالحكم بطلت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الجاهل </w:t>
      </w:r>
      <w:r>
        <w:rPr>
          <w:rStyle w:val="FootnoteAnchor"/>
          <w:rtl w:val="true"/>
        </w:rPr>
        <w:footnoteReference w:id="211"/>
      </w:r>
      <w:r>
        <w:rPr>
          <w:rFonts w:ascii="Amiri" w:hAnsi="Amiri" w:eastAsia="Amiri" w:cs="Amiri"/>
          <w:color w:val="111111"/>
          <w:sz w:val="28"/>
          <w:sz w:val="28"/>
          <w:szCs w:val="28"/>
          <w:rtl w:val="true"/>
          <w:lang w:bidi="ar-SA"/>
        </w:rPr>
        <w:t>بأنّ حكم المسافر التقصير فلا إعادة عليه في الوقت وخارجه، ويلحق الصوم بالصلاة في ذلك أيضاً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كان جاهلاً ببعض الخصوصيّات كجهل انقطاع كثرة السفر بإقامة عشرة أيّام أو سفر المعصية بقصد الطاعة في أثنائها فأتمّ فالأحوط عدم معذوريّته فيعيد الصلاة حينئذ وقتاً وخارجاً، كما أن الأقوى عدم معذوريّة من قصّر جهلاً بموجب التمام من الإقامة ونحوها، بل الظاهر عدم المعذوريّة بنسيانه فضلاً </w:t>
      </w:r>
      <w:r>
        <w:rPr>
          <w:rStyle w:val="FootnoteAnchor"/>
          <w:rtl w:val="true"/>
        </w:rPr>
        <w:footnoteReference w:id="212"/>
      </w:r>
      <w:r>
        <w:rPr>
          <w:rFonts w:ascii="Amiri" w:hAnsi="Amiri" w:eastAsia="Amiri" w:cs="Amiri"/>
          <w:color w:val="111111"/>
          <w:sz w:val="28"/>
          <w:sz w:val="28"/>
          <w:szCs w:val="28"/>
          <w:rtl w:val="true"/>
          <w:lang w:bidi="ar-SA"/>
        </w:rPr>
        <w:t xml:space="preserve">عن جهله فيعيد ما </w:t>
      </w:r>
    </w:p>
    <w:p>
      <w:pPr>
        <w:pStyle w:val="BookText"/>
        <w:rPr/>
      </w:pPr>
      <w:r>
        <w:rPr>
          <w:rFonts w:ascii="Amiri" w:hAnsi="Amiri" w:eastAsia="Amiri" w:cs="Amiri"/>
          <w:color w:val="111111"/>
          <w:sz w:val="28"/>
          <w:sz w:val="28"/>
          <w:szCs w:val="28"/>
          <w:rtl w:val="true"/>
          <w:lang w:bidi="ar-SA"/>
        </w:rPr>
        <w:t>صلّاه قصراً في الوقت وخارجه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نسي المسافر سفره فصلّى تماماً أعاد في الوقت دون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دخل الوقت وهو حاضر متمكّن من أفعال الصلاة فسافر حتّى تجاوز محلّ الترخّص والوقت باق قصّر والأحوط الإتمام معه، كما أنّه يتمّ لو دخل الوقت وهو مسافر فحضر والوقت باق والأحوط القصر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مؤكّداً أن يقول عقيب كلّ فريضة مقصورة ثلاثين 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الأماكن الأربعة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ومسجد النبي صلى الله عليه و آله و سلم ومسجد الكوفة والحائر الحسيني علیه السلام فيتخيّر فيها بين القصر والإتمام، والأخير أفضل والأوّل أحوط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3" w:name="pg8988_116383"/>
      <w:bookmarkStart w:id="434" w:name="pg8988_116383"/>
      <w:bookmarkEnd w:id="434"/>
    </w:p>
    <w:p>
      <w:pPr>
        <w:pStyle w:val="Heading2"/>
        <w:numPr>
          <w:ilvl w:val="1"/>
          <w:numId w:val="1"/>
        </w:numPr>
        <w:rPr/>
      </w:pPr>
      <w:bookmarkStart w:id="435" w:name="pg8988_116383"/>
      <w:bookmarkStart w:id="436" w:name="__RefHeading___Toc1815000_2870459653"/>
      <w:bookmarkStart w:id="437" w:name="_Toc164"/>
      <w:bookmarkEnd w:id="435"/>
      <w:bookmarkEnd w:id="436"/>
      <w:r>
        <w:rPr>
          <w:rtl w:val="true"/>
        </w:rPr>
        <w:t>كتاب الصوم</w:t>
      </w:r>
      <w:bookmarkEnd w:id="43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8" w:name="__RefHeading___Toc1815002_2870459653"/>
      <w:bookmarkStart w:id="439" w:name="_Toc165"/>
      <w:bookmarkEnd w:id="438"/>
      <w:r>
        <w:rPr>
          <w:rtl w:val="true"/>
        </w:rPr>
        <w:t>اشارة</w:t>
      </w:r>
      <w:bookmarkEnd w:id="43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0" w:name="pg8988_116389"/>
      <w:bookmarkStart w:id="441" w:name="pg8988_116389"/>
      <w:bookmarkEnd w:id="441"/>
    </w:p>
    <w:p>
      <w:pPr>
        <w:pStyle w:val="BookText"/>
        <w:rPr/>
      </w:pPr>
      <w:bookmarkStart w:id="442" w:name="pg8988_116389"/>
      <w:bookmarkEnd w:id="442"/>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1815004_2870459653"/>
      <w:bookmarkStart w:id="444" w:name="_Toc166"/>
      <w:bookmarkEnd w:id="443"/>
      <w:r>
        <w:rPr>
          <w:rtl w:val="true"/>
        </w:rPr>
        <w:t xml:space="preserve">الفصل الأوّل </w:t>
      </w:r>
      <w:r>
        <w:rPr>
          <w:rtl w:val="true"/>
        </w:rPr>
        <w:t xml:space="preserve">: </w:t>
      </w:r>
      <w:r>
        <w:rPr>
          <w:rtl w:val="true"/>
        </w:rPr>
        <w:t>في النيّة</w:t>
      </w:r>
      <w:bookmarkEnd w:id="444"/>
    </w:p>
    <w:p>
      <w:pPr>
        <w:pStyle w:val="BookText"/>
        <w:rPr/>
      </w:pPr>
      <w:r>
        <w:rPr>
          <w:rFonts w:ascii="Amiri" w:hAnsi="Amiri" w:eastAsia="Amiri" w:cs="Amiri"/>
          <w:color w:val="111111"/>
          <w:sz w:val="28"/>
          <w:sz w:val="28"/>
          <w:szCs w:val="28"/>
          <w:rtl w:val="true"/>
          <w:lang w:bidi="ar-SA"/>
        </w:rPr>
        <w:t xml:space="preserve">وفيها مباحث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الصوم النيّة كغيره من العبادات من الطهارة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الداعي دون الإخطار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فيها بعد الإخلاص وقصد الامتثال غير التعيين مع تعدّد المأمور به لامع اتّحاده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التعرّض فيها للوجوب أو الندب أو القضاء، نعم الأقوى التعرّض للأصالة والتحمّل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العلم بالمفطرات على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يقع في شهر رمضان صوم غيره واجباً أو مندوباً حتّى من غير المكلّف به كالمسافر مع العلم والجهل والنسيان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 فيه نيّة صومِ غدٍ من غير تعرّض لكونه منه، فلو نوى غيره فيه جاهلاً أو ناسياً أجزأ عنه بخلاف العالم به فإنّه لا يقع لواحد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جاهلاً بعدم صحّة غيره فيه ثمّ علم جدّد النيّة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فيما عدا شهر رمضان من القصد إلى صنف الصوم المخصوص كالكفّارة أو النذر المطلق بل المعيّن كذلك وكذلك قضاء شهر رمضان </w:t>
      </w:r>
    </w:p>
    <w:p>
      <w:pPr>
        <w:pStyle w:val="BookText"/>
        <w:rPr/>
      </w:pPr>
      <w:r>
        <w:rPr>
          <w:rFonts w:ascii="Amiri" w:hAnsi="Amiri" w:eastAsia="Amiri" w:cs="Amiri"/>
          <w:color w:val="111111"/>
          <w:sz w:val="28"/>
          <w:sz w:val="28"/>
          <w:szCs w:val="28"/>
          <w:rtl w:val="true"/>
          <w:lang w:bidi="ar-SA"/>
        </w:rPr>
        <w:t>فلا يجوز الاقتصار على نيّة القربة ، نعم لو لاحظ ما في ذمّته وكان متّحداً أو كان معيّناً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النيّة في الواجب المعيّن بالأصل أو بالعارض عند طلوع الفجر الصادق على وجه تُقارنه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سهل بناء على أنّها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أيّ جزء من الليلة التي يريد صوم يومها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يترك الاحتياط بتجديد النيّة لكلّ يوم من شهر رمضان والأحوط ضمّ نيّة مجموع الشهر أو باقيه إن فاته بعضه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والناسي يجدّدها قبل الزوال واجتزأ بها مع عدم تناول المفطر أو فساد الصوم السابق برياء ونحوه، ولا يجزي </w:t>
      </w:r>
      <w:r>
        <w:rPr>
          <w:rStyle w:val="FootnoteAnchor"/>
          <w:rtl w:val="true"/>
        </w:rPr>
        <w:footnoteReference w:id="214"/>
      </w:r>
      <w:r>
        <w:rPr>
          <w:rFonts w:ascii="Amiri" w:hAnsi="Amiri" w:eastAsia="Amiri" w:cs="Amiri"/>
          <w:color w:val="111111"/>
          <w:sz w:val="28"/>
          <w:sz w:val="28"/>
          <w:szCs w:val="28"/>
          <w:rtl w:val="true"/>
          <w:lang w:bidi="ar-SA"/>
        </w:rPr>
        <w:t>تجديدها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النيّة فى الواجب غير المعيّن يمتدّ اختياراً من أوّل الليل إلى الزوال دون ما بعده، ولا فرق في ذلك بين سبق التردّد بل العزم على العدم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ومحلّها في المندوب يمتدّ من أوّل الليل إلى أن يبقى من المغرب زمان يُمكن تجديدها فيه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ويوم الشكّ في أنّه من شعبان أو من رمضان لو صامه بنيّة أنّه من شعبان ندباً أجزأه عن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نوى أنّه قضاء أو نذر أجزأه لو صادف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ظهر له في الأثناء سواء كان قبل الزوال أم بعده فالاحتياط بتجديد النيّة لا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صامه بنيّة أنّه من شهر رمضان لم يقع لأحدهما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ولو أصبح يوم الشكّ بنيّة الإفطار ثمّ بان أنّه من شهر رمضان ولم یکن قد تناول المفطر جدّد النيّة ما بينه وبين الزوال، وإن بان بعد الزوال أمسك وجوباً وقضاه، والأحوط </w:t>
      </w:r>
      <w:r>
        <w:rPr>
          <w:rStyle w:val="FootnoteAnchor"/>
          <w:rtl w:val="true"/>
        </w:rPr>
        <w:footnoteReference w:id="215"/>
      </w:r>
      <w:r>
        <w:rPr>
          <w:rFonts w:ascii="Amiri" w:hAnsi="Amiri" w:eastAsia="Amiri" w:cs="Amiri"/>
          <w:color w:val="111111"/>
          <w:sz w:val="28"/>
          <w:sz w:val="28"/>
          <w:szCs w:val="28"/>
          <w:rtl w:val="true"/>
          <w:lang w:bidi="ar-SA"/>
        </w:rPr>
        <w:t xml:space="preserve">تجديد النيّة مع ذلك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الاستدامة على مقتضى النيّة في أثناء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نوى القطع بمعنى إنشاء رفع اليد عمّا تلبّس به من الصوم ولو لزعم الاختلال ثمّ بان عدمه بطل، بخلاف ما لو عزم على إنشاء ذلك فيما يأتي أو نوى القاطع فإنّ الأقوى الصحّة وإن كان الأحوط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ينافي الاستدامة التردّد في الأثناء، نعم لو كان تردّده في البطلان وعدمه لعروض عارض لم يكن فيه به بأس</w:t>
      </w:r>
      <w:r>
        <w:rPr>
          <w:rFonts w:eastAsia="Amiri" w:cs="Amiri" w:ascii="Amiri" w:hAnsi="Amiri"/>
          <w:color w:val="111111"/>
          <w:sz w:val="28"/>
          <w:szCs w:val="28"/>
          <w:rtl w:val="true"/>
          <w:lang w:bidi="ar-SA"/>
        </w:rPr>
        <w:t xml:space="preserve">. </w:t>
      </w:r>
      <w:bookmarkStart w:id="445" w:name="pg8988_116398"/>
    </w:p>
    <w:p>
      <w:pPr>
        <w:pStyle w:val="Heading3"/>
        <w:numPr>
          <w:ilvl w:val="2"/>
          <w:numId w:val="1"/>
        </w:numPr>
        <w:rPr/>
      </w:pPr>
      <w:bookmarkStart w:id="446" w:name="__RefHeading___Toc1815006_2870459653"/>
      <w:bookmarkStart w:id="447" w:name="_Toc167"/>
      <w:bookmarkEnd w:id="445"/>
      <w:bookmarkEnd w:id="446"/>
      <w:r>
        <w:rPr>
          <w:rtl w:val="true"/>
        </w:rPr>
        <w:t xml:space="preserve">الفصل الثاني </w:t>
      </w:r>
      <w:r>
        <w:rPr>
          <w:rtl w:val="true"/>
        </w:rPr>
        <w:t xml:space="preserve">: </w:t>
      </w:r>
      <w:r>
        <w:rPr>
          <w:rtl w:val="true"/>
        </w:rPr>
        <w:t>فیما یُمسک عنه الصائم</w:t>
      </w:r>
      <w:bookmarkEnd w:id="447"/>
    </w:p>
    <w:p>
      <w:pPr>
        <w:pStyle w:val="BookText"/>
        <w:rPr/>
      </w:pPr>
      <w:r>
        <w:rPr>
          <w:rFonts w:ascii="IRNazanin" w:hAnsi="IRNazanin" w:eastAsia="IRNazanin"/>
          <w:color w:val="111111"/>
          <w:sz w:val="28"/>
          <w:sz w:val="28"/>
          <w:szCs w:val="28"/>
          <w:rtl w:val="true"/>
          <w:lang w:bidi="fa-IR"/>
        </w:rPr>
        <w:t xml:space="preserve">الفصل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w:t>
      </w:r>
      <w:r>
        <w:rPr>
          <w:rStyle w:val="FootnoteAnchor"/>
          <w:rtl w:val="true"/>
        </w:rPr>
        <w:footnoteReference w:id="216"/>
      </w:r>
      <w:r>
        <w:rPr>
          <w:rFonts w:ascii="Amiri" w:hAnsi="Amiri" w:eastAsia="Amiri" w:cs="Amiri"/>
          <w:color w:val="111111"/>
          <w:sz w:val="28"/>
          <w:sz w:val="28"/>
          <w:szCs w:val="28"/>
          <w:rtl w:val="true"/>
          <w:lang w:bidi="ar-SA"/>
        </w:rPr>
        <w:t>يمسك عنه الصائم</w:t>
      </w:r>
    </w:p>
    <w:p>
      <w:pPr>
        <w:pStyle w:val="BookText"/>
        <w:rPr/>
      </w:pPr>
      <w:r>
        <w:rPr>
          <w:rFonts w:ascii="IRNazanin" w:hAnsi="IRNazanin" w:eastAsia="IRNazanin"/>
          <w:color w:val="111111"/>
          <w:sz w:val="28"/>
          <w:sz w:val="28"/>
          <w:szCs w:val="28"/>
          <w:rtl w:val="true"/>
          <w:lang w:bidi="fa-IR"/>
        </w:rPr>
        <w:t>وهو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والشرب للمعتاد وغيره كالحصى وعصارة الأشجار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للذكر والأنثى والبهيمة على الأحوط قُبلاً ودُبراً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تعمّد الكذب على الله ورسوله والأئمة علیهم السلام بل يقوى إلحاق باقي الأنبياء والأوصياء علیهم السلام كما أنّه لا فرق بين كونه في الدين أو الفتوى، بل الأحوط ذلك إذا كان فى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أيضاً بين الرجوع إلى الصدق فوراً وعدمه والجهل بالحكم وعدمه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الإشارة والكتابة ونحوها ممّا يُراد به الإخبار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رمس الرأس </w:t>
      </w:r>
      <w:r>
        <w:rPr>
          <w:rStyle w:val="FootnoteAnchor"/>
          <w:rtl w:val="true"/>
        </w:rPr>
        <w:footnoteReference w:id="217"/>
      </w:r>
      <w:r>
        <w:rPr>
          <w:rFonts w:ascii="Amiri" w:hAnsi="Amiri" w:eastAsia="Amiri" w:cs="Amiri"/>
          <w:color w:val="111111"/>
          <w:sz w:val="28"/>
          <w:sz w:val="28"/>
          <w:szCs w:val="28"/>
          <w:rtl w:val="true"/>
          <w:lang w:bidi="ar-SA"/>
        </w:rPr>
        <w:t>في الماء ولو مع خروج البدن كلّه دفعةً أو تدريجاً حتّى انتهى إلى حصول تمام رأسه تحت الماء؛ نعم لو غمسه على التعاقب وإن استغرقه فلا بأس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والمراد بالرأس مجموع ما فوق الرقبة لا خصوص المنافذ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بالإفاضة ونحوها مما لا يسمّى رمساً وإن كثر الماء؛ نعم لو كان كثيراً بحيث يحيط الماء به كوقوفه تحت نهر عظيم مسنّما فإشكال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بأس برمس البعض وإن كان المنافذ على الأصحّ ، ولا بما كان منه عن نسيان أو قهر أو سقوط من غير اختيار أو إلقاء نفسه بالماء بتخيّل </w:t>
      </w:r>
      <w:r>
        <w:rPr>
          <w:rStyle w:val="FootnoteAnchor"/>
          <w:rtl w:val="true"/>
        </w:rPr>
        <w:footnoteReference w:id="218"/>
      </w:r>
      <w:r>
        <w:rPr>
          <w:rFonts w:ascii="Amiri" w:hAnsi="Amiri" w:eastAsia="Amiri" w:cs="Amiri"/>
          <w:color w:val="111111"/>
          <w:sz w:val="28"/>
          <w:sz w:val="28"/>
          <w:szCs w:val="28"/>
          <w:rtl w:val="true"/>
          <w:lang w:bidi="ar-SA"/>
        </w:rPr>
        <w:t>عدم تسبيبه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ارتمس الصائم </w:t>
      </w:r>
      <w:r>
        <w:rPr>
          <w:rStyle w:val="FootnoteAnchor"/>
          <w:rtl w:val="true"/>
        </w:rPr>
        <w:footnoteReference w:id="219"/>
      </w:r>
      <w:r>
        <w:rPr>
          <w:rFonts w:ascii="Amiri" w:hAnsi="Amiri" w:eastAsia="Amiri" w:cs="Amiri"/>
          <w:color w:val="111111"/>
          <w:sz w:val="28"/>
          <w:sz w:val="28"/>
          <w:szCs w:val="28"/>
          <w:rtl w:val="true"/>
          <w:lang w:bidi="ar-SA"/>
        </w:rPr>
        <w:t xml:space="preserve">مغتسِلاً بطل صومه وغسله إذا قصد الغسل بأوّل مسمَّى الارتماس وكان الصوم معيّناً ، وأمّا إن كان الصوم نافلة أو موسَّعاً يجوز إبطاله صحّ غسله دون صومه، والناسي للصوم يصحّان منه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إيصال الغبار الغليظ إلى الجوف ولو بتمكينه لعدم التحفّظ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الخفيف إذا تناهى في الخفّة فالأحوط فيه ذلك؛ نعم لا بأس بما يعسر التحرّز عنه كما لا بأس به مع النسيان أو الغفلة أو تخيّل </w:t>
      </w:r>
      <w:r>
        <w:rPr>
          <w:rStyle w:val="FootnoteAnchor"/>
          <w:rtl w:val="true"/>
        </w:rPr>
        <w:footnoteReference w:id="220"/>
      </w:r>
      <w:r>
        <w:rPr>
          <w:rFonts w:ascii="Amiri" w:hAnsi="Amiri" w:eastAsia="Amiri" w:cs="Amiri"/>
          <w:color w:val="111111"/>
          <w:sz w:val="28"/>
          <w:sz w:val="28"/>
          <w:szCs w:val="28"/>
          <w:rtl w:val="true"/>
          <w:lang w:bidi="ar-SA"/>
        </w:rPr>
        <w:t>عدم الوصول أو القهر إلّا إذا خرج بهيئة الطين إلى فضاء الفم ثمّ ابتلعه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خرج الغبار بنخامته </w:t>
      </w:r>
      <w:r>
        <w:rPr>
          <w:rStyle w:val="FootnoteAnchor"/>
          <w:rtl w:val="true"/>
        </w:rPr>
        <w:footnoteReference w:id="221"/>
      </w:r>
      <w:r>
        <w:rPr>
          <w:rFonts w:ascii="Amiri" w:hAnsi="Amiri" w:eastAsia="Amiri" w:cs="Amiri"/>
          <w:color w:val="111111"/>
          <w:sz w:val="28"/>
          <w:sz w:val="28"/>
          <w:szCs w:val="28"/>
          <w:rtl w:val="true"/>
          <w:lang w:bidi="ar-SA"/>
        </w:rPr>
        <w:t xml:space="preserve">لم يحكم بإفطاره ما لم يعلم </w:t>
      </w:r>
    </w:p>
    <w:p>
      <w:pPr>
        <w:pStyle w:val="BookText"/>
        <w:rPr/>
      </w:pPr>
      <w:r>
        <w:rPr>
          <w:rFonts w:ascii="Amiri" w:hAnsi="Amiri" w:eastAsia="Amiri" w:cs="Amiri"/>
          <w:color w:val="111111"/>
          <w:sz w:val="28"/>
          <w:sz w:val="28"/>
          <w:szCs w:val="28"/>
          <w:rtl w:val="true"/>
          <w:lang w:bidi="ar-SA"/>
        </w:rPr>
        <w:t>إيصاله على وجه منهيّ عنه، والأقوى إلحاق دخان التنباك ونحوه به في الفساد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البقاء على الجنابة إلى الفجر من غير فرق بين شهر رمضان وقضائه وبين غيرهما من الواجب المعيّن والموسّع، بل الأقوى البطلان في الإصباح جنباً وإن لم يكن عن عمد في قضاء رمضان، بل الأقوى أيضاً</w:t>
      </w:r>
      <w:r>
        <w:rPr>
          <w:rStyle w:val="FootnoteAnchor"/>
          <w:rtl w:val="true"/>
        </w:rPr>
        <w:footnoteReference w:id="222"/>
      </w:r>
      <w:r>
        <w:rPr>
          <w:rFonts w:ascii="Amiri" w:hAnsi="Amiri" w:eastAsia="Amiri" w:cs="Amiri"/>
          <w:color w:val="111111"/>
          <w:sz w:val="28"/>
          <w:sz w:val="28"/>
          <w:szCs w:val="28"/>
          <w:rtl w:val="true"/>
          <w:lang w:bidi="ar-SA"/>
        </w:rPr>
        <w:t>بطلان صوم شهر رمضان بنسيان غسل الجنابة ليلاً حتّى مضى يوم أو أيّام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 البقاء 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إحداث سبب الجنابة في وقت لا يسع الغسل ولا التيمّم لفقد الماء، ولو وسع التيمّم خاصّة عصی وصحّ الصوم المعين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وتارك التيمّم لفقد الماء أو غيره من الأسباب ولو ضيق الوقت حتّى أصبح كتارك الغسل، بل الأقوى وجوب البقاء مع التيمّم مستيقظاً حتّى يصبح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استيقظ بعد الصبح محتلماً فإن علم سبق الجنابة عليه دخل في حكم البقاء غير متعمّد حتّى يصبح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فهو كمن أجنب في النهار من ذوي الأعذار لا يبطل صومه، من غير فرق بين الموسّع وغيره والمندوب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والأحوط </w:t>
      </w:r>
      <w:r>
        <w:rPr>
          <w:rStyle w:val="FootnoteAnchor"/>
          <w:rtl w:val="true"/>
        </w:rPr>
        <w:footnoteReference w:id="223"/>
      </w:r>
      <w:r>
        <w:rPr>
          <w:rFonts w:ascii="Amiri" w:hAnsi="Amiri" w:eastAsia="Amiri" w:cs="Amiri"/>
          <w:color w:val="111111"/>
          <w:sz w:val="28"/>
          <w:sz w:val="28"/>
          <w:szCs w:val="28"/>
          <w:rtl w:val="true"/>
          <w:lang w:bidi="ar-SA"/>
        </w:rPr>
        <w:t xml:space="preserve">البدار لمن أجنب بالنهار والأقوى 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 الحيض والنفاس كحدث الجنابة في الإبطال بتعمّد البقاء عليه ، وكذلك ينتقل إلى التيمّم عند حصول موجبه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حصل النقاء حيث لم يبق فرصة للغسل أو بدله أو لم تعلم بنقائها حتّى دخل النهار صحّ صومها </w:t>
      </w:r>
      <w:r>
        <w:rPr>
          <w:rStyle w:val="FootnoteAnchor"/>
          <w:rtl w:val="true"/>
        </w:rPr>
        <w:footnoteReference w:id="224"/>
      </w:r>
      <w:r>
        <w:rPr>
          <w:rFonts w:ascii="Amiri" w:hAnsi="Amiri" w:eastAsia="Amiri" w:cs="Amiri"/>
          <w:color w:val="111111"/>
          <w:sz w:val="28"/>
          <w:sz w:val="28"/>
          <w:szCs w:val="28"/>
          <w:rtl w:val="true"/>
          <w:lang w:bidi="ar-SA"/>
        </w:rPr>
        <w:t>المعيّن دون الموسّع والمندوب</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الاستحاضة فلا مدخليّة لغير الأغسال من أفعالها في الصوم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غسل الليلة الماضية أيضاً، والاحتياط بتقديمه على الفجر لا يُترك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أجنب في شهر رمضان في الليل فنام ناويا للغسل واستمرّ نومه حتّى أصبح صحّ صومه مع احتمال الانتباه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انتبه ثمّ نام </w:t>
      </w:r>
      <w:r>
        <w:rPr>
          <w:rStyle w:val="FootnoteAnchor"/>
          <w:rtl w:val="true"/>
        </w:rPr>
        <w:footnoteReference w:id="225"/>
      </w:r>
      <w:r>
        <w:rPr>
          <w:rFonts w:ascii="Amiri" w:hAnsi="Amiri" w:eastAsia="Amiri" w:cs="Amiri"/>
          <w:color w:val="111111"/>
          <w:sz w:val="28"/>
          <w:sz w:val="28"/>
          <w:szCs w:val="28"/>
          <w:rtl w:val="true"/>
          <w:lang w:bidi="ar-SA"/>
        </w:rPr>
        <w:t>ثانياً</w:t>
      </w:r>
    </w:p>
    <w:p>
      <w:pPr>
        <w:pStyle w:val="BookText"/>
        <w:rPr/>
      </w:pPr>
      <w:r>
        <w:rPr>
          <w:rFonts w:ascii="Amiri" w:hAnsi="Amiri" w:eastAsia="Amiri" w:cs="Amiri"/>
          <w:color w:val="111111"/>
          <w:sz w:val="28"/>
          <w:sz w:val="28"/>
          <w:szCs w:val="28"/>
          <w:rtl w:val="true"/>
          <w:lang w:bidi="ar-SA"/>
        </w:rPr>
        <w:t xml:space="preserve">واستمرّ إلى الصبح فسد صومه من غير فرق بين نيّة الغسل وعدمه ولو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الغسل حتّى أصبح فهو من المتعمّد </w:t>
      </w:r>
      <w:r>
        <w:rPr>
          <w:rStyle w:val="FootnoteAnchor"/>
          <w:rtl w:val="true"/>
        </w:rPr>
        <w:footnoteReference w:id="226"/>
      </w:r>
      <w:r>
        <w:rPr>
          <w:rFonts w:ascii="Amiri" w:hAnsi="Amiri" w:eastAsia="Amiri" w:cs="Amiri"/>
          <w:color w:val="111111"/>
          <w:sz w:val="28"/>
          <w:sz w:val="28"/>
          <w:szCs w:val="28"/>
          <w:rtl w:val="true"/>
          <w:lang w:bidi="ar-SA"/>
        </w:rPr>
        <w:t xml:space="preserve">ولو نام غير ناو للغسل ولا عدمه فسد صومه بل الأحوط الكفّارة، كما أنّ الأقوى وجوبها مع القضاء بنوم الجنب بعد الانتباهتين وإن كان ناوياً للغسل وممكنَ الانتباه بل معتادَه </w:t>
      </w:r>
      <w:r>
        <w:rPr>
          <w:rStyle w:val="FootnoteAnchor"/>
          <w:rtl w:val="true"/>
        </w:rPr>
        <w:footnoteReference w:id="227"/>
      </w:r>
      <w:r>
        <w:rPr>
          <w:rFonts w:ascii="Amiri" w:hAnsi="Amiri" w:eastAsia="Amiri" w:cs="Amiri"/>
          <w:color w:val="111111"/>
          <w:sz w:val="28"/>
          <w:sz w:val="28"/>
          <w:szCs w:val="28"/>
          <w:rtl w:val="true"/>
          <w:lang w:bidi="ar-SA"/>
        </w:rPr>
        <w:t xml:space="preserve">، بل الأحوط الكفّارة بالنوم بعد الانتباهة الأولى ؛ نعم ليست الانتباهة من الاحتلام وفي حال الجماع من الانتباهتين وإن كان احتسابه أحوط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ويقوى إلحاق الحائض والنفساء بالجنب في حكم الانتباهة والانتباهتين فضلاً عن غيرها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إنزال المني باستمناء أو ملامسة أو نحوهما من الأفعال التي يقصد بها حصوله فإنّه مبطل للصوم بجميع أفراده بل لو لم يقصد وكان عادته ذلك بالفعل المزبور فهو كذلك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الحقنة بالمائع ولو لمرض </w:t>
      </w:r>
      <w:r>
        <w:rPr>
          <w:rStyle w:val="FootnoteAnchor"/>
          <w:rtl w:val="true"/>
        </w:rPr>
        <w:footnoteReference w:id="228"/>
      </w:r>
      <w:r>
        <w:rPr>
          <w:rFonts w:ascii="IRNazanin" w:hAnsi="IRNazanin" w:eastAsia="IRNazanin"/>
          <w:color w:val="111111"/>
          <w:sz w:val="28"/>
          <w:sz w:val="28"/>
          <w:szCs w:val="28"/>
          <w:rtl w:val="true"/>
          <w:lang w:bidi="fa-IR"/>
        </w:rPr>
        <w:t xml:space="preserve">نعم لا بأس بالجامد مع أنّ </w:t>
      </w:r>
    </w:p>
    <w:p>
      <w:pPr>
        <w:pStyle w:val="BookText"/>
        <w:rPr/>
      </w:pPr>
      <w:r>
        <w:rPr>
          <w:rFonts w:ascii="Amiri" w:hAnsi="Amiri" w:eastAsia="Amiri" w:cs="Amiri"/>
          <w:color w:val="111111"/>
          <w:sz w:val="28"/>
          <w:sz w:val="28"/>
          <w:szCs w:val="28"/>
          <w:rtl w:val="true"/>
          <w:lang w:bidi="ar-SA"/>
        </w:rPr>
        <w:t>الأحوط اجتنابه كما أنّ الأحوط اجتناب صبّ الدواء في الإحليل وإن كان الأقوى الجواز، بل الأقوى أنّه لا بأس بجميع ما يصل إلى الجوف بغير الحلق عدا الحقنة بالمائع من جميع منافذ البدن المعلومة ممّا لا يسمّى أكلاً ولا شرباً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القيء دون ما كان منه بلا عمد</w:t>
      </w:r>
      <w:r>
        <w:rPr>
          <w:rFonts w:eastAsia="Amiri" w:cs="Amiri" w:ascii="Amiri" w:hAnsi="Amiri"/>
          <w:color w:val="111111"/>
          <w:sz w:val="28"/>
          <w:szCs w:val="28"/>
          <w:rtl w:val="true"/>
          <w:lang w:bidi="ar-SA"/>
        </w:rPr>
        <w:t xml:space="preserve">. </w:t>
      </w:r>
      <w:bookmarkStart w:id="448" w:name="pg8988_116417"/>
    </w:p>
    <w:p>
      <w:pPr>
        <w:pStyle w:val="Heading3"/>
        <w:numPr>
          <w:ilvl w:val="2"/>
          <w:numId w:val="1"/>
        </w:numPr>
        <w:rPr/>
      </w:pPr>
      <w:bookmarkStart w:id="449" w:name="__RefHeading___Toc1815008_2870459653"/>
      <w:bookmarkStart w:id="450" w:name="_Toc168"/>
      <w:bookmarkEnd w:id="448"/>
      <w:bookmarkEnd w:id="449"/>
      <w:r>
        <w:rPr>
          <w:rtl w:val="true"/>
        </w:rPr>
        <w:t xml:space="preserve">الفصل الثالث </w:t>
      </w:r>
      <w:r>
        <w:rPr>
          <w:rtl w:val="true"/>
        </w:rPr>
        <w:t xml:space="preserve">: </w:t>
      </w:r>
      <w:r>
        <w:rPr>
          <w:rtl w:val="true"/>
        </w:rPr>
        <w:t>في توابع هذا الفصل</w:t>
      </w:r>
      <w:bookmarkEnd w:id="450"/>
    </w:p>
    <w:p>
      <w:pPr>
        <w:pStyle w:val="Heading4"/>
        <w:numPr>
          <w:ilvl w:val="3"/>
          <w:numId w:val="1"/>
        </w:numPr>
        <w:rPr/>
      </w:pPr>
      <w:bookmarkStart w:id="451" w:name="__RefHeading___Toc1815010_2870459653"/>
      <w:bookmarkStart w:id="452" w:name="_Toc169"/>
      <w:bookmarkEnd w:id="451"/>
      <w:r>
        <w:rPr>
          <w:rtl w:val="true"/>
        </w:rPr>
        <w:t>اشارة</w:t>
      </w:r>
      <w:bookmarkEnd w:id="452"/>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1815012_2870459653"/>
      <w:bookmarkStart w:id="454" w:name="_Toc170"/>
      <w:bookmarkEnd w:id="453"/>
      <w:r>
        <w:rPr>
          <w:rtl w:val="true"/>
        </w:rPr>
        <w:t>[</w:t>
      </w:r>
      <w:r>
        <w:rPr>
          <w:rtl w:val="true"/>
        </w:rPr>
        <w:t>المبحث</w:t>
      </w:r>
      <w:r>
        <w:rPr>
          <w:rtl w:val="true"/>
        </w:rPr>
        <w:t xml:space="preserve">] </w:t>
      </w:r>
      <w:r>
        <w:rPr>
          <w:rtl w:val="true"/>
        </w:rPr>
        <w:t xml:space="preserve">الأوّل </w:t>
      </w:r>
      <w:r>
        <w:rPr>
          <w:rtl w:val="true"/>
        </w:rPr>
        <w:t xml:space="preserve">: </w:t>
      </w:r>
      <w:r>
        <w:rPr>
          <w:rtl w:val="true"/>
        </w:rPr>
        <w:t>في حكم ما لا يتعدّى إلى الحلق ، وابتلاع النخامة، والتجشّؤ</w:t>
      </w:r>
      <w:bookmarkEnd w:id="454"/>
    </w:p>
    <w:p>
      <w:pPr>
        <w:pStyle w:val="BookText"/>
        <w:rPr/>
      </w:pPr>
      <w:r>
        <w:rPr>
          <w:rFonts w:ascii="Amiri" w:hAnsi="Amiri" w:eastAsia="Amiri" w:cs="Amiri"/>
          <w:color w:val="111111"/>
          <w:sz w:val="28"/>
          <w:sz w:val="28"/>
          <w:szCs w:val="28"/>
          <w:rtl w:val="true"/>
          <w:lang w:bidi="ar-SA"/>
        </w:rPr>
        <w:t>ليس من المفطّرات مصّ الخاتم أو مضغ الطعام للصبيّ ولا غيرهما ممّا لا يتعدّى إلى الحلق ، بل وإن تعدّى من غير قصد، بل وإن كان ولكن عن نسيان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لا يبطل الصوم بابتلاع البصاق المجتمع في الفم وإن كان بتذكّر ما كان سبباً في جمعه إذا لم يكن خارجاً عن القدر المعتاد، ولا ابتلاع النخامة التي لم تصل إلى فضاء الفم وإن كان الأحوط عدم اجتلاب فضلات الرأس إلى الحلق عمداً ؛ نعم لو خرجت إلى فضاء الفم ثمّ ابتلعها بطل ، وكذا البصاق إذا خرج عن الفم ، بل لو ترك في فمه حصاة أو شبهها وأخرجها وعليها بلّة من الريق وأعادها وابتلع الريق أفطر إلّا إذا استهلك في ضمن 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ذوق المرق والمتخلّف من ماء المضمضة وغيرها </w:t>
      </w:r>
      <w:r>
        <w:rPr>
          <w:rFonts w:eastAsia="Amiri" w:cs="Amiri" w:ascii="Amiri" w:hAnsi="Amiri"/>
          <w:color w:val="111111"/>
          <w:sz w:val="28"/>
          <w:szCs w:val="28"/>
          <w:rtl w:val="true"/>
          <w:lang w:bidi="ar-SA"/>
        </w:rPr>
        <w:t xml:space="preserve">. </w:t>
      </w:r>
      <w:bookmarkStart w:id="455" w:name="pg8988_116420"/>
    </w:p>
    <w:p>
      <w:pPr>
        <w:pStyle w:val="BookText"/>
        <w:rPr/>
      </w:pPr>
      <w:bookmarkEnd w:id="455"/>
      <w:r>
        <w:rPr>
          <w:rFonts w:ascii="IRNazanin" w:hAnsi="IRNazanin" w:eastAsia="IRNazanin"/>
          <w:color w:val="111111"/>
          <w:sz w:val="28"/>
          <w:sz w:val="28"/>
          <w:szCs w:val="28"/>
          <w:rtl w:val="true"/>
          <w:lang w:bidi="fa-IR"/>
        </w:rPr>
        <w:t xml:space="preserve">ولو تجشّأ عمداً ولم يصل الطعام إلى الحلق لم يكن عليه شيء، ولو وصل لكن سَبَقَه رجوعُه فالأحوط القضاء، نعم لا بأس بالتجشؤ القهري وإن وصل إلى فيه الطعام ورجع ؛ كما لا بأس بابتلاع ما تخلّل بین الأسنان سهواً وإن قصَّر بترك التخليل ، لكن الاحتياط له بالقضاء حينئذٍ لا ينبغي تركه </w:t>
      </w:r>
      <w:r>
        <w:rPr>
          <w:rFonts w:eastAsia="IRNazanin" w:cs="IRNazanin"/>
          <w:color w:val="111111"/>
          <w:sz w:val="28"/>
          <w:szCs w:val="28"/>
          <w:rtl w:val="true"/>
          <w:lang w:bidi="fa-IR"/>
        </w:rPr>
        <w:t>.</w:t>
      </w:r>
    </w:p>
    <w:p>
      <w:pPr>
        <w:pStyle w:val="Heading4"/>
        <w:numPr>
          <w:ilvl w:val="3"/>
          <w:numId w:val="1"/>
        </w:numPr>
        <w:rPr/>
      </w:pPr>
      <w:bookmarkStart w:id="456" w:name="__RefHeading___Toc1815014_2870459653"/>
      <w:bookmarkStart w:id="457" w:name="_Toc171"/>
      <w:bookmarkEnd w:id="456"/>
      <w:r>
        <w:rPr>
          <w:rtl w:val="true"/>
        </w:rPr>
        <w:t xml:space="preserve">المبحث الثاني </w:t>
      </w:r>
      <w:r>
        <w:rPr>
          <w:rtl w:val="true"/>
        </w:rPr>
        <w:t xml:space="preserve">: </w:t>
      </w:r>
      <w:r>
        <w:rPr>
          <w:rtl w:val="true"/>
        </w:rPr>
        <w:t>حكم الإتيان بالمفطرات سهواً أو كرها</w:t>
      </w:r>
      <w:bookmarkEnd w:id="457"/>
    </w:p>
    <w:p>
      <w:pPr>
        <w:pStyle w:val="BookText"/>
        <w:rPr/>
      </w:pPr>
      <w:r>
        <w:rPr>
          <w:rFonts w:ascii="Amiri" w:hAnsi="Amiri" w:eastAsia="Amiri" w:cs="Amiri"/>
          <w:color w:val="111111"/>
          <w:sz w:val="28"/>
          <w:sz w:val="28"/>
          <w:szCs w:val="28"/>
          <w:rtl w:val="true"/>
          <w:lang w:bidi="ar-SA"/>
        </w:rPr>
        <w:t xml:space="preserve">كلّ ما ذكرنا أنّه يفسد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البقاء على الجنابة الذي قد سمعت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يفسد الصوم إذا وقع عمداً، لا بدونه كالنسيان أو عدم القصد فإنّه لا يفسد الصوم بأقسامه، بخلاف الأوّل فإنّه يفسده بأقسامه من غير فرق بين العالم والجاهل بقسميه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والمكرَه على تناول المفطر بنفسه يفطر ولو لتقيّة كالإفطار معهم في عيدهم ، نعم لا يبعد الصحّة لو </w:t>
      </w:r>
      <w:r>
        <w:rPr>
          <w:rStyle w:val="FootnoteAnchor"/>
          <w:rtl w:val="true"/>
        </w:rPr>
        <w:footnoteReference w:id="229"/>
      </w:r>
      <w:r>
        <w:rPr>
          <w:rFonts w:ascii="Amiri" w:hAnsi="Amiri" w:eastAsia="Amiri" w:cs="Amiri"/>
          <w:color w:val="111111"/>
          <w:sz w:val="28"/>
          <w:sz w:val="28"/>
          <w:szCs w:val="28"/>
          <w:rtl w:val="true"/>
          <w:lang w:bidi="ar-SA"/>
        </w:rPr>
        <w:t xml:space="preserve">أفطر تقيّةً بذهاب القرص دون الحمرة وإن كان الأحوط </w:t>
      </w:r>
      <w:r>
        <w:rPr>
          <w:rStyle w:val="FootnoteAnchor"/>
          <w:rtl w:val="true"/>
        </w:rPr>
        <w:footnoteReference w:id="230"/>
      </w:r>
      <w:r>
        <w:rPr>
          <w:rFonts w:ascii="Amiri" w:hAnsi="Amiri" w:eastAsia="Amiri" w:cs="Amiri"/>
          <w:color w:val="111111"/>
          <w:sz w:val="28"/>
          <w:sz w:val="28"/>
          <w:szCs w:val="28"/>
          <w:rtl w:val="true"/>
          <w:lang w:bidi="ar-SA"/>
        </w:rPr>
        <w:t>مع ذلك القضاء</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1815016_2870459653"/>
      <w:bookmarkStart w:id="459" w:name="_Toc172"/>
      <w:bookmarkEnd w:id="458"/>
      <w:r>
        <w:rPr>
          <w:rtl w:val="true"/>
        </w:rPr>
        <w:t xml:space="preserve">المبحث الثالث </w:t>
      </w:r>
      <w:r>
        <w:rPr>
          <w:rtl w:val="true"/>
        </w:rPr>
        <w:t xml:space="preserve">: </w:t>
      </w:r>
      <w:r>
        <w:rPr>
          <w:rtl w:val="true"/>
        </w:rPr>
        <w:t>ما يجب فيه القضاء والكفّارة</w:t>
      </w:r>
      <w:bookmarkEnd w:id="45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تجب الكفّارة مع القضاء بتعمّد شيء من المفطرات عدا القيء إذا </w:t>
      </w:r>
      <w:bookmarkStart w:id="460" w:name="pg8988_116423"/>
    </w:p>
    <w:p>
      <w:pPr>
        <w:pStyle w:val="BookText"/>
        <w:rPr/>
      </w:pPr>
      <w:bookmarkEnd w:id="460"/>
      <w:r>
        <w:rPr>
          <w:rFonts w:ascii="Amiri" w:hAnsi="Amiri" w:eastAsia="Amiri" w:cs="Amiri"/>
          <w:color w:val="111111"/>
          <w:sz w:val="28"/>
          <w:sz w:val="28"/>
          <w:szCs w:val="28"/>
          <w:rtl w:val="true"/>
          <w:lang w:bidi="ar-SA"/>
        </w:rPr>
        <w:t>كان الصوم ممّا تجب هي فيه كشهر رمضان وقضائه بعد الزوال والنذر المعيّن وصوم الاعتكاف إذا وجب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شهر رمضان مخيّر بين العتق وصيام شهرين متتابعين وإطعام ستّين مسكيناً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مراعات الترتيب بين العتق ثمّ الصيام ثمّ الإطعام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وتتكرّر الكفّارة بتكرّر الموجب في يومين، بل في يوم واحد إذا كان الموجب جماعاً، ولا يترك الاحتياط في غير الجماع به بل لا يخلو عن قوّة مع تخلّل التكفير </w:t>
      </w:r>
      <w:r>
        <w:rPr>
          <w:rStyle w:val="FootnoteAnchor"/>
          <w:rtl w:val="true"/>
        </w:rPr>
        <w:footnoteReference w:id="231"/>
      </w:r>
      <w:r>
        <w:rPr>
          <w:rFonts w:ascii="Amiri" w:hAnsi="Amiri" w:eastAsia="Amiri" w:cs="Amiri"/>
          <w:color w:val="111111"/>
          <w:sz w:val="28"/>
          <w:sz w:val="28"/>
          <w:szCs w:val="28"/>
          <w:rtl w:val="true"/>
          <w:lang w:bidi="ar-SA"/>
        </w:rPr>
        <w:t>بينهما أو اختلاف جنس 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عجز عن الخصال الثلاثة في كفّارة شهر رمضان صام ثمانية عشر يوماً أو تصدّق بما يطيق مخيّراً بينهما ، والأحوط الصوم ولو عجز أتى بالممكن منها فإن لم يقدر على شيءٍ استغفر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الكفّارة وكفّر بعد التمكّن في الأحوط </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1815018_2870459653"/>
      <w:bookmarkStart w:id="462" w:name="_Toc173"/>
      <w:bookmarkEnd w:id="461"/>
      <w:r>
        <w:rPr>
          <w:rtl w:val="true"/>
        </w:rPr>
        <w:t xml:space="preserve">المبحث الرابع </w:t>
      </w:r>
      <w:r>
        <w:rPr>
          <w:rtl w:val="true"/>
        </w:rPr>
        <w:t xml:space="preserve">: </w:t>
      </w:r>
      <w:r>
        <w:rPr>
          <w:rtl w:val="true"/>
        </w:rPr>
        <w:t>ما یجب فیه القضاء خاصّة</w:t>
      </w:r>
      <w:bookmarkEnd w:id="462"/>
    </w:p>
    <w:p>
      <w:pPr>
        <w:pStyle w:val="BookText"/>
        <w:rPr/>
      </w:pPr>
      <w:r>
        <w:rPr>
          <w:rFonts w:ascii="Amiri" w:hAnsi="Amiri" w:eastAsia="Amiri" w:cs="Amiri"/>
          <w:color w:val="111111"/>
          <w:sz w:val="28"/>
          <w:sz w:val="28"/>
          <w:szCs w:val="28"/>
          <w:rtl w:val="true"/>
          <w:lang w:bidi="ar-SA"/>
        </w:rPr>
        <w:t>يجب القضاء خاصّة في شهر رمضان بأمور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المفطر قبل مراعات الفجر مع القدرة ثمّ ظهر سبق طلوعه بخلاف العاجز مع أنّ الأحوط خصوصاً للمتمكّن عن السؤال القضاء، بخلاف من راعى ولم ير الفجر فأكل فصادف فإنّه لا 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إخلاداً إلى من أخبره </w:t>
      </w:r>
      <w:r>
        <w:rPr>
          <w:rStyle w:val="FootnoteAnchor"/>
          <w:rtl w:val="true"/>
        </w:rPr>
        <w:footnoteReference w:id="232"/>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كالجارية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الفجر لم يطلع مع القدرة على عرفانه ويكون طالعاً، بل الأقوى ذلك وإن كان المُخبِر له بيّنةً 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العمل بقول المخبر بطلوع الفجر لزعمه سخريّة المخبر أو عدم العلم بصدقه ، بل يقوى وجوب الكفّارة مع القضاء إذا كان المخبر عدلين، بل الأحوط ذلك في العدل الواحد مع عدم احتمال السخريّة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اختصاص حكم المراعات بشهر رمضان </w:t>
      </w:r>
      <w:r>
        <w:rPr>
          <w:rStyle w:val="FootnoteAnchor"/>
          <w:rtl w:val="true"/>
        </w:rPr>
        <w:footnoteReference w:id="233"/>
      </w:r>
      <w:r>
        <w:rPr>
          <w:rFonts w:ascii="Amiri" w:hAnsi="Amiri" w:eastAsia="Amiri" w:cs="Amiri"/>
          <w:color w:val="111111"/>
          <w:sz w:val="28"/>
          <w:sz w:val="28"/>
          <w:szCs w:val="28"/>
          <w:rtl w:val="true"/>
          <w:lang w:bidi="ar-SA"/>
        </w:rPr>
        <w:t xml:space="preserve">دون غيره حتّى المضيّق والمعيّن فيبطل الجميع حينئذٍ بتبيّن الأكل بعد الفجر مطلقاً مع المراعات وعدمها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الإفطار تقليداً لمن أخبر أنّ الليل دخل وإن كان جائزاً له بل الأقوى وجوب الكفّارة مع عدم جواز التقليد وإن كان جاهلاً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الإفطار لظلمة موهمة قطع بحصول الليل منها ثمّ بان خطاؤه ولم يكن في السماء علّة، أمّا لو كانت فيها علّة فظنّ دخول الوقت ثمّ بان الخطاء فالأحوط القضاء أيضاً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 الماء إلى الفم للتبرّد بالمضمضة أو غيرها فسبقه فدخل الجوف فإنّه يقضي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جاز 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لو </w:t>
      </w:r>
    </w:p>
    <w:p>
      <w:pPr>
        <w:pStyle w:val="BookText"/>
        <w:rPr/>
      </w:pPr>
      <w:r>
        <w:rPr>
          <w:rFonts w:ascii="Amiri" w:hAnsi="Amiri" w:eastAsia="Amiri" w:cs="Amiri"/>
          <w:color w:val="111111"/>
          <w:sz w:val="28"/>
          <w:sz w:val="28"/>
          <w:szCs w:val="28"/>
          <w:rtl w:val="true"/>
          <w:lang w:bidi="ar-SA"/>
        </w:rPr>
        <w:t>ابتلعه لنسيان فإنّه لا قضاء وإن كان هو الأحوط ، كما أنّ الأحوط إلحاق العبث بالتبرّد</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قضاء في سبق الماء بالمضمضة للطهارة أو غيرها من الغايات بل ولا للتداوي وإزالة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إلحاق غير شهر رمضان به في حكم المضمضة للتبرّد وجه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bookmarkStart w:id="463" w:name="pg8988_116433"/>
    </w:p>
    <w:p>
      <w:pPr>
        <w:pStyle w:val="Heading3"/>
        <w:numPr>
          <w:ilvl w:val="2"/>
          <w:numId w:val="1"/>
        </w:numPr>
        <w:rPr/>
      </w:pPr>
      <w:bookmarkStart w:id="464" w:name="__RefHeading___Toc1815020_2870459653"/>
      <w:bookmarkStart w:id="465" w:name="_Toc174"/>
      <w:bookmarkEnd w:id="463"/>
      <w:bookmarkEnd w:id="464"/>
      <w:r>
        <w:rPr>
          <w:rtl w:val="true"/>
        </w:rPr>
        <w:t xml:space="preserve">الفصل الرابع </w:t>
      </w:r>
      <w:r>
        <w:rPr>
          <w:rtl w:val="true"/>
        </w:rPr>
        <w:t xml:space="preserve">: </w:t>
      </w:r>
      <w:r>
        <w:rPr>
          <w:rtl w:val="true"/>
        </w:rPr>
        <w:t>فيما يكره للصائم</w:t>
      </w:r>
      <w:bookmarkEnd w:id="465"/>
    </w:p>
    <w:p>
      <w:pPr>
        <w:pStyle w:val="BookText"/>
        <w:rPr/>
      </w:pPr>
      <w:r>
        <w:rPr>
          <w:rFonts w:ascii="Amiri" w:hAnsi="Amiri" w:eastAsia="Amiri" w:cs="Amiri"/>
          <w:color w:val="111111"/>
          <w:sz w:val="28"/>
          <w:sz w:val="28"/>
          <w:szCs w:val="28"/>
          <w:rtl w:val="true"/>
          <w:lang w:bidi="ar-SA"/>
        </w:rPr>
        <w:t>وهي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النساء تقبيلاً ولمساً وملاعبةً لمن تتحرّك شهوته بذلك ولم يقصد الإنزال بذلك ولم يكن من عادته، وإلّا حرم في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الاكتحال سيّما بما فيه المسك أو يجد طعمه في الحلق لما فيه من الصبر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إخراج الدم المضعِّف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الحمّام إذا خشي منه الضعف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السعوط المتعدّي إلى الحلق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 الرياحين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نبت طيّب الريح</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بأس بالطيب ولكن الأولى ترك المسك</w:t>
      </w:r>
      <w:r>
        <w:rPr>
          <w:rFonts w:eastAsia="Amiri" w:cs="Amiri" w:ascii="Amiri" w:hAnsi="Amiri"/>
          <w:color w:val="111111"/>
          <w:sz w:val="28"/>
          <w:szCs w:val="28"/>
          <w:rtl w:val="true"/>
          <w:lang w:bidi="ar-SA"/>
        </w:rPr>
        <w:t xml:space="preserve">. </w:t>
      </w:r>
      <w:bookmarkStart w:id="466" w:name="pg8988_116436"/>
    </w:p>
    <w:p>
      <w:pPr>
        <w:pStyle w:val="Heading3"/>
        <w:numPr>
          <w:ilvl w:val="2"/>
          <w:numId w:val="1"/>
        </w:numPr>
        <w:rPr/>
      </w:pPr>
      <w:bookmarkStart w:id="467" w:name="__RefHeading___Toc1815022_2870459653"/>
      <w:bookmarkStart w:id="468" w:name="_Toc175"/>
      <w:bookmarkEnd w:id="466"/>
      <w:bookmarkEnd w:id="467"/>
      <w:r>
        <w:rPr>
          <w:rtl w:val="true"/>
        </w:rPr>
        <w:t xml:space="preserve">الفصل الخامس </w:t>
      </w:r>
      <w:r>
        <w:rPr>
          <w:rtl w:val="true"/>
        </w:rPr>
        <w:t xml:space="preserve">: </w:t>
      </w:r>
      <w:r>
        <w:rPr>
          <w:rtl w:val="true"/>
        </w:rPr>
        <w:t>مَنْ يصحّ منه الصوم و مَن لا یصحّ</w:t>
      </w:r>
      <w:bookmarkEnd w:id="468"/>
    </w:p>
    <w:p>
      <w:pPr>
        <w:pStyle w:val="BookText"/>
        <w:rPr/>
      </w:pPr>
      <w:r>
        <w:rPr>
          <w:rFonts w:ascii="Amiri" w:hAnsi="Amiri" w:eastAsia="Amiri" w:cs="Amiri"/>
          <w:color w:val="111111"/>
          <w:sz w:val="28"/>
          <w:sz w:val="28"/>
          <w:szCs w:val="28"/>
          <w:rtl w:val="true"/>
          <w:lang w:bidi="ar-SA"/>
        </w:rPr>
        <w:t xml:space="preserve">يصحّ الصوم من العاقل المؤمن، فلا يصحّ من غير المؤمن ولا من المجنون ولو أدواريّاً في بعض النهار، ولا من السكران، بل ولا المُغمى عليه ولو في بعض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يصحّ من المسافر الذي يقصّر في صلاته إلّا ثلاثة أيّام في بدل الهدي والثمانية عشر يوماً فى بدل البدنة والنذر المشروط فيه السفر ولو مع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والجاهل بحكم المسافر لو صام يصحّ صومه ويجزيه، ولا يلحق به</w:t>
      </w:r>
      <w:r>
        <w:rPr>
          <w:rStyle w:val="FootnoteAnchor"/>
          <w:rtl w:val="true"/>
        </w:rPr>
        <w:footnoteReference w:id="236"/>
      </w:r>
      <w:r>
        <w:rPr>
          <w:rFonts w:ascii="Amiri" w:hAnsi="Amiri" w:eastAsia="Amiri" w:cs="Amiri"/>
          <w:color w:val="111111"/>
          <w:sz w:val="28"/>
          <w:sz w:val="28"/>
          <w:szCs w:val="28"/>
          <w:rtl w:val="true"/>
          <w:lang w:bidi="ar-SA"/>
        </w:rPr>
        <w:t>الناسي</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ويصحّ من المسافر الذي لا يقصّر في صلاته كناوي الإقامة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المريض الذي لا يتضرّر بالصوم دون من تضرّر به ولو بحدوث مرض آخر أو طول برأ الأوّل أو شدّة ألم فيه، بل الأقوى الاكتفاء بالخوف المعتدّ به فضلاً عن الظنّ، بل لو خاف الصحيح الضرر بالصوم كذلك لم يصحّ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صام بزعم عدم الضرر فبان الخلاف بعد الفراغ صحّ والأحوط القضاء في المعيّن</w:t>
      </w:r>
      <w:r>
        <w:rPr>
          <w:rFonts w:eastAsia="Amiri" w:cs="Amiri" w:ascii="Amiri" w:hAnsi="Amiri"/>
          <w:color w:val="111111"/>
          <w:sz w:val="28"/>
          <w:szCs w:val="28"/>
          <w:rtl w:val="true"/>
          <w:lang w:bidi="ar-SA"/>
        </w:rPr>
        <w:t xml:space="preserve">. </w:t>
      </w:r>
      <w:bookmarkStart w:id="469" w:name="pg8988_116440"/>
    </w:p>
    <w:p>
      <w:pPr>
        <w:pStyle w:val="Heading3"/>
        <w:numPr>
          <w:ilvl w:val="2"/>
          <w:numId w:val="1"/>
        </w:numPr>
        <w:rPr/>
      </w:pPr>
      <w:bookmarkStart w:id="470" w:name="__RefHeading___Toc1815024_2870459653"/>
      <w:bookmarkStart w:id="471" w:name="_Toc176"/>
      <w:bookmarkEnd w:id="469"/>
      <w:bookmarkEnd w:id="470"/>
      <w:r>
        <w:rPr>
          <w:rtl w:val="true"/>
        </w:rPr>
        <w:t>الفصل السادس</w:t>
      </w:r>
      <w:bookmarkEnd w:id="471"/>
    </w:p>
    <w:p>
      <w:pPr>
        <w:pStyle w:val="Heading4"/>
        <w:numPr>
          <w:ilvl w:val="3"/>
          <w:numId w:val="1"/>
        </w:numPr>
        <w:rPr/>
      </w:pPr>
      <w:bookmarkStart w:id="472" w:name="__RefHeading___Toc1815026_2870459653"/>
      <w:bookmarkStart w:id="473" w:name="_Toc177"/>
      <w:bookmarkEnd w:id="472"/>
      <w:r>
        <w:rPr>
          <w:rtl w:val="true"/>
        </w:rPr>
        <w:t>اشارة</w:t>
      </w:r>
      <w:bookmarkEnd w:id="473"/>
    </w:p>
    <w:p>
      <w:pPr>
        <w:pStyle w:val="BookText"/>
        <w:rPr/>
      </w:pPr>
      <w:r>
        <w:rPr>
          <w:rFonts w:ascii="Amiri" w:hAnsi="Amiri" w:eastAsia="Amiri" w:cs="Amiri"/>
          <w:color w:val="111111"/>
          <w:sz w:val="28"/>
          <w:sz w:val="28"/>
          <w:szCs w:val="28"/>
          <w:rtl w:val="true"/>
          <w:lang w:bidi="ar-SA"/>
        </w:rPr>
        <w:t xml:space="preserve">أقسام الصوم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وندب ومكروه ومحظور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أربعة مباحث </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1815028_2870459653"/>
      <w:bookmarkStart w:id="475" w:name="_Toc178"/>
      <w:bookmarkEnd w:id="474"/>
      <w:r>
        <w:rPr>
          <w:rtl w:val="true"/>
        </w:rPr>
        <w:t>[</w:t>
      </w:r>
      <w:r>
        <w:rPr>
          <w:rtl w:val="true"/>
        </w:rPr>
        <w:t>المبحث</w:t>
      </w:r>
      <w:r>
        <w:rPr>
          <w:rtl w:val="true"/>
        </w:rPr>
        <w:t xml:space="preserve">] </w:t>
      </w:r>
      <w:r>
        <w:rPr>
          <w:rtl w:val="true"/>
        </w:rPr>
        <w:t>الأوّل</w:t>
      </w:r>
      <w:r>
        <w:rPr>
          <w:rtl w:val="true"/>
        </w:rPr>
        <w:t xml:space="preserve">: </w:t>
      </w:r>
      <w:r>
        <w:rPr>
          <w:rtl w:val="true"/>
        </w:rPr>
        <w:t>في الواجب</w:t>
      </w:r>
      <w:bookmarkEnd w:id="475"/>
    </w:p>
    <w:p>
      <w:pPr>
        <w:pStyle w:val="BookText"/>
        <w:rPr/>
      </w:pPr>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شهر رمضان، وصوم الكفّارات، وصوم القضاء، وصوم دم المتعة في الحجّ، و صوم النذر وأخويه، وصوم الثالث من الاعتكاف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الهلال بالرؤية والشياع المفيد للعلم فيجب الصوم على من حصل 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انفرد أو رُدَّت 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وبالبيّنة الشرعيّة وحكم الحاكم الذي لم يعلم خطاؤه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يجب الصوم على البالغ العاقل الصحيح الحاضر أو ما في حكمه الخالي من الحيض والنفاس</w:t>
      </w:r>
      <w:r>
        <w:rPr>
          <w:rFonts w:eastAsia="Amiri" w:cs="Amiri" w:ascii="Amiri" w:hAnsi="Amiri"/>
          <w:color w:val="111111"/>
          <w:sz w:val="28"/>
          <w:szCs w:val="28"/>
          <w:rtl w:val="true"/>
          <w:lang w:bidi="ar-SA"/>
        </w:rPr>
        <w:t xml:space="preserve">. </w:t>
      </w:r>
      <w:bookmarkStart w:id="476" w:name="pg8988_116443"/>
    </w:p>
    <w:p>
      <w:pPr>
        <w:pStyle w:val="BookText"/>
        <w:rPr/>
      </w:pPr>
      <w:bookmarkEnd w:id="476"/>
      <w:r>
        <w:rPr>
          <w:rFonts w:ascii="Amiri" w:hAnsi="Amiri" w:eastAsia="Amiri" w:cs="Amiri"/>
          <w:color w:val="111111"/>
          <w:sz w:val="28"/>
          <w:sz w:val="28"/>
          <w:szCs w:val="28"/>
          <w:rtl w:val="true"/>
          <w:lang w:bidi="ar-SA"/>
        </w:rPr>
        <w:t xml:space="preserve">فلا يجب على الصبيّ والمجنون إلّا أن يكملا قبل الفجر دون ما بعده وإن كان الأحوط الصوم في المعيّن </w:t>
      </w:r>
      <w:r>
        <w:rPr>
          <w:rStyle w:val="FootnoteAnchor"/>
          <w:rtl w:val="true"/>
        </w:rPr>
        <w:footnoteReference w:id="237"/>
      </w:r>
      <w:r>
        <w:rPr>
          <w:rFonts w:ascii="IRNazanin" w:hAnsi="IRNazanin" w:eastAsia="IRNazanin"/>
          <w:color w:val="111111"/>
          <w:sz w:val="28"/>
          <w:sz w:val="28"/>
          <w:szCs w:val="28"/>
          <w:rtl w:val="true"/>
          <w:lang w:bidi="fa-IR"/>
        </w:rPr>
        <w:t>ثمّ القضاء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على المريض المتضرّر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وجب عليه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لو برأ قبل الزوال ولم يكن قد تناول شيئاً جدّد النيّة وصام في شهر رمضان بخلاف ما لو برأ بعد الزوال أو كان قد تناول وإن استحبّ له الإمساك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والمسافر قبل الزوال يفطر مطلقاً بَيَّتَ السفر ليلاً أم لا ؛ وبعده يُتمّ صومه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حضر المسافر بلده أو بلداً عزم على الإقامة فيه كان بحكم المريض في الوجوب لو كان قبل الزوال ولم يكن قد تناول المفطر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ويتعيّن على المسافر الإفطار في الأماكن الأربعة وإن اختار التمام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ويتعيّن عليه البقاء على الصوم لو خرج بعد الزوال وإن وجب عليه القصر </w:t>
      </w:r>
      <w:r>
        <w:rPr>
          <w:rFonts w:eastAsia="Amiri" w:cs="Amiri" w:ascii="Amiri" w:hAnsi="Amiri"/>
          <w:color w:val="111111"/>
          <w:sz w:val="28"/>
          <w:szCs w:val="28"/>
          <w:rtl w:val="true"/>
          <w:lang w:bidi="ar-SA"/>
        </w:rPr>
        <w:t>.</w:t>
      </w:r>
    </w:p>
    <w:p>
      <w:pPr>
        <w:pStyle w:val="Heading3"/>
        <w:numPr>
          <w:ilvl w:val="2"/>
          <w:numId w:val="1"/>
        </w:numPr>
        <w:rPr/>
      </w:pPr>
      <w:bookmarkStart w:id="477" w:name="__RefHeading___Toc1815030_2870459653"/>
      <w:bookmarkStart w:id="478" w:name="_Toc179"/>
      <w:bookmarkEnd w:id="477"/>
      <w:r>
        <w:rPr>
          <w:rtl w:val="true"/>
        </w:rPr>
        <w:t>شروط القضاء</w:t>
      </w:r>
      <w:bookmarkEnd w:id="478"/>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يجب معها وينتفي بانتفائها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والعقل، والإسلام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قضاء على غير البالغ إلّا اليوم الذي بلغ قبل فجره ولم يصمه حتّى لو بلغ قبله في زمان لا يسعه الطهارة ولو الترابيّة بل لو قارن بلوغه طلوع الفجر وجب الصوم ؛ وكذا الكلام في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bookmarkStart w:id="479" w:name="pg8988_116446"/>
    </w:p>
    <w:p>
      <w:pPr>
        <w:pStyle w:val="BookText"/>
        <w:rPr/>
      </w:pPr>
      <w:bookmarkEnd w:id="479"/>
      <w:r>
        <w:rPr>
          <w:rFonts w:ascii="IRNazanin" w:hAnsi="IRNazanin" w:eastAsia="IRNazanin"/>
          <w:color w:val="111111"/>
          <w:sz w:val="28"/>
          <w:sz w:val="28"/>
          <w:szCs w:val="28"/>
          <w:rtl w:val="true"/>
          <w:lang w:bidi="fa-IR"/>
        </w:rPr>
        <w:t>المغمى عليه ولا على من أسلم عن كفر ، بل لو أسلم في أثناء النهار لم يجب عليه الصوم ولا قضاؤه من غير فرق بين ما قبل الزوال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عدا هؤلاء يجب عليه القضاء، ويدخل فيه النائم والغافل الّذان لم تصدر منهما النيّة في محلّها ، بل والسكران، والشيخ الكبير كذلك، وذوو العطاش الذين يشقّ عليهم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وجب عليهم الإفطار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يشترط منه تمكّنهم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ويجب عليهم معه التصدّق عن كلّ يوم بمدّ من الطعام بل الأحوط مدّان والأحوط عدم الفرق في ذلك بین كون الإفطار للعجز عن الصوم أو </w:t>
      </w:r>
      <w:r>
        <w:rPr>
          <w:rStyle w:val="FootnoteAnchor"/>
          <w:rtl w:val="true"/>
        </w:rPr>
        <w:footnoteReference w:id="238"/>
      </w:r>
      <w:r>
        <w:rPr>
          <w:rFonts w:ascii="Amiri" w:hAnsi="Amiri" w:eastAsia="Amiri" w:cs="Amiri"/>
          <w:color w:val="111111"/>
          <w:sz w:val="28"/>
          <w:sz w:val="28"/>
          <w:szCs w:val="28"/>
          <w:rtl w:val="true"/>
          <w:lang w:bidi="ar-SA"/>
        </w:rPr>
        <w:t>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يجب القضاء والفدية بالمقدار المزبور على الحامل المقرب التي يضرّ بها الصوم والمرضعة القليلة اللبن من مالها سواء خافت على نفسها أو الولد</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1815032_2870459653"/>
      <w:bookmarkStart w:id="481" w:name="_Toc180"/>
      <w:bookmarkEnd w:id="480"/>
      <w:r>
        <w:rPr>
          <w:rtl w:val="true"/>
        </w:rPr>
        <w:t>احکام القضاء</w:t>
      </w:r>
      <w:bookmarkEnd w:id="48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فور في القضاء وكذا لا ترتيب بين أفراد القضاء إذا كان عليه رمضانان فصاعدا وإن كان لا يبعد تقديم الحاضر عند التضييق الذي هو الأحوط ، نعم لا يجوز التطوّع بشيء لمن عليه صوم واجب قضاءً كان أو غيره من كفّارة ونحوها، بل الظاهر ذلك وإن لم يكن متمكّناً من أدائه لسفر أو نحوه، نعم لو نسي الواجب حتّى فرغ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في الأثناء قطع وله نيّة الواجب معه حينئذٍ مع بقاء محلّها </w:t>
      </w:r>
      <w:r>
        <w:rPr>
          <w:rFonts w:eastAsia="Amiri" w:cs="Amiri" w:ascii="Amiri" w:hAnsi="Amiri"/>
          <w:color w:val="111111"/>
          <w:sz w:val="28"/>
          <w:szCs w:val="28"/>
          <w:rtl w:val="true"/>
          <w:lang w:bidi="ar-SA"/>
        </w:rPr>
        <w:t xml:space="preserve">. </w:t>
      </w:r>
      <w:bookmarkStart w:id="482" w:name="pg8988_116449"/>
    </w:p>
    <w:p>
      <w:pPr>
        <w:pStyle w:val="BookText"/>
        <w:rPr/>
      </w:pPr>
      <w:bookmarkEnd w:id="482"/>
      <w:r>
        <w:rPr>
          <w:rFonts w:ascii="IRNazanin" w:hAnsi="IRNazanin" w:eastAsia="IRNazanin"/>
          <w:color w:val="111111"/>
          <w:sz w:val="28"/>
          <w:sz w:val="28"/>
          <w:szCs w:val="28"/>
          <w:rtl w:val="true"/>
          <w:lang w:bidi="fa-IR"/>
        </w:rPr>
        <w:t xml:space="preserve">ومن استمرّ به المرض إلى رمضان آخر سقط قضاؤه وكفّر عن كلّ یوم بمدّ والأحوط فعله معها، ولا يلحق بالمرض غيره من الأعذار كالسفر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برأ بينهما وأخَّره عازماً على القضاء المتمكّن منه ثمّ اتّفق حصول العذر عند الضيق قضاه وكفّر على الأحوط بل لا يُترك هذا الاحتياط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ترك غير عازم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العزم على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أدركه رمضان اللاحق أو عذر آخر مستمرّاً إليه قضاه بعد اللاحق وكفّر عن كلّ يوم، وكذا لو عزم على العدم عند الضيق وإن كان عازماً على الفعل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 المرض من الأعذار كالمرض هنا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ومقدار الكفّارة 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 والأحوط 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تتكرّر بتكرّر السنين من غير فرق بين فدية الاستمرار وفدية التهاون </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1815034_2870459653"/>
      <w:bookmarkStart w:id="484" w:name="_Toc181"/>
      <w:bookmarkEnd w:id="483"/>
      <w:r>
        <w:rPr>
          <w:rtl w:val="true"/>
        </w:rPr>
        <w:t>قضاء الولیّ عن المیّت</w:t>
      </w:r>
      <w:bookmarkEnd w:id="484"/>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الولي القضاء عن الميّت مطلقاً ما فاته عمداً أو بعذر كمرض أو سفر أو نحوهما ، نعم إنّما يجب إذا كان قد تمكّن الميّت من القضاء وأهمل وإن كان الأحوط فيما فات في السفر القضاء عنه مطلقاً سواء تمكّن من الإقامة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قضاء الصلاة المراد من الولي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للصائم قضاءً شهر رمضان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الإفطارُ قبل الزوال إذا لم يكن قد تعيّن بضيق ونحوه، أمّا بعده فيحرم بل يجب عليه الكفّارة بذلك ، ولا يجب عليه إمساك بقيّة </w:t>
      </w:r>
      <w:bookmarkStart w:id="485" w:name="pg8988_116452"/>
    </w:p>
    <w:p>
      <w:pPr>
        <w:pStyle w:val="BookText"/>
        <w:rPr/>
      </w:pPr>
      <w:bookmarkEnd w:id="485"/>
      <w:r>
        <w:rPr>
          <w:rFonts w:ascii="Amiri" w:hAnsi="Amiri" w:eastAsia="Amiri" w:cs="Amiri"/>
          <w:color w:val="111111"/>
          <w:sz w:val="28"/>
          <w:sz w:val="28"/>
          <w:szCs w:val="28"/>
          <w:rtl w:val="true"/>
          <w:lang w:bidi="ar-SA"/>
        </w:rPr>
        <w:t>يومه</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عشرة مساكين لكلّ مسكين مدّ، فإن عجز صام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في غير قضاء شهر رمضان من الواجب الموسّع الإفطار ولو بعد الزوال وإن كان الأحوط خلافه خصوصاً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إلحاق قضاء شهر رمضان عن الغير تبرّعاً أو بملزِمِ شرعيٍ به في الحكم المذكور وإن كان يقوى خلافه </w:t>
      </w:r>
      <w:r>
        <w:rPr>
          <w:rFonts w:eastAsia="Amiri" w:cs="Amiri" w:ascii="Amiri" w:hAnsi="Amiri"/>
          <w:color w:val="111111"/>
          <w:sz w:val="28"/>
          <w:szCs w:val="28"/>
          <w:rtl w:val="true"/>
          <w:lang w:bidi="ar-SA"/>
        </w:rPr>
        <w:t>.</w:t>
      </w:r>
    </w:p>
    <w:p>
      <w:pPr>
        <w:pStyle w:val="Heading3"/>
        <w:numPr>
          <w:ilvl w:val="2"/>
          <w:numId w:val="1"/>
        </w:numPr>
        <w:rPr/>
      </w:pPr>
      <w:bookmarkStart w:id="486" w:name="__RefHeading___Toc1815036_2870459653"/>
      <w:bookmarkStart w:id="487" w:name="_Toc182"/>
      <w:bookmarkEnd w:id="486"/>
      <w:r>
        <w:rPr>
          <w:rtl w:val="true"/>
        </w:rPr>
        <w:t>في صوم الكفّارة</w:t>
      </w:r>
      <w:bookmarkEnd w:id="487"/>
    </w:p>
    <w:p>
      <w:pPr>
        <w:pStyle w:val="Heading4"/>
        <w:numPr>
          <w:ilvl w:val="3"/>
          <w:numId w:val="1"/>
        </w:numPr>
        <w:rPr/>
      </w:pPr>
      <w:bookmarkStart w:id="488" w:name="__RefHeading___Toc1815038_2870459653"/>
      <w:bookmarkStart w:id="489" w:name="_Toc183"/>
      <w:bookmarkEnd w:id="488"/>
      <w:r>
        <w:rPr>
          <w:rtl w:val="true"/>
        </w:rPr>
        <w:t>اشارة</w:t>
      </w:r>
      <w:bookmarkEnd w:id="489"/>
    </w:p>
    <w:p>
      <w:pPr>
        <w:pStyle w:val="BookText"/>
        <w:rPr/>
      </w:pPr>
      <w:r>
        <w:rPr>
          <w:rFonts w:ascii="IRNazanin" w:hAnsi="IRNazanin" w:eastAsia="IRNazanin"/>
          <w:color w:val="111111"/>
          <w:sz w:val="28"/>
          <w:sz w:val="28"/>
          <w:szCs w:val="28"/>
          <w:rtl w:val="true"/>
          <w:lang w:bidi="fa-IR"/>
        </w:rPr>
        <w:t xml:space="preserve">الفصل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صوم الکفّاره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أبحاث </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1815040_2870459653"/>
      <w:bookmarkStart w:id="491" w:name="_Toc184"/>
      <w:bookmarkEnd w:id="490"/>
      <w:r>
        <w:rPr>
          <w:rtl w:val="true"/>
        </w:rPr>
        <w:t>المبحث الاوّل</w:t>
      </w:r>
      <w:bookmarkEnd w:id="4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ثلاثة عشر قسماً وإن اختلف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فيه مع غيره، وهو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قتل العمد، ومن أفطر على محرّم في شهر</w:t>
      </w:r>
    </w:p>
    <w:p>
      <w:pPr>
        <w:pStyle w:val="BookText"/>
        <w:rPr/>
      </w:pPr>
      <w:r>
        <w:rPr>
          <w:rFonts w:ascii="IRNazanin" w:hAnsi="IRNazanin" w:eastAsia="IRNazanin"/>
          <w:color w:val="111111"/>
          <w:sz w:val="28"/>
          <w:sz w:val="28"/>
          <w:szCs w:val="28"/>
          <w:rtl w:val="true"/>
          <w:lang w:bidi="fa-IR"/>
        </w:rPr>
        <w:t>رمضان عامداً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وبين ما يجب الصوم فيه بعد العجز عن غيره،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قتل الخطأ ، والظهار التي رتّب الصوم فيها على عدم استطاعته التحرير، وكفّارة الإفطار في قضاء شهر رمضان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بین ما یجب فيه الصوم مخيّراً بينه وبين غيره، وهو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كفّارة </w:t>
      </w:r>
    </w:p>
    <w:p>
      <w:pPr>
        <w:pStyle w:val="BookText"/>
        <w:rPr/>
      </w:pPr>
      <w:r>
        <w:rPr>
          <w:rFonts w:ascii="Amiri" w:hAnsi="Amiri" w:eastAsia="Amiri" w:cs="Amiri"/>
          <w:color w:val="111111"/>
          <w:sz w:val="28"/>
          <w:sz w:val="28"/>
          <w:szCs w:val="28"/>
          <w:rtl w:val="true"/>
          <w:lang w:bidi="ar-SA"/>
        </w:rPr>
        <w:t>شهر رمضان، وكفّارة الاعتكاف التي مثلها، وكفّارة حلق الرأس في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ما يجب فيه مرتباً على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الواطي أمته المحرمة بإذنه فإنّها بدنة أو بقرة فإن عجز فشاة أو صيام ثلاثة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المبحث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الصوم بل كلّ صوم واجب كذلك يجب فیه التتابع ولو لاقتضاء الزمان ذلك كشهر رمضان عدا أربعة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النذر وأخويه مجرّداً عمّا يقتضي التتابع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المقصود المنساق فالأحوط مراعات التتابع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صوم قضاء الواجب ولو نذراً معيّناً أو شرط فيه التتابع في قضاء شهر رمضان وفي الأخير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الصيد وإن كان نعامة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السبعة بدل الهدي والأحوط التتابع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يشترط فيه التتابع إذا أفطر في أثنائه لعذر بنى عند زواله ولا يستأنف، من غير فرق في العذر بين المرض والحيض وغيرهما من الأعذار التي يرتفع خطاب الصوم معها وإن كانت أسبابها من العبد بعد تجويز الشارع له فعلها فيندرج فيها السفر وإن لم يكن اضطراريّاً ونسيان النيّة حتّى فات وقتها أو نذر ما ينافي التتابع قبل تعلّق الكفّارة كصوم كلّ خميس، ويجزيه حينئذٍ المتابعة فيما عداه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بتعمّد الإخلال بالتتابع في الشهرين بعد صيام شهر ويوم من الثاني من غير فرق في الشهرين بين كونهما كفّارة أو منذورين </w:t>
      </w:r>
      <w:bookmarkStart w:id="492" w:name="pg8988_116458"/>
    </w:p>
    <w:p>
      <w:pPr>
        <w:pStyle w:val="BookText"/>
        <w:rPr/>
      </w:pPr>
      <w:bookmarkEnd w:id="492"/>
      <w:r>
        <w:rPr>
          <w:rFonts w:ascii="Amiri" w:hAnsi="Amiri" w:eastAsia="Amiri" w:cs="Amiri"/>
          <w:color w:val="111111"/>
          <w:sz w:val="28"/>
          <w:sz w:val="28"/>
          <w:szCs w:val="28"/>
          <w:rtl w:val="true"/>
          <w:lang w:bidi="ar-SA"/>
        </w:rPr>
        <w:t xml:space="preserve">متتابعين إذا لم يقصد تتابع الأيّام جميعها وإلّا تعيّن، ولا بالإخلال به عمداً كما في الشهر المتتابع بنذر وقد صام خمسة عشر منه ولا يحتاج إلى زيادة يوم من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بالشهر غيره في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لمن عليه صوم متتابع أن يبدأه في زمان يعلم أنّه لا يسلم له بتخلّل عيد أو شهر رمضان، نعم لو لم يعلم فاتّفق له فلا بأس به</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1815042_2870459653"/>
      <w:bookmarkStart w:id="494" w:name="_Toc185"/>
      <w:bookmarkEnd w:id="493"/>
      <w:r>
        <w:rPr>
          <w:rtl w:val="true"/>
        </w:rPr>
        <w:t>المبحث الثاني</w:t>
      </w:r>
      <w:r>
        <w:rPr>
          <w:rtl w:val="true"/>
        </w:rPr>
        <w:t xml:space="preserve">: </w:t>
      </w:r>
      <w:r>
        <w:rPr>
          <w:rtl w:val="true"/>
        </w:rPr>
        <w:t>في الصوم المندوب</w:t>
      </w:r>
      <w:bookmarkEnd w:id="494"/>
    </w:p>
    <w:p>
      <w:pPr>
        <w:pStyle w:val="BookText"/>
        <w:rPr/>
      </w:pPr>
      <w:r>
        <w:rPr>
          <w:rFonts w:ascii="Amiri" w:hAnsi="Amiri" w:eastAsia="Amiri" w:cs="Amiri"/>
          <w:color w:val="111111"/>
          <w:sz w:val="28"/>
          <w:sz w:val="28"/>
          <w:szCs w:val="28"/>
          <w:rtl w:val="true"/>
          <w:lang w:bidi="ar-SA"/>
        </w:rPr>
        <w:t xml:space="preserve">الذي هو الجنّة من النار، وزكاة الأبدان ، وبه يدخل العبد الجنّة، بل نوم الصائم عبادة ونَفَسه وصمته تسبيح وعمله متقبّل ودعاؤه مستجاب وخلوق فمه عند الله أحبّ من ريح المسك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والمؤكّد منه أفراد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ثلاثة أيّام من كلّ شهر وأفضل كيفيّاتها أوّل خميس منه وآخر خميس وأوّل أربعاء من العشرة الأواخر ، ويوم الغدير فإنّه يعدل ماءة حجّة وماءة عمرة مبرورات متقبّلات ، ويوم مولود النبي صلی الله علیه و سلم ، ويوم مبعثه، ويوم دحو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الخامس والعشرون من ذي القعدة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كفّارة لسبعين سنة ويستغفر له كلّ شيء بين السماء والأرض، ويوم عرفة لمن لم يضعّفه الصوم عن الدعاء وتَحَقَّق الهلال، ويوم المباهلة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الرابع والعشرون من ذي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وكلّ خميس وجمعة ، وأوّل ذي الحجّة، ورجب وشعبان كلّاً أو بعضاً، ويوم النيروز ، وأوّل يوم من المحرّم وثالثه وسابعه ، والتاسع والعشرون من ذي القعدة، إلى غير ذلك</w:t>
      </w:r>
      <w:r>
        <w:rPr>
          <w:rFonts w:eastAsia="IRNazanin" w:cs="IRNazanin"/>
          <w:color w:val="111111"/>
          <w:sz w:val="28"/>
          <w:szCs w:val="28"/>
          <w:rtl w:val="true"/>
          <w:lang w:bidi="fa-IR"/>
        </w:rPr>
        <w:t xml:space="preserve">. </w:t>
      </w:r>
      <w:bookmarkStart w:id="495" w:name="pg8988_116461"/>
    </w:p>
    <w:p>
      <w:pPr>
        <w:pStyle w:val="Heading4"/>
        <w:numPr>
          <w:ilvl w:val="3"/>
          <w:numId w:val="1"/>
        </w:numPr>
        <w:rPr/>
      </w:pPr>
      <w:bookmarkStart w:id="496" w:name="__RefHeading___Toc1815044_2870459653"/>
      <w:bookmarkStart w:id="497" w:name="_Toc186"/>
      <w:bookmarkEnd w:id="495"/>
      <w:bookmarkEnd w:id="496"/>
      <w:r>
        <w:rPr>
          <w:rtl w:val="true"/>
        </w:rPr>
        <w:t>المبحث الثالث</w:t>
      </w:r>
      <w:r>
        <w:rPr>
          <w:rtl w:val="true"/>
        </w:rPr>
        <w:t xml:space="preserve">: </w:t>
      </w:r>
      <w:r>
        <w:rPr>
          <w:rtl w:val="true"/>
        </w:rPr>
        <w:t>في الصوم المكروه</w:t>
      </w:r>
      <w:bookmarkEnd w:id="497"/>
    </w:p>
    <w:p>
      <w:pPr>
        <w:pStyle w:val="BookText"/>
        <w:rPr/>
      </w:pPr>
      <w:r>
        <w:rPr>
          <w:rFonts w:ascii="Amiri" w:hAnsi="Amiri" w:eastAsia="Amiri" w:cs="Amiri"/>
          <w:color w:val="111111"/>
          <w:sz w:val="28"/>
          <w:sz w:val="28"/>
          <w:szCs w:val="28"/>
          <w:rtl w:val="true"/>
          <w:lang w:bidi="ar-SA"/>
        </w:rPr>
        <w:t xml:space="preserve">يكره يومَ عرفة لمن خاف أن يضعّفه عن الدعاء ومع الشكّ في الهلال مع تخوّف أن يكون يوم العيد، وصومُ الضيف نافلةً من دون إذن مضيّفه، وكذا صوم الولد من غير إذن والده بل الأولى مراعات إذن الوالدة أيضاً </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1815046_2870459653"/>
      <w:bookmarkStart w:id="499" w:name="_Toc187"/>
      <w:bookmarkEnd w:id="498"/>
      <w:r>
        <w:rPr>
          <w:rtl w:val="true"/>
        </w:rPr>
        <w:t>المبحث الرابع</w:t>
      </w:r>
      <w:r>
        <w:rPr>
          <w:rtl w:val="true"/>
        </w:rPr>
        <w:t xml:space="preserve">: </w:t>
      </w:r>
      <w:r>
        <w:rPr>
          <w:rtl w:val="true"/>
        </w:rPr>
        <w:t>في الصوم المحظور</w:t>
      </w:r>
      <w:bookmarkEnd w:id="49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يحرم صومُ العيدين، وأيّام التشريق لمن كان بمنى ناسكاً أم لا، ويوم الثلاثين من شعبان على أنّه من رمضان ، والصوم وفاءً عن نذر معصية، وصوم الوصال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كونه أعمّ من نيّة صوم يوم وليلة إلى السحر أو يومين مع ليلة ولا بأس بتأخير الإفطار ولو إلى الليلة الثانية مع عدم النيّة والأحوط اجتنابه ، كما أنّ الأحوط عدم صوم الزوجة أو المملوكة تطوّعاً بدون إذن الزوج والسيّد وإن كان الأقوى الجواز إذا لم يمنع ذلك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500" w:name="pg8988_116463"/>
    </w:p>
    <w:p>
      <w:pPr>
        <w:pStyle w:val="Heading2"/>
        <w:numPr>
          <w:ilvl w:val="1"/>
          <w:numId w:val="1"/>
        </w:numPr>
        <w:rPr/>
      </w:pPr>
      <w:bookmarkStart w:id="501" w:name="__RefHeading___Toc1815048_2870459653"/>
      <w:bookmarkStart w:id="502" w:name="_Toc188"/>
      <w:bookmarkEnd w:id="500"/>
      <w:bookmarkEnd w:id="501"/>
      <w:r>
        <w:rPr>
          <w:rtl w:val="true"/>
        </w:rPr>
        <w:t>فهرس مصادر التحقيق</w:t>
      </w:r>
      <w:bookmarkEnd w:id="5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أحمد بن علي الطبرسي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السیّد محمد باقر الخرسان؛ مطبعة النجف الأشرف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أساس البلاغة؛ محمود بن عمر الزمخشري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 لبنان ؛ الطبعة الأولى؛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لدرر أخبار الأئمّة الأطهار علیهم السلام ؛ العلّامة محمّد باقر المجلسي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مؤسسة الوفاء؛ بيروت؛ الطبعة الثانية؛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بدائع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 محاضرات الأستاذ المحقّق العلّامة آية الله العظمى الحاج السيّد علي الموسوي البهبهاني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السيّد علي الشفيعي؛ انتشارات خوزستان؛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تاج العروس من جواهر القاموس؛ السيّد محمّد مرتضى الحسيني الواسطي الزبيدي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علي شيري؛ دارالفکر ؛ بيروت؛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تعليقات على العروة الوثقى ؛ السيّد علي البهبهاني؛ الطبعة العلميّة ؛ قم؛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الكلام في شرح شرائع الإسلام؛ الشيخ محمّد حسن النجفي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الشيخ عبّاس القوچاني ثمّ الشيخ علي الآخوندي ثمّ محمود القوچاني؛ دار الكتب الإسلاميّة؛ طهران؛ الطبعة السابعة؛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ربيع المغاني في تراجم آل البهبهاني الحائري الأرگاني؛ الشيخ محمود الأرگاني البهبهاني؛ دارالمودّة؛ قم ؛ الطبعة الأولى ؛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جامع المسائل؛ فتاوى السيّد علي البهبهاني قدس سرّه؛ نشر کتابخانۀ صدر؛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حال، آثار و افکار آية الله بهبهاني؛ علي دواني؛ نشر كتابخانه صدر؛ طهران؛ الطبعة الأولى ؛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اللغة وصحاح اللغة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إسماعيل بن حمّاد الجوهري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عبدالغفور عطّار ؛ دارالعلم للملايين ؛ بيروت ؛ الطبعة الرابعة ؛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طبقات أعلام الشيعة؛ نقباء البشر في القرن الرابع عشر؛ آقا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الطهراني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محمد الطباطبائي البهبهاني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مكتبة، متحف، و مركز وثائق مجلس الشورى الإسلامي؛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الإسلاميّة التابع للآستانة الرضويّة ، مشهد ؛ الطبعة الأولى؛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تعليقات أربعة من العلماء العظام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السيّد محمدكاظم الطباطبائي اليزدي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اسماعيليان ؛ قم ؛ الطبعة الرابعة ؛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عباد الله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أحمد ناصح ؛ مؤسسة المعارف الإسلاميّة ؛ قم ؛ الطبعة الأولى ؛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القاموس المحيط ؛ محمد بن يعقوب الفيروزآبادي الشيرازي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دارالمعرفة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گنجینۀ دانشمندان ؛ محمد شريف الرازي ؛ نشر كتابفروشي إسلامية ؛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 محمد بن مكرم بن منظور الإفريقي المصري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أدب الحوزة ؛ قم؛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مجالس أهل إيمان در مساجد و تکایای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إعلانات لمجالس العزاء التي أقيمت في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کانون پرورش ؛ اصفهان؛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مجموعة مسائل عامّة البلوى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مشتملة على فتاوى الشيخ علي البهبهاني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مظفّري ؛ بمبئي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المنير في غريب الشرح الكبير للرافعي ؛ احمد بن محمد بن علي المقري الفيومي </w:t>
      </w:r>
      <w:r>
        <w:rPr>
          <w:rFonts w:eastAsia="IRNazanin" w:cs="IRNazanin"/>
          <w:color w:val="111111"/>
          <w:sz w:val="28"/>
          <w:szCs w:val="28"/>
          <w:rtl w:val="true"/>
          <w:lang w:bidi="fa-IR"/>
        </w:rPr>
        <w:t>(</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تصحیح محمّد محيى الدين عبدالحميد ؛ طبعة إيران بالأفست عن طبعة مصر مطبوعات محمد علي صبيح وأولاده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المعتبر في شرح المختصر ؛ نجم الدين جعفر بن الحسن المحقّق الحلّي </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عدّة من الأفاضل ؛ نشر مؤسّسة سيّد الشهداء علیه السلام ؛ قم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المفصّل في تراجم الأعلام ؛ السيّد أحمد الحسيني الأشكوري ؛ نشر مجمع الذخائر الإسلاميّة ؛ قم ؛ الطبعة الأولى ؛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المقاصد العليّة في شرح الرسالة الألفية، وحاشيتا الألفيّة ؛ زين الدين بن علي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نجاة المؤمنين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مشتملة على فتاوى الشيخ غلام علي البهبهاني طُبِعَتْ بعد وفاته مقرونةً بحواشي ولده الشيخ علي البهبهاني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في غريب الحديث والأثر ؛ ابن الأثير ، المبارك بن محمد الشيباني الجزري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طاهر أحمد الزاوي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محمّد الطناحي؛ طبعة مؤسسة إسماعيليان بالأفست عن طبعة مصر ؛ قم ؛ الطبعة الرابعة ؛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إلى تحصيل مسائل الشريعة ؛ محمد بن الحسن الحرّ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الميرزا عبدالرحيم الرباني ثمّ الشيخ محمد الرازي؛ المطبعة الإسلامية ؛ طهران ؛ الطبعة الأولى ؛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وسيلة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وبهامشه تعاليق بعض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السيّد أبو الحسن الاصفهاني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إعداد أحمد زادهوش؛ نشر وسپان؛ اصفهان؛ الطبعة الأولى؛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503" w:name="pg8988_116477"/>
    </w:p>
    <w:p>
      <w:pPr>
        <w:pStyle w:val="Heading2"/>
        <w:numPr>
          <w:ilvl w:val="1"/>
          <w:numId w:val="1"/>
        </w:numPr>
        <w:rPr/>
      </w:pPr>
      <w:bookmarkStart w:id="504" w:name="__RefHeading___Toc1815050_2870459653"/>
      <w:bookmarkStart w:id="505" w:name="_Toc189"/>
      <w:bookmarkEnd w:id="503"/>
      <w:bookmarkEnd w:id="504"/>
      <w:r>
        <w:rPr>
          <w:rtl w:val="true"/>
        </w:rPr>
        <w:t>المحتويات</w:t>
      </w:r>
      <w:bookmarkEnd w:id="505"/>
    </w:p>
    <w:p>
      <w:pPr>
        <w:pStyle w:val="BookText"/>
        <w:rPr/>
      </w:pPr>
      <w:r>
        <w:rPr>
          <w:rFonts w:ascii="Amiri" w:hAnsi="Amiri" w:eastAsia="Amiri" w:cs="Amiri"/>
          <w:color w:val="111111"/>
          <w:sz w:val="28"/>
          <w:sz w:val="28"/>
          <w:szCs w:val="28"/>
          <w:rtl w:val="true"/>
          <w:lang w:bidi="ar-SA"/>
        </w:rPr>
        <w:t>مقدّمة المحقّق</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الشّيخ علي البهبهاني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الأرگاني </w:t>
      </w:r>
      <w:r>
        <w:rPr>
          <w:rFonts w:eastAsia="IRNazanin" w:cs="IRNazanin"/>
          <w:color w:val="111111"/>
          <w:sz w:val="28"/>
          <w:szCs w:val="28"/>
          <w:rtl w:val="true"/>
          <w:lang w:bidi="fa-IR"/>
        </w:rPr>
        <w:t xml:space="preserve">) . . .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أساتذته </w:t>
      </w:r>
      <w:r>
        <w:rPr>
          <w:rFonts w:eastAsia="IRNazanin" w:cs="IRNazanin"/>
          <w:color w:val="111111"/>
          <w:sz w:val="28"/>
          <w:szCs w:val="28"/>
          <w:rtl w:val="true"/>
          <w:lang w:bidi="fa-IR"/>
        </w:rPr>
        <w:t xml:space="preserve">. . .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المجازون منه </w:t>
      </w:r>
      <w:r>
        <w:rPr>
          <w:rFonts w:eastAsia="IRNazanin" w:cs="IRNazanin"/>
          <w:color w:val="111111"/>
          <w:sz w:val="28"/>
          <w:szCs w:val="28"/>
          <w:rtl w:val="true"/>
          <w:lang w:bidi="fa-IR"/>
        </w:rPr>
        <w:t xml:space="preserve">. . .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تأليفاته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السيّد علي البهبهاني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مشايخه في الإجازة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تأليفاته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التعریف بالكتاب </w:t>
      </w:r>
      <w:r>
        <w:rPr>
          <w:rFonts w:eastAsia="IRNazanin" w:cs="IRNazanin"/>
          <w:color w:val="111111"/>
          <w:sz w:val="28"/>
          <w:szCs w:val="28"/>
          <w:rtl w:val="true"/>
          <w:lang w:bidi="fa-IR"/>
        </w:rPr>
        <w:t xml:space="preserve">. . .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عملنا في الكتاب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20</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الملحق المصوّر </w:t>
      </w:r>
      <w:r>
        <w:rPr>
          <w:rFonts w:eastAsia="IRNazanin" w:cs="IRNazanin"/>
          <w:color w:val="111111"/>
          <w:sz w:val="28"/>
          <w:szCs w:val="28"/>
          <w:rtl w:val="true"/>
          <w:lang w:bidi="fa-IR"/>
        </w:rPr>
        <w:t xml:space="preserve">. .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مقدّمة الكتاب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كتاب الطهارة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المياه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المياه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المستعمل في رفع الحدث والخبث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المبحث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الطاهر المشتبه بالنجس </w:t>
      </w:r>
      <w:r>
        <w:rPr>
          <w:rFonts w:eastAsia="IRNazanin" w:cs="IRNazanin"/>
          <w:color w:val="111111"/>
          <w:sz w:val="28"/>
          <w:szCs w:val="28"/>
          <w:rtl w:val="true"/>
          <w:lang w:bidi="fa-IR"/>
        </w:rPr>
        <w:t xml:space="preserve">. . .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المضاف؛ سؤر الحيوان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الخلوة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التخلّي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الاستنجاء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السنن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المبحث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الاستنجاء </w:t>
      </w:r>
      <w:r>
        <w:rPr>
          <w:rFonts w:eastAsia="IRNazanin" w:cs="IRNazanin"/>
          <w:color w:val="111111"/>
          <w:sz w:val="28"/>
          <w:szCs w:val="28"/>
          <w:rtl w:val="true"/>
          <w:lang w:bidi="fa-IR"/>
        </w:rPr>
        <w:t xml:space="preserve">. . .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المبحث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الاستبراء </w:t>
      </w:r>
      <w:r>
        <w:rPr>
          <w:rFonts w:eastAsia="IRNazanin" w:cs="IRNazanin"/>
          <w:color w:val="111111"/>
          <w:sz w:val="28"/>
          <w:szCs w:val="28"/>
          <w:rtl w:val="true"/>
          <w:lang w:bidi="fa-IR"/>
        </w:rPr>
        <w:t xml:space="preserve">. . .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المقاصد </w:t>
      </w:r>
      <w:r>
        <w:rPr>
          <w:rFonts w:eastAsia="IRNazanin" w:cs="IRNazanin"/>
          <w:color w:val="111111"/>
          <w:sz w:val="28"/>
          <w:szCs w:val="28"/>
          <w:rtl w:val="true"/>
          <w:lang w:bidi="fa-IR"/>
        </w:rPr>
        <w:t xml:space="preserve">. . .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المقصد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الوضو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أجزاء الوضوء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وضوء الجبيرة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الوضوء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الخلل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يجب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وما يستحبّ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يجب له الوضوء أو يستحبّ، وسننه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64</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المقصد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الغُسل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الغسل الواجب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الجنابة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سبب الجنابة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يتوقّف على غسل الجنابة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يكره للجنب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واجبات الغسل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سنن الغسل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الحيض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الاستحاضة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النفاس </w:t>
      </w:r>
      <w:r>
        <w:rPr>
          <w:rFonts w:eastAsia="IRNazanin" w:cs="IRNazanin"/>
          <w:color w:val="111111"/>
          <w:sz w:val="28"/>
          <w:szCs w:val="28"/>
          <w:rtl w:val="true"/>
          <w:lang w:bidi="fa-IR"/>
        </w:rPr>
        <w:t xml:space="preserve">. . .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مسّ الميّت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الميّت</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التكفين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التحنيط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الدفن </w:t>
      </w:r>
      <w:r>
        <w:rPr>
          <w:rFonts w:eastAsia="IRNazanin" w:cs="IRNazanin"/>
          <w:color w:val="111111"/>
          <w:sz w:val="28"/>
          <w:szCs w:val="28"/>
          <w:rtl w:val="true"/>
          <w:lang w:bidi="fa-IR"/>
        </w:rPr>
        <w:t xml:space="preserve">. . .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الغسل المندوب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المقصد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التيمّم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مسوّغات التيمّم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يُتَيمَّمُ به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التيمّم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التيمّم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التيمّم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93</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النجاسات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التنجيس بها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النجاسات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يُعفى عنه منها في الصلاة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المطهّرات، وكيفيّة التطهير، وما يطهَّر بها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المبحث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الأواني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كتاب الصلاة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المقصد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المقدّمات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أعداد الفرائض ، ومواقيت اليوميّة منها ونوافلها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الصلوات الواجبة والمندوبة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مواقيتها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القبلة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القبلة وكيفيّة استقبالها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يُستقبَل له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الخلل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الساتر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العورة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يعتبر في الساتر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المبحث الثالث في الأحكام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126</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التستّر من جهة التحت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المبحث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المكروهات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المقدّمة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مكان المصلّي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محاذات الرجل والمرأة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الجبهة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الاستقرار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المبحث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الكعبة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المكروهات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المقدّمة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الأذان والأقامة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فصول الأذان والإقامة وما يشترط فيهما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المستحبّات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المقدّمة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ينبغي للمصلّي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المقصد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أفعال الصلاة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النيّة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تكبيرة الإحرام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المستحبّات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القيام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المستحبّات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القراءة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144</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المستحبّات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الركوع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المستحبّات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السجود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العاجز عن السجود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المستحبّات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السجدات الواجبة والمستحبّة وأحكامها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التشهّد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التسليم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الترتيب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الموالات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المقصد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مبطلات الصلاة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المقصد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الآيات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السبب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أداء الصلاة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تقديم صلاة الآيات على اليوميّة وعكسه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صلاة الآيات وأحكامها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المقصد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الخلل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الإخلال بالركن وغيره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168</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 في أعداد ركعات الفريضة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صلاة الاحتياط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السهو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المقصد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القضاء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المقصد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الجماعة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الجماعة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نيّة الإيتمام ومتابعة الإمام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شرائط إمام الجماعة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المقصد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المسافر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في شروط القصر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في قواطع السفر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كتاب الصوم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224-199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النيّة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يُمسك عنه الصائم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توابع هذا الفصل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ما لا يتعدّى إلى الحلق، وابتلاع النخامة، والتجشّي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الإتيان بالمفطرات سهواً أو كرها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فيه القضاء والكفّارة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فيه القضاء خاصّة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يكره للصائم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215</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يصحّ منه الصوم ومَن لا يصحّ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الفصل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الصوم </w:t>
      </w:r>
      <w:r>
        <w:rPr>
          <w:rFonts w:eastAsia="IRNazanin" w:cs="IRNazanin"/>
          <w:color w:val="111111"/>
          <w:sz w:val="28"/>
          <w:szCs w:val="28"/>
          <w:rtl w:val="true"/>
          <w:lang w:bidi="fa-IR"/>
        </w:rPr>
        <w:t xml:space="preserve">. . .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الصوم الواجب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شروط القضاء </w:t>
      </w:r>
      <w:r>
        <w:rPr>
          <w:rFonts w:eastAsia="IRNazanin" w:cs="IRNazanin"/>
          <w:color w:val="111111"/>
          <w:sz w:val="28"/>
          <w:szCs w:val="28"/>
          <w:rtl w:val="true"/>
          <w:lang w:bidi="fa-IR"/>
        </w:rPr>
        <w:t xml:space="preserve">. . .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أحكام القضاء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قضاء الوليّ عن الميّت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في صوم الكفّارة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الصوم المندوب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الصوم المكروه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الصوم المحظور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فهرس مصادر التحقيق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225</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في القرن الرابع عشر </w:t>
      </w:r>
      <w:r>
        <w:rPr>
          <w:rFonts w:eastAsia="IRNazanin" w:cs="IRNazanin"/>
          <w:b w:val="false"/>
          <w:bCs w:val="false"/>
          <w:i w:val="false"/>
          <w:iCs w:val="false"/>
          <w:color w:val="333333"/>
          <w:sz w:val="20"/>
          <w:szCs w:val="20"/>
        </w:rPr>
        <w:t>1818/4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أخرجها إلى النور وحقَّقَها الباحث الفاضل المحقّق الحجّة الشيخ إسماعيل الكلداري حفظه الله مع إجازة الشيخ عليّ البهبهاني قدس سرّه للسيّد عدنان الغريفي قدس سرّه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في القرن الرابع عشر </w:t>
      </w:r>
      <w:r>
        <w:rPr>
          <w:rFonts w:eastAsia="IRNazanin" w:cs="IRNazanin"/>
          <w:b w:val="false"/>
          <w:bCs w:val="false"/>
          <w:i w:val="false"/>
          <w:iCs w:val="false"/>
          <w:color w:val="333333"/>
          <w:sz w:val="20"/>
          <w:szCs w:val="20"/>
        </w:rPr>
        <w:t>1818/4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في القرن الرابع عشر </w:t>
      </w:r>
      <w:r>
        <w:rPr>
          <w:rFonts w:eastAsia="IRNazanin" w:cs="IRNazanin"/>
          <w:b w:val="false"/>
          <w:bCs w:val="false"/>
          <w:i w:val="false"/>
          <w:iCs w:val="false"/>
          <w:color w:val="333333"/>
          <w:sz w:val="20"/>
          <w:szCs w:val="20"/>
        </w:rPr>
        <w:t>1721/3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تراجم الأعلام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في القرن الرابع عشر </w:t>
      </w:r>
      <w:r>
        <w:rPr>
          <w:rFonts w:eastAsia="IRNazanin" w:cs="IRNazanin"/>
          <w:b w:val="false"/>
          <w:bCs w:val="false"/>
          <w:i w:val="false"/>
          <w:iCs w:val="false"/>
          <w:color w:val="333333"/>
          <w:sz w:val="20"/>
          <w:szCs w:val="20"/>
        </w:rPr>
        <w:t>1986/4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اهل ایمان در مساجد و تکایای اصفهان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الأصول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تقديريّاً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علي البهبهاني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في الصحاح </w:t>
      </w:r>
      <w:r>
        <w:rPr>
          <w:rFonts w:eastAsia="IRNazanin" w:cs="IRNazanin"/>
          <w:b w:val="false"/>
          <w:bCs w:val="false"/>
          <w:i w:val="false"/>
          <w:iCs w:val="false"/>
          <w:color w:val="333333"/>
          <w:sz w:val="20"/>
          <w:szCs w:val="20"/>
        </w:rPr>
        <w:t>899/3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نزز</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يتحلّب في الأرض من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الفيومي في المصباح المنير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وهو الندى السائل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في غريب الحديث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الثمد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 القليل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الاكتفاء بما بلغ سبعاً وعشرين شبراً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علي البهبهاني</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الاكتفاء باتّصال الكرّ به سواء حصل الامتزاج أم 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علي البهبهاني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الاكتفاء باتّصال الجاري به ولو لم يحصل الامتزاج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السيّد علي البهبهاني</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رفع الحدث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علي البهبهاني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أنه يرتفع الحدث حينئذٍ ولكن الأعضاء محكومة بالنجاسة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علي البهبهاني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أنّه محكوم بالنجاسة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علي البهبهاني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الاكتفاء بذي الجهات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علي البهبهاني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والاستبراء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للتداخل</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ويجوز أن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بمَدِّه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مبنيّةٌ على تحقيق النّسبة بين المَسْح والغَسل، فإن كانت العمومَ من وجه أمكن انطباقُ بعض المصاديق على العنوانَيْن والحكم بصحّة الوضوء باعتبار تحقّق المسح من المكلّف وهو الرّأي المنصور عند الأكثر ، وإن كانت النّسبةُ بينهما التباين امتَنَع تحقّقُ عنوان المسح مع صدق الجريان ولا يمكن معه الحكم بصحّة الوضوء، وبه أفتى الشهيد الثاني قدس سرّه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المقاصد العليّة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والحقّ اشتراط عدم الجريان في المسح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جَرَى المصنّف قدس سرّه كما أنّ الظاهر من كلام والده العلّامة الشّيخ غلام علي البهبهاني قدس سرّه أيضاً ذلك حيث قال في رسالته العمليّة المسمّاة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نجاة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قدری که رطوبتِ ماسح غالب بر رطوبتِ ممسوح باشد و صدقِ غَسل 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والعَجَب أنّ المحشّي المحقّق السيّد علي البهبهاني قدس سرّه لم يُعَلِّق على كلام المصنّف هنا مع أنّ فتواه صحّة الوضوء مع جريان الماء كما قال به في رسالته العمليّة المسمّاة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المسائل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تصريحاً وفي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على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 حيث أفتى السيّد محمّد كاظم اليزدي قدس سرّه في العروة الوثقى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بعدم لزوم الاجتناب من جريان الماء في المسح ولم يُعلِّق السيّد البهبهاني قدس سرّه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فربما سقطَتْ تعليقتُه هنا في الطبع ؛ والله العالم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أنّهما مفصل الساقين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علي البهبهاني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المندوح</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سابقه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والظاهر عدم وجوب قصد كونه مسحاً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قصد كونه غسلاً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كونه بالكفّ</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والمعلوم أنّ الناسخ التبس عليه الاختصاران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وَجَب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علي البهبهاني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الاحتياط لا يُترك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علي البهبهاني </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اللطوخ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يُلْطَخ به الشيء؛ أراد به ما يَتَلَطَّخُ الموضع به مثل المرهم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في الصحاح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الطخ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لَطَخَه بكذا لَطْخاً فتلطَّخَ به ، أي لَوَّثه به </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يعرض للعظام عند مماسّة الجلد للماء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مصطلحٌ عامّي</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الوضوء</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مطلقاً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علي البهبهاني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يرتفع الجميع به مطلقا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علي البهبهاني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الصحّة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السيّد علي البهبهاني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استصحاب معلوم التاريخ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علي البهبهاني</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علي البهبهاني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احتمل النّسيان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السيّد علي البهبهاني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في لسان العرب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أهب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تَأَهَّبَ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وأَخَذ لذلك الأمر أُهْبَتَه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هُبَتَه وعُدَّتَه </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ينقض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ثانيها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بمسمّى الدخول مطلقاً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علي البهبهاني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غيرهما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استبراء</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مطلقاً على الأقوى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علي البهبهاني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استيناف الغسل وعدم الحاجة إلى الوضوء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علي البهبهاني </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أنه حيض إذا كان بأوصاف الحيض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علي البهبهاني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يوصف</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يستظهر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قد عرفت إجزاء مطلق الغسل عن الوضوء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السيّد علي البهبهاني</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كالاحتساب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علي البهبهاني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الفيومي في المصباح المنير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مَرَسْتُ التَّمْرَ مَرْساً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دَلَكْتُه في الماء حتّى تَتَحَلَّلَ أجزاؤه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في الصحاح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والحبرة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العنبة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 يمانٍ</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الفيومي في المصباح المنير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النمط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ثوبٌ من صوفٍ ذو لونٍ من الألوان ، ولا يكاد يقال للأبيض نمط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الفيومي في المصباح المنير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الحقو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شدّ الإزار، وهو الخاصرة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الفيومي في المصباح المنير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قال أبو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هِلْتُ مِن التراب صَبَبْتُه بلا رفع اليدين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ويقرب منه قول الأزهري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هلتُ التراب والرمل إذا أرسلتُه فَجَرى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وبعضهم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هِلْتُ الرمل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حَرّكْتُ أسفَلَه فسال من أعلاه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الفيومي في المصباح المنير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ثوبٌ يمانيٌ من قطن أو كتان مُخَطَّط</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أعوان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والأخيران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الفيومي في المصباح المنير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الغلوة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الغاية ، وهي رميةُ سهم أَبْعَدَ ما يُقْدَرُ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قدر ثلاثمأة ذراع إلى أربعماءة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الزمخشري في أساس البلاغة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والفرسخ التامّ خمسٌ وعشرون غلوة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في الصحاح </w:t>
      </w:r>
      <w:r>
        <w:rPr>
          <w:rFonts w:eastAsia="IRNazanin" w:cs="IRNazanin"/>
          <w:b w:val="false"/>
          <w:bCs w:val="false"/>
          <w:i w:val="false"/>
          <w:iCs w:val="false"/>
          <w:color w:val="333333"/>
          <w:sz w:val="20"/>
          <w:szCs w:val="20"/>
        </w:rPr>
        <w:t>2098/5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والحزْن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غَلُظَ من الأرض</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إشكال في صحّة تيمّمه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علي البهبهاني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الفيومي في المصباح المنير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وعرف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النابت في مُحَدَّب رقبتها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نقضه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اتحادهما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الضرورة على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علي البهبهاني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تمكّن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اعادة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 بل الظاهر عدم الانتقاض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علي البهبهاني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الحيوان ذي النّفس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علي البهبهاني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بالملاقات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الاحتياط لا يترك إذا علم في الوقت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علي البهبهاني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متّخذا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بأحدهما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زمانهما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يستحبّ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علي البهبهاني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المحشّي قدس سرّه لم يعلّق على كلام السيّد أبو الحسن الأصفهاني في وسيلة النجاة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وافَقَ المتن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إلحاق مطلق مباشرته بالفم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بالولوغ وجهٌ قويّ ، بل إلحاق مطلق مباشرته ولو بباقي أعضائه به لا يخلو من وجه </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يقتضيه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الزبيدي في تاج العروس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قبب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والقبقاب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النعل من خَشَب</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تطهير الشمس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علي البهبهاني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مشاركه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نسخة البدل، وكأنّ الكاتب شَكَّ بين الضّبطَيْن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حاجة إلى ذلك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عدم طهارته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علي البهبهاني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السيّد علي البهبهاني</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يمسّه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الأصح طهارته أيضاً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علي البهبهاني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الصغير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علي البهبهاني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علي البهبهاني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المحشّي قدس سرّه لم يعلِّق على كلام السيّد محمّد كاظم اليزدي قدس سرّه حيث وافَقَ المتن وقال في العروة الوثقى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تبعيّة الأسير للمسلم الذي أسره إذا كان غير بالغٍ ولم يكن معه أبوه أو جدّه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يوضَع عليه الميّت للغسل من حَجَر أو خشب أو نحوهما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التلبيس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طروّ الغروب</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فيختصر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الحلّي في المعتبر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المسمّى ذَنَب السِّرحان لخروجه مُستَدقّاً صاعداً في الأفق كذَنَب الذّئب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للتمكّن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لذوي العذر الأعذار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علي البهبهاني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المحشّي قدس سرّه لم يعلّق على كلام السيّد أبو الحسن الأصفهاني قدس سرّه في وسيلة النجاة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تيقّن بدخول الوقت فصلّى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وقع بعضُها في الوقت ولو قليلاً منها صَحَّتْ </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أعاده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مستديراً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الفيومي في المصباح المنير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العجان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الخصية وحلقة الدبر </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ظاهرها وباطنها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دابة من جنس الثعلب يؤخذ منها الفرو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xml:space="preserve">؛ الصحاح للجوهري </w:t>
      </w:r>
      <w:r>
        <w:rPr>
          <w:rFonts w:eastAsia="IRNazanin" w:cs="IRNazanin"/>
          <w:b w:val="false"/>
          <w:bCs w:val="false"/>
          <w:i w:val="false"/>
          <w:iCs w:val="false"/>
          <w:color w:val="333333"/>
          <w:sz w:val="20"/>
          <w:szCs w:val="20"/>
        </w:rPr>
        <w:t>1605/4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فنك </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السّنور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يُشَدُّ به السروال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الزبيدي في تاج العروس </w:t>
      </w:r>
      <w:r>
        <w:rPr>
          <w:rFonts w:eastAsia="IRNazanin" w:cs="IRNazanin"/>
          <w:b w:val="false"/>
          <w:bCs w:val="false"/>
          <w:i w:val="false"/>
          <w:iCs w:val="false"/>
          <w:color w:val="333333"/>
          <w:sz w:val="20"/>
          <w:szCs w:val="20"/>
        </w:rPr>
        <w:t>532/13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تكك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والتّكّة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رباط السراويل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سفيفة و هي ما يُنْسَج من خوص النخل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الزمخشري في أساس البلاغة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سفف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هي سفّةٌ من خوص وسفيفةٌ منه وسفائف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ما سُفَّ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 الشّيءَ وأسفّه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نَسَجَه بالأصابع </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غيرها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الفيروزآبادي في القاموس المحيط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شَجَرٌ بَرِّیُّه شَوِكٌ ، ذو حَملٍ كالتّفاح لكنّه بَشِعٌ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الزبيدي في تاج العروس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كالتفاح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هكذا في النُسخ ،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النُّفّاخ بضمّ النون وتشديد الفاء و آخره خاء معجمة</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منه ظاهراً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أناسٌ مجهولون لا يُعْرَفون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في لسان العرب </w:t>
      </w:r>
      <w:r>
        <w:rPr>
          <w:rFonts w:eastAsia="IRNazanin" w:cs="IRNazanin"/>
          <w:b w:val="false"/>
          <w:bCs w:val="false"/>
          <w:i w:val="false"/>
          <w:iCs w:val="false"/>
          <w:color w:val="333333"/>
          <w:sz w:val="20"/>
          <w:szCs w:val="20"/>
        </w:rPr>
        <w:t>58/12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الخطابي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البهيم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المجهول الذي لا يُعْرَف</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والنّبات والقرطاس</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الفيومي في المصباح المنير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والبيدر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تُداس فيه الحبوب</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علي البهبهاني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يجاذيه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يجازيه</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سقوط الأذان والإقامة عمّن أدرك الجماعة بعد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يشرط فيها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للفريضين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حيائله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التّعين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الاضطراب</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عرّفه الجوهري في الصحاح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أن يُفَرِّجَ بين رجليه إذا جَلَس</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والأنسب ظاهراً حذف الواو</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أولى</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الزبيدي في تاج العروس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بحح</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غلظٌ في الصوت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وأبحَّه الصیاح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زلتُ أَصيحُ حتّى أبَحَّني ذلك</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الفيومي في المصباح المنير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وتَمْتَمَ الرجل تَمْتمة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تردّد في التاء، فهو تمتام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محمد بن عبدالله بن جعفر الحميري عن هذا المضمون في رسالته إلى الناحية المقدّسة وورد في التوقيع الشريف الصادر من ناحية صاحب الأمر عجل الله تعالى فرجه الشريف تأييد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نقل الشيخ الطوسي قدس سرّه في كتاب الغيبة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وروي في ثواب القرآن في الفرائض وغيرها أنّ العالم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عجباً لمن لم يَقْرَأ في صلاته إِنَّا أَنْزَلْنَاهُ فِي لَيْلَةِ الْقَدْرِ كيف تُقْبَل صلاته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زكَتْ صلاةٌ لم يُقْرَأ فيها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من قرأ في فرائضه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أُعطي من الدنيا ، فهل يجوز أن يقرأ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یَدَعَ هذه السور التی ذكرناها مع ما قد روي أنّه لا تُقبَل صلاةٌ ولا تزكو إلّا بهما ؟ التوقيع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الثواب في السُّوَر على ما قد روي ، وإذا ترك سورةً ممّا فيها الثواب وقرأ قُلْ هُوَ اللَّهُ أَحَدٌ و ﴿إِنَّا أَنْزَلْنَاهُ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لفضلهما أعطي ثواب ما قرأ وثواب السورة التي ترك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القراءة في الفرائض بالقدر والتوحيد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اليزدي في العروة الوثقى </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التجنّح بمعنى تجافي الأعضاء حال السجود بأن يرفع مرفقيه عن الأرض مُفَرِّجاً بين عَضُدَيْه وجَنْبَيْه ، ومُبَعِّداً يديه عن بدنه ، جاعلاً يديه كالجناحين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يَسْجُدُونَ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لتعيين مواضع 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211/10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وَظِلَالُهُمْ بِالْغُدُوِّ وَالْآصَالِ</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﴿وَيَفْعَلُونَ مَا يُؤْمَرُونَ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﴿وَيَزِيدُهُمْ خُشُوعاً</w:t>
      </w:r>
      <w:r>
        <w:rPr>
          <w:rFonts w:eastAsia="IRNazanin" w:cs="IRNazanin"/>
          <w:b w:val="false"/>
          <w:bCs w:val="false"/>
          <w:i w:val="false"/>
          <w:iCs w:val="false"/>
          <w:color w:val="333333"/>
          <w:sz w:val="20"/>
          <w:szCs w:val="20"/>
          <w:rtl w:val="true"/>
        </w:rPr>
        <w:t>)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خَرُّوا سُجَّداً وَبُكِيّاً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﴿يَفْعَلُ مَا 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﴿وَافْعَلُوا الْخَيْرَ لَعَلَّكُمْ تُفْلِحُونَ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﴿وَزَادَهُمْ نُفُوراً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الْعَرْشِ الْعَظِيمِ</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وَخَرَّ رَاكِعاً وَأَنَابَ</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يَسْجُدُونَ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الصحيح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أقوى</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 بحيث يوجب القِران بين السورتين في القراءة ؛ وقد مرّ حكمه وسيأتي أيضاً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الأقوى الاكتفاء بالإشارة باليد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علي البهبهاني </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الصيغ المعهودة في سلام التحيّة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علیکم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الاكتفاء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علي البهبهاني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علي البهبهاني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المحشّي قدس سرّه لم يعلّق على كلام السيّد أبو الحسن الأصفهاني قدس سرّه في وسيلة النجاة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خامسها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القهقهة ولو اضطراراً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بأس بالسهو منها</w:t>
      </w:r>
      <w:r>
        <w:rPr>
          <w:rFonts w:eastAsia="IRNazanin" w:cs="IRNazanin"/>
          <w:b w:val="false"/>
          <w:bCs w:val="false"/>
          <w:i w:val="false"/>
          <w:iCs w:val="false"/>
          <w:color w:val="333333"/>
          <w:sz w:val="20"/>
          <w:szCs w:val="20"/>
          <w:rtl w:val="true"/>
        </w:rPr>
        <w:t>»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وربما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ركعات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تلافيهما وفيهما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دونهما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الاحتياط لا يُترك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علي البهبهاني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السجدة الأخيرة بعد الذكر وقبل رفع الرأس ؛ وكذلك في الصورة الأولى والثالثة والرابعة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علي البهبهاني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خصوص الركعات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علي البهبهاني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علي البهبهاني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السيّد المحشّي قدس سرّه مبنيٌّ على استقلال صلاة الاحتياط ، وقد صرّح بذلك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على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الأقوى أنّها صلاةٌ مستقلّةٌ جابرةٌ لما نقص من الفريضة فيجتزي بها ولو بعد المُنافي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يجب الإتيان بها فوراً ففوراً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فعلها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الاقتصار على ما ذكر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علي البهبهاني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الإتمام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لتمكّن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علي البهبهاني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المحشّي قدس سرّه لم يعلّق على كلام السيّد أبو الحسن الأصفهاني قدس سرّه في وسيلة النجاة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 الظاهر عدم كون الشبّاك أيضاً من الحائل إلّا مع ضيق الثّقب بحيث يصدق عليه السترة والجدار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حالته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عدلنا عنه حفظاً لوحدة السياق وتمييزاً للفروع المذكورة في هذا المقصد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أنّه يعتبر رجوعه ليومه أو ليلته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علي البهبهاني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الاختيار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السيّد علي البهبهاني</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ثانيها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في الوقت وخارجه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علي البهبهاني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المحشّي قدس سرّه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تعليقات على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يجب الإعادة في الوقت ، وأمّا القضاء فعلى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في تعليقته على وسيلة النجاة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 يجب إعادته في الوقت تماماً والقضاء في خارجه كذلك </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بشرط أن يقصد الرجوع ليومه أو ليلته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السيّد علي البهبهاني</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ثالثها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حصل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يجوز الترك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علي البهبهاني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أنّه لا يكفي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علي البهبهاني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يحتاج إلى</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الكون الباقي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مع عدم كون الباقي مسافة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السيّد علي البهبهاني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سنة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اتّحاد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أشباهها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قاصراً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علي البهبهاني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فضله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الاحتياط لا يُترك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علي البهبهاني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إجزاء تجديدها مع فساد الصّوم بغير المفطر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السيّد علي البهبهاني</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الاحتياط لا يترك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علي البهبهاني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أنّه حرامٌ في حال الصوم وليس مبطلاً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علي البهبهاني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بتخييل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عامداً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علي البهبهاني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تخييل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بنخامة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عدم بطلانه حينئذٍ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علي البهبهاني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تعليق السيّد المحشّي قدس سرّه على كلام السيّد اليزدي في العروة الوثقى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الأقوى بطلان صوم شهر رمضان بنسيان غسل الجنابة ليلاً قبل الفجر حتّى مضى عليه يومٌ أو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رأي السيّد المحشّي قدس سرّه هو عدم البطلان من دون شكّ فقد صَرَّح في حاشية وسيلة النجاة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 حيث قال السيّد الأصفهاني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تعمّد البقاء على الجنابة إلى الفجر في شهر رمضان وقضائه ، بل الأقوى في الثاني البطلان بالإصباح جنباً وإن لم يكن عن عمد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السيّد المحشّي قدس سرّه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والأقوى عدم البطلان القضاء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 كما أنّ الأقوى عدم بطلان صوم شهر رمضان بنسيان غسل الجنابة 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 تعليق السيّد المحشّي على كلام صاحب العروة سَقَط في الطبع لأنّا نرى كلام السيّد اليزدي قدس سرّه في العروة الوثقى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السابع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يجب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الكفّارة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نسي غسل الجنابة ومضى عليه يومٌ أو أيّام كما 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فيقول السيّد المحشّي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تعليقات على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وقد مرّ أنّه يستحبّ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فليُلاحَظ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الاحتياط لا يُترك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علي البهبهاني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والأحوط وجوب الغسل مع إمكانه والتيمّم مع عدمه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علي البهبهاني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وربما كان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التعمّد وسها الكاتب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مع الاعتياد عدم الوجوب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علي البهبهاني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الاحتياط لا يُترك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علي البهبهاني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مع عدم تخلّل التكفير واتّحاد الجنس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علي البهبهاني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أخّره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عدم اختصاصه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علي البهبهاني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علي البهبهاني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الفيومي في المصباح المنير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الدواء المرّ ، بكسر الباء في الأشهر وسكونها للتخفيف لغة قليلة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الأظهر أنّه ملحقٌ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علي البهبهاني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الاحتياط لا يُترك بالنسبة إلى الصبي، خصوصاً إذا بلغ قبل الزوال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علي البهبهاني</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علي البهبهاني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المحشّي قدس سرّه لم يعلّق على كلام السيّد أبو الحسن الأصفهاني قدس سرّه في وسيلة النجاة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يجوز الإفطار قبل الزوال في قضاء شهر رمضان ما لم يتضيّق ، أمّا بعد الزوال فيحرم بل تجب به الكفّارة وإن لم يجب الإمساك بقيّة اليوم </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image" Target="media/image2.jpeg"/><Relationship Id="rId243" Type="http://schemas.openxmlformats.org/officeDocument/2006/relationships/image" Target="media/image2.jpeg"/><Relationship Id="rId244" Type="http://schemas.openxmlformats.org/officeDocument/2006/relationships/footer" Target="footer237.xml"/><Relationship Id="rId245" Type="http://schemas.openxmlformats.org/officeDocument/2006/relationships/footnotes" Target="footnotes.xml"/><Relationship Id="rId246" Type="http://schemas.openxmlformats.org/officeDocument/2006/relationships/numbering" Target="numbering.xml"/><Relationship Id="rId247" Type="http://schemas.openxmlformats.org/officeDocument/2006/relationships/fontTable" Target="fontTable.xml"/><Relationship Id="rId248" Type="http://schemas.openxmlformats.org/officeDocument/2006/relationships/settings" Target="settings.xml"/><Relationship Id="rId2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243</Pages>
  <Words>34549</Words>
  <Characters>144344</Characters>
  <CharactersWithSpaces>177514</CharactersWithSpaces>
  <Paragraphs>2014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2026-08-20T07:58:15Z</dcterms:created>
  <dc:creator>ghaemiyeh.com</dc:creator>
  <dc:description/>
  <dc:language>en-US</dc:language>
  <cp:lastModifiedBy/>
  <dcterms:modified xsi:type="dcterms:W3CDTF">2026-08-20T11:28:21Z</dcterms:modified>
  <cp:revision>1</cp:revision>
  <dc:subject/>
  <dc:title>الکلمة الطیبة</dc:title>
</cp:coreProperties>
</file>

<file path=docProps/custom.xml><?xml version="1.0" encoding="utf-8"?>
<Properties xmlns="http://schemas.openxmlformats.org/officeDocument/2006/custom-properties" xmlns:vt="http://schemas.openxmlformats.org/officeDocument/2006/docPropsVTypes"/>
</file>