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بحوث فقه فی النظر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33202_237004111">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2133204_237004111">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2133206_237004111">
            <w:r>
              <w:rPr>
                <w:webHidden/>
                <w:rStyle w:val="IndexLink"/>
                <w:rtl w:val="true"/>
              </w:rPr>
              <w:t>کلمة المؤسسة</w:t>
            </w:r>
            <w:r>
              <w:rPr>
                <w:rStyle w:val="IndexLink"/>
                <w:rtl w:val="true"/>
              </w:rPr>
              <w:tab/>
            </w:r>
            <w:r>
              <w:rPr>
                <w:rStyle w:val="IndexLink"/>
              </w:rPr>
              <w:t>13</w:t>
            </w:r>
          </w:hyperlink>
        </w:p>
        <w:p>
          <w:pPr>
            <w:pStyle w:val="Contents2"/>
            <w:tabs>
              <w:tab w:val="clear" w:pos="8743"/>
              <w:tab w:val="right" w:pos="9026" w:leader="dot"/>
            </w:tabs>
            <w:rPr/>
          </w:pPr>
          <w:hyperlink w:anchor="__RefHeading___Toc2133208_237004111">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2133210_237004111">
            <w:r>
              <w:rPr>
                <w:webHidden/>
                <w:rStyle w:val="IndexLink"/>
                <w:rtl w:val="true"/>
              </w:rPr>
              <w:t>المسألة الأولی</w:t>
            </w:r>
            <w:r>
              <w:rPr>
                <w:rStyle w:val="IndexLink"/>
                <w:rtl w:val="true"/>
              </w:rPr>
              <w:t xml:space="preserve">: </w:t>
            </w:r>
            <w:r>
              <w:rPr>
                <w:rStyle w:val="IndexLink"/>
                <w:rtl w:val="true"/>
              </w:rPr>
              <w:t>المبتذلات اللاتی إذا نهین لا ینتهین</w:t>
            </w:r>
            <w:r>
              <w:rPr>
                <w:rStyle w:val="IndexLink"/>
                <w:rtl w:val="true"/>
              </w:rPr>
              <w:tab/>
            </w:r>
            <w:r>
              <w:rPr>
                <w:rStyle w:val="IndexLink"/>
              </w:rPr>
              <w:t>17</w:t>
            </w:r>
          </w:hyperlink>
        </w:p>
        <w:p>
          <w:pPr>
            <w:pStyle w:val="Contents3"/>
            <w:tabs>
              <w:tab w:val="clear" w:pos="8459"/>
              <w:tab w:val="right" w:pos="9026" w:leader="dot"/>
            </w:tabs>
            <w:rPr/>
          </w:pPr>
          <w:hyperlink w:anchor="__RefHeading___Toc2133212_237004111">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2133214_237004111">
            <w:r>
              <w:rPr>
                <w:webHidden/>
                <w:rStyle w:val="IndexLink"/>
                <w:rtl w:val="true"/>
              </w:rPr>
              <w:t>المسألة الأولی</w:t>
            </w:r>
            <w:r>
              <w:rPr>
                <w:rStyle w:val="IndexLink"/>
                <w:rtl w:val="true"/>
              </w:rPr>
              <w:t xml:space="preserve">: </w:t>
            </w:r>
            <w:r>
              <w:rPr>
                <w:rStyle w:val="IndexLink"/>
                <w:rtl w:val="true"/>
              </w:rPr>
              <w:t>المبتذلات اللاتی إذا نهین لا ینتهین</w:t>
            </w:r>
            <w:r>
              <w:rPr>
                <w:rStyle w:val="IndexLink"/>
                <w:rtl w:val="true"/>
              </w:rPr>
              <w:tab/>
            </w:r>
            <w:r>
              <w:rPr>
                <w:rStyle w:val="IndexLink"/>
              </w:rPr>
              <w:t>19</w:t>
            </w:r>
          </w:hyperlink>
        </w:p>
        <w:p>
          <w:pPr>
            <w:pStyle w:val="Contents4"/>
            <w:tabs>
              <w:tab w:val="clear" w:pos="8176"/>
              <w:tab w:val="right" w:pos="9026" w:leader="dot"/>
            </w:tabs>
            <w:rPr/>
          </w:pPr>
          <w:hyperlink w:anchor="__RefHeading___Toc2133216_237004111">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2133218_237004111">
            <w:r>
              <w:rPr>
                <w:webHidden/>
                <w:rStyle w:val="IndexLink"/>
                <w:rtl w:val="true"/>
              </w:rPr>
              <w:t>فروع المسألة الأولی</w:t>
            </w:r>
            <w:r>
              <w:rPr>
                <w:rStyle w:val="IndexLink"/>
                <w:rtl w:val="true"/>
              </w:rPr>
              <w:tab/>
            </w:r>
            <w:r>
              <w:rPr>
                <w:rStyle w:val="IndexLink"/>
              </w:rPr>
              <w:t>19</w:t>
            </w:r>
          </w:hyperlink>
        </w:p>
        <w:p>
          <w:pPr>
            <w:pStyle w:val="Contents5"/>
            <w:tabs>
              <w:tab w:val="clear" w:pos="7892"/>
              <w:tab w:val="right" w:pos="9026" w:leader="dot"/>
            </w:tabs>
            <w:rPr/>
          </w:pPr>
          <w:hyperlink w:anchor="__RefHeading___Toc2133220_237004111">
            <w:r>
              <w:rPr>
                <w:webHidden/>
                <w:rStyle w:val="IndexLink"/>
                <w:rtl w:val="true"/>
              </w:rPr>
              <w:t>اشارة</w:t>
            </w:r>
            <w:r>
              <w:rPr>
                <w:rStyle w:val="IndexLink"/>
                <w:rtl w:val="true"/>
              </w:rPr>
              <w:tab/>
            </w:r>
            <w:r>
              <w:rPr>
                <w:rStyle w:val="IndexLink"/>
              </w:rPr>
              <w:t>19</w:t>
            </w:r>
          </w:hyperlink>
        </w:p>
        <w:p>
          <w:pPr>
            <w:pStyle w:val="Contents5"/>
            <w:tabs>
              <w:tab w:val="clear" w:pos="7892"/>
              <w:tab w:val="right" w:pos="9026" w:leader="dot"/>
            </w:tabs>
            <w:rPr/>
          </w:pPr>
          <w:hyperlink w:anchor="__RefHeading___Toc2133222_237004111">
            <w:r>
              <w:rPr>
                <w:webHidden/>
                <w:rStyle w:val="IndexLink"/>
                <w:rtl w:val="true"/>
              </w:rPr>
              <w:t>الفرع الأول</w:t>
            </w:r>
            <w:r>
              <w:rPr>
                <w:rStyle w:val="IndexLink"/>
                <w:rtl w:val="true"/>
              </w:rPr>
              <w:t xml:space="preserve">: </w:t>
            </w:r>
            <w:r>
              <w:rPr>
                <w:rStyle w:val="IndexLink"/>
                <w:rtl w:val="true"/>
              </w:rPr>
              <w:t>فی حکم النظر إلیهن</w:t>
            </w:r>
            <w:r>
              <w:rPr>
                <w:rStyle w:val="IndexLink"/>
                <w:rtl w:val="true"/>
              </w:rPr>
              <w:tab/>
            </w:r>
            <w:r>
              <w:rPr>
                <w:rStyle w:val="IndexLink"/>
              </w:rPr>
              <w:t>19</w:t>
            </w:r>
          </w:hyperlink>
        </w:p>
        <w:p>
          <w:pPr>
            <w:pStyle w:val="Contents6"/>
            <w:tabs>
              <w:tab w:val="clear" w:pos="7609"/>
              <w:tab w:val="right" w:pos="9026" w:leader="dot"/>
            </w:tabs>
            <w:rPr/>
          </w:pPr>
          <w:hyperlink w:anchor="__RefHeading___Toc2133224_237004111">
            <w:r>
              <w:rPr>
                <w:webHidden/>
                <w:rStyle w:val="IndexLink"/>
                <w:rtl w:val="true"/>
              </w:rPr>
              <w:t>اشارة</w:t>
            </w:r>
            <w:r>
              <w:rPr>
                <w:rStyle w:val="IndexLink"/>
                <w:rtl w:val="true"/>
              </w:rPr>
              <w:tab/>
            </w:r>
            <w:r>
              <w:rPr>
                <w:rStyle w:val="IndexLink"/>
              </w:rPr>
              <w:t>19</w:t>
            </w:r>
          </w:hyperlink>
        </w:p>
        <w:p>
          <w:pPr>
            <w:pStyle w:val="Contents6"/>
            <w:tabs>
              <w:tab w:val="clear" w:pos="7609"/>
              <w:tab w:val="right" w:pos="9026" w:leader="dot"/>
            </w:tabs>
            <w:rPr/>
          </w:pPr>
          <w:hyperlink w:anchor="__RefHeading___Toc2133226_237004111">
            <w:r>
              <w:rPr>
                <w:webHidden/>
                <w:rStyle w:val="IndexLink"/>
                <w:rtl w:val="true"/>
              </w:rPr>
              <w:t>أدلة جواز النظر</w:t>
            </w:r>
            <w:r>
              <w:rPr>
                <w:rStyle w:val="IndexLink"/>
                <w:rtl w:val="true"/>
              </w:rPr>
              <w:tab/>
            </w:r>
            <w:r>
              <w:rPr>
                <w:rStyle w:val="IndexLink"/>
              </w:rPr>
              <w:t>20</w:t>
            </w:r>
          </w:hyperlink>
        </w:p>
        <w:p>
          <w:pPr>
            <w:pStyle w:val="Contents6"/>
            <w:tabs>
              <w:tab w:val="clear" w:pos="7609"/>
              <w:tab w:val="right" w:pos="9026" w:leader="dot"/>
            </w:tabs>
            <w:rPr/>
          </w:pPr>
          <w:hyperlink w:anchor="__RefHeading___Toc2133228_237004111">
            <w:r>
              <w:rPr>
                <w:webHidden/>
                <w:rStyle w:val="IndexLink"/>
                <w:rtl w:val="true"/>
              </w:rPr>
              <w:t>اشارة</w:t>
            </w:r>
            <w:r>
              <w:rPr>
                <w:rStyle w:val="IndexLink"/>
                <w:rtl w:val="true"/>
              </w:rPr>
              <w:tab/>
            </w:r>
            <w:r>
              <w:rPr>
                <w:rStyle w:val="IndexLink"/>
              </w:rPr>
              <w:t>20</w:t>
            </w:r>
          </w:hyperlink>
        </w:p>
        <w:p>
          <w:pPr>
            <w:pStyle w:val="Contents6"/>
            <w:tabs>
              <w:tab w:val="clear" w:pos="7609"/>
              <w:tab w:val="right" w:pos="9026" w:leader="dot"/>
            </w:tabs>
            <w:rPr/>
          </w:pPr>
          <w:hyperlink w:anchor="__RefHeading___Toc2133230_237004111">
            <w:r>
              <w:rPr>
                <w:webHidden/>
                <w:rStyle w:val="IndexLink"/>
                <w:rtl w:val="true"/>
              </w:rPr>
              <w:t>الدلیل الأول</w:t>
            </w:r>
            <w:r>
              <w:rPr>
                <w:rStyle w:val="IndexLink"/>
                <w:rtl w:val="true"/>
              </w:rPr>
              <w:t xml:space="preserve">: </w:t>
            </w:r>
            <w:r>
              <w:rPr>
                <w:rStyle w:val="IndexLink"/>
                <w:rtl w:val="true"/>
              </w:rPr>
              <w:t>روایة عباد بن صهیب</w:t>
            </w:r>
            <w:r>
              <w:rPr>
                <w:rStyle w:val="IndexLink"/>
                <w:rtl w:val="true"/>
              </w:rPr>
              <w:tab/>
            </w:r>
            <w:r>
              <w:rPr>
                <w:rStyle w:val="IndexLink"/>
              </w:rPr>
              <w:t>20</w:t>
            </w:r>
          </w:hyperlink>
        </w:p>
        <w:p>
          <w:pPr>
            <w:pStyle w:val="Contents6"/>
            <w:tabs>
              <w:tab w:val="clear" w:pos="7609"/>
              <w:tab w:val="right" w:pos="9026" w:leader="dot"/>
            </w:tabs>
            <w:rPr/>
          </w:pPr>
          <w:hyperlink w:anchor="__RefHeading___Toc2133232_237004111">
            <w:r>
              <w:rPr>
                <w:webHidden/>
                <w:rStyle w:val="IndexLink"/>
                <w:rtl w:val="true"/>
              </w:rPr>
              <w:t>اشارة</w:t>
            </w:r>
            <w:r>
              <w:rPr>
                <w:rStyle w:val="IndexLink"/>
                <w:rtl w:val="true"/>
              </w:rPr>
              <w:tab/>
            </w:r>
            <w:r>
              <w:rPr>
                <w:rStyle w:val="IndexLink"/>
              </w:rPr>
              <w:t>20</w:t>
            </w:r>
          </w:hyperlink>
        </w:p>
        <w:p>
          <w:pPr>
            <w:pStyle w:val="Contents6"/>
            <w:tabs>
              <w:tab w:val="clear" w:pos="7609"/>
              <w:tab w:val="right" w:pos="9026" w:leader="dot"/>
            </w:tabs>
            <w:rPr/>
          </w:pPr>
          <w:hyperlink w:anchor="__RefHeading___Toc2133234_237004111">
            <w:r>
              <w:rPr>
                <w:webHidden/>
                <w:rStyle w:val="IndexLink"/>
                <w:rtl w:val="true"/>
              </w:rPr>
              <w:t>الإشکالات علی الدلیل الأول</w:t>
            </w:r>
            <w:r>
              <w:rPr>
                <w:rStyle w:val="IndexLink"/>
                <w:rtl w:val="true"/>
              </w:rPr>
              <w:tab/>
            </w:r>
            <w:r>
              <w:rPr>
                <w:rStyle w:val="IndexLink"/>
              </w:rPr>
              <w:t>21</w:t>
            </w:r>
          </w:hyperlink>
        </w:p>
        <w:p>
          <w:pPr>
            <w:pStyle w:val="Contents6"/>
            <w:tabs>
              <w:tab w:val="clear" w:pos="7609"/>
              <w:tab w:val="right" w:pos="9026" w:leader="dot"/>
            </w:tabs>
            <w:rPr/>
          </w:pPr>
          <w:hyperlink w:anchor="__RefHeading___Toc2133236_237004111">
            <w:r>
              <w:rPr>
                <w:webHidden/>
                <w:rStyle w:val="IndexLink"/>
                <w:rtl w:val="true"/>
              </w:rPr>
              <w:t>اشارة</w:t>
            </w:r>
            <w:r>
              <w:rPr>
                <w:rStyle w:val="IndexLink"/>
                <w:rtl w:val="true"/>
              </w:rPr>
              <w:tab/>
            </w:r>
            <w:r>
              <w:rPr>
                <w:rStyle w:val="IndexLink"/>
              </w:rPr>
              <w:t>21</w:t>
            </w:r>
          </w:hyperlink>
        </w:p>
        <w:p>
          <w:pPr>
            <w:pStyle w:val="Contents6"/>
            <w:tabs>
              <w:tab w:val="clear" w:pos="7609"/>
              <w:tab w:val="right" w:pos="9026" w:leader="dot"/>
            </w:tabs>
            <w:rPr/>
          </w:pPr>
          <w:hyperlink w:anchor="__RefHeading___Toc2133238_237004111">
            <w:r>
              <w:rPr>
                <w:webHidden/>
                <w:rStyle w:val="IndexLink"/>
                <w:rtl w:val="true"/>
              </w:rPr>
              <w:t>الإشکال الأول</w:t>
            </w:r>
            <w:r>
              <w:rPr>
                <w:rStyle w:val="IndexLink"/>
                <w:rtl w:val="true"/>
              </w:rPr>
              <w:t xml:space="preserve">: </w:t>
            </w:r>
            <w:r>
              <w:rPr>
                <w:rStyle w:val="IndexLink"/>
                <w:rtl w:val="true"/>
              </w:rPr>
              <w:t>إشکال سندی</w:t>
            </w:r>
            <w:r>
              <w:rPr>
                <w:rStyle w:val="IndexLink"/>
                <w:rtl w:val="true"/>
              </w:rPr>
              <w:tab/>
            </w:r>
            <w:r>
              <w:rPr>
                <w:rStyle w:val="IndexLink"/>
              </w:rPr>
              <w:t>21</w:t>
            </w:r>
          </w:hyperlink>
        </w:p>
        <w:p>
          <w:pPr>
            <w:pStyle w:val="Contents6"/>
            <w:tabs>
              <w:tab w:val="clear" w:pos="7609"/>
              <w:tab w:val="right" w:pos="9026" w:leader="dot"/>
            </w:tabs>
            <w:rPr/>
          </w:pPr>
          <w:hyperlink w:anchor="__RefHeading___Toc2133240_237004111">
            <w:r>
              <w:rPr>
                <w:webHidden/>
                <w:rStyle w:val="IndexLink"/>
                <w:rtl w:val="true"/>
              </w:rPr>
              <w:t>اشارة</w:t>
            </w:r>
            <w:r>
              <w:rPr>
                <w:rStyle w:val="IndexLink"/>
                <w:rtl w:val="true"/>
              </w:rPr>
              <w:tab/>
            </w:r>
            <w:r>
              <w:rPr>
                <w:rStyle w:val="IndexLink"/>
              </w:rPr>
              <w:t>21</w:t>
            </w:r>
          </w:hyperlink>
        </w:p>
        <w:p>
          <w:pPr>
            <w:pStyle w:val="Contents6"/>
            <w:tabs>
              <w:tab w:val="clear" w:pos="7609"/>
              <w:tab w:val="right" w:pos="9026" w:leader="dot"/>
            </w:tabs>
            <w:rPr/>
          </w:pPr>
          <w:hyperlink w:anchor="__RefHeading___Toc2133242_237004111">
            <w:r>
              <w:rPr>
                <w:webHidden/>
                <w:rStyle w:val="IndexLink"/>
                <w:rtl w:val="true"/>
              </w:rPr>
              <w:t>الجهة الأولی</w:t>
            </w:r>
            <w:r>
              <w:rPr>
                <w:rStyle w:val="IndexLink"/>
                <w:rtl w:val="true"/>
              </w:rPr>
              <w:t xml:space="preserve">: </w:t>
            </w:r>
            <w:r>
              <w:rPr>
                <w:rStyle w:val="IndexLink"/>
                <w:rtl w:val="true"/>
              </w:rPr>
              <w:t>مجهولیة عدة الکافی</w:t>
            </w:r>
            <w:r>
              <w:rPr>
                <w:rStyle w:val="IndexLink"/>
                <w:rtl w:val="true"/>
              </w:rPr>
              <w:tab/>
            </w:r>
            <w:r>
              <w:rPr>
                <w:rStyle w:val="IndexLink"/>
              </w:rPr>
              <w:t>21</w:t>
            </w:r>
          </w:hyperlink>
        </w:p>
        <w:p>
          <w:pPr>
            <w:pStyle w:val="Contents6"/>
            <w:tabs>
              <w:tab w:val="clear" w:pos="7609"/>
              <w:tab w:val="right" w:pos="9026" w:leader="dot"/>
            </w:tabs>
            <w:rPr/>
          </w:pPr>
          <w:hyperlink w:anchor="__RefHeading___Toc2133244_237004111">
            <w:r>
              <w:rPr>
                <w:webHidden/>
                <w:rStyle w:val="IndexLink"/>
                <w:rtl w:val="true"/>
              </w:rPr>
              <w:t>اشارة</w:t>
            </w:r>
            <w:r>
              <w:rPr>
                <w:rStyle w:val="IndexLink"/>
                <w:rtl w:val="true"/>
              </w:rPr>
              <w:tab/>
            </w:r>
            <w:r>
              <w:rPr>
                <w:rStyle w:val="IndexLink"/>
              </w:rPr>
              <w:t>21</w:t>
            </w:r>
          </w:hyperlink>
        </w:p>
        <w:p>
          <w:pPr>
            <w:pStyle w:val="Contents6"/>
            <w:tabs>
              <w:tab w:val="clear" w:pos="7609"/>
              <w:tab w:val="right" w:pos="9026" w:leader="dot"/>
            </w:tabs>
            <w:rPr/>
          </w:pPr>
          <w:hyperlink w:anchor="__RefHeading___Toc2133246_237004111">
            <w:r>
              <w:rPr>
                <w:webHidden/>
                <w:rStyle w:val="IndexLink"/>
                <w:rtl w:val="true"/>
              </w:rPr>
              <w:t>طرق توثیق العدة</w:t>
            </w:r>
            <w:r>
              <w:rPr>
                <w:rStyle w:val="IndexLink"/>
                <w:rtl w:val="true"/>
              </w:rPr>
              <w:tab/>
            </w:r>
            <w:r>
              <w:rPr>
                <w:rStyle w:val="IndexLink"/>
              </w:rPr>
              <w:t>21</w:t>
            </w:r>
          </w:hyperlink>
        </w:p>
        <w:p>
          <w:pPr>
            <w:pStyle w:val="Contents6"/>
            <w:tabs>
              <w:tab w:val="clear" w:pos="7609"/>
              <w:tab w:val="right" w:pos="9026" w:leader="dot"/>
            </w:tabs>
            <w:rPr/>
          </w:pPr>
          <w:hyperlink w:anchor="__RefHeading___Toc2133248_237004111">
            <w:r>
              <w:rPr>
                <w:webHidden/>
                <w:rStyle w:val="IndexLink"/>
                <w:rtl w:val="true"/>
              </w:rPr>
              <w:t>اشارة</w:t>
            </w:r>
            <w:r>
              <w:rPr>
                <w:rStyle w:val="IndexLink"/>
                <w:rtl w:val="true"/>
              </w:rPr>
              <w:tab/>
            </w:r>
            <w:r>
              <w:rPr>
                <w:rStyle w:val="IndexLink"/>
              </w:rPr>
              <w:t>21</w:t>
            </w:r>
          </w:hyperlink>
        </w:p>
        <w:p>
          <w:pPr>
            <w:pStyle w:val="Contents6"/>
            <w:tabs>
              <w:tab w:val="clear" w:pos="7609"/>
              <w:tab w:val="right" w:pos="9026" w:leader="dot"/>
            </w:tabs>
            <w:rPr/>
          </w:pPr>
          <w:hyperlink w:anchor="__RefHeading___Toc2133250_237004111">
            <w:r>
              <w:rPr>
                <w:webHidden/>
                <w:rStyle w:val="IndexLink"/>
                <w:rtl w:val="true"/>
              </w:rPr>
              <w:t>الطریق الأول</w:t>
            </w:r>
            <w:r>
              <w:rPr>
                <w:rStyle w:val="IndexLink"/>
                <w:rtl w:val="true"/>
              </w:rPr>
              <w:t xml:space="preserve">: </w:t>
            </w:r>
            <w:r>
              <w:rPr>
                <w:rStyle w:val="IndexLink"/>
                <w:rtl w:val="true"/>
              </w:rPr>
              <w:t>احتواء العدة علی ثقة واحد</w:t>
            </w:r>
            <w:r>
              <w:rPr>
                <w:rStyle w:val="IndexLink"/>
                <w:rtl w:val="true"/>
              </w:rPr>
              <w:tab/>
            </w:r>
            <w:r>
              <w:rPr>
                <w:rStyle w:val="IndexLink"/>
              </w:rPr>
              <w:t>21</w:t>
            </w:r>
          </w:hyperlink>
        </w:p>
        <w:p>
          <w:pPr>
            <w:pStyle w:val="Contents6"/>
            <w:tabs>
              <w:tab w:val="clear" w:pos="7609"/>
              <w:tab w:val="right" w:pos="9026" w:leader="dot"/>
            </w:tabs>
            <w:rPr/>
          </w:pPr>
          <w:hyperlink w:anchor="__RefHeading___Toc2133252_237004111">
            <w:r>
              <w:rPr>
                <w:webHidden/>
                <w:rStyle w:val="IndexLink"/>
                <w:rtl w:val="true"/>
              </w:rPr>
              <w:t>الطریق الثانی</w:t>
            </w:r>
            <w:r>
              <w:rPr>
                <w:rStyle w:val="IndexLink"/>
                <w:rtl w:val="true"/>
              </w:rPr>
              <w:t xml:space="preserve">: </w:t>
            </w:r>
            <w:r>
              <w:rPr>
                <w:rStyle w:val="IndexLink"/>
                <w:rtl w:val="true"/>
              </w:rPr>
              <w:t>ما ذکره الکلینی فی الحدیث الأول</w:t>
            </w:r>
            <w:r>
              <w:rPr>
                <w:rStyle w:val="IndexLink"/>
                <w:rtl w:val="true"/>
              </w:rPr>
              <w:tab/>
            </w:r>
            <w:r>
              <w:rPr>
                <w:rStyle w:val="IndexLink"/>
              </w:rPr>
              <w:t>23</w:t>
            </w:r>
          </w:hyperlink>
        </w:p>
        <w:p>
          <w:pPr>
            <w:pStyle w:val="Contents6"/>
            <w:tabs>
              <w:tab w:val="clear" w:pos="7609"/>
              <w:tab w:val="right" w:pos="9026" w:leader="dot"/>
            </w:tabs>
            <w:rPr/>
          </w:pPr>
          <w:hyperlink w:anchor="__RefHeading___Toc2133254_237004111">
            <w:r>
              <w:rPr>
                <w:webHidden/>
                <w:rStyle w:val="IndexLink"/>
                <w:rtl w:val="true"/>
              </w:rPr>
              <w:t>الطریق الثالث</w:t>
            </w:r>
            <w:r>
              <w:rPr>
                <w:rStyle w:val="IndexLink"/>
                <w:rtl w:val="true"/>
              </w:rPr>
              <w:t xml:space="preserve">: </w:t>
            </w:r>
            <w:r>
              <w:rPr>
                <w:rStyle w:val="IndexLink"/>
                <w:rtl w:val="true"/>
              </w:rPr>
              <w:t>استبعاد اجتماع المشایخ علی الخلاف</w:t>
            </w:r>
            <w:r>
              <w:rPr>
                <w:rStyle w:val="IndexLink"/>
                <w:rtl w:val="true"/>
              </w:rPr>
              <w:tab/>
            </w:r>
            <w:r>
              <w:rPr>
                <w:rStyle w:val="IndexLink"/>
              </w:rPr>
              <w:t>24</w:t>
            </w:r>
          </w:hyperlink>
        </w:p>
        <w:p>
          <w:pPr>
            <w:pStyle w:val="Contents6"/>
            <w:tabs>
              <w:tab w:val="clear" w:pos="7609"/>
              <w:tab w:val="right" w:pos="9026" w:leader="dot"/>
            </w:tabs>
            <w:rPr/>
          </w:pPr>
          <w:hyperlink w:anchor="__RefHeading___Toc2133256_237004111">
            <w:r>
              <w:rPr>
                <w:webHidden/>
                <w:rStyle w:val="IndexLink"/>
                <w:rtl w:val="true"/>
              </w:rPr>
              <w:t>الجهة الثانیة</w:t>
            </w:r>
            <w:r>
              <w:rPr>
                <w:rStyle w:val="IndexLink"/>
                <w:rtl w:val="true"/>
              </w:rPr>
              <w:t xml:space="preserve">: </w:t>
            </w:r>
            <w:r>
              <w:rPr>
                <w:rStyle w:val="IndexLink"/>
                <w:rtl w:val="true"/>
              </w:rPr>
              <w:t>ضعف عباد بن صهیب</w:t>
            </w:r>
            <w:r>
              <w:rPr>
                <w:rStyle w:val="IndexLink"/>
                <w:rtl w:val="true"/>
              </w:rPr>
              <w:tab/>
            </w:r>
            <w:r>
              <w:rPr>
                <w:rStyle w:val="IndexLink"/>
              </w:rPr>
              <w:t>25</w:t>
            </w:r>
          </w:hyperlink>
        </w:p>
        <w:p>
          <w:pPr>
            <w:pStyle w:val="Contents6"/>
            <w:tabs>
              <w:tab w:val="clear" w:pos="7609"/>
              <w:tab w:val="right" w:pos="9026" w:leader="dot"/>
            </w:tabs>
            <w:rPr/>
          </w:pPr>
          <w:hyperlink w:anchor="__RefHeading___Toc2133258_237004111">
            <w:r>
              <w:rPr>
                <w:webHidden/>
                <w:rStyle w:val="IndexLink"/>
                <w:rtl w:val="true"/>
              </w:rPr>
              <w:t>الإشکال الثانی</w:t>
            </w:r>
            <w:r>
              <w:rPr>
                <w:rStyle w:val="IndexLink"/>
                <w:rtl w:val="true"/>
              </w:rPr>
              <w:t xml:space="preserve">: </w:t>
            </w:r>
            <w:r>
              <w:rPr>
                <w:rStyle w:val="IndexLink"/>
                <w:rtl w:val="true"/>
              </w:rPr>
              <w:t>کون المراد من الحدیث عدم وجوب الغض</w:t>
            </w:r>
            <w:r>
              <w:rPr>
                <w:rStyle w:val="IndexLink"/>
                <w:rtl w:val="true"/>
              </w:rPr>
              <w:tab/>
            </w:r>
            <w:r>
              <w:rPr>
                <w:rStyle w:val="IndexLink"/>
              </w:rPr>
              <w:t>27</w:t>
            </w:r>
          </w:hyperlink>
        </w:p>
        <w:p>
          <w:pPr>
            <w:pStyle w:val="Contents6"/>
            <w:tabs>
              <w:tab w:val="clear" w:pos="7609"/>
              <w:tab w:val="right" w:pos="9026" w:leader="dot"/>
            </w:tabs>
            <w:rPr/>
          </w:pPr>
          <w:hyperlink w:anchor="__RefHeading___Toc2133260_237004111">
            <w:r>
              <w:rPr>
                <w:webHidden/>
                <w:rStyle w:val="IndexLink"/>
                <w:rtl w:val="true"/>
              </w:rPr>
              <w:t>الإشکال الثالث</w:t>
            </w:r>
            <w:r>
              <w:rPr>
                <w:rStyle w:val="IndexLink"/>
                <w:rtl w:val="true"/>
              </w:rPr>
              <w:t xml:space="preserve">: </w:t>
            </w:r>
            <w:r>
              <w:rPr>
                <w:rStyle w:val="IndexLink"/>
                <w:rtl w:val="true"/>
              </w:rPr>
              <w:t>قصر الجواز علی النظر القهری</w:t>
            </w:r>
            <w:r>
              <w:rPr>
                <w:rStyle w:val="IndexLink"/>
                <w:rtl w:val="true"/>
              </w:rPr>
              <w:tab/>
            </w:r>
            <w:r>
              <w:rPr>
                <w:rStyle w:val="IndexLink"/>
              </w:rPr>
              <w:t>29</w:t>
            </w:r>
          </w:hyperlink>
        </w:p>
        <w:p>
          <w:pPr>
            <w:pStyle w:val="Contents6"/>
            <w:tabs>
              <w:tab w:val="clear" w:pos="7609"/>
              <w:tab w:val="right" w:pos="9026" w:leader="dot"/>
            </w:tabs>
            <w:rPr/>
          </w:pPr>
          <w:hyperlink w:anchor="__RefHeading___Toc2133262_237004111">
            <w:r>
              <w:rPr>
                <w:webHidden/>
                <w:rStyle w:val="IndexLink"/>
                <w:rtl w:val="true"/>
              </w:rPr>
              <w:t>الإشکال الرابع</w:t>
            </w:r>
            <w:r>
              <w:rPr>
                <w:rStyle w:val="IndexLink"/>
                <w:rtl w:val="true"/>
              </w:rPr>
              <w:t xml:space="preserve">: </w:t>
            </w:r>
            <w:r>
              <w:rPr>
                <w:rStyle w:val="IndexLink"/>
                <w:rtl w:val="true"/>
              </w:rPr>
              <w:t>تقید الروایة بأهل الذمة</w:t>
            </w:r>
            <w:r>
              <w:rPr>
                <w:rStyle w:val="IndexLink"/>
                <w:rtl w:val="true"/>
              </w:rPr>
              <w:tab/>
            </w:r>
            <w:r>
              <w:rPr>
                <w:rStyle w:val="IndexLink"/>
              </w:rPr>
              <w:t>32</w:t>
            </w:r>
          </w:hyperlink>
        </w:p>
        <w:p>
          <w:pPr>
            <w:pStyle w:val="Contents6"/>
            <w:tabs>
              <w:tab w:val="clear" w:pos="7609"/>
              <w:tab w:val="right" w:pos="9026" w:leader="dot"/>
            </w:tabs>
            <w:rPr/>
          </w:pPr>
          <w:hyperlink w:anchor="__RefHeading___Toc2133264_237004111">
            <w:r>
              <w:rPr>
                <w:webHidden/>
                <w:rStyle w:val="IndexLink"/>
                <w:rtl w:val="true"/>
              </w:rPr>
              <w:t>الإشکال الخامس</w:t>
            </w:r>
            <w:r>
              <w:rPr>
                <w:rStyle w:val="IndexLink"/>
                <w:rtl w:val="true"/>
              </w:rPr>
              <w:t xml:space="preserve">: </w:t>
            </w:r>
            <w:r>
              <w:rPr>
                <w:rStyle w:val="IndexLink"/>
                <w:rtl w:val="true"/>
              </w:rPr>
              <w:t>الأخذ بالتعلیل أشکل</w:t>
            </w:r>
            <w:r>
              <w:rPr>
                <w:rStyle w:val="IndexLink"/>
                <w:rtl w:val="true"/>
              </w:rPr>
              <w:tab/>
            </w:r>
            <w:r>
              <w:rPr>
                <w:rStyle w:val="IndexLink"/>
              </w:rPr>
              <w:t>33</w:t>
            </w:r>
          </w:hyperlink>
        </w:p>
        <w:p>
          <w:pPr>
            <w:pStyle w:val="Contents6"/>
            <w:tabs>
              <w:tab w:val="clear" w:pos="7609"/>
              <w:tab w:val="right" w:pos="9026" w:leader="dot"/>
            </w:tabs>
            <w:rPr/>
          </w:pPr>
          <w:hyperlink w:anchor="__RefHeading___Toc2133266_237004111">
            <w:r>
              <w:rPr>
                <w:webHidden/>
                <w:rStyle w:val="IndexLink"/>
                <w:rtl w:val="true"/>
              </w:rPr>
              <w:t>الإشکال السادس</w:t>
            </w:r>
            <w:r>
              <w:rPr>
                <w:rStyle w:val="IndexLink"/>
                <w:rtl w:val="true"/>
              </w:rPr>
              <w:t xml:space="preserve">: </w:t>
            </w:r>
            <w:r>
              <w:rPr>
                <w:rStyle w:val="IndexLink"/>
                <w:rtl w:val="true"/>
              </w:rPr>
              <w:t>إعراض المشهور عن العمل بالروایة</w:t>
            </w:r>
            <w:r>
              <w:rPr>
                <w:rStyle w:val="IndexLink"/>
                <w:rtl w:val="true"/>
              </w:rPr>
              <w:tab/>
            </w:r>
            <w:r>
              <w:rPr>
                <w:rStyle w:val="IndexLink"/>
              </w:rPr>
              <w:t>37</w:t>
            </w:r>
          </w:hyperlink>
        </w:p>
        <w:p>
          <w:pPr>
            <w:pStyle w:val="Contents6"/>
            <w:tabs>
              <w:tab w:val="clear" w:pos="7609"/>
              <w:tab w:val="right" w:pos="9026" w:leader="dot"/>
            </w:tabs>
            <w:rPr/>
          </w:pPr>
          <w:hyperlink w:anchor="__RefHeading___Toc2133268_237004111">
            <w:r>
              <w:rPr>
                <w:webHidden/>
                <w:rStyle w:val="IndexLink"/>
                <w:rtl w:val="true"/>
              </w:rPr>
              <w:t>الدلیل الثانی</w:t>
            </w:r>
            <w:r>
              <w:rPr>
                <w:rStyle w:val="IndexLink"/>
                <w:rtl w:val="true"/>
              </w:rPr>
              <w:t xml:space="preserve">: </w:t>
            </w:r>
            <w:r>
              <w:rPr>
                <w:rStyle w:val="IndexLink"/>
                <w:rtl w:val="true"/>
              </w:rPr>
              <w:t>رفع الحرج</w:t>
            </w:r>
            <w:r>
              <w:rPr>
                <w:rStyle w:val="IndexLink"/>
                <w:rtl w:val="true"/>
              </w:rPr>
              <w:tab/>
            </w:r>
            <w:r>
              <w:rPr>
                <w:rStyle w:val="IndexLink"/>
              </w:rPr>
              <w:t>41</w:t>
            </w:r>
          </w:hyperlink>
        </w:p>
        <w:p>
          <w:pPr>
            <w:pStyle w:val="Contents6"/>
            <w:tabs>
              <w:tab w:val="clear" w:pos="7609"/>
              <w:tab w:val="right" w:pos="9026" w:leader="dot"/>
            </w:tabs>
            <w:rPr/>
          </w:pPr>
          <w:hyperlink w:anchor="__RefHeading___Toc2133270_237004111">
            <w:r>
              <w:rPr>
                <w:webHidden/>
                <w:rStyle w:val="IndexLink"/>
                <w:rtl w:val="true"/>
              </w:rPr>
              <w:t>الدلیل الثالث</w:t>
            </w:r>
            <w:r>
              <w:rPr>
                <w:rStyle w:val="IndexLink"/>
                <w:rtl w:val="true"/>
              </w:rPr>
              <w:t xml:space="preserve">: </w:t>
            </w:r>
            <w:r>
              <w:rPr>
                <w:rStyle w:val="IndexLink"/>
                <w:rtl w:val="true"/>
              </w:rPr>
              <w:t>سیرة المتشرعة</w:t>
            </w:r>
            <w:r>
              <w:rPr>
                <w:rStyle w:val="IndexLink"/>
                <w:rtl w:val="true"/>
              </w:rPr>
              <w:tab/>
            </w:r>
            <w:r>
              <w:rPr>
                <w:rStyle w:val="IndexLink"/>
              </w:rPr>
              <w:t>42</w:t>
            </w:r>
          </w:hyperlink>
        </w:p>
        <w:p>
          <w:pPr>
            <w:pStyle w:val="Contents5"/>
            <w:tabs>
              <w:tab w:val="clear" w:pos="7892"/>
              <w:tab w:val="right" w:pos="9026" w:leader="dot"/>
            </w:tabs>
            <w:rPr/>
          </w:pPr>
          <w:hyperlink w:anchor="__RefHeading___Toc2133272_237004111">
            <w:r>
              <w:rPr>
                <w:webHidden/>
                <w:rStyle w:val="IndexLink"/>
                <w:rtl w:val="true"/>
              </w:rPr>
              <w:t>الفرع الثانی</w:t>
            </w:r>
            <w:r>
              <w:rPr>
                <w:rStyle w:val="IndexLink"/>
                <w:rtl w:val="true"/>
              </w:rPr>
              <w:t xml:space="preserve">: </w:t>
            </w:r>
            <w:r>
              <w:rPr>
                <w:rStyle w:val="IndexLink"/>
                <w:rtl w:val="true"/>
              </w:rPr>
              <w:t>فی حکم التردد فی الأسواق</w:t>
            </w:r>
            <w:r>
              <w:rPr>
                <w:rStyle w:val="IndexLink"/>
                <w:rtl w:val="true"/>
              </w:rPr>
              <w:tab/>
            </w:r>
            <w:r>
              <w:rPr>
                <w:rStyle w:val="IndexLink"/>
              </w:rPr>
              <w:t>43</w:t>
            </w:r>
          </w:hyperlink>
        </w:p>
        <w:p>
          <w:pPr>
            <w:pStyle w:val="Contents6"/>
            <w:tabs>
              <w:tab w:val="clear" w:pos="7609"/>
              <w:tab w:val="right" w:pos="9026" w:leader="dot"/>
            </w:tabs>
            <w:rPr/>
          </w:pPr>
          <w:hyperlink w:anchor="__RefHeading___Toc2133274_237004111">
            <w:r>
              <w:rPr>
                <w:webHidden/>
                <w:rStyle w:val="IndexLink"/>
                <w:rtl w:val="true"/>
              </w:rPr>
              <w:t>اشارة</w:t>
            </w:r>
            <w:r>
              <w:rPr>
                <w:rStyle w:val="IndexLink"/>
                <w:rtl w:val="true"/>
              </w:rPr>
              <w:tab/>
            </w:r>
            <w:r>
              <w:rPr>
                <w:rStyle w:val="IndexLink"/>
              </w:rPr>
              <w:t>43</w:t>
            </w:r>
          </w:hyperlink>
        </w:p>
        <w:p>
          <w:pPr>
            <w:pStyle w:val="Contents6"/>
            <w:tabs>
              <w:tab w:val="clear" w:pos="7609"/>
              <w:tab w:val="right" w:pos="9026" w:leader="dot"/>
            </w:tabs>
            <w:rPr/>
          </w:pPr>
          <w:hyperlink w:anchor="__RefHeading___Toc2133276_237004111">
            <w:r>
              <w:rPr>
                <w:webHidden/>
                <w:rStyle w:val="IndexLink"/>
                <w:rtl w:val="true"/>
              </w:rPr>
              <w:t>أدلة جواز النظر</w:t>
            </w:r>
            <w:r>
              <w:rPr>
                <w:rStyle w:val="IndexLink"/>
                <w:rtl w:val="true"/>
              </w:rPr>
              <w:tab/>
            </w:r>
            <w:r>
              <w:rPr>
                <w:rStyle w:val="IndexLink"/>
              </w:rPr>
              <w:t>44</w:t>
            </w:r>
          </w:hyperlink>
        </w:p>
        <w:p>
          <w:pPr>
            <w:pStyle w:val="Contents6"/>
            <w:tabs>
              <w:tab w:val="clear" w:pos="7609"/>
              <w:tab w:val="right" w:pos="9026" w:leader="dot"/>
            </w:tabs>
            <w:rPr/>
          </w:pPr>
          <w:hyperlink w:anchor="__RefHeading___Toc2133278_237004111">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2133280_237004111">
            <w:r>
              <w:rPr>
                <w:webHidden/>
                <w:rStyle w:val="IndexLink"/>
                <w:rtl w:val="true"/>
              </w:rPr>
              <w:t>الدلیل الأول</w:t>
            </w:r>
            <w:r>
              <w:rPr>
                <w:rStyle w:val="IndexLink"/>
                <w:rtl w:val="true"/>
              </w:rPr>
              <w:t xml:space="preserve">: </w:t>
            </w:r>
            <w:r>
              <w:rPr>
                <w:rStyle w:val="IndexLink"/>
                <w:rtl w:val="true"/>
              </w:rPr>
              <w:t>الإجماع</w:t>
            </w:r>
            <w:r>
              <w:rPr>
                <w:rStyle w:val="IndexLink"/>
                <w:rtl w:val="true"/>
              </w:rPr>
              <w:tab/>
            </w:r>
            <w:r>
              <w:rPr>
                <w:rStyle w:val="IndexLink"/>
              </w:rPr>
              <w:t>44</w:t>
            </w:r>
          </w:hyperlink>
        </w:p>
        <w:p>
          <w:pPr>
            <w:pStyle w:val="Contents6"/>
            <w:tabs>
              <w:tab w:val="clear" w:pos="7609"/>
              <w:tab w:val="right" w:pos="9026" w:leader="dot"/>
            </w:tabs>
            <w:rPr/>
          </w:pPr>
          <w:hyperlink w:anchor="__RefHeading___Toc2133282_237004111">
            <w:r>
              <w:rPr>
                <w:webHidden/>
                <w:rStyle w:val="IndexLink"/>
                <w:rtl w:val="true"/>
              </w:rPr>
              <w:t>الدلیل الثانی</w:t>
            </w:r>
            <w:r>
              <w:rPr>
                <w:rStyle w:val="IndexLink"/>
                <w:rtl w:val="true"/>
              </w:rPr>
              <w:t xml:space="preserve">: </w:t>
            </w:r>
            <w:r>
              <w:rPr>
                <w:rStyle w:val="IndexLink"/>
                <w:rtl w:val="true"/>
              </w:rPr>
              <w:t>العسر والحرج</w:t>
            </w:r>
            <w:r>
              <w:rPr>
                <w:rStyle w:val="IndexLink"/>
                <w:rtl w:val="true"/>
              </w:rPr>
              <w:tab/>
            </w:r>
            <w:r>
              <w:rPr>
                <w:rStyle w:val="IndexLink"/>
              </w:rPr>
              <w:t>44</w:t>
            </w:r>
          </w:hyperlink>
        </w:p>
        <w:p>
          <w:pPr>
            <w:pStyle w:val="Contents6"/>
            <w:tabs>
              <w:tab w:val="clear" w:pos="7609"/>
              <w:tab w:val="right" w:pos="9026" w:leader="dot"/>
            </w:tabs>
            <w:rPr/>
          </w:pPr>
          <w:hyperlink w:anchor="__RefHeading___Toc2133284_237004111">
            <w:r>
              <w:rPr>
                <w:webHidden/>
                <w:rStyle w:val="IndexLink"/>
                <w:rtl w:val="true"/>
              </w:rPr>
              <w:t>الدلیل الثالث</w:t>
            </w:r>
            <w:r>
              <w:rPr>
                <w:rStyle w:val="IndexLink"/>
                <w:rtl w:val="true"/>
              </w:rPr>
              <w:t xml:space="preserve">: </w:t>
            </w:r>
            <w:r>
              <w:rPr>
                <w:rStyle w:val="IndexLink"/>
                <w:rtl w:val="true"/>
              </w:rPr>
              <w:t>إنه القدر المتیقن</w:t>
            </w:r>
            <w:r>
              <w:rPr>
                <w:rStyle w:val="IndexLink"/>
                <w:rtl w:val="true"/>
              </w:rPr>
              <w:tab/>
            </w:r>
            <w:r>
              <w:rPr>
                <w:rStyle w:val="IndexLink"/>
              </w:rPr>
              <w:t>45</w:t>
            </w:r>
          </w:hyperlink>
        </w:p>
        <w:p>
          <w:pPr>
            <w:pStyle w:val="Contents6"/>
            <w:tabs>
              <w:tab w:val="clear" w:pos="7609"/>
              <w:tab w:val="right" w:pos="9026" w:leader="dot"/>
            </w:tabs>
            <w:rPr/>
          </w:pPr>
          <w:hyperlink w:anchor="__RefHeading___Toc2133286_237004111">
            <w:r>
              <w:rPr>
                <w:webHidden/>
                <w:rStyle w:val="IndexLink"/>
                <w:rtl w:val="true"/>
              </w:rPr>
              <w:t>الدلیل الرابع</w:t>
            </w:r>
            <w:r>
              <w:rPr>
                <w:rStyle w:val="IndexLink"/>
                <w:rtl w:val="true"/>
              </w:rPr>
              <w:t xml:space="preserve">: </w:t>
            </w:r>
            <w:r>
              <w:rPr>
                <w:rStyle w:val="IndexLink"/>
                <w:rtl w:val="true"/>
              </w:rPr>
              <w:t>السیرة القطعیة</w:t>
            </w:r>
            <w:r>
              <w:rPr>
                <w:rStyle w:val="IndexLink"/>
                <w:rtl w:val="true"/>
              </w:rPr>
              <w:tab/>
            </w:r>
            <w:r>
              <w:rPr>
                <w:rStyle w:val="IndexLink"/>
              </w:rPr>
              <w:t>45</w:t>
            </w:r>
          </w:hyperlink>
        </w:p>
        <w:p>
          <w:pPr>
            <w:pStyle w:val="Contents5"/>
            <w:tabs>
              <w:tab w:val="clear" w:pos="7892"/>
              <w:tab w:val="right" w:pos="9026" w:leader="dot"/>
            </w:tabs>
            <w:rPr/>
          </w:pPr>
          <w:hyperlink w:anchor="__RefHeading___Toc2133288_237004111">
            <w:r>
              <w:rPr>
                <w:webHidden/>
                <w:rStyle w:val="IndexLink"/>
                <w:rtl w:val="true"/>
              </w:rPr>
              <w:t>الفرع الثالث</w:t>
            </w:r>
            <w:r>
              <w:rPr>
                <w:rStyle w:val="IndexLink"/>
                <w:rtl w:val="true"/>
              </w:rPr>
              <w:t xml:space="preserve">: </w:t>
            </w:r>
            <w:r>
              <w:rPr>
                <w:rStyle w:val="IndexLink"/>
                <w:rtl w:val="true"/>
              </w:rPr>
              <w:t>فی حدود المنظور إلیه</w:t>
            </w:r>
            <w:r>
              <w:rPr>
                <w:rStyle w:val="IndexLink"/>
                <w:rtl w:val="true"/>
              </w:rPr>
              <w:tab/>
            </w:r>
            <w:r>
              <w:rPr>
                <w:rStyle w:val="IndexLink"/>
              </w:rPr>
              <w:t>46</w:t>
            </w:r>
          </w:hyperlink>
        </w:p>
        <w:p>
          <w:pPr>
            <w:pStyle w:val="Contents5"/>
            <w:tabs>
              <w:tab w:val="clear" w:pos="7892"/>
              <w:tab w:val="right" w:pos="9026" w:leader="dot"/>
            </w:tabs>
            <w:rPr/>
          </w:pPr>
          <w:hyperlink w:anchor="__RefHeading___Toc2133290_237004111">
            <w:r>
              <w:rPr>
                <w:webHidden/>
                <w:rStyle w:val="IndexLink"/>
                <w:rtl w:val="true"/>
              </w:rPr>
              <w:t>الفرع الرابع</w:t>
            </w:r>
            <w:r>
              <w:rPr>
                <w:rStyle w:val="IndexLink"/>
                <w:rtl w:val="true"/>
              </w:rPr>
              <w:t xml:space="preserve">: </w:t>
            </w:r>
            <w:r>
              <w:rPr>
                <w:rStyle w:val="IndexLink"/>
                <w:rtl w:val="true"/>
              </w:rPr>
              <w:t>الکلام فی الانتهاء المقید</w:t>
            </w:r>
            <w:r>
              <w:rPr>
                <w:rStyle w:val="IndexLink"/>
                <w:rtl w:val="true"/>
              </w:rPr>
              <w:tab/>
            </w:r>
            <w:r>
              <w:rPr>
                <w:rStyle w:val="IndexLink"/>
              </w:rPr>
              <w:t>48</w:t>
            </w:r>
          </w:hyperlink>
        </w:p>
        <w:p>
          <w:pPr>
            <w:pStyle w:val="Contents5"/>
            <w:tabs>
              <w:tab w:val="clear" w:pos="7892"/>
              <w:tab w:val="right" w:pos="9026" w:leader="dot"/>
            </w:tabs>
            <w:rPr/>
          </w:pPr>
          <w:hyperlink w:anchor="__RefHeading___Toc2133292_237004111">
            <w:r>
              <w:rPr>
                <w:webHidden/>
                <w:rStyle w:val="IndexLink"/>
                <w:rtl w:val="true"/>
              </w:rPr>
              <w:t>الفرع الخامس</w:t>
            </w:r>
            <w:r>
              <w:rPr>
                <w:rStyle w:val="IndexLink"/>
                <w:rtl w:val="true"/>
              </w:rPr>
              <w:t xml:space="preserve">: </w:t>
            </w:r>
            <w:r>
              <w:rPr>
                <w:rStyle w:val="IndexLink"/>
                <w:rtl w:val="true"/>
              </w:rPr>
              <w:t>العلم بعدم الانتهاء</w:t>
            </w:r>
            <w:r>
              <w:rPr>
                <w:rStyle w:val="IndexLink"/>
                <w:rtl w:val="true"/>
              </w:rPr>
              <w:tab/>
            </w:r>
            <w:r>
              <w:rPr>
                <w:rStyle w:val="IndexLink"/>
              </w:rPr>
              <w:t>49</w:t>
            </w:r>
          </w:hyperlink>
        </w:p>
        <w:p>
          <w:pPr>
            <w:pStyle w:val="Contents5"/>
            <w:tabs>
              <w:tab w:val="clear" w:pos="7892"/>
              <w:tab w:val="right" w:pos="9026" w:leader="dot"/>
            </w:tabs>
            <w:rPr/>
          </w:pPr>
          <w:hyperlink w:anchor="__RefHeading___Toc2133294_237004111">
            <w:r>
              <w:rPr>
                <w:webHidden/>
                <w:rStyle w:val="IndexLink"/>
                <w:rtl w:val="true"/>
              </w:rPr>
              <w:t>الفرع السادس</w:t>
            </w:r>
            <w:r>
              <w:rPr>
                <w:rStyle w:val="IndexLink"/>
                <w:rtl w:val="true"/>
              </w:rPr>
              <w:t xml:space="preserve">: </w:t>
            </w:r>
            <w:r>
              <w:rPr>
                <w:rStyle w:val="IndexLink"/>
                <w:rtl w:val="true"/>
              </w:rPr>
              <w:t>شرائط جواز النظر</w:t>
            </w:r>
            <w:r>
              <w:rPr>
                <w:rStyle w:val="IndexLink"/>
                <w:rtl w:val="true"/>
              </w:rPr>
              <w:tab/>
            </w:r>
            <w:r>
              <w:rPr>
                <w:rStyle w:val="IndexLink"/>
              </w:rPr>
              <w:t>51</w:t>
            </w:r>
          </w:hyperlink>
        </w:p>
        <w:p>
          <w:pPr>
            <w:pStyle w:val="Contents5"/>
            <w:tabs>
              <w:tab w:val="clear" w:pos="7892"/>
              <w:tab w:val="right" w:pos="9026" w:leader="dot"/>
            </w:tabs>
            <w:rPr/>
          </w:pPr>
          <w:hyperlink w:anchor="__RefHeading___Toc2133296_237004111">
            <w:r>
              <w:rPr>
                <w:webHidden/>
                <w:rStyle w:val="IndexLink"/>
                <w:rtl w:val="true"/>
              </w:rPr>
              <w:t>الفرع السابع</w:t>
            </w:r>
            <w:r>
              <w:rPr>
                <w:rStyle w:val="IndexLink"/>
                <w:rtl w:val="true"/>
              </w:rPr>
              <w:t xml:space="preserve">: </w:t>
            </w:r>
            <w:r>
              <w:rPr>
                <w:rStyle w:val="IndexLink"/>
                <w:rtl w:val="true"/>
              </w:rPr>
              <w:t>حکم اللمس وغیره</w:t>
            </w:r>
            <w:r>
              <w:rPr>
                <w:rStyle w:val="IndexLink"/>
                <w:rtl w:val="true"/>
              </w:rPr>
              <w:tab/>
            </w:r>
            <w:r>
              <w:rPr>
                <w:rStyle w:val="IndexLink"/>
              </w:rPr>
              <w:t>51</w:t>
            </w:r>
          </w:hyperlink>
        </w:p>
        <w:p>
          <w:pPr>
            <w:pStyle w:val="Contents2"/>
            <w:tabs>
              <w:tab w:val="clear" w:pos="8743"/>
              <w:tab w:val="right" w:pos="9026" w:leader="dot"/>
            </w:tabs>
            <w:rPr/>
          </w:pPr>
          <w:hyperlink w:anchor="__RefHeading___Toc2133298_237004111">
            <w:r>
              <w:rPr>
                <w:webHidden/>
                <w:rStyle w:val="IndexLink"/>
                <w:rtl w:val="true"/>
              </w:rPr>
              <w:t>المسألة الثانیة</w:t>
            </w:r>
            <w:r>
              <w:rPr>
                <w:rStyle w:val="IndexLink"/>
                <w:rtl w:val="true"/>
              </w:rPr>
              <w:t xml:space="preserve">: </w:t>
            </w:r>
            <w:r>
              <w:rPr>
                <w:rStyle w:val="IndexLink"/>
                <w:rtl w:val="true"/>
              </w:rPr>
              <w:t>النظر إلی نساء أهل الذمة ومطلق الکوافر</w:t>
            </w:r>
            <w:r>
              <w:rPr>
                <w:rStyle w:val="IndexLink"/>
                <w:rtl w:val="true"/>
              </w:rPr>
              <w:tab/>
            </w:r>
            <w:r>
              <w:rPr>
                <w:rStyle w:val="IndexLink"/>
              </w:rPr>
              <w:t>53</w:t>
            </w:r>
          </w:hyperlink>
        </w:p>
        <w:p>
          <w:pPr>
            <w:pStyle w:val="Contents3"/>
            <w:tabs>
              <w:tab w:val="clear" w:pos="8459"/>
              <w:tab w:val="right" w:pos="9026" w:leader="dot"/>
            </w:tabs>
            <w:rPr/>
          </w:pPr>
          <w:hyperlink w:anchor="__RefHeading___Toc2133300_237004111">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2133302_237004111">
            <w:r>
              <w:rPr>
                <w:webHidden/>
                <w:rStyle w:val="IndexLink"/>
                <w:rtl w:val="true"/>
              </w:rPr>
              <w:t>المسألة الثانیة</w:t>
            </w:r>
            <w:r>
              <w:rPr>
                <w:rStyle w:val="IndexLink"/>
                <w:rtl w:val="true"/>
              </w:rPr>
              <w:t xml:space="preserve">: </w:t>
            </w:r>
            <w:r>
              <w:rPr>
                <w:rStyle w:val="IndexLink"/>
                <w:rtl w:val="true"/>
              </w:rPr>
              <w:t>النظر إلی نساء أهل الذمة ومطلق الکوافر</w:t>
            </w:r>
            <w:r>
              <w:rPr>
                <w:rStyle w:val="IndexLink"/>
                <w:rtl w:val="true"/>
              </w:rPr>
              <w:tab/>
            </w:r>
            <w:r>
              <w:rPr>
                <w:rStyle w:val="IndexLink"/>
              </w:rPr>
              <w:t>55</w:t>
            </w:r>
          </w:hyperlink>
        </w:p>
        <w:p>
          <w:pPr>
            <w:pStyle w:val="Contents4"/>
            <w:tabs>
              <w:tab w:val="clear" w:pos="8176"/>
              <w:tab w:val="right" w:pos="9026" w:leader="dot"/>
            </w:tabs>
            <w:rPr/>
          </w:pPr>
          <w:hyperlink w:anchor="__RefHeading___Toc2133304_237004111">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2133306_237004111">
            <w:r>
              <w:rPr>
                <w:webHidden/>
                <w:rStyle w:val="IndexLink"/>
                <w:rtl w:val="true"/>
              </w:rPr>
              <w:t>فروع المسألة الثانیة</w:t>
            </w:r>
            <w:r>
              <w:rPr>
                <w:rStyle w:val="IndexLink"/>
                <w:rtl w:val="true"/>
              </w:rPr>
              <w:tab/>
            </w:r>
            <w:r>
              <w:rPr>
                <w:rStyle w:val="IndexLink"/>
              </w:rPr>
              <w:t>55</w:t>
            </w:r>
          </w:hyperlink>
        </w:p>
        <w:p>
          <w:pPr>
            <w:pStyle w:val="Contents5"/>
            <w:tabs>
              <w:tab w:val="clear" w:pos="7892"/>
              <w:tab w:val="right" w:pos="9026" w:leader="dot"/>
            </w:tabs>
            <w:rPr/>
          </w:pPr>
          <w:hyperlink w:anchor="__RefHeading___Toc2133308_237004111">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2133310_237004111">
            <w:r>
              <w:rPr>
                <w:webHidden/>
                <w:rStyle w:val="IndexLink"/>
                <w:rtl w:val="true"/>
              </w:rPr>
              <w:t>الفرع الأول</w:t>
            </w:r>
            <w:r>
              <w:rPr>
                <w:rStyle w:val="IndexLink"/>
                <w:rtl w:val="true"/>
              </w:rPr>
              <w:t xml:space="preserve">: </w:t>
            </w:r>
            <w:r>
              <w:rPr>
                <w:rStyle w:val="IndexLink"/>
                <w:rtl w:val="true"/>
              </w:rPr>
              <w:t>فی أصل جواز النظر إلی نساء أهل الذمة</w:t>
            </w:r>
            <w:r>
              <w:rPr>
                <w:rStyle w:val="IndexLink"/>
                <w:rtl w:val="true"/>
              </w:rPr>
              <w:tab/>
            </w:r>
            <w:r>
              <w:rPr>
                <w:rStyle w:val="IndexLink"/>
              </w:rPr>
              <w:t>55</w:t>
            </w:r>
          </w:hyperlink>
        </w:p>
        <w:p>
          <w:pPr>
            <w:pStyle w:val="Contents6"/>
            <w:tabs>
              <w:tab w:val="clear" w:pos="7609"/>
              <w:tab w:val="right" w:pos="9026" w:leader="dot"/>
            </w:tabs>
            <w:rPr/>
          </w:pPr>
          <w:hyperlink w:anchor="__RefHeading___Toc2133312_237004111">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2133314_237004111">
            <w:r>
              <w:rPr>
                <w:webHidden/>
                <w:rStyle w:val="IndexLink"/>
                <w:rtl w:val="true"/>
              </w:rPr>
              <w:t>أدلة جواز النظر إلی نساء أهل الذمة</w:t>
            </w:r>
            <w:r>
              <w:rPr>
                <w:rStyle w:val="IndexLink"/>
                <w:rtl w:val="true"/>
              </w:rPr>
              <w:tab/>
            </w:r>
            <w:r>
              <w:rPr>
                <w:rStyle w:val="IndexLink"/>
              </w:rPr>
              <w:t>56</w:t>
            </w:r>
          </w:hyperlink>
        </w:p>
        <w:p>
          <w:pPr>
            <w:pStyle w:val="Contents6"/>
            <w:tabs>
              <w:tab w:val="clear" w:pos="7609"/>
              <w:tab w:val="right" w:pos="9026" w:leader="dot"/>
            </w:tabs>
            <w:rPr/>
          </w:pPr>
          <w:hyperlink w:anchor="__RefHeading___Toc2133316_237004111">
            <w:r>
              <w:rPr>
                <w:webHidden/>
                <w:rStyle w:val="IndexLink"/>
                <w:rtl w:val="true"/>
              </w:rPr>
              <w:t>اشارة</w:t>
            </w:r>
            <w:r>
              <w:rPr>
                <w:rStyle w:val="IndexLink"/>
                <w:rtl w:val="true"/>
              </w:rPr>
              <w:tab/>
            </w:r>
            <w:r>
              <w:rPr>
                <w:rStyle w:val="IndexLink"/>
              </w:rPr>
              <w:t>56</w:t>
            </w:r>
          </w:hyperlink>
        </w:p>
        <w:p>
          <w:pPr>
            <w:pStyle w:val="Contents6"/>
            <w:tabs>
              <w:tab w:val="clear" w:pos="7609"/>
              <w:tab w:val="right" w:pos="9026" w:leader="dot"/>
            </w:tabs>
            <w:rPr/>
          </w:pPr>
          <w:hyperlink w:anchor="__RefHeading___Toc2133318_237004111">
            <w:r>
              <w:rPr>
                <w:webHidden/>
                <w:rStyle w:val="IndexLink"/>
                <w:rtl w:val="true"/>
              </w:rPr>
              <w:t>الدلیل الأول</w:t>
            </w:r>
            <w:r>
              <w:rPr>
                <w:rStyle w:val="IndexLink"/>
                <w:rtl w:val="true"/>
              </w:rPr>
              <w:t xml:space="preserve">: </w:t>
            </w:r>
            <w:r>
              <w:rPr>
                <w:rStyle w:val="IndexLink"/>
                <w:rtl w:val="true"/>
              </w:rPr>
              <w:t>موثقة عباد بن صهیب المتقدمة</w:t>
            </w:r>
            <w:r>
              <w:rPr>
                <w:rStyle w:val="IndexLink"/>
                <w:rtl w:val="true"/>
              </w:rPr>
              <w:tab/>
            </w:r>
            <w:r>
              <w:rPr>
                <w:rStyle w:val="IndexLink"/>
              </w:rPr>
              <w:t>56</w:t>
            </w:r>
          </w:hyperlink>
        </w:p>
        <w:p>
          <w:pPr>
            <w:pStyle w:val="Contents6"/>
            <w:tabs>
              <w:tab w:val="clear" w:pos="7609"/>
              <w:tab w:val="right" w:pos="9026" w:leader="dot"/>
            </w:tabs>
            <w:rPr/>
          </w:pPr>
          <w:hyperlink w:anchor="__RefHeading___Toc2133320_237004111">
            <w:r>
              <w:rPr>
                <w:webHidden/>
                <w:rStyle w:val="IndexLink"/>
                <w:rtl w:val="true"/>
              </w:rPr>
              <w:t>الدلیل الثانی</w:t>
            </w:r>
            <w:r>
              <w:rPr>
                <w:rStyle w:val="IndexLink"/>
                <w:rtl w:val="true"/>
              </w:rPr>
              <w:t xml:space="preserve">: </w:t>
            </w:r>
            <w:r>
              <w:rPr>
                <w:rStyle w:val="IndexLink"/>
                <w:rtl w:val="true"/>
              </w:rPr>
              <w:t>روایة السکونی</w:t>
            </w:r>
            <w:r>
              <w:rPr>
                <w:rStyle w:val="IndexLink"/>
                <w:rtl w:val="true"/>
              </w:rPr>
              <w:tab/>
            </w:r>
            <w:r>
              <w:rPr>
                <w:rStyle w:val="IndexLink"/>
              </w:rPr>
              <w:t>58</w:t>
            </w:r>
          </w:hyperlink>
        </w:p>
        <w:p>
          <w:pPr>
            <w:pStyle w:val="Contents6"/>
            <w:tabs>
              <w:tab w:val="clear" w:pos="7609"/>
              <w:tab w:val="right" w:pos="9026" w:leader="dot"/>
            </w:tabs>
            <w:rPr/>
          </w:pPr>
          <w:hyperlink w:anchor="__RefHeading___Toc2133322_237004111">
            <w:r>
              <w:rPr>
                <w:webHidden/>
                <w:rStyle w:val="IndexLink"/>
                <w:rtl w:val="true"/>
              </w:rPr>
              <w:t>الدلیل الثالث</w:t>
            </w:r>
            <w:r>
              <w:rPr>
                <w:rStyle w:val="IndexLink"/>
                <w:rtl w:val="true"/>
              </w:rPr>
              <w:t xml:space="preserve">: </w:t>
            </w:r>
            <w:r>
              <w:rPr>
                <w:rStyle w:val="IndexLink"/>
                <w:rtl w:val="true"/>
              </w:rPr>
              <w:t>روایة عبد الله بن جعفر</w:t>
            </w:r>
            <w:r>
              <w:rPr>
                <w:rStyle w:val="IndexLink"/>
                <w:rtl w:val="true"/>
              </w:rPr>
              <w:tab/>
            </w:r>
            <w:r>
              <w:rPr>
                <w:rStyle w:val="IndexLink"/>
              </w:rPr>
              <w:t>63</w:t>
            </w:r>
          </w:hyperlink>
        </w:p>
        <w:p>
          <w:pPr>
            <w:pStyle w:val="Contents6"/>
            <w:tabs>
              <w:tab w:val="clear" w:pos="7609"/>
              <w:tab w:val="right" w:pos="9026" w:leader="dot"/>
            </w:tabs>
            <w:rPr/>
          </w:pPr>
          <w:hyperlink w:anchor="__RefHeading___Toc2133324_237004111">
            <w:r>
              <w:rPr>
                <w:webHidden/>
                <w:rStyle w:val="IndexLink"/>
                <w:rtl w:val="true"/>
              </w:rPr>
              <w:t>الدلیل الرابع</w:t>
            </w:r>
            <w:r>
              <w:rPr>
                <w:rStyle w:val="IndexLink"/>
                <w:rtl w:val="true"/>
              </w:rPr>
              <w:t xml:space="preserve">: </w:t>
            </w:r>
            <w:r>
              <w:rPr>
                <w:rStyle w:val="IndexLink"/>
                <w:rtl w:val="true"/>
              </w:rPr>
              <w:t>السیرة</w:t>
            </w:r>
            <w:r>
              <w:rPr>
                <w:rStyle w:val="IndexLink"/>
                <w:rtl w:val="true"/>
              </w:rPr>
              <w:tab/>
            </w:r>
            <w:r>
              <w:rPr>
                <w:rStyle w:val="IndexLink"/>
              </w:rPr>
              <w:t>63</w:t>
            </w:r>
          </w:hyperlink>
        </w:p>
        <w:p>
          <w:pPr>
            <w:pStyle w:val="Contents6"/>
            <w:tabs>
              <w:tab w:val="clear" w:pos="7609"/>
              <w:tab w:val="right" w:pos="9026" w:leader="dot"/>
            </w:tabs>
            <w:rPr/>
          </w:pPr>
          <w:hyperlink w:anchor="__RefHeading___Toc2133326_237004111">
            <w:r>
              <w:rPr>
                <w:webHidden/>
                <w:rStyle w:val="IndexLink"/>
                <w:rtl w:val="true"/>
              </w:rPr>
              <w:t>الدلیل الخامس</w:t>
            </w:r>
            <w:r>
              <w:rPr>
                <w:rStyle w:val="IndexLink"/>
                <w:rtl w:val="true"/>
              </w:rPr>
              <w:t xml:space="preserve">: </w:t>
            </w:r>
            <w:r>
              <w:rPr>
                <w:rStyle w:val="IndexLink"/>
                <w:rtl w:val="true"/>
              </w:rPr>
              <w:t>الحرج</w:t>
            </w:r>
            <w:r>
              <w:rPr>
                <w:rStyle w:val="IndexLink"/>
                <w:rtl w:val="true"/>
              </w:rPr>
              <w:tab/>
            </w:r>
            <w:r>
              <w:rPr>
                <w:rStyle w:val="IndexLink"/>
              </w:rPr>
              <w:t>65</w:t>
            </w:r>
          </w:hyperlink>
        </w:p>
        <w:p>
          <w:pPr>
            <w:pStyle w:val="Contents6"/>
            <w:tabs>
              <w:tab w:val="clear" w:pos="7609"/>
              <w:tab w:val="right" w:pos="9026" w:leader="dot"/>
            </w:tabs>
            <w:rPr/>
          </w:pPr>
          <w:hyperlink w:anchor="__RefHeading___Toc2133328_237004111">
            <w:r>
              <w:rPr>
                <w:webHidden/>
                <w:rStyle w:val="IndexLink"/>
                <w:rtl w:val="true"/>
              </w:rPr>
              <w:t>الدلیل السادس</w:t>
            </w:r>
            <w:r>
              <w:rPr>
                <w:rStyle w:val="IndexLink"/>
                <w:rtl w:val="true"/>
              </w:rPr>
              <w:t xml:space="preserve">: </w:t>
            </w:r>
            <w:r>
              <w:rPr>
                <w:rStyle w:val="IndexLink"/>
                <w:rtl w:val="true"/>
              </w:rPr>
              <w:t xml:space="preserve">أهل الذمة ممالیک للإمام </w:t>
            </w:r>
            <w:r>
              <w:rPr>
                <w:rStyle w:val="IndexLink"/>
                <w:rtl w:val="true"/>
              </w:rPr>
              <w:t>(</w:t>
            </w:r>
            <w:r>
              <w:rPr>
                <w:rStyle w:val="IndexLink"/>
                <w:rtl w:val="true"/>
              </w:rPr>
              <w:t>علیه السلام</w:t>
            </w:r>
            <w:r>
              <w:rPr>
                <w:rStyle w:val="IndexLink"/>
                <w:rtl w:val="true"/>
              </w:rPr>
              <w:t>)</w:t>
              <w:tab/>
            </w:r>
            <w:r>
              <w:rPr>
                <w:rStyle w:val="IndexLink"/>
              </w:rPr>
              <w:t>65</w:t>
            </w:r>
          </w:hyperlink>
        </w:p>
        <w:p>
          <w:pPr>
            <w:pStyle w:val="Contents6"/>
            <w:tabs>
              <w:tab w:val="clear" w:pos="7609"/>
              <w:tab w:val="right" w:pos="9026" w:leader="dot"/>
            </w:tabs>
            <w:rPr/>
          </w:pPr>
          <w:hyperlink w:anchor="__RefHeading___Toc2133330_237004111">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2133332_237004111">
            <w:r>
              <w:rPr>
                <w:webHidden/>
                <w:rStyle w:val="IndexLink"/>
                <w:rtl w:val="true"/>
              </w:rPr>
              <w:t>المقام الأول</w:t>
            </w:r>
            <w:r>
              <w:rPr>
                <w:rStyle w:val="IndexLink"/>
                <w:rtl w:val="true"/>
              </w:rPr>
              <w:t xml:space="preserve">: </w:t>
            </w:r>
            <w:r>
              <w:rPr>
                <w:rStyle w:val="IndexLink"/>
                <w:rtl w:val="true"/>
              </w:rPr>
              <w:t xml:space="preserve">کون أهل الذمة ممالیک للإمام </w:t>
            </w:r>
            <w:r>
              <w:rPr>
                <w:rStyle w:val="IndexLink"/>
                <w:rtl w:val="true"/>
              </w:rPr>
              <w:t>(</w:t>
            </w:r>
            <w:r>
              <w:rPr>
                <w:rStyle w:val="IndexLink"/>
                <w:rtl w:val="true"/>
              </w:rPr>
              <w:t>علیه السلام</w:t>
            </w:r>
            <w:r>
              <w:rPr>
                <w:rStyle w:val="IndexLink"/>
                <w:rtl w:val="true"/>
              </w:rPr>
              <w:t>)</w:t>
              <w:tab/>
            </w:r>
            <w:r>
              <w:rPr>
                <w:rStyle w:val="IndexLink"/>
              </w:rPr>
              <w:t>65</w:t>
            </w:r>
          </w:hyperlink>
        </w:p>
        <w:p>
          <w:pPr>
            <w:pStyle w:val="Contents6"/>
            <w:tabs>
              <w:tab w:val="clear" w:pos="7609"/>
              <w:tab w:val="right" w:pos="9026" w:leader="dot"/>
            </w:tabs>
            <w:rPr/>
          </w:pPr>
          <w:hyperlink w:anchor="__RefHeading___Toc2133334_237004111">
            <w:r>
              <w:rPr>
                <w:webHidden/>
                <w:rStyle w:val="IndexLink"/>
                <w:rtl w:val="true"/>
              </w:rPr>
              <w:t>المقام الثانی</w:t>
            </w:r>
            <w:r>
              <w:rPr>
                <w:rStyle w:val="IndexLink"/>
                <w:rtl w:val="true"/>
              </w:rPr>
              <w:t xml:space="preserve">: </w:t>
            </w:r>
            <w:r>
              <w:rPr>
                <w:rStyle w:val="IndexLink"/>
                <w:rtl w:val="true"/>
              </w:rPr>
              <w:t>فی جواز النظر إلی أمة الغیر</w:t>
            </w:r>
            <w:r>
              <w:rPr>
                <w:rStyle w:val="IndexLink"/>
                <w:rtl w:val="true"/>
              </w:rPr>
              <w:tab/>
            </w:r>
            <w:r>
              <w:rPr>
                <w:rStyle w:val="IndexLink"/>
              </w:rPr>
              <w:t>67</w:t>
            </w:r>
          </w:hyperlink>
        </w:p>
        <w:p>
          <w:pPr>
            <w:pStyle w:val="Contents6"/>
            <w:tabs>
              <w:tab w:val="clear" w:pos="7609"/>
              <w:tab w:val="right" w:pos="9026" w:leader="dot"/>
            </w:tabs>
            <w:rPr/>
          </w:pPr>
          <w:hyperlink w:anchor="__RefHeading___Toc2133336_237004111">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2133338_237004111">
            <w:r>
              <w:rPr>
                <w:webHidden/>
                <w:rStyle w:val="IndexLink"/>
                <w:rtl w:val="true"/>
              </w:rPr>
              <w:t>الدلیل الأول</w:t>
            </w:r>
            <w:r>
              <w:rPr>
                <w:rStyle w:val="IndexLink"/>
                <w:rtl w:val="true"/>
              </w:rPr>
              <w:t xml:space="preserve">: </w:t>
            </w:r>
            <w:r>
              <w:rPr>
                <w:rStyle w:val="IndexLink"/>
                <w:rtl w:val="true"/>
              </w:rPr>
              <w:t>روایة الخثعمی</w:t>
            </w:r>
            <w:r>
              <w:rPr>
                <w:rStyle w:val="IndexLink"/>
                <w:rtl w:val="true"/>
              </w:rPr>
              <w:tab/>
            </w:r>
            <w:r>
              <w:rPr>
                <w:rStyle w:val="IndexLink"/>
              </w:rPr>
              <w:t>67</w:t>
            </w:r>
          </w:hyperlink>
        </w:p>
        <w:p>
          <w:pPr>
            <w:pStyle w:val="Contents6"/>
            <w:tabs>
              <w:tab w:val="clear" w:pos="7609"/>
              <w:tab w:val="right" w:pos="9026" w:leader="dot"/>
            </w:tabs>
            <w:rPr/>
          </w:pPr>
          <w:hyperlink w:anchor="__RefHeading___Toc2133340_237004111">
            <w:r>
              <w:rPr>
                <w:webHidden/>
                <w:rStyle w:val="IndexLink"/>
                <w:rtl w:val="true"/>
              </w:rPr>
              <w:t>الدلیل الثانی</w:t>
            </w:r>
            <w:r>
              <w:rPr>
                <w:rStyle w:val="IndexLink"/>
                <w:rtl w:val="true"/>
              </w:rPr>
              <w:t xml:space="preserve">: </w:t>
            </w:r>
            <w:r>
              <w:rPr>
                <w:rStyle w:val="IndexLink"/>
                <w:rtl w:val="true"/>
              </w:rPr>
              <w:t>روایة الجعفری</w:t>
            </w:r>
            <w:r>
              <w:rPr>
                <w:rStyle w:val="IndexLink"/>
                <w:rtl w:val="true"/>
              </w:rPr>
              <w:tab/>
            </w:r>
            <w:r>
              <w:rPr>
                <w:rStyle w:val="IndexLink"/>
              </w:rPr>
              <w:t>69</w:t>
            </w:r>
          </w:hyperlink>
        </w:p>
        <w:p>
          <w:pPr>
            <w:pStyle w:val="Contents6"/>
            <w:tabs>
              <w:tab w:val="clear" w:pos="7609"/>
              <w:tab w:val="right" w:pos="9026" w:leader="dot"/>
            </w:tabs>
            <w:rPr/>
          </w:pPr>
          <w:hyperlink w:anchor="__RefHeading___Toc2133342_237004111">
            <w:r>
              <w:rPr>
                <w:webHidden/>
                <w:rStyle w:val="IndexLink"/>
                <w:rtl w:val="true"/>
              </w:rPr>
              <w:t>الدلیل الثالث</w:t>
            </w:r>
            <w:r>
              <w:rPr>
                <w:rStyle w:val="IndexLink"/>
                <w:rtl w:val="true"/>
              </w:rPr>
              <w:t xml:space="preserve">: </w:t>
            </w:r>
            <w:r>
              <w:rPr>
                <w:rStyle w:val="IndexLink"/>
                <w:rtl w:val="true"/>
              </w:rPr>
              <w:t>موثقة زرعة</w:t>
            </w:r>
            <w:r>
              <w:rPr>
                <w:rStyle w:val="IndexLink"/>
                <w:rtl w:val="true"/>
              </w:rPr>
              <w:tab/>
            </w:r>
            <w:r>
              <w:rPr>
                <w:rStyle w:val="IndexLink"/>
              </w:rPr>
              <w:t>69</w:t>
            </w:r>
          </w:hyperlink>
        </w:p>
        <w:p>
          <w:pPr>
            <w:pStyle w:val="Contents6"/>
            <w:tabs>
              <w:tab w:val="clear" w:pos="7609"/>
              <w:tab w:val="right" w:pos="9026" w:leader="dot"/>
            </w:tabs>
            <w:rPr/>
          </w:pPr>
          <w:hyperlink w:anchor="__RefHeading___Toc2133344_237004111">
            <w:r>
              <w:rPr>
                <w:webHidden/>
                <w:rStyle w:val="IndexLink"/>
                <w:rtl w:val="true"/>
              </w:rPr>
              <w:t>الدلیل الرابع</w:t>
            </w:r>
            <w:r>
              <w:rPr>
                <w:rStyle w:val="IndexLink"/>
                <w:rtl w:val="true"/>
              </w:rPr>
              <w:t xml:space="preserve">: </w:t>
            </w:r>
            <w:r>
              <w:rPr>
                <w:rStyle w:val="IndexLink"/>
                <w:rtl w:val="true"/>
              </w:rPr>
              <w:t>عدم وجوب ستر الأمة فی الصلاة</w:t>
            </w:r>
            <w:r>
              <w:rPr>
                <w:rStyle w:val="IndexLink"/>
                <w:rtl w:val="true"/>
              </w:rPr>
              <w:tab/>
            </w:r>
            <w:r>
              <w:rPr>
                <w:rStyle w:val="IndexLink"/>
              </w:rPr>
              <w:t>70</w:t>
            </w:r>
          </w:hyperlink>
        </w:p>
        <w:p>
          <w:pPr>
            <w:pStyle w:val="Contents6"/>
            <w:tabs>
              <w:tab w:val="clear" w:pos="7609"/>
              <w:tab w:val="right" w:pos="9026" w:leader="dot"/>
            </w:tabs>
            <w:rPr/>
          </w:pPr>
          <w:hyperlink w:anchor="__RefHeading___Toc2133346_237004111">
            <w:r>
              <w:rPr>
                <w:webHidden/>
                <w:rStyle w:val="IndexLink"/>
                <w:rtl w:val="true"/>
              </w:rPr>
              <w:t>الدلیل الخامس</w:t>
            </w:r>
            <w:r>
              <w:rPr>
                <w:rStyle w:val="IndexLink"/>
                <w:rtl w:val="true"/>
              </w:rPr>
              <w:t xml:space="preserve">: </w:t>
            </w:r>
            <w:r>
              <w:rPr>
                <w:rStyle w:val="IndexLink"/>
                <w:rtl w:val="true"/>
              </w:rPr>
              <w:t>النصوص الواردة فی مملوکة الوالد</w:t>
            </w:r>
            <w:r>
              <w:rPr>
                <w:rStyle w:val="IndexLink"/>
                <w:rtl w:val="true"/>
              </w:rPr>
              <w:tab/>
            </w:r>
            <w:r>
              <w:rPr>
                <w:rStyle w:val="IndexLink"/>
              </w:rPr>
              <w:t>71</w:t>
            </w:r>
          </w:hyperlink>
        </w:p>
        <w:p>
          <w:pPr>
            <w:pStyle w:val="Contents6"/>
            <w:tabs>
              <w:tab w:val="clear" w:pos="7609"/>
              <w:tab w:val="right" w:pos="9026" w:leader="dot"/>
            </w:tabs>
            <w:rPr/>
          </w:pPr>
          <w:hyperlink w:anchor="__RefHeading___Toc2133348_237004111">
            <w:r>
              <w:rPr>
                <w:webHidden/>
                <w:rStyle w:val="IndexLink"/>
                <w:rtl w:val="true"/>
              </w:rPr>
              <w:t>الدلیل السادس</w:t>
            </w:r>
            <w:r>
              <w:rPr>
                <w:rStyle w:val="IndexLink"/>
                <w:rtl w:val="true"/>
              </w:rPr>
              <w:t xml:space="preserve">: </w:t>
            </w:r>
            <w:r>
              <w:rPr>
                <w:rStyle w:val="IndexLink"/>
                <w:rtl w:val="true"/>
              </w:rPr>
              <w:t>ما دلّ علی عدم وجوب تغطیة الأمة رأسها</w:t>
            </w:r>
            <w:r>
              <w:rPr>
                <w:rStyle w:val="IndexLink"/>
                <w:rtl w:val="true"/>
              </w:rPr>
              <w:tab/>
            </w:r>
            <w:r>
              <w:rPr>
                <w:rStyle w:val="IndexLink"/>
              </w:rPr>
              <w:t>73</w:t>
            </w:r>
          </w:hyperlink>
        </w:p>
        <w:p>
          <w:pPr>
            <w:pStyle w:val="Contents6"/>
            <w:tabs>
              <w:tab w:val="clear" w:pos="7609"/>
              <w:tab w:val="right" w:pos="9026" w:leader="dot"/>
            </w:tabs>
            <w:rPr/>
          </w:pPr>
          <w:hyperlink w:anchor="__RefHeading___Toc2133350_237004111">
            <w:r>
              <w:rPr>
                <w:webHidden/>
                <w:rStyle w:val="IndexLink"/>
                <w:rtl w:val="true"/>
              </w:rPr>
              <w:t>الدلیل السابع</w:t>
            </w:r>
            <w:r>
              <w:rPr>
                <w:rStyle w:val="IndexLink"/>
                <w:rtl w:val="true"/>
              </w:rPr>
              <w:t xml:space="preserve">: </w:t>
            </w:r>
            <w:r>
              <w:rPr>
                <w:rStyle w:val="IndexLink"/>
                <w:rtl w:val="true"/>
              </w:rPr>
              <w:t>السیرة جاریة علی النظر إلی الإماء</w:t>
            </w:r>
            <w:r>
              <w:rPr>
                <w:rStyle w:val="IndexLink"/>
                <w:rtl w:val="true"/>
              </w:rPr>
              <w:tab/>
            </w:r>
            <w:r>
              <w:rPr>
                <w:rStyle w:val="IndexLink"/>
              </w:rPr>
              <w:t>76</w:t>
            </w:r>
          </w:hyperlink>
        </w:p>
        <w:p>
          <w:pPr>
            <w:pStyle w:val="Contents6"/>
            <w:tabs>
              <w:tab w:val="clear" w:pos="7609"/>
              <w:tab w:val="right" w:pos="9026" w:leader="dot"/>
            </w:tabs>
            <w:rPr/>
          </w:pPr>
          <w:hyperlink w:anchor="__RefHeading___Toc2133352_237004111">
            <w:r>
              <w:rPr>
                <w:webHidden/>
                <w:rStyle w:val="IndexLink"/>
                <w:rtl w:val="true"/>
              </w:rPr>
              <w:t>الدلیل الثامن</w:t>
            </w:r>
            <w:r>
              <w:rPr>
                <w:rStyle w:val="IndexLink"/>
                <w:rtl w:val="true"/>
              </w:rPr>
              <w:t xml:space="preserve">: </w:t>
            </w:r>
            <w:r>
              <w:rPr>
                <w:rStyle w:val="IndexLink"/>
                <w:rtl w:val="true"/>
              </w:rPr>
              <w:t>فحوی ما دلّ علی جواز النظر إلی عورة غیر المسلم</w:t>
            </w:r>
            <w:r>
              <w:rPr>
                <w:rStyle w:val="IndexLink"/>
                <w:rtl w:val="true"/>
              </w:rPr>
              <w:tab/>
            </w:r>
            <w:r>
              <w:rPr>
                <w:rStyle w:val="IndexLink"/>
              </w:rPr>
              <w:t>79</w:t>
            </w:r>
          </w:hyperlink>
        </w:p>
        <w:p>
          <w:pPr>
            <w:pStyle w:val="Contents6"/>
            <w:tabs>
              <w:tab w:val="clear" w:pos="7609"/>
              <w:tab w:val="right" w:pos="9026" w:leader="dot"/>
            </w:tabs>
            <w:rPr/>
          </w:pPr>
          <w:hyperlink w:anchor="__RefHeading___Toc2133354_237004111">
            <w:r>
              <w:rPr>
                <w:webHidden/>
                <w:rStyle w:val="IndexLink"/>
                <w:rtl w:val="true"/>
              </w:rPr>
              <w:t>الدلیل التاسع</w:t>
            </w:r>
            <w:r>
              <w:rPr>
                <w:rStyle w:val="IndexLink"/>
                <w:rtl w:val="true"/>
              </w:rPr>
              <w:t xml:space="preserve">: </w:t>
            </w:r>
            <w:r>
              <w:rPr>
                <w:rStyle w:val="IndexLink"/>
                <w:rtl w:val="true"/>
              </w:rPr>
              <w:t>کون الکافرات فیء للمسلمین</w:t>
            </w:r>
            <w:r>
              <w:rPr>
                <w:rStyle w:val="IndexLink"/>
                <w:rtl w:val="true"/>
              </w:rPr>
              <w:tab/>
            </w:r>
            <w:r>
              <w:rPr>
                <w:rStyle w:val="IndexLink"/>
              </w:rPr>
              <w:t>86</w:t>
            </w:r>
          </w:hyperlink>
        </w:p>
        <w:p>
          <w:pPr>
            <w:pStyle w:val="Contents6"/>
            <w:tabs>
              <w:tab w:val="clear" w:pos="7609"/>
              <w:tab w:val="right" w:pos="9026" w:leader="dot"/>
            </w:tabs>
            <w:rPr/>
          </w:pPr>
          <w:hyperlink w:anchor="__RefHeading___Toc2133356_237004111">
            <w:r>
              <w:rPr>
                <w:webHidden/>
                <w:rStyle w:val="IndexLink"/>
                <w:rtl w:val="true"/>
              </w:rPr>
              <w:t>الدلیل العاشر</w:t>
            </w:r>
            <w:r>
              <w:rPr>
                <w:rStyle w:val="IndexLink"/>
                <w:rtl w:val="true"/>
              </w:rPr>
              <w:t xml:space="preserve">: </w:t>
            </w:r>
            <w:r>
              <w:rPr>
                <w:rStyle w:val="IndexLink"/>
                <w:rtl w:val="true"/>
              </w:rPr>
              <w:t>قاعدة الإلزام</w:t>
            </w:r>
            <w:r>
              <w:rPr>
                <w:rStyle w:val="IndexLink"/>
                <w:rtl w:val="true"/>
              </w:rPr>
              <w:tab/>
            </w:r>
            <w:r>
              <w:rPr>
                <w:rStyle w:val="IndexLink"/>
              </w:rPr>
              <w:t>89</w:t>
            </w:r>
          </w:hyperlink>
        </w:p>
        <w:p>
          <w:pPr>
            <w:pStyle w:val="Contents6"/>
            <w:tabs>
              <w:tab w:val="clear" w:pos="7609"/>
              <w:tab w:val="right" w:pos="9026" w:leader="dot"/>
            </w:tabs>
            <w:rPr/>
          </w:pPr>
          <w:hyperlink w:anchor="__RefHeading___Toc2133358_237004111">
            <w:r>
              <w:rPr>
                <w:webHidden/>
                <w:rStyle w:val="IndexLink"/>
                <w:rtl w:val="true"/>
              </w:rPr>
              <w:t>الدلیل الحادی عشر</w:t>
            </w:r>
            <w:r>
              <w:rPr>
                <w:rStyle w:val="IndexLink"/>
                <w:rtl w:val="true"/>
              </w:rPr>
              <w:t xml:space="preserve">: </w:t>
            </w:r>
            <w:r>
              <w:rPr>
                <w:rStyle w:val="IndexLink"/>
                <w:rtl w:val="true"/>
              </w:rPr>
              <w:t xml:space="preserve">تحلیل 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الکافرات للشیعة</w:t>
            </w:r>
            <w:r>
              <w:rPr>
                <w:rStyle w:val="IndexLink"/>
                <w:rtl w:val="true"/>
              </w:rPr>
              <w:tab/>
            </w:r>
            <w:r>
              <w:rPr>
                <w:rStyle w:val="IndexLink"/>
              </w:rPr>
              <w:t>90</w:t>
            </w:r>
          </w:hyperlink>
        </w:p>
        <w:p>
          <w:pPr>
            <w:pStyle w:val="Contents6"/>
            <w:tabs>
              <w:tab w:val="clear" w:pos="7609"/>
              <w:tab w:val="right" w:pos="9026" w:leader="dot"/>
            </w:tabs>
            <w:rPr/>
          </w:pPr>
          <w:hyperlink w:anchor="__RefHeading___Toc2133360_237004111">
            <w:r>
              <w:rPr>
                <w:webHidden/>
                <w:rStyle w:val="IndexLink"/>
                <w:rtl w:val="true"/>
              </w:rPr>
              <w:t>الدلیل الثانی عشر</w:t>
            </w:r>
            <w:r>
              <w:rPr>
                <w:rStyle w:val="IndexLink"/>
                <w:rtl w:val="true"/>
              </w:rPr>
              <w:t xml:space="preserve">: </w:t>
            </w:r>
            <w:r>
              <w:rPr>
                <w:rStyle w:val="IndexLink"/>
                <w:rtl w:val="true"/>
              </w:rPr>
              <w:t xml:space="preserve">رضا الأئمة </w:t>
            </w:r>
            <w:r>
              <w:rPr>
                <w:rStyle w:val="IndexLink"/>
                <w:rtl w:val="true"/>
              </w:rPr>
              <w:t>(</w:t>
            </w:r>
            <w:r>
              <w:rPr>
                <w:rStyle w:val="IndexLink"/>
                <w:rtl w:val="true"/>
              </w:rPr>
              <w:t>علیهم السلام</w:t>
            </w:r>
            <w:r>
              <w:rPr>
                <w:rStyle w:val="IndexLink"/>
                <w:rtl w:val="true"/>
              </w:rPr>
              <w:t>)</w:t>
              <w:tab/>
            </w:r>
            <w:r>
              <w:rPr>
                <w:rStyle w:val="IndexLink"/>
              </w:rPr>
              <w:t>91</w:t>
            </w:r>
          </w:hyperlink>
        </w:p>
        <w:p>
          <w:pPr>
            <w:pStyle w:val="Contents6"/>
            <w:tabs>
              <w:tab w:val="clear" w:pos="7609"/>
              <w:tab w:val="right" w:pos="9026" w:leader="dot"/>
            </w:tabs>
            <w:rPr/>
          </w:pPr>
          <w:hyperlink w:anchor="__RefHeading___Toc2133362_237004111">
            <w:r>
              <w:rPr>
                <w:webHidden/>
                <w:rStyle w:val="IndexLink"/>
                <w:rtl w:val="true"/>
              </w:rPr>
              <w:t>الدلیل الثالث عشر</w:t>
            </w:r>
            <w:r>
              <w:rPr>
                <w:rStyle w:val="IndexLink"/>
                <w:rtl w:val="true"/>
              </w:rPr>
              <w:t xml:space="preserve">: </w:t>
            </w:r>
            <w:r>
              <w:rPr>
                <w:rStyle w:val="IndexLink"/>
                <w:rtl w:val="true"/>
              </w:rPr>
              <w:t>ما ورد فی الجعفریات</w:t>
            </w:r>
            <w:r>
              <w:rPr>
                <w:rStyle w:val="IndexLink"/>
                <w:rtl w:val="true"/>
              </w:rPr>
              <w:tab/>
            </w:r>
            <w:r>
              <w:rPr>
                <w:rStyle w:val="IndexLink"/>
              </w:rPr>
              <w:t>91</w:t>
            </w:r>
          </w:hyperlink>
        </w:p>
        <w:p>
          <w:pPr>
            <w:pStyle w:val="Contents5"/>
            <w:tabs>
              <w:tab w:val="clear" w:pos="7892"/>
              <w:tab w:val="right" w:pos="9026" w:leader="dot"/>
            </w:tabs>
            <w:rPr/>
          </w:pPr>
          <w:hyperlink w:anchor="__RefHeading___Toc2133364_237004111">
            <w:r>
              <w:rPr>
                <w:webHidden/>
                <w:rStyle w:val="IndexLink"/>
                <w:rtl w:val="true"/>
              </w:rPr>
              <w:t>الفرع الثانی</w:t>
            </w:r>
            <w:r>
              <w:rPr>
                <w:rStyle w:val="IndexLink"/>
                <w:rtl w:val="true"/>
              </w:rPr>
              <w:t xml:space="preserve">: </w:t>
            </w:r>
            <w:r>
              <w:rPr>
                <w:rStyle w:val="IndexLink"/>
                <w:rtl w:val="true"/>
              </w:rPr>
              <w:t>فی أصل جواز النظر إلی سائر الکافرات غیر أهل الذمة</w:t>
            </w:r>
            <w:r>
              <w:rPr>
                <w:rStyle w:val="IndexLink"/>
                <w:rtl w:val="true"/>
              </w:rPr>
              <w:tab/>
            </w:r>
            <w:r>
              <w:rPr>
                <w:rStyle w:val="IndexLink"/>
              </w:rPr>
              <w:t>94</w:t>
            </w:r>
          </w:hyperlink>
        </w:p>
        <w:p>
          <w:pPr>
            <w:pStyle w:val="Contents6"/>
            <w:tabs>
              <w:tab w:val="clear" w:pos="7609"/>
              <w:tab w:val="right" w:pos="9026" w:leader="dot"/>
            </w:tabs>
            <w:rPr/>
          </w:pPr>
          <w:hyperlink w:anchor="__RefHeading___Toc2133366_237004111">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2133368_237004111">
            <w:r>
              <w:rPr>
                <w:webHidden/>
                <w:rStyle w:val="IndexLink"/>
                <w:rtl w:val="true"/>
              </w:rPr>
              <w:t>الدلیل الأول</w:t>
            </w:r>
            <w:r>
              <w:rPr>
                <w:rStyle w:val="IndexLink"/>
                <w:rtl w:val="true"/>
              </w:rPr>
              <w:t xml:space="preserve">: </w:t>
            </w:r>
            <w:r>
              <w:rPr>
                <w:rStyle w:val="IndexLink"/>
                <w:rtl w:val="true"/>
              </w:rPr>
              <w:t>شمول لفظ العلوج للکافرات</w:t>
            </w:r>
            <w:r>
              <w:rPr>
                <w:rStyle w:val="IndexLink"/>
                <w:rtl w:val="true"/>
              </w:rPr>
              <w:tab/>
            </w:r>
            <w:r>
              <w:rPr>
                <w:rStyle w:val="IndexLink"/>
              </w:rPr>
              <w:t>94</w:t>
            </w:r>
          </w:hyperlink>
        </w:p>
        <w:p>
          <w:pPr>
            <w:pStyle w:val="Contents6"/>
            <w:tabs>
              <w:tab w:val="clear" w:pos="7609"/>
              <w:tab w:val="right" w:pos="9026" w:leader="dot"/>
            </w:tabs>
            <w:rPr/>
          </w:pPr>
          <w:hyperlink w:anchor="__RefHeading___Toc2133370_237004111">
            <w:r>
              <w:rPr>
                <w:webHidden/>
                <w:rStyle w:val="IndexLink"/>
                <w:rtl w:val="true"/>
              </w:rPr>
              <w:t>الدلیل الثانی</w:t>
            </w:r>
            <w:r>
              <w:rPr>
                <w:rStyle w:val="IndexLink"/>
                <w:rtl w:val="true"/>
              </w:rPr>
              <w:t xml:space="preserve">: </w:t>
            </w:r>
            <w:r>
              <w:rPr>
                <w:rStyle w:val="IndexLink"/>
                <w:rtl w:val="true"/>
              </w:rPr>
              <w:t>ورود التعلیل فی موثقة عباد</w:t>
            </w:r>
            <w:r>
              <w:rPr>
                <w:rStyle w:val="IndexLink"/>
                <w:rtl w:val="true"/>
              </w:rPr>
              <w:tab/>
            </w:r>
            <w:r>
              <w:rPr>
                <w:rStyle w:val="IndexLink"/>
              </w:rPr>
              <w:t>94</w:t>
            </w:r>
          </w:hyperlink>
        </w:p>
        <w:p>
          <w:pPr>
            <w:pStyle w:val="Contents6"/>
            <w:tabs>
              <w:tab w:val="clear" w:pos="7609"/>
              <w:tab w:val="right" w:pos="9026" w:leader="dot"/>
            </w:tabs>
            <w:rPr/>
          </w:pPr>
          <w:hyperlink w:anchor="__RefHeading___Toc2133372_237004111">
            <w:r>
              <w:rPr>
                <w:webHidden/>
                <w:rStyle w:val="IndexLink"/>
                <w:rtl w:val="true"/>
              </w:rPr>
              <w:t>الدلیل الثالث</w:t>
            </w:r>
            <w:r>
              <w:rPr>
                <w:rStyle w:val="IndexLink"/>
                <w:rtl w:val="true"/>
              </w:rPr>
              <w:t xml:space="preserve">: </w:t>
            </w:r>
            <w:r>
              <w:rPr>
                <w:rStyle w:val="IndexLink"/>
                <w:rtl w:val="true"/>
              </w:rPr>
              <w:t>فحوی موثقة السکونی</w:t>
            </w:r>
            <w:r>
              <w:rPr>
                <w:rStyle w:val="IndexLink"/>
                <w:rtl w:val="true"/>
              </w:rPr>
              <w:tab/>
            </w:r>
            <w:r>
              <w:rPr>
                <w:rStyle w:val="IndexLink"/>
              </w:rPr>
              <w:t>94</w:t>
            </w:r>
          </w:hyperlink>
        </w:p>
        <w:p>
          <w:pPr>
            <w:pStyle w:val="Contents6"/>
            <w:tabs>
              <w:tab w:val="clear" w:pos="7609"/>
              <w:tab w:val="right" w:pos="9026" w:leader="dot"/>
            </w:tabs>
            <w:rPr/>
          </w:pPr>
          <w:hyperlink w:anchor="__RefHeading___Toc2133374_237004111">
            <w:r>
              <w:rPr>
                <w:webHidden/>
                <w:rStyle w:val="IndexLink"/>
                <w:rtl w:val="true"/>
              </w:rPr>
              <w:t>الدلیل الرابع</w:t>
            </w:r>
            <w:r>
              <w:rPr>
                <w:rStyle w:val="IndexLink"/>
                <w:rtl w:val="true"/>
              </w:rPr>
              <w:t xml:space="preserve">: </w:t>
            </w:r>
            <w:r>
              <w:rPr>
                <w:rStyle w:val="IndexLink"/>
                <w:rtl w:val="true"/>
              </w:rPr>
              <w:t>قاعدة الإلزام</w:t>
            </w:r>
            <w:r>
              <w:rPr>
                <w:rStyle w:val="IndexLink"/>
                <w:rtl w:val="true"/>
              </w:rPr>
              <w:tab/>
            </w:r>
            <w:r>
              <w:rPr>
                <w:rStyle w:val="IndexLink"/>
              </w:rPr>
              <w:t>96</w:t>
            </w:r>
          </w:hyperlink>
        </w:p>
        <w:p>
          <w:pPr>
            <w:pStyle w:val="Contents6"/>
            <w:tabs>
              <w:tab w:val="clear" w:pos="7609"/>
              <w:tab w:val="right" w:pos="9026" w:leader="dot"/>
            </w:tabs>
            <w:rPr/>
          </w:pPr>
          <w:hyperlink w:anchor="__RefHeading___Toc2133376_237004111">
            <w:r>
              <w:rPr>
                <w:webHidden/>
                <w:rStyle w:val="IndexLink"/>
                <w:rtl w:val="true"/>
              </w:rPr>
              <w:t>الدلیل الخامس</w:t>
            </w:r>
            <w:r>
              <w:rPr>
                <w:rStyle w:val="IndexLink"/>
                <w:rtl w:val="true"/>
              </w:rPr>
              <w:t xml:space="preserve">: </w:t>
            </w:r>
            <w:r>
              <w:rPr>
                <w:rStyle w:val="IndexLink"/>
                <w:rtl w:val="true"/>
              </w:rPr>
              <w:t>الإجماع</w:t>
            </w:r>
            <w:r>
              <w:rPr>
                <w:rStyle w:val="IndexLink"/>
                <w:rtl w:val="true"/>
              </w:rPr>
              <w:tab/>
            </w:r>
            <w:r>
              <w:rPr>
                <w:rStyle w:val="IndexLink"/>
              </w:rPr>
              <w:t>96</w:t>
            </w:r>
          </w:hyperlink>
        </w:p>
        <w:p>
          <w:pPr>
            <w:pStyle w:val="Contents5"/>
            <w:tabs>
              <w:tab w:val="clear" w:pos="7892"/>
              <w:tab w:val="right" w:pos="9026" w:leader="dot"/>
            </w:tabs>
            <w:rPr/>
          </w:pPr>
          <w:hyperlink w:anchor="__RefHeading___Toc2133378_237004111">
            <w:r>
              <w:rPr>
                <w:webHidden/>
                <w:rStyle w:val="IndexLink"/>
                <w:rtl w:val="true"/>
              </w:rPr>
              <w:t>الفرع الثالث</w:t>
            </w:r>
            <w:r>
              <w:rPr>
                <w:rStyle w:val="IndexLink"/>
                <w:rtl w:val="true"/>
              </w:rPr>
              <w:t xml:space="preserve">: </w:t>
            </w:r>
            <w:r>
              <w:rPr>
                <w:rStyle w:val="IndexLink"/>
                <w:rtl w:val="true"/>
              </w:rPr>
              <w:t>فی حدود المنظور إلیه بلحاظ الجواز والحرمة</w:t>
            </w:r>
            <w:r>
              <w:rPr>
                <w:rStyle w:val="IndexLink"/>
                <w:rtl w:val="true"/>
              </w:rPr>
              <w:tab/>
            </w:r>
            <w:r>
              <w:rPr>
                <w:rStyle w:val="IndexLink"/>
              </w:rPr>
              <w:t>98</w:t>
            </w:r>
          </w:hyperlink>
        </w:p>
        <w:p>
          <w:pPr>
            <w:pStyle w:val="Contents6"/>
            <w:tabs>
              <w:tab w:val="clear" w:pos="7609"/>
              <w:tab w:val="right" w:pos="9026" w:leader="dot"/>
            </w:tabs>
            <w:rPr/>
          </w:pPr>
          <w:hyperlink w:anchor="__RefHeading___Toc2133380_237004111">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2133382_237004111">
            <w:r>
              <w:rPr>
                <w:webHidden/>
                <w:rStyle w:val="IndexLink"/>
                <w:rtl w:val="true"/>
              </w:rPr>
              <w:t>الاحتمال الأول</w:t>
            </w:r>
            <w:r>
              <w:rPr>
                <w:rStyle w:val="IndexLink"/>
                <w:rtl w:val="true"/>
              </w:rPr>
              <w:t xml:space="preserve">: </w:t>
            </w:r>
            <w:r>
              <w:rPr>
                <w:rStyle w:val="IndexLink"/>
                <w:rtl w:val="true"/>
              </w:rPr>
              <w:t>الجواز مطلقاً</w:t>
            </w:r>
            <w:r>
              <w:rPr>
                <w:rStyle w:val="IndexLink"/>
                <w:rtl w:val="true"/>
              </w:rPr>
              <w:tab/>
            </w:r>
            <w:r>
              <w:rPr>
                <w:rStyle w:val="IndexLink"/>
              </w:rPr>
              <w:t>98</w:t>
            </w:r>
          </w:hyperlink>
        </w:p>
        <w:p>
          <w:pPr>
            <w:pStyle w:val="Contents6"/>
            <w:tabs>
              <w:tab w:val="clear" w:pos="7609"/>
              <w:tab w:val="right" w:pos="9026" w:leader="dot"/>
            </w:tabs>
            <w:rPr/>
          </w:pPr>
          <w:hyperlink w:anchor="__RefHeading___Toc2133384_237004111">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2133386_237004111">
            <w:r>
              <w:rPr>
                <w:webHidden/>
                <w:rStyle w:val="IndexLink"/>
                <w:rtl w:val="true"/>
              </w:rPr>
              <w:t>الدلیل الأول</w:t>
            </w:r>
            <w:r>
              <w:rPr>
                <w:rStyle w:val="IndexLink"/>
                <w:rtl w:val="true"/>
              </w:rPr>
              <w:t xml:space="preserve">: </w:t>
            </w:r>
            <w:r>
              <w:rPr>
                <w:rStyle w:val="IndexLink"/>
                <w:rtl w:val="true"/>
              </w:rPr>
              <w:t>قاعدة الإلزام</w:t>
            </w:r>
            <w:r>
              <w:rPr>
                <w:rStyle w:val="IndexLink"/>
                <w:rtl w:val="true"/>
              </w:rPr>
              <w:tab/>
            </w:r>
            <w:r>
              <w:rPr>
                <w:rStyle w:val="IndexLink"/>
              </w:rPr>
              <w:t>98</w:t>
            </w:r>
          </w:hyperlink>
        </w:p>
        <w:p>
          <w:pPr>
            <w:pStyle w:val="Contents6"/>
            <w:tabs>
              <w:tab w:val="clear" w:pos="7609"/>
              <w:tab w:val="right" w:pos="9026" w:leader="dot"/>
            </w:tabs>
            <w:rPr/>
          </w:pPr>
          <w:hyperlink w:anchor="__RefHeading___Toc2133388_237004111">
            <w:r>
              <w:rPr>
                <w:webHidden/>
                <w:rStyle w:val="IndexLink"/>
                <w:rtl w:val="true"/>
              </w:rPr>
              <w:t>الدلیل الثانی</w:t>
            </w:r>
            <w:r>
              <w:rPr>
                <w:rStyle w:val="IndexLink"/>
                <w:rtl w:val="true"/>
              </w:rPr>
              <w:t xml:space="preserve">: </w:t>
            </w:r>
            <w:r>
              <w:rPr>
                <w:rStyle w:val="IndexLink"/>
                <w:rtl w:val="true"/>
              </w:rPr>
              <w:t>التعلیل فی موثقة عباد</w:t>
            </w:r>
            <w:r>
              <w:rPr>
                <w:rStyle w:val="IndexLink"/>
                <w:rtl w:val="true"/>
              </w:rPr>
              <w:tab/>
            </w:r>
            <w:r>
              <w:rPr>
                <w:rStyle w:val="IndexLink"/>
              </w:rPr>
              <w:t>99</w:t>
            </w:r>
          </w:hyperlink>
        </w:p>
        <w:p>
          <w:pPr>
            <w:pStyle w:val="Contents6"/>
            <w:tabs>
              <w:tab w:val="clear" w:pos="7609"/>
              <w:tab w:val="right" w:pos="9026" w:leader="dot"/>
            </w:tabs>
            <w:rPr/>
          </w:pPr>
          <w:hyperlink w:anchor="__RefHeading___Toc2133390_237004111">
            <w:r>
              <w:rPr>
                <w:webHidden/>
                <w:rStyle w:val="IndexLink"/>
                <w:rtl w:val="true"/>
              </w:rPr>
              <w:t>الدلیل الثالث</w:t>
            </w:r>
            <w:r>
              <w:rPr>
                <w:rStyle w:val="IndexLink"/>
                <w:rtl w:val="true"/>
              </w:rPr>
              <w:t xml:space="preserve">: </w:t>
            </w:r>
            <w:r>
              <w:rPr>
                <w:rStyle w:val="IndexLink"/>
                <w:rtl w:val="true"/>
              </w:rPr>
              <w:t>ما ذکره السید الخوئی</w:t>
            </w:r>
            <w:r>
              <w:rPr>
                <w:rStyle w:val="IndexLink"/>
                <w:rtl w:val="true"/>
              </w:rPr>
              <w:tab/>
            </w:r>
            <w:r>
              <w:rPr>
                <w:rStyle w:val="IndexLink"/>
              </w:rPr>
              <w:t>99</w:t>
            </w:r>
          </w:hyperlink>
        </w:p>
        <w:p>
          <w:pPr>
            <w:pStyle w:val="Contents6"/>
            <w:tabs>
              <w:tab w:val="clear" w:pos="7609"/>
              <w:tab w:val="right" w:pos="9026" w:leader="dot"/>
            </w:tabs>
            <w:rPr/>
          </w:pPr>
          <w:hyperlink w:anchor="__RefHeading___Toc2133392_237004111">
            <w:r>
              <w:rPr>
                <w:webHidden/>
                <w:rStyle w:val="IndexLink"/>
                <w:rtl w:val="true"/>
              </w:rPr>
              <w:t>الدلیل الرابع</w:t>
            </w:r>
            <w:r>
              <w:rPr>
                <w:rStyle w:val="IndexLink"/>
                <w:rtl w:val="true"/>
              </w:rPr>
              <w:t xml:space="preserve">: </w:t>
            </w:r>
            <w:r>
              <w:rPr>
                <w:rStyle w:val="IndexLink"/>
                <w:rtl w:val="true"/>
              </w:rPr>
              <w:t xml:space="preserve">ما ذکره السید الوالد </w:t>
            </w:r>
            <w:r>
              <w:rPr>
                <w:rStyle w:val="IndexLink"/>
                <w:rtl w:val="true"/>
              </w:rPr>
              <w:t>(</w:t>
            </w:r>
            <w:r>
              <w:rPr>
                <w:rStyle w:val="IndexLink"/>
                <w:rtl w:val="true"/>
              </w:rPr>
              <w:t>رحمة الله</w:t>
            </w:r>
            <w:r>
              <w:rPr>
                <w:rStyle w:val="IndexLink"/>
                <w:rtl w:val="true"/>
              </w:rPr>
              <w:t>)</w:t>
              <w:tab/>
            </w:r>
            <w:r>
              <w:rPr>
                <w:rStyle w:val="IndexLink"/>
              </w:rPr>
              <w:t>100</w:t>
            </w:r>
          </w:hyperlink>
        </w:p>
        <w:p>
          <w:pPr>
            <w:pStyle w:val="Contents6"/>
            <w:tabs>
              <w:tab w:val="clear" w:pos="7609"/>
              <w:tab w:val="right" w:pos="9026" w:leader="dot"/>
            </w:tabs>
            <w:rPr/>
          </w:pPr>
          <w:hyperlink w:anchor="__RefHeading___Toc2133394_237004111">
            <w:r>
              <w:rPr>
                <w:webHidden/>
                <w:rStyle w:val="IndexLink"/>
                <w:rtl w:val="true"/>
              </w:rPr>
              <w:t>الدلیل الخامس</w:t>
            </w:r>
            <w:r>
              <w:rPr>
                <w:rStyle w:val="IndexLink"/>
                <w:rtl w:val="true"/>
              </w:rPr>
              <w:t xml:space="preserve">: </w:t>
            </w:r>
            <w:r>
              <w:rPr>
                <w:rStyle w:val="IndexLink"/>
                <w:rtl w:val="true"/>
              </w:rPr>
              <w:t>ما ذکره السید الروحانی</w:t>
            </w:r>
            <w:r>
              <w:rPr>
                <w:rStyle w:val="IndexLink"/>
                <w:rtl w:val="true"/>
              </w:rPr>
              <w:tab/>
            </w:r>
            <w:r>
              <w:rPr>
                <w:rStyle w:val="IndexLink"/>
              </w:rPr>
              <w:t>101</w:t>
            </w:r>
          </w:hyperlink>
        </w:p>
        <w:p>
          <w:pPr>
            <w:pStyle w:val="Contents6"/>
            <w:tabs>
              <w:tab w:val="clear" w:pos="7609"/>
              <w:tab w:val="right" w:pos="9026" w:leader="dot"/>
            </w:tabs>
            <w:rPr/>
          </w:pPr>
          <w:hyperlink w:anchor="__RefHeading___Toc2133396_237004111">
            <w:r>
              <w:rPr>
                <w:webHidden/>
                <w:rStyle w:val="IndexLink"/>
                <w:rtl w:val="true"/>
              </w:rPr>
              <w:t>الدلیل السادس</w:t>
            </w:r>
            <w:r>
              <w:rPr>
                <w:rStyle w:val="IndexLink"/>
                <w:rtl w:val="true"/>
              </w:rPr>
              <w:t xml:space="preserve">: </w:t>
            </w:r>
            <w:r>
              <w:rPr>
                <w:rStyle w:val="IndexLink"/>
                <w:rtl w:val="true"/>
              </w:rPr>
              <w:t>کونهن بمنزلة الإماء یقتضی العموم</w:t>
            </w:r>
            <w:r>
              <w:rPr>
                <w:rStyle w:val="IndexLink"/>
                <w:rtl w:val="true"/>
              </w:rPr>
              <w:tab/>
            </w:r>
            <w:r>
              <w:rPr>
                <w:rStyle w:val="IndexLink"/>
              </w:rPr>
              <w:t>101</w:t>
            </w:r>
          </w:hyperlink>
        </w:p>
        <w:p>
          <w:pPr>
            <w:pStyle w:val="Contents6"/>
            <w:tabs>
              <w:tab w:val="clear" w:pos="7609"/>
              <w:tab w:val="right" w:pos="9026" w:leader="dot"/>
            </w:tabs>
            <w:rPr/>
          </w:pPr>
          <w:hyperlink w:anchor="__RefHeading___Toc2133398_237004111">
            <w:r>
              <w:rPr>
                <w:webHidden/>
                <w:rStyle w:val="IndexLink"/>
                <w:rtl w:val="true"/>
              </w:rPr>
              <w:t>الاحتمال الثانی</w:t>
            </w:r>
            <w:r>
              <w:rPr>
                <w:rStyle w:val="IndexLink"/>
                <w:rtl w:val="true"/>
              </w:rPr>
              <w:t xml:space="preserve">: </w:t>
            </w:r>
            <w:r>
              <w:rPr>
                <w:rStyle w:val="IndexLink"/>
                <w:rtl w:val="true"/>
              </w:rPr>
              <w:t>جواز النظر إلی ما جرت عادتهن من کشفه</w:t>
            </w:r>
            <w:r>
              <w:rPr>
                <w:rStyle w:val="IndexLink"/>
                <w:rtl w:val="true"/>
              </w:rPr>
              <w:tab/>
            </w:r>
            <w:r>
              <w:rPr>
                <w:rStyle w:val="IndexLink"/>
              </w:rPr>
              <w:t>102</w:t>
            </w:r>
          </w:hyperlink>
        </w:p>
        <w:p>
          <w:pPr>
            <w:pStyle w:val="Contents6"/>
            <w:tabs>
              <w:tab w:val="clear" w:pos="7609"/>
              <w:tab w:val="right" w:pos="9026" w:leader="dot"/>
            </w:tabs>
            <w:rPr/>
          </w:pPr>
          <w:hyperlink w:anchor="__RefHeading___Toc2133400_237004111">
            <w:r>
              <w:rPr>
                <w:webHidden/>
                <w:rStyle w:val="IndexLink"/>
                <w:rtl w:val="true"/>
              </w:rPr>
              <w:t>الاحتمال الثالث</w:t>
            </w:r>
            <w:r>
              <w:rPr>
                <w:rStyle w:val="IndexLink"/>
                <w:rtl w:val="true"/>
              </w:rPr>
              <w:t xml:space="preserve">: </w:t>
            </w:r>
            <w:r>
              <w:rPr>
                <w:rStyle w:val="IndexLink"/>
                <w:rtl w:val="true"/>
              </w:rPr>
              <w:t xml:space="preserve">جواز النظر إلی ما کانت عادتهن علی عدم ستره زمن النبی </w:t>
            </w:r>
            <w:r>
              <w:rPr>
                <w:rStyle w:val="IndexLink"/>
                <w:rtl w:val="true"/>
              </w:rPr>
              <w:t>(</w:t>
            </w:r>
            <w:r>
              <w:rPr>
                <w:rStyle w:val="IndexLink"/>
                <w:rtl w:val="true"/>
              </w:rPr>
              <w:t>صلی الله علیه و آله</w:t>
            </w:r>
            <w:r>
              <w:rPr>
                <w:rStyle w:val="IndexLink"/>
                <w:rtl w:val="true"/>
              </w:rPr>
              <w:t>)</w:t>
              <w:tab/>
            </w:r>
            <w:r>
              <w:rPr>
                <w:rStyle w:val="IndexLink"/>
              </w:rPr>
              <w:t>102</w:t>
            </w:r>
          </w:hyperlink>
        </w:p>
        <w:p>
          <w:pPr>
            <w:pStyle w:val="Contents6"/>
            <w:tabs>
              <w:tab w:val="clear" w:pos="7609"/>
              <w:tab w:val="right" w:pos="9026" w:leader="dot"/>
            </w:tabs>
            <w:rPr/>
          </w:pPr>
          <w:hyperlink w:anchor="__RefHeading___Toc2133402_237004111">
            <w:r>
              <w:rPr>
                <w:webHidden/>
                <w:rStyle w:val="IndexLink"/>
                <w:rtl w:val="true"/>
              </w:rPr>
              <w:t>الاحتمال الرابع</w:t>
            </w:r>
            <w:r>
              <w:rPr>
                <w:rStyle w:val="IndexLink"/>
                <w:rtl w:val="true"/>
              </w:rPr>
              <w:t xml:space="preserve">: </w:t>
            </w:r>
            <w:r>
              <w:rPr>
                <w:rStyle w:val="IndexLink"/>
                <w:rtl w:val="true"/>
              </w:rPr>
              <w:t xml:space="preserve">ما ذکره السید الوالد </w:t>
            </w:r>
            <w:r>
              <w:rPr>
                <w:rStyle w:val="IndexLink"/>
                <w:rtl w:val="true"/>
              </w:rPr>
              <w:t>(</w:t>
            </w:r>
            <w:r>
              <w:rPr>
                <w:rStyle w:val="IndexLink"/>
                <w:rtl w:val="true"/>
              </w:rPr>
              <w:t>رحمة الله</w:t>
            </w:r>
            <w:r>
              <w:rPr>
                <w:rStyle w:val="IndexLink"/>
                <w:rtl w:val="true"/>
              </w:rPr>
              <w:t>)</w:t>
              <w:tab/>
            </w:r>
            <w:r>
              <w:rPr>
                <w:rStyle w:val="IndexLink"/>
              </w:rPr>
              <w:t>104</w:t>
            </w:r>
          </w:hyperlink>
        </w:p>
        <w:p>
          <w:pPr>
            <w:pStyle w:val="Contents6"/>
            <w:tabs>
              <w:tab w:val="clear" w:pos="7609"/>
              <w:tab w:val="right" w:pos="9026" w:leader="dot"/>
            </w:tabs>
            <w:rPr/>
          </w:pPr>
          <w:hyperlink w:anchor="__RefHeading___Toc2133404_237004111">
            <w:r>
              <w:rPr>
                <w:webHidden/>
                <w:rStyle w:val="IndexLink"/>
                <w:rtl w:val="true"/>
              </w:rPr>
              <w:t>الاحتمال الخامس</w:t>
            </w:r>
            <w:r>
              <w:rPr>
                <w:rStyle w:val="IndexLink"/>
                <w:rtl w:val="true"/>
              </w:rPr>
              <w:t xml:space="preserve">: </w:t>
            </w:r>
            <w:r>
              <w:rPr>
                <w:rStyle w:val="IndexLink"/>
                <w:rtl w:val="true"/>
              </w:rPr>
              <w:t>لزوم الاقتصار علی خصوص الشعور والأیدی</w:t>
            </w:r>
            <w:r>
              <w:rPr>
                <w:rStyle w:val="IndexLink"/>
                <w:rtl w:val="true"/>
              </w:rPr>
              <w:tab/>
            </w:r>
            <w:r>
              <w:rPr>
                <w:rStyle w:val="IndexLink"/>
              </w:rPr>
              <w:t>104</w:t>
            </w:r>
          </w:hyperlink>
        </w:p>
        <w:p>
          <w:pPr>
            <w:pStyle w:val="Contents5"/>
            <w:tabs>
              <w:tab w:val="clear" w:pos="7892"/>
              <w:tab w:val="right" w:pos="9026" w:leader="dot"/>
            </w:tabs>
            <w:rPr/>
          </w:pPr>
          <w:hyperlink w:anchor="__RefHeading___Toc2133406_237004111">
            <w:r>
              <w:rPr>
                <w:webHidden/>
                <w:rStyle w:val="IndexLink"/>
                <w:rtl w:val="true"/>
              </w:rPr>
              <w:t>الفرع الرابع</w:t>
            </w:r>
            <w:r>
              <w:rPr>
                <w:rStyle w:val="IndexLink"/>
                <w:rtl w:val="true"/>
              </w:rPr>
              <w:t xml:space="preserve">: </w:t>
            </w:r>
            <w:r>
              <w:rPr>
                <w:rStyle w:val="IndexLink"/>
                <w:rtl w:val="true"/>
              </w:rPr>
              <w:t>عدم الفرق بین عدم الستر مطلقاً أو مقیداً</w:t>
            </w:r>
            <w:r>
              <w:rPr>
                <w:rStyle w:val="IndexLink"/>
                <w:rtl w:val="true"/>
              </w:rPr>
              <w:tab/>
            </w:r>
            <w:r>
              <w:rPr>
                <w:rStyle w:val="IndexLink"/>
              </w:rPr>
              <w:t>105</w:t>
            </w:r>
          </w:hyperlink>
        </w:p>
        <w:p>
          <w:pPr>
            <w:pStyle w:val="Contents5"/>
            <w:tabs>
              <w:tab w:val="clear" w:pos="7892"/>
              <w:tab w:val="right" w:pos="9026" w:leader="dot"/>
            </w:tabs>
            <w:rPr/>
          </w:pPr>
          <w:hyperlink w:anchor="__RefHeading___Toc2133408_237004111">
            <w:r>
              <w:rPr>
                <w:webHidden/>
                <w:rStyle w:val="IndexLink"/>
                <w:rtl w:val="true"/>
              </w:rPr>
              <w:t>الفرع الخامس</w:t>
            </w:r>
            <w:r>
              <w:rPr>
                <w:rStyle w:val="IndexLink"/>
                <w:rtl w:val="true"/>
              </w:rPr>
              <w:t xml:space="preserve">: </w:t>
            </w:r>
            <w:r>
              <w:rPr>
                <w:rStyle w:val="IndexLink"/>
                <w:rtl w:val="true"/>
              </w:rPr>
              <w:t>فی شروط جواز النظر</w:t>
            </w:r>
            <w:r>
              <w:rPr>
                <w:rStyle w:val="IndexLink"/>
                <w:rtl w:val="true"/>
              </w:rPr>
              <w:tab/>
            </w:r>
            <w:r>
              <w:rPr>
                <w:rStyle w:val="IndexLink"/>
              </w:rPr>
              <w:t>105</w:t>
            </w:r>
          </w:hyperlink>
        </w:p>
        <w:p>
          <w:pPr>
            <w:pStyle w:val="Contents6"/>
            <w:tabs>
              <w:tab w:val="clear" w:pos="7609"/>
              <w:tab w:val="right" w:pos="9026" w:leader="dot"/>
            </w:tabs>
            <w:rPr/>
          </w:pPr>
          <w:hyperlink w:anchor="__RefHeading___Toc2133410_237004111">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2133412_237004111">
            <w:r>
              <w:rPr>
                <w:webHidden/>
                <w:rStyle w:val="IndexLink"/>
                <w:rtl w:val="true"/>
              </w:rPr>
              <w:t>الشرط الأول</w:t>
            </w:r>
            <w:r>
              <w:rPr>
                <w:rStyle w:val="IndexLink"/>
                <w:rtl w:val="true"/>
              </w:rPr>
              <w:t xml:space="preserve">: </w:t>
            </w:r>
            <w:r>
              <w:rPr>
                <w:rStyle w:val="IndexLink"/>
                <w:rtl w:val="true"/>
              </w:rPr>
              <w:t>عدم اللذة</w:t>
            </w:r>
            <w:r>
              <w:rPr>
                <w:rStyle w:val="IndexLink"/>
                <w:rtl w:val="true"/>
              </w:rPr>
              <w:tab/>
            </w:r>
            <w:r>
              <w:rPr>
                <w:rStyle w:val="IndexLink"/>
              </w:rPr>
              <w:t>105</w:t>
            </w:r>
          </w:hyperlink>
        </w:p>
        <w:p>
          <w:pPr>
            <w:pStyle w:val="Contents6"/>
            <w:tabs>
              <w:tab w:val="clear" w:pos="7609"/>
              <w:tab w:val="right" w:pos="9026" w:leader="dot"/>
            </w:tabs>
            <w:rPr/>
          </w:pPr>
          <w:hyperlink w:anchor="__RefHeading___Toc2133414_237004111">
            <w:r>
              <w:rPr>
                <w:webHidden/>
                <w:rStyle w:val="IndexLink"/>
                <w:rtl w:val="true"/>
              </w:rPr>
              <w:t>الشرط الثانی</w:t>
            </w:r>
            <w:r>
              <w:rPr>
                <w:rStyle w:val="IndexLink"/>
                <w:rtl w:val="true"/>
              </w:rPr>
              <w:t xml:space="preserve">: </w:t>
            </w:r>
            <w:r>
              <w:rPr>
                <w:rStyle w:val="IndexLink"/>
                <w:rtl w:val="true"/>
              </w:rPr>
              <w:t>عدم خوف الوقوع فی الحرام</w:t>
            </w:r>
            <w:r>
              <w:rPr>
                <w:rStyle w:val="IndexLink"/>
                <w:rtl w:val="true"/>
              </w:rPr>
              <w:tab/>
            </w:r>
            <w:r>
              <w:rPr>
                <w:rStyle w:val="IndexLink"/>
              </w:rPr>
              <w:t>111</w:t>
            </w:r>
          </w:hyperlink>
        </w:p>
        <w:p>
          <w:pPr>
            <w:pStyle w:val="Contents6"/>
            <w:tabs>
              <w:tab w:val="clear" w:pos="7609"/>
              <w:tab w:val="right" w:pos="9026" w:leader="dot"/>
            </w:tabs>
            <w:rPr/>
          </w:pPr>
          <w:hyperlink w:anchor="__RefHeading___Toc2133416_237004111">
            <w:r>
              <w:rPr>
                <w:webHidden/>
                <w:rStyle w:val="IndexLink"/>
                <w:rtl w:val="true"/>
              </w:rPr>
              <w:t>الشرط الثالث</w:t>
            </w:r>
            <w:r>
              <w:rPr>
                <w:rStyle w:val="IndexLink"/>
                <w:rtl w:val="true"/>
              </w:rPr>
              <w:t xml:space="preserve">: </w:t>
            </w:r>
            <w:r>
              <w:rPr>
                <w:rStyle w:val="IndexLink"/>
                <w:rtl w:val="true"/>
              </w:rPr>
              <w:t>عدم الریبة</w:t>
            </w:r>
            <w:r>
              <w:rPr>
                <w:rStyle w:val="IndexLink"/>
                <w:rtl w:val="true"/>
              </w:rPr>
              <w:tab/>
            </w:r>
            <w:r>
              <w:rPr>
                <w:rStyle w:val="IndexLink"/>
              </w:rPr>
              <w:t>115</w:t>
            </w:r>
          </w:hyperlink>
        </w:p>
        <w:p>
          <w:pPr>
            <w:pStyle w:val="Contents6"/>
            <w:tabs>
              <w:tab w:val="clear" w:pos="7609"/>
              <w:tab w:val="right" w:pos="9026" w:leader="dot"/>
            </w:tabs>
            <w:rPr/>
          </w:pPr>
          <w:hyperlink w:anchor="__RefHeading___Toc2133418_237004111">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2133420_237004111">
            <w:r>
              <w:rPr>
                <w:webHidden/>
                <w:rStyle w:val="IndexLink"/>
                <w:rtl w:val="true"/>
              </w:rPr>
              <w:t>المقام الأول</w:t>
            </w:r>
            <w:r>
              <w:rPr>
                <w:rStyle w:val="IndexLink"/>
                <w:rtl w:val="true"/>
              </w:rPr>
              <w:t xml:space="preserve">: </w:t>
            </w:r>
            <w:r>
              <w:rPr>
                <w:rStyle w:val="IndexLink"/>
                <w:rtl w:val="true"/>
              </w:rPr>
              <w:t>فی معنی الریبة</w:t>
            </w:r>
            <w:r>
              <w:rPr>
                <w:rStyle w:val="IndexLink"/>
                <w:rtl w:val="true"/>
              </w:rPr>
              <w:tab/>
            </w:r>
            <w:r>
              <w:rPr>
                <w:rStyle w:val="IndexLink"/>
              </w:rPr>
              <w:t>116</w:t>
            </w:r>
          </w:hyperlink>
        </w:p>
        <w:p>
          <w:pPr>
            <w:pStyle w:val="Contents6"/>
            <w:tabs>
              <w:tab w:val="clear" w:pos="7609"/>
              <w:tab w:val="right" w:pos="9026" w:leader="dot"/>
            </w:tabs>
            <w:rPr/>
          </w:pPr>
          <w:hyperlink w:anchor="__RefHeading___Toc2133422_237004111">
            <w:r>
              <w:rPr>
                <w:webHidden/>
                <w:rStyle w:val="IndexLink"/>
                <w:rtl w:val="true"/>
              </w:rPr>
              <w:t>المقام الثانی</w:t>
            </w:r>
            <w:r>
              <w:rPr>
                <w:rStyle w:val="IndexLink"/>
                <w:rtl w:val="true"/>
              </w:rPr>
              <w:t xml:space="preserve">: </w:t>
            </w:r>
            <w:r>
              <w:rPr>
                <w:rStyle w:val="IndexLink"/>
                <w:rtl w:val="true"/>
              </w:rPr>
              <w:t>فی الدلیل علی حرمة النظر بریبة</w:t>
            </w:r>
            <w:r>
              <w:rPr>
                <w:rStyle w:val="IndexLink"/>
                <w:rtl w:val="true"/>
              </w:rPr>
              <w:tab/>
            </w:r>
            <w:r>
              <w:rPr>
                <w:rStyle w:val="IndexLink"/>
              </w:rPr>
              <w:t>118</w:t>
            </w:r>
          </w:hyperlink>
        </w:p>
        <w:p>
          <w:pPr>
            <w:pStyle w:val="Contents5"/>
            <w:tabs>
              <w:tab w:val="clear" w:pos="7892"/>
              <w:tab w:val="right" w:pos="9026" w:leader="dot"/>
            </w:tabs>
            <w:rPr/>
          </w:pPr>
          <w:hyperlink w:anchor="__RefHeading___Toc2133424_237004111">
            <w:r>
              <w:rPr>
                <w:webHidden/>
                <w:rStyle w:val="IndexLink"/>
                <w:rtl w:val="true"/>
              </w:rPr>
              <w:t>الفرع السادس</w:t>
            </w:r>
            <w:r>
              <w:rPr>
                <w:rStyle w:val="IndexLink"/>
                <w:rtl w:val="true"/>
              </w:rPr>
              <w:t xml:space="preserve">: </w:t>
            </w:r>
            <w:r>
              <w:rPr>
                <w:rStyle w:val="IndexLink"/>
                <w:rtl w:val="true"/>
              </w:rPr>
              <w:t>فی حکم الالتذاذ غیر الشهوی</w:t>
            </w:r>
            <w:r>
              <w:rPr>
                <w:rStyle w:val="IndexLink"/>
                <w:rtl w:val="true"/>
              </w:rPr>
              <w:tab/>
            </w:r>
            <w:r>
              <w:rPr>
                <w:rStyle w:val="IndexLink"/>
              </w:rPr>
              <w:t>121</w:t>
            </w:r>
          </w:hyperlink>
        </w:p>
        <w:p>
          <w:pPr>
            <w:pStyle w:val="Contents5"/>
            <w:tabs>
              <w:tab w:val="clear" w:pos="7892"/>
              <w:tab w:val="right" w:pos="9026" w:leader="dot"/>
            </w:tabs>
            <w:rPr/>
          </w:pPr>
          <w:hyperlink w:anchor="__RefHeading___Toc2133426_237004111">
            <w:r>
              <w:rPr>
                <w:webHidden/>
                <w:rStyle w:val="IndexLink"/>
                <w:rtl w:val="true"/>
              </w:rPr>
              <w:t>الفرع السابع</w:t>
            </w:r>
            <w:r>
              <w:rPr>
                <w:rStyle w:val="IndexLink"/>
                <w:rtl w:val="true"/>
              </w:rPr>
              <w:t xml:space="preserve">: </w:t>
            </w:r>
            <w:r>
              <w:rPr>
                <w:rStyle w:val="IndexLink"/>
                <w:rtl w:val="true"/>
              </w:rPr>
              <w:t>أنواع الالتذاذ المحرم</w:t>
            </w:r>
            <w:r>
              <w:rPr>
                <w:rStyle w:val="IndexLink"/>
                <w:rtl w:val="true"/>
              </w:rPr>
              <w:tab/>
            </w:r>
            <w:r>
              <w:rPr>
                <w:rStyle w:val="IndexLink"/>
              </w:rPr>
              <w:t>124</w:t>
            </w:r>
          </w:hyperlink>
        </w:p>
        <w:p>
          <w:pPr>
            <w:pStyle w:val="Contents5"/>
            <w:tabs>
              <w:tab w:val="clear" w:pos="7892"/>
              <w:tab w:val="right" w:pos="9026" w:leader="dot"/>
            </w:tabs>
            <w:rPr/>
          </w:pPr>
          <w:hyperlink w:anchor="__RefHeading___Toc2133428_237004111">
            <w:r>
              <w:rPr>
                <w:webHidden/>
                <w:rStyle w:val="IndexLink"/>
                <w:rtl w:val="true"/>
              </w:rPr>
              <w:t>الفرع الثامن</w:t>
            </w:r>
            <w:r>
              <w:rPr>
                <w:rStyle w:val="IndexLink"/>
                <w:rtl w:val="true"/>
              </w:rPr>
              <w:t xml:space="preserve">: </w:t>
            </w:r>
            <w:r>
              <w:rPr>
                <w:rStyle w:val="IndexLink"/>
                <w:rtl w:val="true"/>
              </w:rPr>
              <w:t>منشأ الوقوع بالحرام بسبب النظر</w:t>
            </w:r>
            <w:r>
              <w:rPr>
                <w:rStyle w:val="IndexLink"/>
                <w:rtl w:val="true"/>
              </w:rPr>
              <w:tab/>
            </w:r>
            <w:r>
              <w:rPr>
                <w:rStyle w:val="IndexLink"/>
              </w:rPr>
              <w:t>125</w:t>
            </w:r>
          </w:hyperlink>
        </w:p>
        <w:p>
          <w:pPr>
            <w:pStyle w:val="Contents5"/>
            <w:tabs>
              <w:tab w:val="clear" w:pos="7892"/>
              <w:tab w:val="right" w:pos="9026" w:leader="dot"/>
            </w:tabs>
            <w:rPr/>
          </w:pPr>
          <w:hyperlink w:anchor="__RefHeading___Toc2133430_237004111">
            <w:r>
              <w:rPr>
                <w:webHidden/>
                <w:rStyle w:val="IndexLink"/>
                <w:rtl w:val="true"/>
              </w:rPr>
              <w:t>الفرع التاسع</w:t>
            </w:r>
            <w:r>
              <w:rPr>
                <w:rStyle w:val="IndexLink"/>
                <w:rtl w:val="true"/>
              </w:rPr>
              <w:t xml:space="preserve">: </w:t>
            </w:r>
            <w:r>
              <w:rPr>
                <w:rStyle w:val="IndexLink"/>
                <w:rtl w:val="true"/>
              </w:rPr>
              <w:t>فی المراد بالنهی فی قوله</w:t>
            </w:r>
            <w:r>
              <w:rPr>
                <w:rStyle w:val="IndexLink"/>
                <w:rtl w:val="true"/>
              </w:rPr>
              <w:t xml:space="preserve">: </w:t>
            </w:r>
            <w:r>
              <w:rPr>
                <w:rStyle w:val="IndexLink"/>
                <w:rtl w:val="true"/>
              </w:rPr>
              <w:t>إذا نهین لا ینتهین</w:t>
            </w:r>
            <w:r>
              <w:rPr>
                <w:rStyle w:val="IndexLink"/>
                <w:rtl w:val="true"/>
              </w:rPr>
              <w:tab/>
            </w:r>
            <w:r>
              <w:rPr>
                <w:rStyle w:val="IndexLink"/>
              </w:rPr>
              <w:t>126</w:t>
            </w:r>
          </w:hyperlink>
        </w:p>
        <w:p>
          <w:pPr>
            <w:pStyle w:val="Contents5"/>
            <w:tabs>
              <w:tab w:val="clear" w:pos="7892"/>
              <w:tab w:val="right" w:pos="9026" w:leader="dot"/>
            </w:tabs>
            <w:rPr/>
          </w:pPr>
          <w:hyperlink w:anchor="__RefHeading___Toc2133432_237004111">
            <w:r>
              <w:rPr>
                <w:webHidden/>
                <w:rStyle w:val="IndexLink"/>
                <w:rtl w:val="true"/>
              </w:rPr>
              <w:t>الفرع العاشر</w:t>
            </w:r>
            <w:r>
              <w:rPr>
                <w:rStyle w:val="IndexLink"/>
                <w:rtl w:val="true"/>
              </w:rPr>
              <w:t xml:space="preserve">: </w:t>
            </w:r>
            <w:r>
              <w:rPr>
                <w:rStyle w:val="IndexLink"/>
                <w:rtl w:val="true"/>
              </w:rPr>
              <w:t>فی حکم النظر إلی الفرق المحکوم بکفرهم</w:t>
            </w:r>
            <w:r>
              <w:rPr>
                <w:rStyle w:val="IndexLink"/>
                <w:rtl w:val="true"/>
              </w:rPr>
              <w:tab/>
            </w:r>
            <w:r>
              <w:rPr>
                <w:rStyle w:val="IndexLink"/>
              </w:rPr>
              <w:t>127</w:t>
            </w:r>
          </w:hyperlink>
        </w:p>
        <w:p>
          <w:pPr>
            <w:pStyle w:val="Contents5"/>
            <w:tabs>
              <w:tab w:val="clear" w:pos="7892"/>
              <w:tab w:val="right" w:pos="9026" w:leader="dot"/>
            </w:tabs>
            <w:rPr/>
          </w:pPr>
          <w:hyperlink w:anchor="__RefHeading___Toc2133434_237004111">
            <w:r>
              <w:rPr>
                <w:webHidden/>
                <w:rStyle w:val="IndexLink"/>
                <w:rtl w:val="true"/>
              </w:rPr>
              <w:t>الفرع الحادی عشر</w:t>
            </w:r>
            <w:r>
              <w:rPr>
                <w:rStyle w:val="IndexLink"/>
                <w:rtl w:val="true"/>
              </w:rPr>
              <w:t xml:space="preserve">: </w:t>
            </w:r>
            <w:r>
              <w:rPr>
                <w:rStyle w:val="IndexLink"/>
                <w:rtl w:val="true"/>
              </w:rPr>
              <w:t>فی حکم النظر إلی المرتد والمرتدة</w:t>
            </w:r>
            <w:r>
              <w:rPr>
                <w:rStyle w:val="IndexLink"/>
                <w:rtl w:val="true"/>
              </w:rPr>
              <w:tab/>
            </w:r>
            <w:r>
              <w:rPr>
                <w:rStyle w:val="IndexLink"/>
              </w:rPr>
              <w:t>128</w:t>
            </w:r>
          </w:hyperlink>
        </w:p>
        <w:p>
          <w:pPr>
            <w:pStyle w:val="Contents5"/>
            <w:tabs>
              <w:tab w:val="clear" w:pos="7892"/>
              <w:tab w:val="right" w:pos="9026" w:leader="dot"/>
            </w:tabs>
            <w:rPr/>
          </w:pPr>
          <w:hyperlink w:anchor="__RefHeading___Toc2133436_237004111">
            <w:r>
              <w:rPr>
                <w:webHidden/>
                <w:rStyle w:val="IndexLink"/>
                <w:rtl w:val="true"/>
              </w:rPr>
              <w:t>الفرع الثانی عشر</w:t>
            </w:r>
            <w:r>
              <w:rPr>
                <w:rStyle w:val="IndexLink"/>
                <w:rtl w:val="true"/>
              </w:rPr>
              <w:t xml:space="preserve">: </w:t>
            </w:r>
            <w:r>
              <w:rPr>
                <w:rStyle w:val="IndexLink"/>
                <w:rtl w:val="true"/>
              </w:rPr>
              <w:t>فی حکم نظر المسلمة للکافر</w:t>
            </w:r>
            <w:r>
              <w:rPr>
                <w:rStyle w:val="IndexLink"/>
                <w:rtl w:val="true"/>
              </w:rPr>
              <w:tab/>
            </w:r>
            <w:r>
              <w:rPr>
                <w:rStyle w:val="IndexLink"/>
              </w:rPr>
              <w:t>128</w:t>
            </w:r>
          </w:hyperlink>
        </w:p>
        <w:p>
          <w:pPr>
            <w:pStyle w:val="Contents5"/>
            <w:tabs>
              <w:tab w:val="clear" w:pos="7892"/>
              <w:tab w:val="right" w:pos="9026" w:leader="dot"/>
            </w:tabs>
            <w:rPr/>
          </w:pPr>
          <w:hyperlink w:anchor="__RefHeading___Toc2133438_237004111">
            <w:r>
              <w:rPr>
                <w:webHidden/>
                <w:rStyle w:val="IndexLink"/>
                <w:rtl w:val="true"/>
              </w:rPr>
              <w:t>الفرع الثالث عشر</w:t>
            </w:r>
            <w:r>
              <w:rPr>
                <w:rStyle w:val="IndexLink"/>
                <w:rtl w:val="true"/>
              </w:rPr>
              <w:t xml:space="preserve">: </w:t>
            </w:r>
            <w:r>
              <w:rPr>
                <w:rStyle w:val="IndexLink"/>
                <w:rtl w:val="true"/>
              </w:rPr>
              <w:t>فی حکم النظر إلی الصور التلفزیونیة والفوتوغرافیة ونحوها</w:t>
            </w:r>
            <w:r>
              <w:rPr>
                <w:rStyle w:val="IndexLink"/>
                <w:rtl w:val="true"/>
              </w:rPr>
              <w:tab/>
            </w:r>
            <w:r>
              <w:rPr>
                <w:rStyle w:val="IndexLink"/>
              </w:rPr>
              <w:t>129</w:t>
            </w:r>
          </w:hyperlink>
        </w:p>
        <w:p>
          <w:pPr>
            <w:pStyle w:val="Contents6"/>
            <w:tabs>
              <w:tab w:val="clear" w:pos="7609"/>
              <w:tab w:val="right" w:pos="9026" w:leader="dot"/>
            </w:tabs>
            <w:rPr/>
          </w:pPr>
          <w:hyperlink w:anchor="__RefHeading___Toc2133440_237004111">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2133442_237004111">
            <w:r>
              <w:rPr>
                <w:webHidden/>
                <w:rStyle w:val="IndexLink"/>
                <w:rtl w:val="true"/>
              </w:rPr>
              <w:t>القول الأول</w:t>
            </w:r>
            <w:r>
              <w:rPr>
                <w:rStyle w:val="IndexLink"/>
                <w:rtl w:val="true"/>
              </w:rPr>
              <w:t xml:space="preserve">: </w:t>
            </w:r>
            <w:r>
              <w:rPr>
                <w:rStyle w:val="IndexLink"/>
                <w:rtl w:val="true"/>
              </w:rPr>
              <w:t>حرمة النظر إلی الصور التلفزیونیة والفوتوغرافیة</w:t>
            </w:r>
            <w:r>
              <w:rPr>
                <w:rStyle w:val="IndexLink"/>
                <w:rtl w:val="true"/>
              </w:rPr>
              <w:tab/>
            </w:r>
            <w:r>
              <w:rPr>
                <w:rStyle w:val="IndexLink"/>
              </w:rPr>
              <w:t>129</w:t>
            </w:r>
          </w:hyperlink>
        </w:p>
        <w:p>
          <w:pPr>
            <w:pStyle w:val="Contents6"/>
            <w:tabs>
              <w:tab w:val="clear" w:pos="7609"/>
              <w:tab w:val="right" w:pos="9026" w:leader="dot"/>
            </w:tabs>
            <w:rPr/>
          </w:pPr>
          <w:hyperlink w:anchor="__RefHeading___Toc2133444_237004111">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2133446_237004111">
            <w:r>
              <w:rPr>
                <w:webHidden/>
                <w:rStyle w:val="IndexLink"/>
                <w:rtl w:val="true"/>
              </w:rPr>
              <w:t>الدلیل الأول</w:t>
            </w:r>
            <w:r>
              <w:rPr>
                <w:rStyle w:val="IndexLink"/>
                <w:rtl w:val="true"/>
              </w:rPr>
              <w:t xml:space="preserve">: </w:t>
            </w:r>
            <w:r>
              <w:rPr>
                <w:rStyle w:val="IndexLink"/>
                <w:rtl w:val="true"/>
              </w:rPr>
              <w:t>آیة الغض</w:t>
            </w:r>
            <w:r>
              <w:rPr>
                <w:rStyle w:val="IndexLink"/>
                <w:rtl w:val="true"/>
              </w:rPr>
              <w:tab/>
            </w:r>
            <w:r>
              <w:rPr>
                <w:rStyle w:val="IndexLink"/>
              </w:rPr>
              <w:t>129</w:t>
            </w:r>
          </w:hyperlink>
        </w:p>
        <w:p>
          <w:pPr>
            <w:pStyle w:val="Contents6"/>
            <w:tabs>
              <w:tab w:val="clear" w:pos="7609"/>
              <w:tab w:val="right" w:pos="9026" w:leader="dot"/>
            </w:tabs>
            <w:rPr/>
          </w:pPr>
          <w:hyperlink w:anchor="__RefHeading___Toc2133448_237004111">
            <w:r>
              <w:rPr>
                <w:webHidden/>
                <w:rStyle w:val="IndexLink"/>
                <w:rtl w:val="true"/>
              </w:rPr>
              <w:t>الدلیل الثانی</w:t>
            </w:r>
            <w:r>
              <w:rPr>
                <w:rStyle w:val="IndexLink"/>
                <w:rtl w:val="true"/>
              </w:rPr>
              <w:t xml:space="preserve">: </w:t>
            </w:r>
            <w:r>
              <w:rPr>
                <w:rStyle w:val="IndexLink"/>
                <w:rtl w:val="true"/>
              </w:rPr>
              <w:t>شمول الأدلة الناهیة عن النظر للمرأة للنظر إلی صورتها</w:t>
            </w:r>
            <w:r>
              <w:rPr>
                <w:rStyle w:val="IndexLink"/>
                <w:rtl w:val="true"/>
              </w:rPr>
              <w:tab/>
            </w:r>
            <w:r>
              <w:rPr>
                <w:rStyle w:val="IndexLink"/>
              </w:rPr>
              <w:t>131</w:t>
            </w:r>
          </w:hyperlink>
        </w:p>
        <w:p>
          <w:pPr>
            <w:pStyle w:val="Contents6"/>
            <w:tabs>
              <w:tab w:val="clear" w:pos="7609"/>
              <w:tab w:val="right" w:pos="9026" w:leader="dot"/>
            </w:tabs>
            <w:rPr/>
          </w:pPr>
          <w:hyperlink w:anchor="__RefHeading___Toc2133450_237004111">
            <w:r>
              <w:rPr>
                <w:webHidden/>
                <w:rStyle w:val="IndexLink"/>
                <w:rtl w:val="true"/>
              </w:rPr>
              <w:t>الدلیل الثالث</w:t>
            </w:r>
            <w:r>
              <w:rPr>
                <w:rStyle w:val="IndexLink"/>
                <w:rtl w:val="true"/>
              </w:rPr>
              <w:t xml:space="preserve">: </w:t>
            </w:r>
            <w:r>
              <w:rPr>
                <w:rStyle w:val="IndexLink"/>
                <w:rtl w:val="true"/>
              </w:rPr>
              <w:t>وحدة المناط</w:t>
            </w:r>
            <w:r>
              <w:rPr>
                <w:rStyle w:val="IndexLink"/>
                <w:rtl w:val="true"/>
              </w:rPr>
              <w:tab/>
            </w:r>
            <w:r>
              <w:rPr>
                <w:rStyle w:val="IndexLink"/>
              </w:rPr>
              <w:t>131</w:t>
            </w:r>
          </w:hyperlink>
        </w:p>
        <w:p>
          <w:pPr>
            <w:pStyle w:val="Contents6"/>
            <w:tabs>
              <w:tab w:val="clear" w:pos="7609"/>
              <w:tab w:val="right" w:pos="9026" w:leader="dot"/>
            </w:tabs>
            <w:rPr/>
          </w:pPr>
          <w:hyperlink w:anchor="__RefHeading___Toc2133452_237004111">
            <w:r>
              <w:rPr>
                <w:webHidden/>
                <w:rStyle w:val="IndexLink"/>
                <w:rtl w:val="true"/>
              </w:rPr>
              <w:t>الدلیل الرابع</w:t>
            </w:r>
            <w:r>
              <w:rPr>
                <w:rStyle w:val="IndexLink"/>
                <w:rtl w:val="true"/>
              </w:rPr>
              <w:t xml:space="preserve">: </w:t>
            </w:r>
            <w:r>
              <w:rPr>
                <w:rStyle w:val="IndexLink"/>
                <w:rtl w:val="true"/>
              </w:rPr>
              <w:t>عدم الفرق بین النظر إلی المرأة وإلی صورتها</w:t>
            </w:r>
            <w:r>
              <w:rPr>
                <w:rStyle w:val="IndexLink"/>
                <w:rtl w:val="true"/>
              </w:rPr>
              <w:tab/>
            </w:r>
            <w:r>
              <w:rPr>
                <w:rStyle w:val="IndexLink"/>
              </w:rPr>
              <w:t>135</w:t>
            </w:r>
          </w:hyperlink>
        </w:p>
        <w:p>
          <w:pPr>
            <w:pStyle w:val="Contents6"/>
            <w:tabs>
              <w:tab w:val="clear" w:pos="7609"/>
              <w:tab w:val="right" w:pos="9026" w:leader="dot"/>
            </w:tabs>
            <w:rPr/>
          </w:pPr>
          <w:hyperlink w:anchor="__RefHeading___Toc2133454_237004111">
            <w:r>
              <w:rPr>
                <w:webHidden/>
                <w:rStyle w:val="IndexLink"/>
                <w:rtl w:val="true"/>
              </w:rPr>
              <w:t>القول الثانی</w:t>
            </w:r>
            <w:r>
              <w:rPr>
                <w:rStyle w:val="IndexLink"/>
                <w:rtl w:val="true"/>
              </w:rPr>
              <w:t xml:space="preserve">: </w:t>
            </w:r>
            <w:r>
              <w:rPr>
                <w:rStyle w:val="IndexLink"/>
                <w:rtl w:val="true"/>
              </w:rPr>
              <w:t>التفصیل بین المرأة المعروفة وغیرها</w:t>
            </w:r>
            <w:r>
              <w:rPr>
                <w:rStyle w:val="IndexLink"/>
                <w:rtl w:val="true"/>
              </w:rPr>
              <w:tab/>
            </w:r>
            <w:r>
              <w:rPr>
                <w:rStyle w:val="IndexLink"/>
              </w:rPr>
              <w:t>136</w:t>
            </w:r>
          </w:hyperlink>
        </w:p>
        <w:p>
          <w:pPr>
            <w:pStyle w:val="Contents6"/>
            <w:tabs>
              <w:tab w:val="clear" w:pos="7609"/>
              <w:tab w:val="right" w:pos="9026" w:leader="dot"/>
            </w:tabs>
            <w:rPr/>
          </w:pPr>
          <w:hyperlink w:anchor="__RefHeading___Toc2133456_237004111">
            <w:r>
              <w:rPr>
                <w:webHidden/>
                <w:rStyle w:val="IndexLink"/>
                <w:rtl w:val="true"/>
              </w:rPr>
              <w:t>القول الثالث</w:t>
            </w:r>
            <w:r>
              <w:rPr>
                <w:rStyle w:val="IndexLink"/>
                <w:rtl w:val="true"/>
              </w:rPr>
              <w:t xml:space="preserve">: </w:t>
            </w:r>
            <w:r>
              <w:rPr>
                <w:rStyle w:val="IndexLink"/>
                <w:rtl w:val="true"/>
              </w:rPr>
              <w:t>التفصیل بین البث المباشر وغیره</w:t>
            </w:r>
            <w:r>
              <w:rPr>
                <w:rStyle w:val="IndexLink"/>
                <w:rtl w:val="true"/>
              </w:rPr>
              <w:tab/>
            </w:r>
            <w:r>
              <w:rPr>
                <w:rStyle w:val="IndexLink"/>
              </w:rPr>
              <w:t>138</w:t>
            </w:r>
          </w:hyperlink>
        </w:p>
        <w:p>
          <w:pPr>
            <w:pStyle w:val="Contents6"/>
            <w:tabs>
              <w:tab w:val="clear" w:pos="7609"/>
              <w:tab w:val="right" w:pos="9026" w:leader="dot"/>
            </w:tabs>
            <w:rPr/>
          </w:pPr>
          <w:hyperlink w:anchor="__RefHeading___Toc2133458_237004111">
            <w:r>
              <w:rPr>
                <w:webHidden/>
                <w:rStyle w:val="IndexLink"/>
                <w:rtl w:val="true"/>
              </w:rPr>
              <w:t>القول الرابع</w:t>
            </w:r>
            <w:r>
              <w:rPr>
                <w:rStyle w:val="IndexLink"/>
                <w:rtl w:val="true"/>
              </w:rPr>
              <w:t xml:space="preserve">: </w:t>
            </w:r>
            <w:r>
              <w:rPr>
                <w:rStyle w:val="IndexLink"/>
                <w:rtl w:val="true"/>
              </w:rPr>
              <w:t>جواز النظر</w:t>
            </w:r>
            <w:r>
              <w:rPr>
                <w:rStyle w:val="IndexLink"/>
                <w:rtl w:val="true"/>
              </w:rPr>
              <w:tab/>
            </w:r>
            <w:r>
              <w:rPr>
                <w:rStyle w:val="IndexLink"/>
              </w:rPr>
              <w:t>138</w:t>
            </w:r>
          </w:hyperlink>
        </w:p>
        <w:p>
          <w:pPr>
            <w:pStyle w:val="Contents6"/>
            <w:tabs>
              <w:tab w:val="clear" w:pos="7609"/>
              <w:tab w:val="right" w:pos="9026" w:leader="dot"/>
            </w:tabs>
            <w:rPr/>
          </w:pPr>
          <w:hyperlink w:anchor="__RefHeading___Toc2133460_237004111">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2133462_237004111">
            <w:r>
              <w:rPr>
                <w:webHidden/>
                <w:rStyle w:val="IndexLink"/>
                <w:rtl w:val="true"/>
              </w:rPr>
              <w:t>صور استثناءات الحکم بجواز النظر</w:t>
            </w:r>
            <w:r>
              <w:rPr>
                <w:rStyle w:val="IndexLink"/>
                <w:rtl w:val="true"/>
              </w:rPr>
              <w:tab/>
            </w:r>
            <w:r>
              <w:rPr>
                <w:rStyle w:val="IndexLink"/>
              </w:rPr>
              <w:t>142</w:t>
            </w:r>
          </w:hyperlink>
        </w:p>
        <w:p>
          <w:pPr>
            <w:pStyle w:val="Contents6"/>
            <w:tabs>
              <w:tab w:val="clear" w:pos="7609"/>
              <w:tab w:val="right" w:pos="9026" w:leader="dot"/>
            </w:tabs>
            <w:rPr/>
          </w:pPr>
          <w:hyperlink w:anchor="__RefHeading___Toc2133464_237004111">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2133466_237004111">
            <w:r>
              <w:rPr>
                <w:webHidden/>
                <w:rStyle w:val="IndexLink"/>
                <w:rtl w:val="true"/>
              </w:rPr>
              <w:t>الصورة الأولی</w:t>
            </w:r>
            <w:r>
              <w:rPr>
                <w:rStyle w:val="IndexLink"/>
                <w:rtl w:val="true"/>
              </w:rPr>
              <w:t xml:space="preserve">: </w:t>
            </w:r>
            <w:r>
              <w:rPr>
                <w:rStyle w:val="IndexLink"/>
                <w:rtl w:val="true"/>
              </w:rPr>
              <w:t>النظر فی المرآة ونحوها</w:t>
            </w:r>
            <w:r>
              <w:rPr>
                <w:rStyle w:val="IndexLink"/>
                <w:rtl w:val="true"/>
              </w:rPr>
              <w:tab/>
            </w:r>
            <w:r>
              <w:rPr>
                <w:rStyle w:val="IndexLink"/>
              </w:rPr>
              <w:t>142</w:t>
            </w:r>
          </w:hyperlink>
        </w:p>
        <w:p>
          <w:pPr>
            <w:pStyle w:val="Contents6"/>
            <w:tabs>
              <w:tab w:val="clear" w:pos="7609"/>
              <w:tab w:val="right" w:pos="9026" w:leader="dot"/>
            </w:tabs>
            <w:rPr/>
          </w:pPr>
          <w:hyperlink w:anchor="__RefHeading___Toc2133468_237004111">
            <w:r>
              <w:rPr>
                <w:webHidden/>
                <w:rStyle w:val="IndexLink"/>
                <w:rtl w:val="true"/>
              </w:rPr>
              <w:t>الصورة الثانیة</w:t>
            </w:r>
            <w:r>
              <w:rPr>
                <w:rStyle w:val="IndexLink"/>
                <w:rtl w:val="true"/>
              </w:rPr>
              <w:t xml:space="preserve">: </w:t>
            </w:r>
            <w:r>
              <w:rPr>
                <w:rStyle w:val="IndexLink"/>
                <w:rtl w:val="true"/>
              </w:rPr>
              <w:t>النظر للصور الخلاعیة</w:t>
            </w:r>
            <w:r>
              <w:rPr>
                <w:rStyle w:val="IndexLink"/>
                <w:rtl w:val="true"/>
              </w:rPr>
              <w:tab/>
            </w:r>
            <w:r>
              <w:rPr>
                <w:rStyle w:val="IndexLink"/>
              </w:rPr>
              <w:t>146</w:t>
            </w:r>
          </w:hyperlink>
        </w:p>
        <w:p>
          <w:pPr>
            <w:pStyle w:val="Contents6"/>
            <w:tabs>
              <w:tab w:val="clear" w:pos="7609"/>
              <w:tab w:val="right" w:pos="9026" w:leader="dot"/>
            </w:tabs>
            <w:rPr/>
          </w:pPr>
          <w:hyperlink w:anchor="__RefHeading___Toc2133470_237004111">
            <w:r>
              <w:rPr>
                <w:webHidden/>
                <w:rStyle w:val="IndexLink"/>
                <w:rtl w:val="true"/>
              </w:rPr>
              <w:t>الصورة الثالثة</w:t>
            </w:r>
            <w:r>
              <w:rPr>
                <w:rStyle w:val="IndexLink"/>
                <w:rtl w:val="true"/>
              </w:rPr>
              <w:t xml:space="preserve">: </w:t>
            </w:r>
            <w:r>
              <w:rPr>
                <w:rStyle w:val="IndexLink"/>
                <w:rtl w:val="true"/>
              </w:rPr>
              <w:t>النظر إلی الصورة عند مقارنته للمحرمات</w:t>
            </w:r>
            <w:r>
              <w:rPr>
                <w:rStyle w:val="IndexLink"/>
                <w:rtl w:val="true"/>
              </w:rPr>
              <w:tab/>
            </w:r>
            <w:r>
              <w:rPr>
                <w:rStyle w:val="IndexLink"/>
              </w:rPr>
              <w:t>146</w:t>
            </w:r>
          </w:hyperlink>
        </w:p>
        <w:p>
          <w:pPr>
            <w:pStyle w:val="Contents6"/>
            <w:tabs>
              <w:tab w:val="clear" w:pos="7609"/>
              <w:tab w:val="right" w:pos="9026" w:leader="dot"/>
            </w:tabs>
            <w:rPr/>
          </w:pPr>
          <w:hyperlink w:anchor="__RefHeading___Toc2133472_237004111">
            <w:r>
              <w:rPr>
                <w:webHidden/>
                <w:rStyle w:val="IndexLink"/>
                <w:rtl w:val="true"/>
              </w:rPr>
              <w:t>استفتاءات تتعلق بالمقام</w:t>
            </w:r>
            <w:r>
              <w:rPr>
                <w:rStyle w:val="IndexLink"/>
                <w:rtl w:val="true"/>
              </w:rPr>
              <w:tab/>
            </w:r>
            <w:r>
              <w:rPr>
                <w:rStyle w:val="IndexLink"/>
              </w:rPr>
              <w:t>146</w:t>
            </w:r>
          </w:hyperlink>
        </w:p>
        <w:p>
          <w:pPr>
            <w:pStyle w:val="Contents5"/>
            <w:tabs>
              <w:tab w:val="clear" w:pos="7892"/>
              <w:tab w:val="right" w:pos="9026" w:leader="dot"/>
            </w:tabs>
            <w:rPr/>
          </w:pPr>
          <w:hyperlink w:anchor="__RefHeading___Toc2133474_237004111">
            <w:r>
              <w:rPr>
                <w:webHidden/>
                <w:rStyle w:val="IndexLink"/>
                <w:rtl w:val="true"/>
              </w:rPr>
              <w:t>الفرع الرابع عشر</w:t>
            </w:r>
            <w:r>
              <w:rPr>
                <w:rStyle w:val="IndexLink"/>
                <w:rtl w:val="true"/>
              </w:rPr>
              <w:t xml:space="preserve">: </w:t>
            </w:r>
            <w:r>
              <w:rPr>
                <w:rStyle w:val="IndexLink"/>
                <w:rtl w:val="true"/>
              </w:rPr>
              <w:t>فی حکم لمس الکافرة</w:t>
            </w:r>
            <w:r>
              <w:rPr>
                <w:rStyle w:val="IndexLink"/>
                <w:rtl w:val="true"/>
              </w:rPr>
              <w:tab/>
            </w:r>
            <w:r>
              <w:rPr>
                <w:rStyle w:val="IndexLink"/>
              </w:rPr>
              <w:t>150</w:t>
            </w:r>
          </w:hyperlink>
        </w:p>
        <w:p>
          <w:pPr>
            <w:pStyle w:val="Contents2"/>
            <w:tabs>
              <w:tab w:val="clear" w:pos="8743"/>
              <w:tab w:val="right" w:pos="9026" w:leader="dot"/>
            </w:tabs>
            <w:rPr/>
          </w:pPr>
          <w:hyperlink w:anchor="__RefHeading___Toc2133476_237004111">
            <w:r>
              <w:rPr>
                <w:webHidden/>
                <w:rStyle w:val="IndexLink"/>
                <w:rtl w:val="true"/>
              </w:rPr>
              <w:t>المسألة الثالثة</w:t>
            </w:r>
            <w:r>
              <w:rPr>
                <w:rStyle w:val="IndexLink"/>
                <w:rtl w:val="true"/>
              </w:rPr>
              <w:t xml:space="preserve">: </w:t>
            </w:r>
            <w:r>
              <w:rPr>
                <w:rStyle w:val="IndexLink"/>
                <w:rtl w:val="true"/>
              </w:rPr>
              <w:t>النظر إلی الوجه والکفین من المسلمات</w:t>
            </w:r>
            <w:r>
              <w:rPr>
                <w:rStyle w:val="IndexLink"/>
                <w:rtl w:val="true"/>
              </w:rPr>
              <w:tab/>
            </w:r>
            <w:r>
              <w:rPr>
                <w:rStyle w:val="IndexLink"/>
              </w:rPr>
              <w:t>153</w:t>
            </w:r>
          </w:hyperlink>
        </w:p>
        <w:p>
          <w:pPr>
            <w:pStyle w:val="Contents3"/>
            <w:tabs>
              <w:tab w:val="clear" w:pos="8459"/>
              <w:tab w:val="right" w:pos="9026" w:leader="dot"/>
            </w:tabs>
            <w:rPr/>
          </w:pPr>
          <w:hyperlink w:anchor="__RefHeading___Toc2133478_237004111">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2133480_237004111">
            <w:r>
              <w:rPr>
                <w:webHidden/>
                <w:rStyle w:val="IndexLink"/>
                <w:rtl w:val="true"/>
              </w:rPr>
              <w:t>المسألة الثالثة</w:t>
            </w:r>
            <w:r>
              <w:rPr>
                <w:rStyle w:val="IndexLink"/>
                <w:rtl w:val="true"/>
              </w:rPr>
              <w:t xml:space="preserve">: </w:t>
            </w:r>
            <w:r>
              <w:rPr>
                <w:rStyle w:val="IndexLink"/>
                <w:rtl w:val="true"/>
              </w:rPr>
              <w:t>النظر إلی الوجه والکفین من المسلمات</w:t>
            </w:r>
            <w:r>
              <w:rPr>
                <w:rStyle w:val="IndexLink"/>
                <w:rtl w:val="true"/>
              </w:rPr>
              <w:tab/>
            </w:r>
            <w:r>
              <w:rPr>
                <w:rStyle w:val="IndexLink"/>
              </w:rPr>
              <w:t>155</w:t>
            </w:r>
          </w:hyperlink>
        </w:p>
        <w:p>
          <w:pPr>
            <w:pStyle w:val="Contents4"/>
            <w:tabs>
              <w:tab w:val="clear" w:pos="8176"/>
              <w:tab w:val="right" w:pos="9026" w:leader="dot"/>
            </w:tabs>
            <w:rPr/>
          </w:pPr>
          <w:hyperlink w:anchor="__RefHeading___Toc2133482_237004111">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2133484_237004111">
            <w:r>
              <w:rPr>
                <w:webHidden/>
                <w:rStyle w:val="IndexLink"/>
                <w:rtl w:val="true"/>
              </w:rPr>
              <w:t>الأقوال فی المسألة الثالثة</w:t>
            </w:r>
            <w:r>
              <w:rPr>
                <w:rStyle w:val="IndexLink"/>
                <w:rtl w:val="true"/>
              </w:rPr>
              <w:tab/>
            </w:r>
            <w:r>
              <w:rPr>
                <w:rStyle w:val="IndexLink"/>
              </w:rPr>
              <w:t>156</w:t>
            </w:r>
          </w:hyperlink>
        </w:p>
        <w:p>
          <w:pPr>
            <w:pStyle w:val="Contents5"/>
            <w:tabs>
              <w:tab w:val="clear" w:pos="7892"/>
              <w:tab w:val="right" w:pos="9026" w:leader="dot"/>
            </w:tabs>
            <w:rPr/>
          </w:pPr>
          <w:hyperlink w:anchor="__RefHeading___Toc2133486_237004111">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2133488_237004111">
            <w:r>
              <w:rPr>
                <w:webHidden/>
                <w:rStyle w:val="IndexLink"/>
                <w:rtl w:val="true"/>
              </w:rPr>
              <w:t>القول الأول</w:t>
            </w:r>
            <w:r>
              <w:rPr>
                <w:rStyle w:val="IndexLink"/>
                <w:rtl w:val="true"/>
              </w:rPr>
              <w:t xml:space="preserve">: </w:t>
            </w:r>
            <w:r>
              <w:rPr>
                <w:rStyle w:val="IndexLink"/>
                <w:rtl w:val="true"/>
              </w:rPr>
              <w:t>جواز النظر مطلقاً</w:t>
            </w:r>
            <w:r>
              <w:rPr>
                <w:rStyle w:val="IndexLink"/>
                <w:rtl w:val="true"/>
              </w:rPr>
              <w:tab/>
            </w:r>
            <w:r>
              <w:rPr>
                <w:rStyle w:val="IndexLink"/>
              </w:rPr>
              <w:t>156</w:t>
            </w:r>
          </w:hyperlink>
        </w:p>
        <w:p>
          <w:pPr>
            <w:pStyle w:val="Contents6"/>
            <w:tabs>
              <w:tab w:val="clear" w:pos="7609"/>
              <w:tab w:val="right" w:pos="9026" w:leader="dot"/>
            </w:tabs>
            <w:rPr/>
          </w:pPr>
          <w:hyperlink w:anchor="__RefHeading___Toc2133490_237004111">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2133492_237004111">
            <w:r>
              <w:rPr>
                <w:webHidden/>
                <w:rStyle w:val="IndexLink"/>
                <w:rtl w:val="true"/>
              </w:rPr>
              <w:t>أدلة القول الأول</w:t>
            </w:r>
            <w:r>
              <w:rPr>
                <w:rStyle w:val="IndexLink"/>
                <w:rtl w:val="true"/>
              </w:rPr>
              <w:tab/>
            </w:r>
            <w:r>
              <w:rPr>
                <w:rStyle w:val="IndexLink"/>
              </w:rPr>
              <w:t>156</w:t>
            </w:r>
          </w:hyperlink>
        </w:p>
        <w:p>
          <w:pPr>
            <w:pStyle w:val="Contents6"/>
            <w:tabs>
              <w:tab w:val="clear" w:pos="7609"/>
              <w:tab w:val="right" w:pos="9026" w:leader="dot"/>
            </w:tabs>
            <w:rPr/>
          </w:pPr>
          <w:hyperlink w:anchor="__RefHeading___Toc2133494_237004111">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2133496_237004111">
            <w:r>
              <w:rPr>
                <w:webHidden/>
                <w:rStyle w:val="IndexLink"/>
                <w:rtl w:val="true"/>
              </w:rPr>
              <w:t>الدلیل الأول</w:t>
            </w:r>
            <w:r>
              <w:rPr>
                <w:rStyle w:val="IndexLink"/>
                <w:rtl w:val="true"/>
              </w:rPr>
              <w:t xml:space="preserve">: </w:t>
            </w:r>
            <w:r>
              <w:rPr>
                <w:rStyle w:val="IndexLink"/>
                <w:rtl w:val="true"/>
              </w:rPr>
              <w:t>قوله تعالی</w:t>
            </w:r>
            <w:r>
              <w:rPr>
                <w:rStyle w:val="IndexLink"/>
                <w:rtl w:val="true"/>
              </w:rPr>
              <w:t>{</w:t>
            </w:r>
            <w:r>
              <w:rPr>
                <w:rStyle w:val="IndexLink"/>
                <w:rtl w:val="true"/>
              </w:rPr>
              <w:t>وَلا یُبْدِینَ زِینَتَهُنَّ إِلا مَا ظَهَرَ مِنْهَا</w:t>
            </w:r>
            <w:r>
              <w:rPr>
                <w:rStyle w:val="IndexLink"/>
                <w:rtl w:val="true"/>
              </w:rPr>
              <w:t>}</w:t>
              <w:tab/>
            </w:r>
            <w:r>
              <w:rPr>
                <w:rStyle w:val="IndexLink"/>
              </w:rPr>
              <w:t>156</w:t>
            </w:r>
          </w:hyperlink>
        </w:p>
        <w:p>
          <w:pPr>
            <w:pStyle w:val="Contents6"/>
            <w:tabs>
              <w:tab w:val="clear" w:pos="7609"/>
              <w:tab w:val="right" w:pos="9026" w:leader="dot"/>
            </w:tabs>
            <w:rPr/>
          </w:pPr>
          <w:hyperlink w:anchor="__RefHeading___Toc2133498_237004111">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2133500_237004111">
            <w:r>
              <w:rPr>
                <w:webHidden/>
                <w:rStyle w:val="IndexLink"/>
                <w:rtl w:val="true"/>
              </w:rPr>
              <w:t>معنی الزینة</w:t>
            </w:r>
            <w:r>
              <w:rPr>
                <w:rStyle w:val="IndexLink"/>
                <w:rtl w:val="true"/>
              </w:rPr>
              <w:tab/>
            </w:r>
            <w:r>
              <w:rPr>
                <w:rStyle w:val="IndexLink"/>
              </w:rPr>
              <w:t>157</w:t>
            </w:r>
          </w:hyperlink>
        </w:p>
        <w:p>
          <w:pPr>
            <w:pStyle w:val="Contents6"/>
            <w:tabs>
              <w:tab w:val="clear" w:pos="7609"/>
              <w:tab w:val="right" w:pos="9026" w:leader="dot"/>
            </w:tabs>
            <w:rPr/>
          </w:pPr>
          <w:hyperlink w:anchor="__RefHeading___Toc2133502_237004111">
            <w:r>
              <w:rPr>
                <w:webHidden/>
                <w:rStyle w:val="IndexLink"/>
                <w:rtl w:val="true"/>
              </w:rPr>
              <w:t>الإشکالات علی الدلیل الأول</w:t>
            </w:r>
            <w:r>
              <w:rPr>
                <w:rStyle w:val="IndexLink"/>
                <w:rtl w:val="true"/>
              </w:rPr>
              <w:tab/>
            </w:r>
            <w:r>
              <w:rPr>
                <w:rStyle w:val="IndexLink"/>
              </w:rPr>
              <w:t>158</w:t>
            </w:r>
          </w:hyperlink>
        </w:p>
        <w:p>
          <w:pPr>
            <w:pStyle w:val="Contents6"/>
            <w:tabs>
              <w:tab w:val="clear" w:pos="7609"/>
              <w:tab w:val="right" w:pos="9026" w:leader="dot"/>
            </w:tabs>
            <w:rPr/>
          </w:pPr>
          <w:hyperlink w:anchor="__RefHeading___Toc2133504_237004111">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2133506_237004111">
            <w:r>
              <w:rPr>
                <w:webHidden/>
                <w:rStyle w:val="IndexLink"/>
                <w:rtl w:val="true"/>
              </w:rPr>
              <w:t>الإشکال الأول</w:t>
            </w:r>
            <w:r>
              <w:rPr>
                <w:rStyle w:val="IndexLink"/>
                <w:rtl w:val="true"/>
              </w:rPr>
              <w:t xml:space="preserve">: </w:t>
            </w:r>
            <w:r>
              <w:rPr>
                <w:rStyle w:val="IndexLink"/>
                <w:rtl w:val="true"/>
              </w:rPr>
              <w:t>عدم الملازمة بین جواز الإبداء وجواز النظر</w:t>
            </w:r>
            <w:r>
              <w:rPr>
                <w:rStyle w:val="IndexLink"/>
                <w:rtl w:val="true"/>
              </w:rPr>
              <w:tab/>
            </w:r>
            <w:r>
              <w:rPr>
                <w:rStyle w:val="IndexLink"/>
              </w:rPr>
              <w:t>158</w:t>
            </w:r>
          </w:hyperlink>
        </w:p>
        <w:p>
          <w:pPr>
            <w:pStyle w:val="Contents6"/>
            <w:tabs>
              <w:tab w:val="clear" w:pos="7609"/>
              <w:tab w:val="right" w:pos="9026" w:leader="dot"/>
            </w:tabs>
            <w:rPr/>
          </w:pPr>
          <w:hyperlink w:anchor="__RefHeading___Toc2133508_237004111">
            <w:r>
              <w:rPr>
                <w:webHidden/>
                <w:rStyle w:val="IndexLink"/>
                <w:rtl w:val="true"/>
              </w:rPr>
              <w:t>الإشکال الثانی</w:t>
            </w:r>
            <w:r>
              <w:rPr>
                <w:rStyle w:val="IndexLink"/>
                <w:rtl w:val="true"/>
              </w:rPr>
              <w:t xml:space="preserve">: </w:t>
            </w:r>
            <w:r>
              <w:rPr>
                <w:rStyle w:val="IndexLink"/>
                <w:rtl w:val="true"/>
              </w:rPr>
              <w:t>المراد الظهور الاتفاقی</w:t>
            </w:r>
            <w:r>
              <w:rPr>
                <w:rStyle w:val="IndexLink"/>
                <w:rtl w:val="true"/>
              </w:rPr>
              <w:tab/>
            </w:r>
            <w:r>
              <w:rPr>
                <w:rStyle w:val="IndexLink"/>
              </w:rPr>
              <w:t>159</w:t>
            </w:r>
          </w:hyperlink>
        </w:p>
        <w:p>
          <w:pPr>
            <w:pStyle w:val="Contents6"/>
            <w:tabs>
              <w:tab w:val="clear" w:pos="7609"/>
              <w:tab w:val="right" w:pos="9026" w:leader="dot"/>
            </w:tabs>
            <w:rPr/>
          </w:pPr>
          <w:hyperlink w:anchor="__RefHeading___Toc2133510_237004111">
            <w:r>
              <w:rPr>
                <w:webHidden/>
                <w:rStyle w:val="IndexLink"/>
                <w:rtl w:val="true"/>
              </w:rPr>
              <w:t>الإشکال الثالث</w:t>
            </w:r>
            <w:r>
              <w:rPr>
                <w:rStyle w:val="IndexLink"/>
                <w:rtl w:val="true"/>
              </w:rPr>
              <w:t xml:space="preserve">: </w:t>
            </w:r>
            <w:r>
              <w:rPr>
                <w:rStyle w:val="IndexLink"/>
                <w:rtl w:val="true"/>
              </w:rPr>
              <w:t>التخصیص</w:t>
            </w:r>
            <w:r>
              <w:rPr>
                <w:rStyle w:val="IndexLink"/>
                <w:rtl w:val="true"/>
              </w:rPr>
              <w:tab/>
            </w:r>
            <w:r>
              <w:rPr>
                <w:rStyle w:val="IndexLink"/>
              </w:rPr>
              <w:t>161</w:t>
            </w:r>
          </w:hyperlink>
        </w:p>
        <w:p>
          <w:pPr>
            <w:pStyle w:val="Contents6"/>
            <w:tabs>
              <w:tab w:val="clear" w:pos="7609"/>
              <w:tab w:val="right" w:pos="9026" w:leader="dot"/>
            </w:tabs>
            <w:rPr/>
          </w:pPr>
          <w:hyperlink w:anchor="__RefHeading___Toc2133512_237004111">
            <w:r>
              <w:rPr>
                <w:webHidden/>
                <w:rStyle w:val="IndexLink"/>
                <w:rtl w:val="true"/>
              </w:rPr>
              <w:t>الإشکال الرابع</w:t>
            </w:r>
            <w:r>
              <w:rPr>
                <w:rStyle w:val="IndexLink"/>
                <w:rtl w:val="true"/>
              </w:rPr>
              <w:t xml:space="preserve">: </w:t>
            </w:r>
            <w:r>
              <w:rPr>
                <w:rStyle w:val="IndexLink"/>
                <w:rtl w:val="true"/>
              </w:rPr>
              <w:t>اختلاف الروایات المفسرة للزینة</w:t>
            </w:r>
            <w:r>
              <w:rPr>
                <w:rStyle w:val="IndexLink"/>
                <w:rtl w:val="true"/>
              </w:rPr>
              <w:tab/>
            </w:r>
            <w:r>
              <w:rPr>
                <w:rStyle w:val="IndexLink"/>
              </w:rPr>
              <w:t>163</w:t>
            </w:r>
          </w:hyperlink>
        </w:p>
        <w:p>
          <w:pPr>
            <w:pStyle w:val="Contents6"/>
            <w:tabs>
              <w:tab w:val="clear" w:pos="7609"/>
              <w:tab w:val="right" w:pos="9026" w:leader="dot"/>
            </w:tabs>
            <w:rPr/>
          </w:pPr>
          <w:hyperlink w:anchor="__RefHeading___Toc2133514_237004111">
            <w:r>
              <w:rPr>
                <w:webHidden/>
                <w:rStyle w:val="IndexLink"/>
                <w:rtl w:val="true"/>
              </w:rPr>
              <w:t>الإشکال الخامس</w:t>
            </w:r>
            <w:r>
              <w:rPr>
                <w:rStyle w:val="IndexLink"/>
                <w:rtl w:val="true"/>
              </w:rPr>
              <w:t xml:space="preserve">: </w:t>
            </w:r>
            <w:r>
              <w:rPr>
                <w:rStyle w:val="IndexLink"/>
                <w:rtl w:val="true"/>
              </w:rPr>
              <w:t>المراد بالزینة الثیاب</w:t>
            </w:r>
            <w:r>
              <w:rPr>
                <w:rStyle w:val="IndexLink"/>
                <w:rtl w:val="true"/>
              </w:rPr>
              <w:tab/>
            </w:r>
            <w:r>
              <w:rPr>
                <w:rStyle w:val="IndexLink"/>
              </w:rPr>
              <w:t>165</w:t>
            </w:r>
          </w:hyperlink>
        </w:p>
        <w:p>
          <w:pPr>
            <w:pStyle w:val="Contents6"/>
            <w:tabs>
              <w:tab w:val="clear" w:pos="7609"/>
              <w:tab w:val="right" w:pos="9026" w:leader="dot"/>
            </w:tabs>
            <w:rPr/>
          </w:pPr>
          <w:hyperlink w:anchor="__RefHeading___Toc2133516_237004111">
            <w:r>
              <w:rPr>
                <w:webHidden/>
                <w:rStyle w:val="IndexLink"/>
                <w:rtl w:val="true"/>
              </w:rPr>
              <w:t>الدلیل الثانی</w:t>
            </w:r>
            <w:r>
              <w:rPr>
                <w:rStyle w:val="IndexLink"/>
                <w:rtl w:val="true"/>
              </w:rPr>
              <w:t xml:space="preserve">: </w:t>
            </w:r>
            <w:r>
              <w:rPr>
                <w:rStyle w:val="IndexLink"/>
                <w:rtl w:val="true"/>
              </w:rPr>
              <w:t>قوله تعالی</w:t>
            </w:r>
            <w:r>
              <w:rPr>
                <w:rStyle w:val="IndexLink"/>
                <w:rtl w:val="true"/>
              </w:rPr>
              <w:t>: {</w:t>
            </w:r>
            <w:r>
              <w:rPr>
                <w:rStyle w:val="IndexLink"/>
                <w:rtl w:val="true"/>
              </w:rPr>
              <w:t>وَلْیَضْرِبْنَ بِخُمُرِهِنَّ عَلَی جُیُوبِهِنَّ</w:t>
            </w:r>
            <w:r>
              <w:rPr>
                <w:rStyle w:val="IndexLink"/>
                <w:rtl w:val="true"/>
              </w:rPr>
              <w:t>}</w:t>
              <w:tab/>
            </w:r>
            <w:r>
              <w:rPr>
                <w:rStyle w:val="IndexLink"/>
              </w:rPr>
              <w:t>168</w:t>
            </w:r>
          </w:hyperlink>
        </w:p>
        <w:p>
          <w:pPr>
            <w:pStyle w:val="Contents6"/>
            <w:tabs>
              <w:tab w:val="clear" w:pos="7609"/>
              <w:tab w:val="right" w:pos="9026" w:leader="dot"/>
            </w:tabs>
            <w:rPr/>
          </w:pPr>
          <w:hyperlink w:anchor="__RefHeading___Toc2133518_237004111">
            <w:r>
              <w:rPr>
                <w:webHidden/>
                <w:rStyle w:val="IndexLink"/>
                <w:rtl w:val="true"/>
              </w:rPr>
              <w:t>الدلیل الثالث</w:t>
            </w:r>
            <w:r>
              <w:rPr>
                <w:rStyle w:val="IndexLink"/>
                <w:rtl w:val="true"/>
              </w:rPr>
              <w:t xml:space="preserve">: </w:t>
            </w:r>
            <w:r>
              <w:rPr>
                <w:rStyle w:val="IndexLink"/>
                <w:rtl w:val="true"/>
              </w:rPr>
              <w:t>روایة زرارة</w:t>
            </w:r>
            <w:r>
              <w:rPr>
                <w:rStyle w:val="IndexLink"/>
                <w:rtl w:val="true"/>
              </w:rPr>
              <w:tab/>
            </w:r>
            <w:r>
              <w:rPr>
                <w:rStyle w:val="IndexLink"/>
              </w:rPr>
              <w:t>169</w:t>
            </w:r>
          </w:hyperlink>
        </w:p>
        <w:p>
          <w:pPr>
            <w:pStyle w:val="Contents6"/>
            <w:tabs>
              <w:tab w:val="clear" w:pos="7609"/>
              <w:tab w:val="right" w:pos="9026" w:leader="dot"/>
            </w:tabs>
            <w:rPr/>
          </w:pPr>
          <w:hyperlink w:anchor="__RefHeading___Toc2133520_237004111">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2133522_237004111">
            <w:r>
              <w:rPr>
                <w:webHidden/>
                <w:rStyle w:val="IndexLink"/>
                <w:rtl w:val="true"/>
              </w:rPr>
              <w:t>الإشکالات علی الدلیل الثالث</w:t>
            </w:r>
            <w:r>
              <w:rPr>
                <w:rStyle w:val="IndexLink"/>
                <w:rtl w:val="true"/>
              </w:rPr>
              <w:tab/>
            </w:r>
            <w:r>
              <w:rPr>
                <w:rStyle w:val="IndexLink"/>
              </w:rPr>
              <w:t>170</w:t>
            </w:r>
          </w:hyperlink>
        </w:p>
        <w:p>
          <w:pPr>
            <w:pStyle w:val="Contents6"/>
            <w:tabs>
              <w:tab w:val="clear" w:pos="7609"/>
              <w:tab w:val="right" w:pos="9026" w:leader="dot"/>
            </w:tabs>
            <w:rPr/>
          </w:pPr>
          <w:hyperlink w:anchor="__RefHeading___Toc2133524_237004111">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2133526_237004111">
            <w:r>
              <w:rPr>
                <w:webHidden/>
                <w:rStyle w:val="IndexLink"/>
                <w:rtl w:val="true"/>
              </w:rPr>
              <w:t>الإشکال الأول</w:t>
            </w:r>
            <w:r>
              <w:rPr>
                <w:rStyle w:val="IndexLink"/>
                <w:rtl w:val="true"/>
              </w:rPr>
              <w:t xml:space="preserve">: </w:t>
            </w:r>
            <w:r>
              <w:rPr>
                <w:rStyle w:val="IndexLink"/>
                <w:rtl w:val="true"/>
              </w:rPr>
              <w:t>الإشکال السندی</w:t>
            </w:r>
            <w:r>
              <w:rPr>
                <w:rStyle w:val="IndexLink"/>
                <w:rtl w:val="true"/>
              </w:rPr>
              <w:tab/>
            </w:r>
            <w:r>
              <w:rPr>
                <w:rStyle w:val="IndexLink"/>
              </w:rPr>
              <w:t>170</w:t>
            </w:r>
          </w:hyperlink>
        </w:p>
        <w:p>
          <w:pPr>
            <w:pStyle w:val="Contents6"/>
            <w:tabs>
              <w:tab w:val="clear" w:pos="7609"/>
              <w:tab w:val="right" w:pos="9026" w:leader="dot"/>
            </w:tabs>
            <w:rPr/>
          </w:pPr>
          <w:hyperlink w:anchor="__RefHeading___Toc2133528_237004111">
            <w:r>
              <w:rPr>
                <w:webHidden/>
                <w:rStyle w:val="IndexLink"/>
                <w:rtl w:val="true"/>
              </w:rPr>
              <w:t>الإشکال الثانی</w:t>
            </w:r>
            <w:r>
              <w:rPr>
                <w:rStyle w:val="IndexLink"/>
                <w:rtl w:val="true"/>
              </w:rPr>
              <w:t xml:space="preserve">: </w:t>
            </w:r>
            <w:r>
              <w:rPr>
                <w:rStyle w:val="IndexLink"/>
                <w:rtl w:val="true"/>
              </w:rPr>
              <w:t>اختلاف الروایات المفسرة للزینة</w:t>
            </w:r>
            <w:r>
              <w:rPr>
                <w:rStyle w:val="IndexLink"/>
                <w:rtl w:val="true"/>
              </w:rPr>
              <w:tab/>
            </w:r>
            <w:r>
              <w:rPr>
                <w:rStyle w:val="IndexLink"/>
              </w:rPr>
              <w:t>173</w:t>
            </w:r>
          </w:hyperlink>
        </w:p>
        <w:p>
          <w:pPr>
            <w:pStyle w:val="Contents6"/>
            <w:tabs>
              <w:tab w:val="clear" w:pos="7609"/>
              <w:tab w:val="right" w:pos="9026" w:leader="dot"/>
            </w:tabs>
            <w:rPr/>
          </w:pPr>
          <w:hyperlink w:anchor="__RefHeading___Toc2133530_237004111">
            <w:r>
              <w:rPr>
                <w:webHidden/>
                <w:rStyle w:val="IndexLink"/>
                <w:rtl w:val="true"/>
              </w:rPr>
              <w:t>الإشکال الثالث</w:t>
            </w:r>
            <w:r>
              <w:rPr>
                <w:rStyle w:val="IndexLink"/>
                <w:rtl w:val="true"/>
              </w:rPr>
              <w:t xml:space="preserve">: </w:t>
            </w:r>
            <w:r>
              <w:rPr>
                <w:rStyle w:val="IndexLink"/>
                <w:rtl w:val="true"/>
              </w:rPr>
              <w:t>إنه لا ملازمة بین جواز الإبداء وجواز النظر</w:t>
            </w:r>
            <w:r>
              <w:rPr>
                <w:rStyle w:val="IndexLink"/>
                <w:rtl w:val="true"/>
              </w:rPr>
              <w:tab/>
            </w:r>
            <w:r>
              <w:rPr>
                <w:rStyle w:val="IndexLink"/>
              </w:rPr>
              <w:t>173</w:t>
            </w:r>
          </w:hyperlink>
        </w:p>
        <w:p>
          <w:pPr>
            <w:pStyle w:val="Contents6"/>
            <w:tabs>
              <w:tab w:val="clear" w:pos="7609"/>
              <w:tab w:val="right" w:pos="9026" w:leader="dot"/>
            </w:tabs>
            <w:rPr/>
          </w:pPr>
          <w:hyperlink w:anchor="__RefHeading___Toc2133532_237004111">
            <w:r>
              <w:rPr>
                <w:webHidden/>
                <w:rStyle w:val="IndexLink"/>
                <w:rtl w:val="true"/>
              </w:rPr>
              <w:t>الإشکال الرابع</w:t>
            </w:r>
            <w:r>
              <w:rPr>
                <w:rStyle w:val="IndexLink"/>
                <w:rtl w:val="true"/>
              </w:rPr>
              <w:t xml:space="preserve">: </w:t>
            </w:r>
            <w:r>
              <w:rPr>
                <w:rStyle w:val="IndexLink"/>
                <w:rtl w:val="true"/>
              </w:rPr>
              <w:t>تقیید جملة إلا ما ظهر بالبعولة</w:t>
            </w:r>
            <w:r>
              <w:rPr>
                <w:rStyle w:val="IndexLink"/>
                <w:rtl w:val="true"/>
              </w:rPr>
              <w:tab/>
            </w:r>
            <w:r>
              <w:rPr>
                <w:rStyle w:val="IndexLink"/>
              </w:rPr>
              <w:t>173</w:t>
            </w:r>
          </w:hyperlink>
        </w:p>
        <w:p>
          <w:pPr>
            <w:pStyle w:val="Contents6"/>
            <w:tabs>
              <w:tab w:val="clear" w:pos="7609"/>
              <w:tab w:val="right" w:pos="9026" w:leader="dot"/>
            </w:tabs>
            <w:rPr/>
          </w:pPr>
          <w:hyperlink w:anchor="__RefHeading___Toc2133534_237004111">
            <w:r>
              <w:rPr>
                <w:webHidden/>
                <w:rStyle w:val="IndexLink"/>
                <w:rtl w:val="true"/>
              </w:rPr>
              <w:t>الإشکال الخامس والسادس</w:t>
            </w:r>
            <w:r>
              <w:rPr>
                <w:rStyle w:val="IndexLink"/>
                <w:rtl w:val="true"/>
              </w:rPr>
              <w:t xml:space="preserve">: </w:t>
            </w:r>
            <w:r>
              <w:rPr>
                <w:rStyle w:val="IndexLink"/>
                <w:rtl w:val="true"/>
              </w:rPr>
              <w:t>ما فی المهذب</w:t>
            </w:r>
            <w:r>
              <w:rPr>
                <w:rStyle w:val="IndexLink"/>
                <w:rtl w:val="true"/>
              </w:rPr>
              <w:tab/>
            </w:r>
            <w:r>
              <w:rPr>
                <w:rStyle w:val="IndexLink"/>
              </w:rPr>
              <w:t>174</w:t>
            </w:r>
          </w:hyperlink>
        </w:p>
        <w:p>
          <w:pPr>
            <w:pStyle w:val="Contents6"/>
            <w:tabs>
              <w:tab w:val="clear" w:pos="7609"/>
              <w:tab w:val="right" w:pos="9026" w:leader="dot"/>
            </w:tabs>
            <w:rPr/>
          </w:pPr>
          <w:hyperlink w:anchor="__RefHeading___Toc2133536_237004111">
            <w:r>
              <w:rPr>
                <w:webHidden/>
                <w:rStyle w:val="IndexLink"/>
                <w:rtl w:val="true"/>
              </w:rPr>
              <w:t>الإشکال السابع</w:t>
            </w:r>
            <w:r>
              <w:rPr>
                <w:rStyle w:val="IndexLink"/>
                <w:rtl w:val="true"/>
              </w:rPr>
              <w:t xml:space="preserve">: </w:t>
            </w:r>
            <w:r>
              <w:rPr>
                <w:rStyle w:val="IndexLink"/>
                <w:rtl w:val="true"/>
              </w:rPr>
              <w:t>النظر إلی الکحل والخاتم أعم من النظر إلی الوجه والکفین</w:t>
            </w:r>
            <w:r>
              <w:rPr>
                <w:rStyle w:val="IndexLink"/>
                <w:rtl w:val="true"/>
              </w:rPr>
              <w:tab/>
            </w:r>
            <w:r>
              <w:rPr>
                <w:rStyle w:val="IndexLink"/>
              </w:rPr>
              <w:t>176</w:t>
            </w:r>
          </w:hyperlink>
        </w:p>
        <w:p>
          <w:pPr>
            <w:pStyle w:val="Contents6"/>
            <w:tabs>
              <w:tab w:val="clear" w:pos="7609"/>
              <w:tab w:val="right" w:pos="9026" w:leader="dot"/>
            </w:tabs>
            <w:rPr/>
          </w:pPr>
          <w:hyperlink w:anchor="__RefHeading___Toc2133538_237004111">
            <w:r>
              <w:rPr>
                <w:webHidden/>
                <w:rStyle w:val="IndexLink"/>
                <w:rtl w:val="true"/>
              </w:rPr>
              <w:t>الدلیل الرابع</w:t>
            </w:r>
            <w:r>
              <w:rPr>
                <w:rStyle w:val="IndexLink"/>
                <w:rtl w:val="true"/>
              </w:rPr>
              <w:t xml:space="preserve">: </w:t>
            </w:r>
            <w:r>
              <w:rPr>
                <w:rStyle w:val="IndexLink"/>
                <w:rtl w:val="true"/>
              </w:rPr>
              <w:t>روایة أبی بصیر</w:t>
            </w:r>
            <w:r>
              <w:rPr>
                <w:rStyle w:val="IndexLink"/>
                <w:rtl w:val="true"/>
              </w:rPr>
              <w:tab/>
            </w:r>
            <w:r>
              <w:rPr>
                <w:rStyle w:val="IndexLink"/>
              </w:rPr>
              <w:t>177</w:t>
            </w:r>
          </w:hyperlink>
        </w:p>
        <w:p>
          <w:pPr>
            <w:pStyle w:val="Contents6"/>
            <w:tabs>
              <w:tab w:val="clear" w:pos="7609"/>
              <w:tab w:val="right" w:pos="9026" w:leader="dot"/>
            </w:tabs>
            <w:rPr/>
          </w:pPr>
          <w:hyperlink w:anchor="__RefHeading___Toc2133540_237004111">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2133542_237004111">
            <w:r>
              <w:rPr>
                <w:webHidden/>
                <w:rStyle w:val="IndexLink"/>
                <w:rtl w:val="true"/>
              </w:rPr>
              <w:t>الإشکالات علی الدلیل الرابع</w:t>
            </w:r>
            <w:r>
              <w:rPr>
                <w:rStyle w:val="IndexLink"/>
                <w:rtl w:val="true"/>
              </w:rPr>
              <w:tab/>
            </w:r>
            <w:r>
              <w:rPr>
                <w:rStyle w:val="IndexLink"/>
              </w:rPr>
              <w:t>177</w:t>
            </w:r>
          </w:hyperlink>
        </w:p>
        <w:p>
          <w:pPr>
            <w:pStyle w:val="Contents6"/>
            <w:tabs>
              <w:tab w:val="clear" w:pos="7609"/>
              <w:tab w:val="right" w:pos="9026" w:leader="dot"/>
            </w:tabs>
            <w:rPr/>
          </w:pPr>
          <w:hyperlink w:anchor="__RefHeading___Toc2133544_237004111">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2133546_237004111">
            <w:r>
              <w:rPr>
                <w:webHidden/>
                <w:rStyle w:val="IndexLink"/>
                <w:rtl w:val="true"/>
              </w:rPr>
              <w:t>الإشکال الأول</w:t>
            </w:r>
            <w:r>
              <w:rPr>
                <w:rStyle w:val="IndexLink"/>
                <w:rtl w:val="true"/>
              </w:rPr>
              <w:t xml:space="preserve">: </w:t>
            </w:r>
            <w:r>
              <w:rPr>
                <w:rStyle w:val="IndexLink"/>
                <w:rtl w:val="true"/>
              </w:rPr>
              <w:t>جهالة سعدان بن مسلم</w:t>
            </w:r>
            <w:r>
              <w:rPr>
                <w:rStyle w:val="IndexLink"/>
                <w:rtl w:val="true"/>
              </w:rPr>
              <w:tab/>
            </w:r>
            <w:r>
              <w:rPr>
                <w:rStyle w:val="IndexLink"/>
              </w:rPr>
              <w:t>178</w:t>
            </w:r>
          </w:hyperlink>
        </w:p>
        <w:p>
          <w:pPr>
            <w:pStyle w:val="Contents6"/>
            <w:tabs>
              <w:tab w:val="clear" w:pos="7609"/>
              <w:tab w:val="right" w:pos="9026" w:leader="dot"/>
            </w:tabs>
            <w:rPr/>
          </w:pPr>
          <w:hyperlink w:anchor="__RefHeading___Toc2133548_237004111">
            <w:r>
              <w:rPr>
                <w:webHidden/>
                <w:rStyle w:val="IndexLink"/>
                <w:rtl w:val="true"/>
              </w:rPr>
              <w:t>الإشکال الثانی</w:t>
            </w:r>
            <w:r>
              <w:rPr>
                <w:rStyle w:val="IndexLink"/>
                <w:rtl w:val="true"/>
              </w:rPr>
              <w:t xml:space="preserve">: </w:t>
            </w:r>
            <w:r>
              <w:rPr>
                <w:rStyle w:val="IndexLink"/>
                <w:rtl w:val="true"/>
              </w:rPr>
              <w:t>الدلیل مختص بالید فلا یشمل الوجه</w:t>
            </w:r>
            <w:r>
              <w:rPr>
                <w:rStyle w:val="IndexLink"/>
                <w:rtl w:val="true"/>
              </w:rPr>
              <w:tab/>
            </w:r>
            <w:r>
              <w:rPr>
                <w:rStyle w:val="IndexLink"/>
              </w:rPr>
              <w:t>180</w:t>
            </w:r>
          </w:hyperlink>
        </w:p>
        <w:p>
          <w:pPr>
            <w:pStyle w:val="Contents6"/>
            <w:tabs>
              <w:tab w:val="clear" w:pos="7609"/>
              <w:tab w:val="right" w:pos="9026" w:leader="dot"/>
            </w:tabs>
            <w:rPr/>
          </w:pPr>
          <w:hyperlink w:anchor="__RefHeading___Toc2133550_237004111">
            <w:r>
              <w:rPr>
                <w:webHidden/>
                <w:rStyle w:val="IndexLink"/>
                <w:rtl w:val="true"/>
              </w:rPr>
              <w:t>الإشکال الثالث</w:t>
            </w:r>
            <w:r>
              <w:rPr>
                <w:rStyle w:val="IndexLink"/>
                <w:rtl w:val="true"/>
              </w:rPr>
              <w:t xml:space="preserve">: </w:t>
            </w:r>
            <w:r>
              <w:rPr>
                <w:rStyle w:val="IndexLink"/>
                <w:rtl w:val="true"/>
              </w:rPr>
              <w:t>إنه مخالف للإجماع</w:t>
            </w:r>
            <w:r>
              <w:rPr>
                <w:rStyle w:val="IndexLink"/>
                <w:rtl w:val="true"/>
              </w:rPr>
              <w:tab/>
            </w:r>
            <w:r>
              <w:rPr>
                <w:rStyle w:val="IndexLink"/>
              </w:rPr>
              <w:t>180</w:t>
            </w:r>
          </w:hyperlink>
        </w:p>
        <w:p>
          <w:pPr>
            <w:pStyle w:val="Contents6"/>
            <w:tabs>
              <w:tab w:val="clear" w:pos="7609"/>
              <w:tab w:val="right" w:pos="9026" w:leader="dot"/>
            </w:tabs>
            <w:rPr/>
          </w:pPr>
          <w:hyperlink w:anchor="__RefHeading___Toc2133552_237004111">
            <w:r>
              <w:rPr>
                <w:webHidden/>
                <w:rStyle w:val="IndexLink"/>
                <w:rtl w:val="true"/>
              </w:rPr>
              <w:t>الدلیل الخامس</w:t>
            </w:r>
            <w:r>
              <w:rPr>
                <w:rStyle w:val="IndexLink"/>
                <w:rtl w:val="true"/>
              </w:rPr>
              <w:t xml:space="preserve">: </w:t>
            </w:r>
            <w:r>
              <w:rPr>
                <w:rStyle w:val="IndexLink"/>
                <w:rtl w:val="true"/>
              </w:rPr>
              <w:t>روایة مروک بن عبید</w:t>
            </w:r>
            <w:r>
              <w:rPr>
                <w:rStyle w:val="IndexLink"/>
                <w:rtl w:val="true"/>
              </w:rPr>
              <w:tab/>
            </w:r>
            <w:r>
              <w:rPr>
                <w:rStyle w:val="IndexLink"/>
              </w:rPr>
              <w:t>181</w:t>
            </w:r>
          </w:hyperlink>
        </w:p>
        <w:p>
          <w:pPr>
            <w:pStyle w:val="Contents6"/>
            <w:tabs>
              <w:tab w:val="clear" w:pos="7609"/>
              <w:tab w:val="right" w:pos="9026" w:leader="dot"/>
            </w:tabs>
            <w:rPr/>
          </w:pPr>
          <w:hyperlink w:anchor="__RefHeading___Toc2133554_237004111">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2133556_237004111">
            <w:r>
              <w:rPr>
                <w:webHidden/>
                <w:rStyle w:val="IndexLink"/>
                <w:rtl w:val="true"/>
              </w:rPr>
              <w:t>الإشکالات علی الدلیل الخامس</w:t>
            </w:r>
            <w:r>
              <w:rPr>
                <w:rStyle w:val="IndexLink"/>
                <w:rtl w:val="true"/>
              </w:rPr>
              <w:tab/>
            </w:r>
            <w:r>
              <w:rPr>
                <w:rStyle w:val="IndexLink"/>
              </w:rPr>
              <w:t>181</w:t>
            </w:r>
          </w:hyperlink>
        </w:p>
        <w:p>
          <w:pPr>
            <w:pStyle w:val="Contents6"/>
            <w:tabs>
              <w:tab w:val="clear" w:pos="7609"/>
              <w:tab w:val="right" w:pos="9026" w:leader="dot"/>
            </w:tabs>
            <w:rPr/>
          </w:pPr>
          <w:hyperlink w:anchor="__RefHeading___Toc2133558_237004111">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2133560_237004111">
            <w:r>
              <w:rPr>
                <w:webHidden/>
                <w:rStyle w:val="IndexLink"/>
                <w:rtl w:val="true"/>
              </w:rPr>
              <w:t>الإشکال الأول</w:t>
            </w:r>
            <w:r>
              <w:rPr>
                <w:rStyle w:val="IndexLink"/>
                <w:rtl w:val="true"/>
              </w:rPr>
              <w:t xml:space="preserve">: </w:t>
            </w:r>
            <w:r>
              <w:rPr>
                <w:rStyle w:val="IndexLink"/>
                <w:rtl w:val="true"/>
              </w:rPr>
              <w:t>الروایة مرسلة</w:t>
            </w:r>
            <w:r>
              <w:rPr>
                <w:rStyle w:val="IndexLink"/>
                <w:rtl w:val="true"/>
              </w:rPr>
              <w:tab/>
            </w:r>
            <w:r>
              <w:rPr>
                <w:rStyle w:val="IndexLink"/>
              </w:rPr>
              <w:t>182</w:t>
            </w:r>
          </w:hyperlink>
        </w:p>
        <w:p>
          <w:pPr>
            <w:pStyle w:val="Contents6"/>
            <w:tabs>
              <w:tab w:val="clear" w:pos="7609"/>
              <w:tab w:val="right" w:pos="9026" w:leader="dot"/>
            </w:tabs>
            <w:rPr/>
          </w:pPr>
          <w:hyperlink w:anchor="__RefHeading___Toc2133562_237004111">
            <w:r>
              <w:rPr>
                <w:webHidden/>
                <w:rStyle w:val="IndexLink"/>
                <w:rtl w:val="true"/>
              </w:rPr>
              <w:t>الإشکال الثانی</w:t>
            </w:r>
            <w:r>
              <w:rPr>
                <w:rStyle w:val="IndexLink"/>
                <w:rtl w:val="true"/>
              </w:rPr>
              <w:t xml:space="preserve">: </w:t>
            </w:r>
            <w:r>
              <w:rPr>
                <w:rStyle w:val="IndexLink"/>
                <w:rtl w:val="true"/>
              </w:rPr>
              <w:t>اشتمال الروایة علی جواز النظر إلی القدمین</w:t>
            </w:r>
            <w:r>
              <w:rPr>
                <w:rStyle w:val="IndexLink"/>
                <w:rtl w:val="true"/>
              </w:rPr>
              <w:tab/>
            </w:r>
            <w:r>
              <w:rPr>
                <w:rStyle w:val="IndexLink"/>
              </w:rPr>
              <w:t>182</w:t>
            </w:r>
          </w:hyperlink>
        </w:p>
        <w:p>
          <w:pPr>
            <w:pStyle w:val="Contents6"/>
            <w:tabs>
              <w:tab w:val="clear" w:pos="7609"/>
              <w:tab w:val="right" w:pos="9026" w:leader="dot"/>
            </w:tabs>
            <w:rPr/>
          </w:pPr>
          <w:hyperlink w:anchor="__RefHeading___Toc2133564_237004111">
            <w:r>
              <w:rPr>
                <w:webHidden/>
                <w:rStyle w:val="IndexLink"/>
                <w:rtl w:val="true"/>
              </w:rPr>
              <w:t>الإشکال الثالث</w:t>
            </w:r>
            <w:r>
              <w:rPr>
                <w:rStyle w:val="IndexLink"/>
                <w:rtl w:val="true"/>
              </w:rPr>
              <w:t xml:space="preserve">: </w:t>
            </w:r>
            <w:r>
              <w:rPr>
                <w:rStyle w:val="IndexLink"/>
                <w:rtl w:val="true"/>
              </w:rPr>
              <w:t>الروایة محتملة للنظر الاتفاقی</w:t>
            </w:r>
            <w:r>
              <w:rPr>
                <w:rStyle w:val="IndexLink"/>
                <w:rtl w:val="true"/>
              </w:rPr>
              <w:tab/>
            </w:r>
            <w:r>
              <w:rPr>
                <w:rStyle w:val="IndexLink"/>
              </w:rPr>
              <w:t>183</w:t>
            </w:r>
          </w:hyperlink>
        </w:p>
        <w:p>
          <w:pPr>
            <w:pStyle w:val="Contents6"/>
            <w:tabs>
              <w:tab w:val="clear" w:pos="7609"/>
              <w:tab w:val="right" w:pos="9026" w:leader="dot"/>
            </w:tabs>
            <w:rPr/>
          </w:pPr>
          <w:hyperlink w:anchor="__RefHeading___Toc2133566_237004111">
            <w:r>
              <w:rPr>
                <w:webHidden/>
                <w:rStyle w:val="IndexLink"/>
                <w:rtl w:val="true"/>
              </w:rPr>
              <w:t>الإشکال الرابع</w:t>
            </w:r>
            <w:r>
              <w:rPr>
                <w:rStyle w:val="IndexLink"/>
                <w:rtl w:val="true"/>
              </w:rPr>
              <w:t xml:space="preserve">: </w:t>
            </w:r>
            <w:r>
              <w:rPr>
                <w:rStyle w:val="IndexLink"/>
                <w:rtl w:val="true"/>
              </w:rPr>
              <w:t>الروایة لبیان الحلیة فی الجملة</w:t>
            </w:r>
            <w:r>
              <w:rPr>
                <w:rStyle w:val="IndexLink"/>
                <w:rtl w:val="true"/>
              </w:rPr>
              <w:tab/>
            </w:r>
            <w:r>
              <w:rPr>
                <w:rStyle w:val="IndexLink"/>
              </w:rPr>
              <w:t>184</w:t>
            </w:r>
          </w:hyperlink>
        </w:p>
        <w:p>
          <w:pPr>
            <w:pStyle w:val="Contents6"/>
            <w:tabs>
              <w:tab w:val="clear" w:pos="7609"/>
              <w:tab w:val="right" w:pos="9026" w:leader="dot"/>
            </w:tabs>
            <w:rPr/>
          </w:pPr>
          <w:hyperlink w:anchor="__RefHeading___Toc2133568_237004111">
            <w:r>
              <w:rPr>
                <w:webHidden/>
                <w:rStyle w:val="IndexLink"/>
                <w:rtl w:val="true"/>
              </w:rPr>
              <w:t>الدلیل السادس</w:t>
            </w:r>
            <w:r>
              <w:rPr>
                <w:rStyle w:val="IndexLink"/>
                <w:rtl w:val="true"/>
              </w:rPr>
              <w:t xml:space="preserve">: </w:t>
            </w:r>
            <w:r>
              <w:rPr>
                <w:rStyle w:val="IndexLink"/>
                <w:rtl w:val="true"/>
              </w:rPr>
              <w:t>روایة مسعدة بن زیاد</w:t>
            </w:r>
            <w:r>
              <w:rPr>
                <w:rStyle w:val="IndexLink"/>
                <w:rtl w:val="true"/>
              </w:rPr>
              <w:tab/>
            </w:r>
            <w:r>
              <w:rPr>
                <w:rStyle w:val="IndexLink"/>
              </w:rPr>
              <w:t>184</w:t>
            </w:r>
          </w:hyperlink>
        </w:p>
        <w:p>
          <w:pPr>
            <w:pStyle w:val="Contents6"/>
            <w:tabs>
              <w:tab w:val="clear" w:pos="7609"/>
              <w:tab w:val="right" w:pos="9026" w:leader="dot"/>
            </w:tabs>
            <w:rPr/>
          </w:pPr>
          <w:hyperlink w:anchor="__RefHeading___Toc2133570_237004111">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2133572_237004111">
            <w:r>
              <w:rPr>
                <w:webHidden/>
                <w:rStyle w:val="IndexLink"/>
                <w:rtl w:val="true"/>
              </w:rPr>
              <w:t>الإشکالات علی الدلیل السادس</w:t>
            </w:r>
            <w:r>
              <w:rPr>
                <w:rStyle w:val="IndexLink"/>
                <w:rtl w:val="true"/>
              </w:rPr>
              <w:tab/>
            </w:r>
            <w:r>
              <w:rPr>
                <w:rStyle w:val="IndexLink"/>
              </w:rPr>
              <w:t>184</w:t>
            </w:r>
          </w:hyperlink>
        </w:p>
        <w:p>
          <w:pPr>
            <w:pStyle w:val="Contents6"/>
            <w:tabs>
              <w:tab w:val="clear" w:pos="7609"/>
              <w:tab w:val="right" w:pos="9026" w:leader="dot"/>
            </w:tabs>
            <w:rPr/>
          </w:pPr>
          <w:hyperlink w:anchor="__RefHeading___Toc2133574_237004111">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2133576_237004111">
            <w:r>
              <w:rPr>
                <w:webHidden/>
                <w:rStyle w:val="IndexLink"/>
                <w:rtl w:val="true"/>
              </w:rPr>
              <w:t>الإشکال الأول</w:t>
            </w:r>
            <w:r>
              <w:rPr>
                <w:rStyle w:val="IndexLink"/>
                <w:rtl w:val="true"/>
              </w:rPr>
              <w:t xml:space="preserve">: </w:t>
            </w:r>
            <w:r>
              <w:rPr>
                <w:rStyle w:val="IndexLink"/>
                <w:rtl w:val="true"/>
              </w:rPr>
              <w:t>الإشکال السندی</w:t>
            </w:r>
            <w:r>
              <w:rPr>
                <w:rStyle w:val="IndexLink"/>
                <w:rtl w:val="true"/>
              </w:rPr>
              <w:tab/>
            </w:r>
            <w:r>
              <w:rPr>
                <w:rStyle w:val="IndexLink"/>
              </w:rPr>
              <w:t>185</w:t>
            </w:r>
          </w:hyperlink>
        </w:p>
        <w:p>
          <w:pPr>
            <w:pStyle w:val="Contents6"/>
            <w:tabs>
              <w:tab w:val="clear" w:pos="7609"/>
              <w:tab w:val="right" w:pos="9026" w:leader="dot"/>
            </w:tabs>
            <w:rPr/>
          </w:pPr>
          <w:hyperlink w:anchor="__RefHeading___Toc2133578_237004111">
            <w:r>
              <w:rPr>
                <w:webHidden/>
                <w:rStyle w:val="IndexLink"/>
                <w:rtl w:val="true"/>
              </w:rPr>
              <w:t>الإشکال الثانی</w:t>
            </w:r>
            <w:r>
              <w:rPr>
                <w:rStyle w:val="IndexLink"/>
                <w:rtl w:val="true"/>
              </w:rPr>
              <w:t xml:space="preserve">: </w:t>
            </w:r>
            <w:r>
              <w:rPr>
                <w:rStyle w:val="IndexLink"/>
                <w:rtl w:val="true"/>
              </w:rPr>
              <w:t>الروایة مضطربة المتن</w:t>
            </w:r>
            <w:r>
              <w:rPr>
                <w:rStyle w:val="IndexLink"/>
                <w:rtl w:val="true"/>
              </w:rPr>
              <w:tab/>
            </w:r>
            <w:r>
              <w:rPr>
                <w:rStyle w:val="IndexLink"/>
              </w:rPr>
              <w:t>186</w:t>
            </w:r>
          </w:hyperlink>
        </w:p>
        <w:p>
          <w:pPr>
            <w:pStyle w:val="Contents6"/>
            <w:tabs>
              <w:tab w:val="clear" w:pos="7609"/>
              <w:tab w:val="right" w:pos="9026" w:leader="dot"/>
            </w:tabs>
            <w:rPr/>
          </w:pPr>
          <w:hyperlink w:anchor="__RefHeading___Toc2133580_237004111">
            <w:r>
              <w:rPr>
                <w:webHidden/>
                <w:rStyle w:val="IndexLink"/>
                <w:rtl w:val="true"/>
              </w:rPr>
              <w:t>الإشکال الثالث</w:t>
            </w:r>
            <w:r>
              <w:rPr>
                <w:rStyle w:val="IndexLink"/>
                <w:rtl w:val="true"/>
              </w:rPr>
              <w:t xml:space="preserve">: </w:t>
            </w:r>
            <w:r>
              <w:rPr>
                <w:rStyle w:val="IndexLink"/>
                <w:rtl w:val="true"/>
              </w:rPr>
              <w:t>احتمال کون السؤال عما تظهره المرأة للمحارم</w:t>
            </w:r>
            <w:r>
              <w:rPr>
                <w:rStyle w:val="IndexLink"/>
                <w:rtl w:val="true"/>
              </w:rPr>
              <w:tab/>
            </w:r>
            <w:r>
              <w:rPr>
                <w:rStyle w:val="IndexLink"/>
              </w:rPr>
              <w:t>190</w:t>
            </w:r>
          </w:hyperlink>
        </w:p>
        <w:p>
          <w:pPr>
            <w:pStyle w:val="Contents6"/>
            <w:tabs>
              <w:tab w:val="clear" w:pos="7609"/>
              <w:tab w:val="right" w:pos="9026" w:leader="dot"/>
            </w:tabs>
            <w:rPr/>
          </w:pPr>
          <w:hyperlink w:anchor="__RefHeading___Toc2133582_237004111">
            <w:r>
              <w:rPr>
                <w:webHidden/>
                <w:rStyle w:val="IndexLink"/>
                <w:rtl w:val="true"/>
              </w:rPr>
              <w:t>الإشکال الرابع</w:t>
            </w:r>
            <w:r>
              <w:rPr>
                <w:rStyle w:val="IndexLink"/>
                <w:rtl w:val="true"/>
              </w:rPr>
              <w:t xml:space="preserve">: </w:t>
            </w:r>
            <w:r>
              <w:rPr>
                <w:rStyle w:val="IndexLink"/>
                <w:rtl w:val="true"/>
              </w:rPr>
              <w:t>الروایة معارضة بغیرها</w:t>
            </w:r>
            <w:r>
              <w:rPr>
                <w:rStyle w:val="IndexLink"/>
                <w:rtl w:val="true"/>
              </w:rPr>
              <w:tab/>
            </w:r>
            <w:r>
              <w:rPr>
                <w:rStyle w:val="IndexLink"/>
              </w:rPr>
              <w:t>190</w:t>
            </w:r>
          </w:hyperlink>
        </w:p>
        <w:p>
          <w:pPr>
            <w:pStyle w:val="Contents6"/>
            <w:tabs>
              <w:tab w:val="clear" w:pos="7609"/>
              <w:tab w:val="right" w:pos="9026" w:leader="dot"/>
            </w:tabs>
            <w:rPr/>
          </w:pPr>
          <w:hyperlink w:anchor="__RefHeading___Toc2133584_237004111">
            <w:r>
              <w:rPr>
                <w:webHidden/>
                <w:rStyle w:val="IndexLink"/>
                <w:rtl w:val="true"/>
              </w:rPr>
              <w:t>الدلیل السابع</w:t>
            </w:r>
            <w:r>
              <w:rPr>
                <w:rStyle w:val="IndexLink"/>
                <w:rtl w:val="true"/>
              </w:rPr>
              <w:t xml:space="preserve">: </w:t>
            </w:r>
            <w:r>
              <w:rPr>
                <w:rStyle w:val="IndexLink"/>
                <w:rtl w:val="true"/>
              </w:rPr>
              <w:t>صحیحة الفضیل</w:t>
            </w:r>
            <w:r>
              <w:rPr>
                <w:rStyle w:val="IndexLink"/>
                <w:rtl w:val="true"/>
              </w:rPr>
              <w:tab/>
            </w:r>
            <w:r>
              <w:rPr>
                <w:rStyle w:val="IndexLink"/>
              </w:rPr>
              <w:t>191</w:t>
            </w:r>
          </w:hyperlink>
        </w:p>
        <w:p>
          <w:pPr>
            <w:pStyle w:val="Contents6"/>
            <w:tabs>
              <w:tab w:val="clear" w:pos="7609"/>
              <w:tab w:val="right" w:pos="9026" w:leader="dot"/>
            </w:tabs>
            <w:rPr/>
          </w:pPr>
          <w:hyperlink w:anchor="__RefHeading___Toc2133586_237004111">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2133588_237004111">
            <w:r>
              <w:rPr>
                <w:webHidden/>
                <w:rStyle w:val="IndexLink"/>
                <w:rtl w:val="true"/>
              </w:rPr>
              <w:t>الإشکالات علی الدلیل السابع</w:t>
            </w:r>
            <w:r>
              <w:rPr>
                <w:rStyle w:val="IndexLink"/>
                <w:rtl w:val="true"/>
              </w:rPr>
              <w:t>:</w:t>
              <w:tab/>
            </w:r>
            <w:r>
              <w:rPr>
                <w:rStyle w:val="IndexLink"/>
              </w:rPr>
              <w:t>193</w:t>
            </w:r>
          </w:hyperlink>
        </w:p>
        <w:p>
          <w:pPr>
            <w:pStyle w:val="Contents6"/>
            <w:tabs>
              <w:tab w:val="clear" w:pos="7609"/>
              <w:tab w:val="right" w:pos="9026" w:leader="dot"/>
            </w:tabs>
            <w:rPr/>
          </w:pPr>
          <w:hyperlink w:anchor="__RefHeading___Toc2133590_237004111">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2133592_237004111">
            <w:r>
              <w:rPr>
                <w:webHidden/>
                <w:rStyle w:val="IndexLink"/>
                <w:rtl w:val="true"/>
              </w:rPr>
              <w:t>الإشکال الأول</w:t>
            </w:r>
            <w:r>
              <w:rPr>
                <w:rStyle w:val="IndexLink"/>
                <w:rtl w:val="true"/>
              </w:rPr>
              <w:t xml:space="preserve">: </w:t>
            </w:r>
            <w:r>
              <w:rPr>
                <w:rStyle w:val="IndexLink"/>
                <w:rtl w:val="true"/>
              </w:rPr>
              <w:t>إثبات الشیء لا ینفی ما عداه</w:t>
            </w:r>
            <w:r>
              <w:rPr>
                <w:rStyle w:val="IndexLink"/>
                <w:rtl w:val="true"/>
              </w:rPr>
              <w:tab/>
            </w:r>
            <w:r>
              <w:rPr>
                <w:rStyle w:val="IndexLink"/>
              </w:rPr>
              <w:t>193</w:t>
            </w:r>
          </w:hyperlink>
        </w:p>
        <w:p>
          <w:pPr>
            <w:pStyle w:val="Contents6"/>
            <w:tabs>
              <w:tab w:val="clear" w:pos="7609"/>
              <w:tab w:val="right" w:pos="9026" w:leader="dot"/>
            </w:tabs>
            <w:rPr/>
          </w:pPr>
          <w:hyperlink w:anchor="__RefHeading___Toc2133594_237004111">
            <w:r>
              <w:rPr>
                <w:webHidden/>
                <w:rStyle w:val="IndexLink"/>
                <w:rtl w:val="true"/>
              </w:rPr>
              <w:t>الإشکال الثانی</w:t>
            </w:r>
            <w:r>
              <w:rPr>
                <w:rStyle w:val="IndexLink"/>
                <w:rtl w:val="true"/>
              </w:rPr>
              <w:t xml:space="preserve">: </w:t>
            </w:r>
            <w:r>
              <w:rPr>
                <w:rStyle w:val="IndexLink"/>
                <w:rtl w:val="true"/>
              </w:rPr>
              <w:t>احتمال کون السؤال عن الزینة السائغ إبداؤها للمحارم</w:t>
            </w:r>
            <w:r>
              <w:rPr>
                <w:rStyle w:val="IndexLink"/>
                <w:rtl w:val="true"/>
              </w:rPr>
              <w:tab/>
            </w:r>
            <w:r>
              <w:rPr>
                <w:rStyle w:val="IndexLink"/>
              </w:rPr>
              <w:t>193</w:t>
            </w:r>
          </w:hyperlink>
        </w:p>
        <w:p>
          <w:pPr>
            <w:pStyle w:val="Contents6"/>
            <w:tabs>
              <w:tab w:val="clear" w:pos="7609"/>
              <w:tab w:val="right" w:pos="9026" w:leader="dot"/>
            </w:tabs>
            <w:rPr/>
          </w:pPr>
          <w:hyperlink w:anchor="__RefHeading___Toc2133596_237004111">
            <w:r>
              <w:rPr>
                <w:webHidden/>
                <w:rStyle w:val="IndexLink"/>
                <w:rtl w:val="true"/>
              </w:rPr>
              <w:t>الإشکال الثالث</w:t>
            </w:r>
            <w:r>
              <w:rPr>
                <w:rStyle w:val="IndexLink"/>
                <w:rtl w:val="true"/>
              </w:rPr>
              <w:t xml:space="preserve">: </w:t>
            </w:r>
            <w:r>
              <w:rPr>
                <w:rStyle w:val="IndexLink"/>
                <w:rtl w:val="true"/>
              </w:rPr>
              <w:t>ظهور صحیحة الفضیل فی الحرمة لا الجواز</w:t>
            </w:r>
            <w:r>
              <w:rPr>
                <w:rStyle w:val="IndexLink"/>
                <w:rtl w:val="true"/>
              </w:rPr>
              <w:tab/>
            </w:r>
            <w:r>
              <w:rPr>
                <w:rStyle w:val="IndexLink"/>
              </w:rPr>
              <w:t>194</w:t>
            </w:r>
          </w:hyperlink>
        </w:p>
        <w:p>
          <w:pPr>
            <w:pStyle w:val="Contents6"/>
            <w:tabs>
              <w:tab w:val="clear" w:pos="7609"/>
              <w:tab w:val="right" w:pos="9026" w:leader="dot"/>
            </w:tabs>
            <w:rPr/>
          </w:pPr>
          <w:hyperlink w:anchor="__RefHeading___Toc2133598_237004111">
            <w:r>
              <w:rPr>
                <w:webHidden/>
                <w:rStyle w:val="IndexLink"/>
                <w:rtl w:val="true"/>
              </w:rPr>
              <w:t>الدلیل الثامن</w:t>
            </w:r>
            <w:r>
              <w:rPr>
                <w:rStyle w:val="IndexLink"/>
                <w:rtl w:val="true"/>
              </w:rPr>
              <w:t xml:space="preserve">: </w:t>
            </w:r>
            <w:r>
              <w:rPr>
                <w:rStyle w:val="IndexLink"/>
                <w:rtl w:val="true"/>
              </w:rPr>
              <w:t>صحیحة علی بن سوید</w:t>
            </w:r>
            <w:r>
              <w:rPr>
                <w:rStyle w:val="IndexLink"/>
                <w:rtl w:val="true"/>
              </w:rPr>
              <w:tab/>
            </w:r>
            <w:r>
              <w:rPr>
                <w:rStyle w:val="IndexLink"/>
              </w:rPr>
              <w:t>196</w:t>
            </w:r>
          </w:hyperlink>
        </w:p>
        <w:p>
          <w:pPr>
            <w:pStyle w:val="Contents6"/>
            <w:tabs>
              <w:tab w:val="clear" w:pos="7609"/>
              <w:tab w:val="right" w:pos="9026" w:leader="dot"/>
            </w:tabs>
            <w:rPr/>
          </w:pPr>
          <w:hyperlink w:anchor="__RefHeading___Toc2133600_237004111">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2133602_237004111">
            <w:r>
              <w:rPr>
                <w:webHidden/>
                <w:rStyle w:val="IndexLink"/>
                <w:rtl w:val="true"/>
              </w:rPr>
              <w:t>الإشکالات علی الدلیل الثامن</w:t>
            </w:r>
            <w:r>
              <w:rPr>
                <w:rStyle w:val="IndexLink"/>
                <w:rtl w:val="true"/>
              </w:rPr>
              <w:tab/>
            </w:r>
            <w:r>
              <w:rPr>
                <w:rStyle w:val="IndexLink"/>
              </w:rPr>
              <w:t>197</w:t>
            </w:r>
          </w:hyperlink>
        </w:p>
        <w:p>
          <w:pPr>
            <w:pStyle w:val="Contents6"/>
            <w:tabs>
              <w:tab w:val="clear" w:pos="7609"/>
              <w:tab w:val="right" w:pos="9026" w:leader="dot"/>
            </w:tabs>
            <w:rPr/>
          </w:pPr>
          <w:hyperlink w:anchor="__RefHeading___Toc2133604_237004111">
            <w:r>
              <w:rPr>
                <w:webHidden/>
                <w:rStyle w:val="IndexLink"/>
                <w:rtl w:val="true"/>
              </w:rPr>
              <w:t>اشارة</w:t>
            </w:r>
            <w:r>
              <w:rPr>
                <w:rStyle w:val="IndexLink"/>
                <w:rtl w:val="true"/>
              </w:rPr>
              <w:tab/>
            </w:r>
            <w:r>
              <w:rPr>
                <w:rStyle w:val="IndexLink"/>
              </w:rPr>
              <w:t>197</w:t>
            </w:r>
          </w:hyperlink>
        </w:p>
        <w:p>
          <w:pPr>
            <w:pStyle w:val="Contents6"/>
            <w:tabs>
              <w:tab w:val="clear" w:pos="7609"/>
              <w:tab w:val="right" w:pos="9026" w:leader="dot"/>
            </w:tabs>
            <w:rPr/>
          </w:pPr>
          <w:hyperlink w:anchor="__RefHeading___Toc2133606_237004111">
            <w:r>
              <w:rPr>
                <w:webHidden/>
                <w:rStyle w:val="IndexLink"/>
                <w:rtl w:val="true"/>
              </w:rPr>
              <w:t>الإشکال الأوّل</w:t>
            </w:r>
            <w:r>
              <w:rPr>
                <w:rStyle w:val="IndexLink"/>
                <w:rtl w:val="true"/>
              </w:rPr>
              <w:t xml:space="preserve">: </w:t>
            </w:r>
            <w:r>
              <w:rPr>
                <w:rStyle w:val="IndexLink"/>
                <w:rtl w:val="true"/>
              </w:rPr>
              <w:t>ظهور الصحیحة فی النظر الاتفاقی</w:t>
            </w:r>
            <w:r>
              <w:rPr>
                <w:rStyle w:val="IndexLink"/>
                <w:rtl w:val="true"/>
              </w:rPr>
              <w:tab/>
            </w:r>
            <w:r>
              <w:rPr>
                <w:rStyle w:val="IndexLink"/>
              </w:rPr>
              <w:t>197</w:t>
            </w:r>
          </w:hyperlink>
        </w:p>
        <w:p>
          <w:pPr>
            <w:pStyle w:val="Contents6"/>
            <w:tabs>
              <w:tab w:val="clear" w:pos="7609"/>
              <w:tab w:val="right" w:pos="9026" w:leader="dot"/>
            </w:tabs>
            <w:rPr/>
          </w:pPr>
          <w:hyperlink w:anchor="__RefHeading___Toc2133608_237004111">
            <w:r>
              <w:rPr>
                <w:webHidden/>
                <w:rStyle w:val="IndexLink"/>
                <w:rtl w:val="true"/>
              </w:rPr>
              <w:t>الإشکال الثانی</w:t>
            </w:r>
            <w:r>
              <w:rPr>
                <w:rStyle w:val="IndexLink"/>
                <w:rtl w:val="true"/>
              </w:rPr>
              <w:t xml:space="preserve">: </w:t>
            </w:r>
            <w:r>
              <w:rPr>
                <w:rStyle w:val="IndexLink"/>
                <w:rtl w:val="true"/>
              </w:rPr>
              <w:t>شمول الروایة للشعر</w:t>
            </w:r>
            <w:r>
              <w:rPr>
                <w:rStyle w:val="IndexLink"/>
                <w:rtl w:val="true"/>
              </w:rPr>
              <w:tab/>
            </w:r>
            <w:r>
              <w:rPr>
                <w:rStyle w:val="IndexLink"/>
              </w:rPr>
              <w:t>200</w:t>
            </w:r>
          </w:hyperlink>
        </w:p>
        <w:p>
          <w:pPr>
            <w:pStyle w:val="Contents6"/>
            <w:tabs>
              <w:tab w:val="clear" w:pos="7609"/>
              <w:tab w:val="right" w:pos="9026" w:leader="dot"/>
            </w:tabs>
            <w:rPr/>
          </w:pPr>
          <w:hyperlink w:anchor="__RefHeading___Toc2133610_237004111">
            <w:r>
              <w:rPr>
                <w:webHidden/>
                <w:rStyle w:val="IndexLink"/>
                <w:rtl w:val="true"/>
              </w:rPr>
              <w:t>الإشکال الثالث</w:t>
            </w:r>
            <w:r>
              <w:rPr>
                <w:rStyle w:val="IndexLink"/>
                <w:rtl w:val="true"/>
              </w:rPr>
              <w:t xml:space="preserve">: </w:t>
            </w:r>
            <w:r>
              <w:rPr>
                <w:rStyle w:val="IndexLink"/>
                <w:rtl w:val="true"/>
              </w:rPr>
              <w:t>جلالة ابن سوید تمنعه من النظر العمدی</w:t>
            </w:r>
            <w:r>
              <w:rPr>
                <w:rStyle w:val="IndexLink"/>
                <w:rtl w:val="true"/>
              </w:rPr>
              <w:tab/>
            </w:r>
            <w:r>
              <w:rPr>
                <w:rStyle w:val="IndexLink"/>
              </w:rPr>
              <w:t>201</w:t>
            </w:r>
          </w:hyperlink>
        </w:p>
        <w:p>
          <w:pPr>
            <w:pStyle w:val="Contents6"/>
            <w:tabs>
              <w:tab w:val="clear" w:pos="7609"/>
              <w:tab w:val="right" w:pos="9026" w:leader="dot"/>
            </w:tabs>
            <w:rPr/>
          </w:pPr>
          <w:hyperlink w:anchor="__RefHeading___Toc2133612_237004111">
            <w:r>
              <w:rPr>
                <w:webHidden/>
                <w:rStyle w:val="IndexLink"/>
                <w:rtl w:val="true"/>
              </w:rPr>
              <w:t>الإشکال الرابع</w:t>
            </w:r>
            <w:r>
              <w:rPr>
                <w:rStyle w:val="IndexLink"/>
                <w:rtl w:val="true"/>
              </w:rPr>
              <w:t xml:space="preserve">: </w:t>
            </w:r>
            <w:r>
              <w:rPr>
                <w:rStyle w:val="IndexLink"/>
                <w:rtl w:val="true"/>
              </w:rPr>
              <w:t>الروایة ظاهرة فی صورة الاضطرار للنظر</w:t>
            </w:r>
            <w:r>
              <w:rPr>
                <w:rStyle w:val="IndexLink"/>
                <w:rtl w:val="true"/>
              </w:rPr>
              <w:tab/>
            </w:r>
            <w:r>
              <w:rPr>
                <w:rStyle w:val="IndexLink"/>
              </w:rPr>
              <w:t>202</w:t>
            </w:r>
          </w:hyperlink>
        </w:p>
        <w:p>
          <w:pPr>
            <w:pStyle w:val="Contents6"/>
            <w:tabs>
              <w:tab w:val="clear" w:pos="7609"/>
              <w:tab w:val="right" w:pos="9026" w:leader="dot"/>
            </w:tabs>
            <w:rPr/>
          </w:pPr>
          <w:hyperlink w:anchor="__RefHeading___Toc2133614_237004111">
            <w:r>
              <w:rPr>
                <w:webHidden/>
                <w:rStyle w:val="IndexLink"/>
                <w:rtl w:val="true"/>
              </w:rPr>
              <w:t>الدلیل التاسع</w:t>
            </w:r>
            <w:r>
              <w:rPr>
                <w:rStyle w:val="IndexLink"/>
                <w:rtl w:val="true"/>
              </w:rPr>
              <w:t xml:space="preserve">: </w:t>
            </w:r>
            <w:r>
              <w:rPr>
                <w:rStyle w:val="IndexLink"/>
                <w:rtl w:val="true"/>
              </w:rPr>
              <w:t>موثقة زرعة</w:t>
            </w:r>
            <w:r>
              <w:rPr>
                <w:rStyle w:val="IndexLink"/>
                <w:rtl w:val="true"/>
              </w:rPr>
              <w:tab/>
            </w:r>
            <w:r>
              <w:rPr>
                <w:rStyle w:val="IndexLink"/>
              </w:rPr>
              <w:t>204</w:t>
            </w:r>
          </w:hyperlink>
        </w:p>
        <w:p>
          <w:pPr>
            <w:pStyle w:val="Contents6"/>
            <w:tabs>
              <w:tab w:val="clear" w:pos="7609"/>
              <w:tab w:val="right" w:pos="9026" w:leader="dot"/>
            </w:tabs>
            <w:rPr/>
          </w:pPr>
          <w:hyperlink w:anchor="__RefHeading___Toc2133616_237004111">
            <w:r>
              <w:rPr>
                <w:webHidden/>
                <w:rStyle w:val="IndexLink"/>
                <w:rtl w:val="true"/>
              </w:rPr>
              <w:t>الدلیل العاشر</w:t>
            </w:r>
            <w:r>
              <w:rPr>
                <w:rStyle w:val="IndexLink"/>
                <w:rtl w:val="true"/>
              </w:rPr>
              <w:t xml:space="preserve">: </w:t>
            </w:r>
            <w:r>
              <w:rPr>
                <w:rStyle w:val="IndexLink"/>
                <w:rtl w:val="true"/>
              </w:rPr>
              <w:t>روایة أبی الجارود</w:t>
            </w:r>
            <w:r>
              <w:rPr>
                <w:rStyle w:val="IndexLink"/>
                <w:rtl w:val="true"/>
              </w:rPr>
              <w:tab/>
            </w:r>
            <w:r>
              <w:rPr>
                <w:rStyle w:val="IndexLink"/>
              </w:rPr>
              <w:t>205</w:t>
            </w:r>
          </w:hyperlink>
        </w:p>
        <w:p>
          <w:pPr>
            <w:pStyle w:val="Contents6"/>
            <w:tabs>
              <w:tab w:val="clear" w:pos="7609"/>
              <w:tab w:val="right" w:pos="9026" w:leader="dot"/>
            </w:tabs>
            <w:rPr/>
          </w:pPr>
          <w:hyperlink w:anchor="__RefHeading___Toc2133618_237004111">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2133620_237004111">
            <w:r>
              <w:rPr>
                <w:webHidden/>
                <w:rStyle w:val="IndexLink"/>
                <w:rtl w:val="true"/>
              </w:rPr>
              <w:t>الإشکالات علی الدلیل العاشر</w:t>
            </w:r>
            <w:r>
              <w:rPr>
                <w:rStyle w:val="IndexLink"/>
                <w:rtl w:val="true"/>
              </w:rPr>
              <w:tab/>
            </w:r>
            <w:r>
              <w:rPr>
                <w:rStyle w:val="IndexLink"/>
              </w:rPr>
              <w:t>206</w:t>
            </w:r>
          </w:hyperlink>
        </w:p>
        <w:p>
          <w:pPr>
            <w:pStyle w:val="Contents6"/>
            <w:tabs>
              <w:tab w:val="clear" w:pos="7609"/>
              <w:tab w:val="right" w:pos="9026" w:leader="dot"/>
            </w:tabs>
            <w:rPr/>
          </w:pPr>
          <w:hyperlink w:anchor="__RefHeading___Toc2133622_237004111">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2133624_237004111">
            <w:r>
              <w:rPr>
                <w:webHidden/>
                <w:rStyle w:val="IndexLink"/>
                <w:rtl w:val="true"/>
              </w:rPr>
              <w:t>الإشکال الأول</w:t>
            </w:r>
            <w:r>
              <w:rPr>
                <w:rStyle w:val="IndexLink"/>
                <w:rtl w:val="true"/>
              </w:rPr>
              <w:t xml:space="preserve">: </w:t>
            </w:r>
            <w:r>
              <w:rPr>
                <w:rStyle w:val="IndexLink"/>
                <w:rtl w:val="true"/>
              </w:rPr>
              <w:t>ضعف السند</w:t>
            </w:r>
            <w:r>
              <w:rPr>
                <w:rStyle w:val="IndexLink"/>
                <w:rtl w:val="true"/>
              </w:rPr>
              <w:tab/>
            </w:r>
            <w:r>
              <w:rPr>
                <w:rStyle w:val="IndexLink"/>
              </w:rPr>
              <w:t>206</w:t>
            </w:r>
          </w:hyperlink>
        </w:p>
        <w:p>
          <w:pPr>
            <w:pStyle w:val="Contents6"/>
            <w:tabs>
              <w:tab w:val="clear" w:pos="7609"/>
              <w:tab w:val="right" w:pos="9026" w:leader="dot"/>
            </w:tabs>
            <w:rPr/>
          </w:pPr>
          <w:hyperlink w:anchor="__RefHeading___Toc2133626_237004111">
            <w:r>
              <w:rPr>
                <w:webHidden/>
                <w:rStyle w:val="IndexLink"/>
                <w:rtl w:val="true"/>
              </w:rPr>
              <w:t>الإشکال الثانی</w:t>
            </w:r>
            <w:r>
              <w:rPr>
                <w:rStyle w:val="IndexLink"/>
                <w:rtl w:val="true"/>
              </w:rPr>
              <w:t xml:space="preserve">: </w:t>
            </w:r>
            <w:r>
              <w:rPr>
                <w:rStyle w:val="IndexLink"/>
                <w:rtl w:val="true"/>
              </w:rPr>
              <w:t>إرسال الروایة</w:t>
            </w:r>
            <w:r>
              <w:rPr>
                <w:rStyle w:val="IndexLink"/>
                <w:rtl w:val="true"/>
              </w:rPr>
              <w:tab/>
            </w:r>
            <w:r>
              <w:rPr>
                <w:rStyle w:val="IndexLink"/>
              </w:rPr>
              <w:t>210</w:t>
            </w:r>
          </w:hyperlink>
        </w:p>
        <w:p>
          <w:pPr>
            <w:pStyle w:val="Contents6"/>
            <w:tabs>
              <w:tab w:val="clear" w:pos="7609"/>
              <w:tab w:val="right" w:pos="9026" w:leader="dot"/>
            </w:tabs>
            <w:rPr/>
          </w:pPr>
          <w:hyperlink w:anchor="__RefHeading___Toc2133628_237004111">
            <w:r>
              <w:rPr>
                <w:webHidden/>
                <w:rStyle w:val="IndexLink"/>
                <w:rtl w:val="true"/>
              </w:rPr>
              <w:t>الإشکال الثالث</w:t>
            </w:r>
            <w:r>
              <w:rPr>
                <w:rStyle w:val="IndexLink"/>
                <w:rtl w:val="true"/>
              </w:rPr>
              <w:t xml:space="preserve">: </w:t>
            </w:r>
            <w:r>
              <w:rPr>
                <w:rStyle w:val="IndexLink"/>
                <w:rtl w:val="true"/>
              </w:rPr>
              <w:t>إعراض الأصحاب عن الخبر</w:t>
            </w:r>
            <w:r>
              <w:rPr>
                <w:rStyle w:val="IndexLink"/>
                <w:rtl w:val="true"/>
              </w:rPr>
              <w:tab/>
            </w:r>
            <w:r>
              <w:rPr>
                <w:rStyle w:val="IndexLink"/>
              </w:rPr>
              <w:t>213</w:t>
            </w:r>
          </w:hyperlink>
        </w:p>
        <w:p>
          <w:pPr>
            <w:pStyle w:val="Contents6"/>
            <w:tabs>
              <w:tab w:val="clear" w:pos="7609"/>
              <w:tab w:val="right" w:pos="9026" w:leader="dot"/>
            </w:tabs>
            <w:rPr/>
          </w:pPr>
          <w:hyperlink w:anchor="__RefHeading___Toc2133630_237004111">
            <w:r>
              <w:rPr>
                <w:webHidden/>
                <w:rStyle w:val="IndexLink"/>
                <w:rtl w:val="true"/>
              </w:rPr>
              <w:t>الإشکال الرابع</w:t>
            </w:r>
            <w:r>
              <w:rPr>
                <w:rStyle w:val="IndexLink"/>
                <w:rtl w:val="true"/>
              </w:rPr>
              <w:t xml:space="preserve">: </w:t>
            </w:r>
            <w:r>
              <w:rPr>
                <w:rStyle w:val="IndexLink"/>
                <w:rtl w:val="true"/>
              </w:rPr>
              <w:t>ما ذکره السید الرجائی</w:t>
            </w:r>
            <w:r>
              <w:rPr>
                <w:rStyle w:val="IndexLink"/>
                <w:rtl w:val="true"/>
              </w:rPr>
              <w:tab/>
            </w:r>
            <w:r>
              <w:rPr>
                <w:rStyle w:val="IndexLink"/>
              </w:rPr>
              <w:t>214</w:t>
            </w:r>
          </w:hyperlink>
        </w:p>
        <w:p>
          <w:pPr>
            <w:pStyle w:val="Contents6"/>
            <w:tabs>
              <w:tab w:val="clear" w:pos="7609"/>
              <w:tab w:val="right" w:pos="9026" w:leader="dot"/>
            </w:tabs>
            <w:rPr/>
          </w:pPr>
          <w:hyperlink w:anchor="__RefHeading___Toc2133632_237004111">
            <w:r>
              <w:rPr>
                <w:webHidden/>
                <w:rStyle w:val="IndexLink"/>
                <w:rtl w:val="true"/>
              </w:rPr>
              <w:t>الدلیل الحادی عشر</w:t>
            </w:r>
            <w:r>
              <w:rPr>
                <w:rStyle w:val="IndexLink"/>
                <w:rtl w:val="true"/>
              </w:rPr>
              <w:t xml:space="preserve">: </w:t>
            </w:r>
            <w:r>
              <w:rPr>
                <w:rStyle w:val="IndexLink"/>
                <w:rtl w:val="true"/>
              </w:rPr>
              <w:t>روایة علی بن جعفر</w:t>
            </w:r>
            <w:r>
              <w:rPr>
                <w:rStyle w:val="IndexLink"/>
                <w:rtl w:val="true"/>
              </w:rPr>
              <w:tab/>
            </w:r>
            <w:r>
              <w:rPr>
                <w:rStyle w:val="IndexLink"/>
              </w:rPr>
              <w:t>214</w:t>
            </w:r>
          </w:hyperlink>
        </w:p>
        <w:p>
          <w:pPr>
            <w:pStyle w:val="Contents6"/>
            <w:tabs>
              <w:tab w:val="clear" w:pos="7609"/>
              <w:tab w:val="right" w:pos="9026" w:leader="dot"/>
            </w:tabs>
            <w:rPr/>
          </w:pPr>
          <w:hyperlink w:anchor="__RefHeading___Toc2133634_237004111">
            <w:r>
              <w:rPr>
                <w:webHidden/>
                <w:rStyle w:val="IndexLink"/>
                <w:rtl w:val="true"/>
              </w:rPr>
              <w:t>اشارة</w:t>
            </w:r>
            <w:r>
              <w:rPr>
                <w:rStyle w:val="IndexLink"/>
                <w:rtl w:val="true"/>
              </w:rPr>
              <w:tab/>
            </w:r>
            <w:r>
              <w:rPr>
                <w:rStyle w:val="IndexLink"/>
              </w:rPr>
              <w:t>214</w:t>
            </w:r>
          </w:hyperlink>
        </w:p>
        <w:p>
          <w:pPr>
            <w:pStyle w:val="Contents6"/>
            <w:tabs>
              <w:tab w:val="clear" w:pos="7609"/>
              <w:tab w:val="right" w:pos="9026" w:leader="dot"/>
            </w:tabs>
            <w:rPr/>
          </w:pPr>
          <w:hyperlink w:anchor="__RefHeading___Toc2133636_237004111">
            <w:r>
              <w:rPr>
                <w:webHidden/>
                <w:rStyle w:val="IndexLink"/>
                <w:rtl w:val="true"/>
              </w:rPr>
              <w:t>الإشکالات علی الدلیل الحادی عشر</w:t>
            </w:r>
            <w:r>
              <w:rPr>
                <w:rStyle w:val="IndexLink"/>
                <w:rtl w:val="true"/>
              </w:rPr>
              <w:tab/>
            </w:r>
            <w:r>
              <w:rPr>
                <w:rStyle w:val="IndexLink"/>
              </w:rPr>
              <w:t>215</w:t>
            </w:r>
          </w:hyperlink>
        </w:p>
        <w:p>
          <w:pPr>
            <w:pStyle w:val="Contents6"/>
            <w:tabs>
              <w:tab w:val="clear" w:pos="7609"/>
              <w:tab w:val="right" w:pos="9026" w:leader="dot"/>
            </w:tabs>
            <w:rPr/>
          </w:pPr>
          <w:hyperlink w:anchor="__RefHeading___Toc2133638_237004111">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2133640_237004111">
            <w:r>
              <w:rPr>
                <w:webHidden/>
                <w:rStyle w:val="IndexLink"/>
                <w:rtl w:val="true"/>
              </w:rPr>
              <w:t>الإشکال الأول</w:t>
            </w:r>
            <w:r>
              <w:rPr>
                <w:rStyle w:val="IndexLink"/>
                <w:rtl w:val="true"/>
              </w:rPr>
              <w:t xml:space="preserve">: </w:t>
            </w:r>
            <w:r>
              <w:rPr>
                <w:rStyle w:val="IndexLink"/>
                <w:rtl w:val="true"/>
              </w:rPr>
              <w:t>ضعف السند</w:t>
            </w:r>
            <w:r>
              <w:rPr>
                <w:rStyle w:val="IndexLink"/>
                <w:rtl w:val="true"/>
              </w:rPr>
              <w:tab/>
            </w:r>
            <w:r>
              <w:rPr>
                <w:rStyle w:val="IndexLink"/>
              </w:rPr>
              <w:t>215</w:t>
            </w:r>
          </w:hyperlink>
        </w:p>
        <w:p>
          <w:pPr>
            <w:pStyle w:val="Contents6"/>
            <w:tabs>
              <w:tab w:val="clear" w:pos="7609"/>
              <w:tab w:val="right" w:pos="9026" w:leader="dot"/>
            </w:tabs>
            <w:rPr/>
          </w:pPr>
          <w:hyperlink w:anchor="__RefHeading___Toc2133642_237004111">
            <w:r>
              <w:rPr>
                <w:webHidden/>
                <w:rStyle w:val="IndexLink"/>
                <w:rtl w:val="true"/>
              </w:rPr>
              <w:t>الإشکال الثانی</w:t>
            </w:r>
            <w:r>
              <w:rPr>
                <w:rStyle w:val="IndexLink"/>
                <w:rtl w:val="true"/>
              </w:rPr>
              <w:t xml:space="preserve">: </w:t>
            </w:r>
            <w:r>
              <w:rPr>
                <w:rStyle w:val="IndexLink"/>
                <w:rtl w:val="true"/>
              </w:rPr>
              <w:t>الإشکال فی کتاب قرب الإسناد</w:t>
            </w:r>
            <w:r>
              <w:rPr>
                <w:rStyle w:val="IndexLink"/>
                <w:rtl w:val="true"/>
              </w:rPr>
              <w:tab/>
            </w:r>
            <w:r>
              <w:rPr>
                <w:rStyle w:val="IndexLink"/>
              </w:rPr>
              <w:t>216</w:t>
            </w:r>
          </w:hyperlink>
        </w:p>
        <w:p>
          <w:pPr>
            <w:pStyle w:val="Contents6"/>
            <w:tabs>
              <w:tab w:val="clear" w:pos="7609"/>
              <w:tab w:val="right" w:pos="9026" w:leader="dot"/>
            </w:tabs>
            <w:rPr/>
          </w:pPr>
          <w:hyperlink w:anchor="__RefHeading___Toc2133644_237004111">
            <w:r>
              <w:rPr>
                <w:webHidden/>
                <w:rStyle w:val="IndexLink"/>
                <w:rtl w:val="true"/>
              </w:rPr>
              <w:t>الإشکال الثالث</w:t>
            </w:r>
            <w:r>
              <w:rPr>
                <w:rStyle w:val="IndexLink"/>
                <w:rtl w:val="true"/>
              </w:rPr>
              <w:t xml:space="preserve">: </w:t>
            </w:r>
            <w:r>
              <w:rPr>
                <w:rStyle w:val="IndexLink"/>
                <w:rtl w:val="true"/>
              </w:rPr>
              <w:t>الروایة واردة فی المرأة التی یحرم نکاحها</w:t>
            </w:r>
            <w:r>
              <w:rPr>
                <w:rStyle w:val="IndexLink"/>
                <w:rtl w:val="true"/>
              </w:rPr>
              <w:tab/>
            </w:r>
            <w:r>
              <w:rPr>
                <w:rStyle w:val="IndexLink"/>
              </w:rPr>
              <w:t>217</w:t>
            </w:r>
          </w:hyperlink>
        </w:p>
        <w:p>
          <w:pPr>
            <w:pStyle w:val="Contents6"/>
            <w:tabs>
              <w:tab w:val="clear" w:pos="7609"/>
              <w:tab w:val="right" w:pos="9026" w:leader="dot"/>
            </w:tabs>
            <w:rPr/>
          </w:pPr>
          <w:hyperlink w:anchor="__RefHeading___Toc2133646_237004111">
            <w:r>
              <w:rPr>
                <w:webHidden/>
                <w:rStyle w:val="IndexLink"/>
                <w:rtl w:val="true"/>
              </w:rPr>
              <w:t>الإشکال الرابع</w:t>
            </w:r>
            <w:r>
              <w:rPr>
                <w:rStyle w:val="IndexLink"/>
                <w:rtl w:val="true"/>
              </w:rPr>
              <w:t xml:space="preserve">: </w:t>
            </w:r>
            <w:r>
              <w:rPr>
                <w:rStyle w:val="IndexLink"/>
                <w:rtl w:val="true"/>
              </w:rPr>
              <w:t>اشتمالها علی ما لم یُفت به أحد</w:t>
            </w:r>
            <w:r>
              <w:rPr>
                <w:rStyle w:val="IndexLink"/>
                <w:rtl w:val="true"/>
              </w:rPr>
              <w:tab/>
            </w:r>
            <w:r>
              <w:rPr>
                <w:rStyle w:val="IndexLink"/>
              </w:rPr>
              <w:t>218</w:t>
            </w:r>
          </w:hyperlink>
        </w:p>
        <w:p>
          <w:pPr>
            <w:pStyle w:val="Contents6"/>
            <w:tabs>
              <w:tab w:val="clear" w:pos="7609"/>
              <w:tab w:val="right" w:pos="9026" w:leader="dot"/>
            </w:tabs>
            <w:rPr/>
          </w:pPr>
          <w:hyperlink w:anchor="__RefHeading___Toc2133648_237004111">
            <w:r>
              <w:rPr>
                <w:webHidden/>
                <w:rStyle w:val="IndexLink"/>
                <w:rtl w:val="true"/>
              </w:rPr>
              <w:t>الدلیل الثانی عشر</w:t>
            </w:r>
            <w:r>
              <w:rPr>
                <w:rStyle w:val="IndexLink"/>
                <w:rtl w:val="true"/>
              </w:rPr>
              <w:t>:</w:t>
              <w:tab/>
            </w:r>
            <w:r>
              <w:rPr>
                <w:rStyle w:val="IndexLink"/>
              </w:rPr>
              <w:t>218</w:t>
            </w:r>
          </w:hyperlink>
        </w:p>
        <w:p>
          <w:pPr>
            <w:pStyle w:val="Contents6"/>
            <w:tabs>
              <w:tab w:val="clear" w:pos="7609"/>
              <w:tab w:val="right" w:pos="9026" w:leader="dot"/>
            </w:tabs>
            <w:rPr/>
          </w:pPr>
          <w:hyperlink w:anchor="__RefHeading___Toc2133650_237004111">
            <w:r>
              <w:rPr>
                <w:webHidden/>
                <w:rStyle w:val="IndexLink"/>
                <w:rtl w:val="true"/>
              </w:rPr>
              <w:t>الدلیل الثالث عشر</w:t>
            </w:r>
            <w:r>
              <w:rPr>
                <w:rStyle w:val="IndexLink"/>
                <w:rtl w:val="true"/>
              </w:rPr>
              <w:t xml:space="preserve">: </w:t>
            </w:r>
            <w:r>
              <w:rPr>
                <w:rStyle w:val="IndexLink"/>
                <w:rtl w:val="true"/>
              </w:rPr>
              <w:t>خبر جابر بن عبد الله الأنصاری</w:t>
            </w:r>
            <w:r>
              <w:rPr>
                <w:rStyle w:val="IndexLink"/>
                <w:rtl w:val="true"/>
              </w:rPr>
              <w:tab/>
            </w:r>
            <w:r>
              <w:rPr>
                <w:rStyle w:val="IndexLink"/>
              </w:rPr>
              <w:t>218</w:t>
            </w:r>
          </w:hyperlink>
        </w:p>
        <w:p>
          <w:pPr>
            <w:pStyle w:val="Contents6"/>
            <w:tabs>
              <w:tab w:val="clear" w:pos="7609"/>
              <w:tab w:val="right" w:pos="9026" w:leader="dot"/>
            </w:tabs>
            <w:rPr/>
          </w:pPr>
          <w:hyperlink w:anchor="__RefHeading___Toc2133652_237004111">
            <w:r>
              <w:rPr>
                <w:webHidden/>
                <w:rStyle w:val="IndexLink"/>
                <w:rtl w:val="true"/>
              </w:rPr>
              <w:t>اشارة</w:t>
            </w:r>
            <w:r>
              <w:rPr>
                <w:rStyle w:val="IndexLink"/>
                <w:rtl w:val="true"/>
              </w:rPr>
              <w:tab/>
            </w:r>
            <w:r>
              <w:rPr>
                <w:rStyle w:val="IndexLink"/>
              </w:rPr>
              <w:t>218</w:t>
            </w:r>
          </w:hyperlink>
        </w:p>
        <w:p>
          <w:pPr>
            <w:pStyle w:val="Contents6"/>
            <w:tabs>
              <w:tab w:val="clear" w:pos="7609"/>
              <w:tab w:val="right" w:pos="9026" w:leader="dot"/>
            </w:tabs>
            <w:rPr/>
          </w:pPr>
          <w:hyperlink w:anchor="__RefHeading___Toc2133654_237004111">
            <w:r>
              <w:rPr>
                <w:webHidden/>
                <w:rStyle w:val="IndexLink"/>
                <w:rtl w:val="true"/>
              </w:rPr>
              <w:t>الإشکالات علی الدلیل الثالث عشر</w:t>
            </w:r>
            <w:r>
              <w:rPr>
                <w:rStyle w:val="IndexLink"/>
                <w:rtl w:val="true"/>
              </w:rPr>
              <w:tab/>
            </w:r>
            <w:r>
              <w:rPr>
                <w:rStyle w:val="IndexLink"/>
              </w:rPr>
              <w:t>220</w:t>
            </w:r>
          </w:hyperlink>
        </w:p>
        <w:p>
          <w:pPr>
            <w:pStyle w:val="Contents6"/>
            <w:tabs>
              <w:tab w:val="clear" w:pos="7609"/>
              <w:tab w:val="right" w:pos="9026" w:leader="dot"/>
            </w:tabs>
            <w:rPr/>
          </w:pPr>
          <w:hyperlink w:anchor="__RefHeading___Toc2133656_237004111">
            <w:r>
              <w:rPr>
                <w:webHidden/>
                <w:rStyle w:val="IndexLink"/>
                <w:rtl w:val="true"/>
              </w:rPr>
              <w:t>اشارة</w:t>
            </w:r>
            <w:r>
              <w:rPr>
                <w:rStyle w:val="IndexLink"/>
                <w:rtl w:val="true"/>
              </w:rPr>
              <w:tab/>
            </w:r>
            <w:r>
              <w:rPr>
                <w:rStyle w:val="IndexLink"/>
              </w:rPr>
              <w:t>220</w:t>
            </w:r>
          </w:hyperlink>
        </w:p>
        <w:p>
          <w:pPr>
            <w:pStyle w:val="Contents6"/>
            <w:tabs>
              <w:tab w:val="clear" w:pos="7609"/>
              <w:tab w:val="right" w:pos="9026" w:leader="dot"/>
            </w:tabs>
            <w:rPr/>
          </w:pPr>
          <w:hyperlink w:anchor="__RefHeading___Toc2133658_237004111">
            <w:r>
              <w:rPr>
                <w:webHidden/>
                <w:rStyle w:val="IndexLink"/>
                <w:rtl w:val="true"/>
              </w:rPr>
              <w:t>الإشکال الأول</w:t>
            </w:r>
            <w:r>
              <w:rPr>
                <w:rStyle w:val="IndexLink"/>
                <w:rtl w:val="true"/>
              </w:rPr>
              <w:t xml:space="preserve">: </w:t>
            </w:r>
            <w:r>
              <w:rPr>
                <w:rStyle w:val="IndexLink"/>
                <w:rtl w:val="true"/>
              </w:rPr>
              <w:t>الإشکال السندی</w:t>
            </w:r>
            <w:r>
              <w:rPr>
                <w:rStyle w:val="IndexLink"/>
                <w:rtl w:val="true"/>
              </w:rPr>
              <w:tab/>
            </w:r>
            <w:r>
              <w:rPr>
                <w:rStyle w:val="IndexLink"/>
              </w:rPr>
              <w:t>220</w:t>
            </w:r>
          </w:hyperlink>
        </w:p>
        <w:p>
          <w:pPr>
            <w:pStyle w:val="Contents6"/>
            <w:tabs>
              <w:tab w:val="clear" w:pos="7609"/>
              <w:tab w:val="right" w:pos="9026" w:leader="dot"/>
            </w:tabs>
            <w:rPr/>
          </w:pPr>
          <w:hyperlink w:anchor="__RefHeading___Toc2133660_237004111">
            <w:r>
              <w:rPr>
                <w:webHidden/>
                <w:rStyle w:val="IndexLink"/>
                <w:rtl w:val="true"/>
              </w:rPr>
              <w:t>الإشکال الثانی</w:t>
            </w:r>
            <w:r>
              <w:rPr>
                <w:rStyle w:val="IndexLink"/>
                <w:rtl w:val="true"/>
              </w:rPr>
              <w:t xml:space="preserve">: </w:t>
            </w:r>
            <w:r>
              <w:rPr>
                <w:rStyle w:val="IndexLink"/>
                <w:rtl w:val="true"/>
              </w:rPr>
              <w:t>الإشکال الدلالی</w:t>
            </w:r>
            <w:r>
              <w:rPr>
                <w:rStyle w:val="IndexLink"/>
                <w:rtl w:val="true"/>
              </w:rPr>
              <w:tab/>
            </w:r>
            <w:r>
              <w:rPr>
                <w:rStyle w:val="IndexLink"/>
              </w:rPr>
              <w:t>223</w:t>
            </w:r>
          </w:hyperlink>
        </w:p>
        <w:p>
          <w:pPr>
            <w:pStyle w:val="Contents6"/>
            <w:tabs>
              <w:tab w:val="clear" w:pos="7609"/>
              <w:tab w:val="right" w:pos="9026" w:leader="dot"/>
            </w:tabs>
            <w:rPr/>
          </w:pPr>
          <w:hyperlink w:anchor="__RefHeading___Toc2133662_237004111">
            <w:r>
              <w:rPr>
                <w:webHidden/>
                <w:rStyle w:val="IndexLink"/>
                <w:rtl w:val="true"/>
              </w:rPr>
              <w:t>الإشکال الثالث</w:t>
            </w:r>
            <w:r>
              <w:rPr>
                <w:rStyle w:val="IndexLink"/>
                <w:rtl w:val="true"/>
              </w:rPr>
              <w:t xml:space="preserve">: </w:t>
            </w:r>
            <w:r>
              <w:rPr>
                <w:rStyle w:val="IndexLink"/>
                <w:rtl w:val="true"/>
              </w:rPr>
              <w:t>یحتمل أن تکون الحادثة قبل نزول آیة الحجاب</w:t>
            </w:r>
            <w:r>
              <w:rPr>
                <w:rStyle w:val="IndexLink"/>
                <w:rtl w:val="true"/>
              </w:rPr>
              <w:tab/>
            </w:r>
            <w:r>
              <w:rPr>
                <w:rStyle w:val="IndexLink"/>
              </w:rPr>
              <w:t>225</w:t>
            </w:r>
          </w:hyperlink>
        </w:p>
        <w:p>
          <w:pPr>
            <w:pStyle w:val="Contents6"/>
            <w:tabs>
              <w:tab w:val="clear" w:pos="7609"/>
              <w:tab w:val="right" w:pos="9026" w:leader="dot"/>
            </w:tabs>
            <w:rPr/>
          </w:pPr>
          <w:hyperlink w:anchor="__RefHeading___Toc2133664_237004111">
            <w:r>
              <w:rPr>
                <w:webHidden/>
                <w:rStyle w:val="IndexLink"/>
                <w:rtl w:val="true"/>
              </w:rPr>
              <w:t>الإشکال الرابع</w:t>
            </w:r>
            <w:r>
              <w:rPr>
                <w:rStyle w:val="IndexLink"/>
                <w:rtl w:val="true"/>
              </w:rPr>
              <w:t xml:space="preserve">: </w:t>
            </w:r>
            <w:r>
              <w:rPr>
                <w:rStyle w:val="IndexLink"/>
                <w:rtl w:val="true"/>
              </w:rPr>
              <w:t>الخبر معارض بغیره</w:t>
            </w:r>
            <w:r>
              <w:rPr>
                <w:rStyle w:val="IndexLink"/>
                <w:rtl w:val="true"/>
              </w:rPr>
              <w:tab/>
            </w:r>
            <w:r>
              <w:rPr>
                <w:rStyle w:val="IndexLink"/>
              </w:rPr>
              <w:t>227</w:t>
            </w:r>
          </w:hyperlink>
        </w:p>
        <w:p>
          <w:pPr>
            <w:pStyle w:val="Contents6"/>
            <w:tabs>
              <w:tab w:val="clear" w:pos="7609"/>
              <w:tab w:val="right" w:pos="9026" w:leader="dot"/>
            </w:tabs>
            <w:rPr/>
          </w:pPr>
          <w:hyperlink w:anchor="__RefHeading___Toc2133666_237004111">
            <w:r>
              <w:rPr>
                <w:webHidden/>
                <w:rStyle w:val="IndexLink"/>
                <w:rtl w:val="true"/>
              </w:rPr>
              <w:t>الدلیل الرابع عشر</w:t>
            </w:r>
            <w:r>
              <w:rPr>
                <w:rStyle w:val="IndexLink"/>
                <w:rtl w:val="true"/>
              </w:rPr>
              <w:t xml:space="preserve">: </w:t>
            </w:r>
            <w:r>
              <w:rPr>
                <w:rStyle w:val="IndexLink"/>
                <w:rtl w:val="true"/>
              </w:rPr>
              <w:t xml:space="preserve">رؤیة سلمان لید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حین إدارة الرحی</w:t>
            </w:r>
            <w:r>
              <w:rPr>
                <w:rStyle w:val="IndexLink"/>
                <w:rtl w:val="true"/>
              </w:rPr>
              <w:tab/>
            </w:r>
            <w:r>
              <w:rPr>
                <w:rStyle w:val="IndexLink"/>
              </w:rPr>
              <w:t>228</w:t>
            </w:r>
          </w:hyperlink>
        </w:p>
        <w:p>
          <w:pPr>
            <w:pStyle w:val="Contents6"/>
            <w:tabs>
              <w:tab w:val="clear" w:pos="7609"/>
              <w:tab w:val="right" w:pos="9026" w:leader="dot"/>
            </w:tabs>
            <w:rPr/>
          </w:pPr>
          <w:hyperlink w:anchor="__RefHeading___Toc2133668_237004111">
            <w:r>
              <w:rPr>
                <w:webHidden/>
                <w:rStyle w:val="IndexLink"/>
                <w:rtl w:val="true"/>
              </w:rPr>
              <w:t>الدلیل الخامس عشر</w:t>
            </w:r>
            <w:r>
              <w:rPr>
                <w:rStyle w:val="IndexLink"/>
                <w:rtl w:val="true"/>
              </w:rPr>
              <w:t xml:space="preserve">: </w:t>
            </w:r>
            <w:r>
              <w:rPr>
                <w:rStyle w:val="IndexLink"/>
                <w:rtl w:val="true"/>
              </w:rPr>
              <w:t>روایة المحاسن</w:t>
            </w:r>
            <w:r>
              <w:rPr>
                <w:rStyle w:val="IndexLink"/>
                <w:rtl w:val="true"/>
              </w:rPr>
              <w:tab/>
            </w:r>
            <w:r>
              <w:rPr>
                <w:rStyle w:val="IndexLink"/>
              </w:rPr>
              <w:t>229</w:t>
            </w:r>
          </w:hyperlink>
        </w:p>
        <w:p>
          <w:pPr>
            <w:pStyle w:val="Contents6"/>
            <w:tabs>
              <w:tab w:val="clear" w:pos="7609"/>
              <w:tab w:val="right" w:pos="9026" w:leader="dot"/>
            </w:tabs>
            <w:rPr/>
          </w:pPr>
          <w:hyperlink w:anchor="__RefHeading___Toc2133670_237004111">
            <w:r>
              <w:rPr>
                <w:webHidden/>
                <w:rStyle w:val="IndexLink"/>
                <w:rtl w:val="true"/>
              </w:rPr>
              <w:t>الدلیل السادس عشر</w:t>
            </w:r>
            <w:r>
              <w:rPr>
                <w:rStyle w:val="IndexLink"/>
                <w:rtl w:val="true"/>
              </w:rPr>
              <w:t xml:space="preserve">: </w:t>
            </w:r>
            <w:r>
              <w:rPr>
                <w:rStyle w:val="IndexLink"/>
                <w:rtl w:val="true"/>
              </w:rPr>
              <w:t>الأخبار الدالة علی کشف المرأة وجه ها حال الإحرام</w:t>
            </w:r>
            <w:r>
              <w:rPr>
                <w:rStyle w:val="IndexLink"/>
                <w:rtl w:val="true"/>
              </w:rPr>
              <w:tab/>
            </w:r>
            <w:r>
              <w:rPr>
                <w:rStyle w:val="IndexLink"/>
              </w:rPr>
              <w:t>230</w:t>
            </w:r>
          </w:hyperlink>
        </w:p>
        <w:p>
          <w:pPr>
            <w:pStyle w:val="Contents6"/>
            <w:tabs>
              <w:tab w:val="clear" w:pos="7609"/>
              <w:tab w:val="right" w:pos="9026" w:leader="dot"/>
            </w:tabs>
            <w:rPr/>
          </w:pPr>
          <w:hyperlink w:anchor="__RefHeading___Toc2133672_237004111">
            <w:r>
              <w:rPr>
                <w:webHidden/>
                <w:rStyle w:val="IndexLink"/>
                <w:rtl w:val="true"/>
              </w:rPr>
              <w:t>الدلیل السابع عشر</w:t>
            </w:r>
            <w:r>
              <w:rPr>
                <w:rStyle w:val="IndexLink"/>
                <w:rtl w:val="true"/>
              </w:rPr>
              <w:t xml:space="preserve">: </w:t>
            </w:r>
            <w:r>
              <w:rPr>
                <w:rStyle w:val="IndexLink"/>
                <w:rtl w:val="true"/>
              </w:rPr>
              <w:t>الروایات الدالة علی تغسیل الأجانب وجه المرأة وکفیها</w:t>
            </w:r>
            <w:r>
              <w:rPr>
                <w:rStyle w:val="IndexLink"/>
                <w:rtl w:val="true"/>
              </w:rPr>
              <w:tab/>
            </w:r>
            <w:r>
              <w:rPr>
                <w:rStyle w:val="IndexLink"/>
              </w:rPr>
              <w:t>234</w:t>
            </w:r>
          </w:hyperlink>
        </w:p>
        <w:p>
          <w:pPr>
            <w:pStyle w:val="Contents6"/>
            <w:tabs>
              <w:tab w:val="clear" w:pos="7609"/>
              <w:tab w:val="right" w:pos="9026" w:leader="dot"/>
            </w:tabs>
            <w:rPr/>
          </w:pPr>
          <w:hyperlink w:anchor="__RefHeading___Toc2133674_237004111">
            <w:r>
              <w:rPr>
                <w:webHidden/>
                <w:rStyle w:val="IndexLink"/>
                <w:rtl w:val="true"/>
              </w:rPr>
              <w:t>الدلیل الثامن عشر</w:t>
            </w:r>
            <w:r>
              <w:rPr>
                <w:rStyle w:val="IndexLink"/>
                <w:rtl w:val="true"/>
              </w:rPr>
              <w:t xml:space="preserve">: </w:t>
            </w:r>
            <w:r>
              <w:rPr>
                <w:rStyle w:val="IndexLink"/>
                <w:rtl w:val="true"/>
              </w:rPr>
              <w:t>صحیحة أبی حمزة الثمالی</w:t>
            </w:r>
            <w:r>
              <w:rPr>
                <w:rStyle w:val="IndexLink"/>
                <w:rtl w:val="true"/>
              </w:rPr>
              <w:tab/>
            </w:r>
            <w:r>
              <w:rPr>
                <w:rStyle w:val="IndexLink"/>
              </w:rPr>
              <w:t>238</w:t>
            </w:r>
          </w:hyperlink>
        </w:p>
        <w:p>
          <w:pPr>
            <w:pStyle w:val="Contents6"/>
            <w:tabs>
              <w:tab w:val="clear" w:pos="7609"/>
              <w:tab w:val="right" w:pos="9026" w:leader="dot"/>
            </w:tabs>
            <w:rPr/>
          </w:pPr>
          <w:hyperlink w:anchor="__RefHeading___Toc2133676_237004111">
            <w:r>
              <w:rPr>
                <w:webHidden/>
                <w:rStyle w:val="IndexLink"/>
                <w:rtl w:val="true"/>
              </w:rPr>
              <w:t>الدلیل التاسع عشر</w:t>
            </w:r>
            <w:r>
              <w:rPr>
                <w:rStyle w:val="IndexLink"/>
                <w:rtl w:val="true"/>
              </w:rPr>
              <w:t xml:space="preserve">: </w:t>
            </w:r>
            <w:r>
              <w:rPr>
                <w:rStyle w:val="IndexLink"/>
                <w:rtl w:val="true"/>
              </w:rPr>
              <w:t>النصوص المتعرضة لستر الشعر عن الغلام إذا احتلم</w:t>
            </w:r>
            <w:r>
              <w:rPr>
                <w:rStyle w:val="IndexLink"/>
                <w:rtl w:val="true"/>
              </w:rPr>
              <w:tab/>
            </w:r>
            <w:r>
              <w:rPr>
                <w:rStyle w:val="IndexLink"/>
              </w:rPr>
              <w:t>241</w:t>
            </w:r>
          </w:hyperlink>
        </w:p>
        <w:p>
          <w:pPr>
            <w:pStyle w:val="Contents6"/>
            <w:tabs>
              <w:tab w:val="clear" w:pos="7609"/>
              <w:tab w:val="right" w:pos="9026" w:leader="dot"/>
            </w:tabs>
            <w:rPr/>
          </w:pPr>
          <w:hyperlink w:anchor="__RefHeading___Toc2133678_237004111">
            <w:r>
              <w:rPr>
                <w:webHidden/>
                <w:rStyle w:val="IndexLink"/>
                <w:rtl w:val="true"/>
              </w:rPr>
              <w:t>الدلیل العشرون</w:t>
            </w:r>
            <w:r>
              <w:rPr>
                <w:rStyle w:val="IndexLink"/>
                <w:rtl w:val="true"/>
              </w:rPr>
              <w:t xml:space="preserve">: </w:t>
            </w:r>
            <w:r>
              <w:rPr>
                <w:rStyle w:val="IndexLink"/>
                <w:rtl w:val="true"/>
              </w:rPr>
              <w:t>الروایات الدالة علی النظر لشعر المرأة جوازاً ومنعاً</w:t>
            </w:r>
            <w:r>
              <w:rPr>
                <w:rStyle w:val="IndexLink"/>
                <w:rtl w:val="true"/>
              </w:rPr>
              <w:tab/>
            </w:r>
            <w:r>
              <w:rPr>
                <w:rStyle w:val="IndexLink"/>
              </w:rPr>
              <w:t>244</w:t>
            </w:r>
          </w:hyperlink>
        </w:p>
        <w:p>
          <w:pPr>
            <w:pStyle w:val="Contents6"/>
            <w:tabs>
              <w:tab w:val="clear" w:pos="7609"/>
              <w:tab w:val="right" w:pos="9026" w:leader="dot"/>
            </w:tabs>
            <w:rPr/>
          </w:pPr>
          <w:hyperlink w:anchor="__RefHeading___Toc2133680_237004111">
            <w:r>
              <w:rPr>
                <w:webHidden/>
                <w:rStyle w:val="IndexLink"/>
                <w:rtl w:val="true"/>
              </w:rPr>
              <w:t>الدلیل الحادی والعشرون</w:t>
            </w:r>
            <w:r>
              <w:rPr>
                <w:rStyle w:val="IndexLink"/>
                <w:rtl w:val="true"/>
              </w:rPr>
              <w:t xml:space="preserve">: </w:t>
            </w:r>
            <w:r>
              <w:rPr>
                <w:rStyle w:val="IndexLink"/>
                <w:rtl w:val="true"/>
              </w:rPr>
              <w:t>جواز سماع صوت الأجنبیة</w:t>
            </w:r>
            <w:r>
              <w:rPr>
                <w:rStyle w:val="IndexLink"/>
                <w:rtl w:val="true"/>
              </w:rPr>
              <w:tab/>
            </w:r>
            <w:r>
              <w:rPr>
                <w:rStyle w:val="IndexLink"/>
              </w:rPr>
              <w:t>246</w:t>
            </w:r>
          </w:hyperlink>
        </w:p>
        <w:p>
          <w:pPr>
            <w:pStyle w:val="Contents6"/>
            <w:tabs>
              <w:tab w:val="clear" w:pos="7609"/>
              <w:tab w:val="right" w:pos="9026" w:leader="dot"/>
            </w:tabs>
            <w:rPr/>
          </w:pPr>
          <w:hyperlink w:anchor="__RefHeading___Toc2133682_237004111">
            <w:r>
              <w:rPr>
                <w:webHidden/>
                <w:rStyle w:val="IndexLink"/>
                <w:rtl w:val="true"/>
              </w:rPr>
              <w:t>الدلیل الثانی والعشرون</w:t>
            </w:r>
            <w:r>
              <w:rPr>
                <w:rStyle w:val="IndexLink"/>
                <w:rtl w:val="true"/>
              </w:rPr>
              <w:t xml:space="preserve">: </w:t>
            </w:r>
            <w:r>
              <w:rPr>
                <w:rStyle w:val="IndexLink"/>
                <w:rtl w:val="true"/>
              </w:rPr>
              <w:t>الأخبار الدالة علی کراهة القنازع</w:t>
            </w:r>
            <w:r>
              <w:rPr>
                <w:rStyle w:val="IndexLink"/>
                <w:rtl w:val="true"/>
              </w:rPr>
              <w:tab/>
            </w:r>
            <w:r>
              <w:rPr>
                <w:rStyle w:val="IndexLink"/>
              </w:rPr>
              <w:t>247</w:t>
            </w:r>
          </w:hyperlink>
        </w:p>
        <w:p>
          <w:pPr>
            <w:pStyle w:val="Contents6"/>
            <w:tabs>
              <w:tab w:val="clear" w:pos="7609"/>
              <w:tab w:val="right" w:pos="9026" w:leader="dot"/>
            </w:tabs>
            <w:rPr/>
          </w:pPr>
          <w:hyperlink w:anchor="__RefHeading___Toc2133684_237004111">
            <w:r>
              <w:rPr>
                <w:webHidden/>
                <w:rStyle w:val="IndexLink"/>
                <w:rtl w:val="true"/>
              </w:rPr>
              <w:t>الدلیل الثالث والعشرون</w:t>
            </w:r>
            <w:r>
              <w:rPr>
                <w:rStyle w:val="IndexLink"/>
                <w:rtl w:val="true"/>
              </w:rPr>
              <w:t xml:space="preserve">: </w:t>
            </w:r>
            <w:r>
              <w:rPr>
                <w:rStyle w:val="IndexLink"/>
                <w:rtl w:val="true"/>
              </w:rPr>
              <w:t>السیرة قائمة علی عدم ستر الوجه</w:t>
            </w:r>
            <w:r>
              <w:rPr>
                <w:rStyle w:val="IndexLink"/>
                <w:rtl w:val="true"/>
              </w:rPr>
              <w:tab/>
            </w:r>
            <w:r>
              <w:rPr>
                <w:rStyle w:val="IndexLink"/>
              </w:rPr>
              <w:t>249</w:t>
            </w:r>
          </w:hyperlink>
        </w:p>
        <w:p>
          <w:pPr>
            <w:pStyle w:val="Contents6"/>
            <w:tabs>
              <w:tab w:val="clear" w:pos="7609"/>
              <w:tab w:val="right" w:pos="9026" w:leader="dot"/>
            </w:tabs>
            <w:rPr/>
          </w:pPr>
          <w:hyperlink w:anchor="__RefHeading___Toc2133686_237004111">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2133688_237004111">
            <w:r>
              <w:rPr>
                <w:webHidden/>
                <w:rStyle w:val="IndexLink"/>
                <w:rtl w:val="true"/>
              </w:rPr>
              <w:t>الإشکالات علی الدلیل الثالث والعشرین</w:t>
            </w:r>
            <w:r>
              <w:rPr>
                <w:rStyle w:val="IndexLink"/>
                <w:rtl w:val="true"/>
              </w:rPr>
              <w:tab/>
            </w:r>
            <w:r>
              <w:rPr>
                <w:rStyle w:val="IndexLink"/>
              </w:rPr>
              <w:t>250</w:t>
            </w:r>
          </w:hyperlink>
        </w:p>
        <w:p>
          <w:pPr>
            <w:pStyle w:val="Contents6"/>
            <w:tabs>
              <w:tab w:val="clear" w:pos="7609"/>
              <w:tab w:val="right" w:pos="9026" w:leader="dot"/>
            </w:tabs>
            <w:rPr/>
          </w:pPr>
          <w:hyperlink w:anchor="__RefHeading___Toc2133690_237004111">
            <w:r>
              <w:rPr>
                <w:webHidden/>
                <w:rStyle w:val="IndexLink"/>
                <w:rtl w:val="true"/>
              </w:rPr>
              <w:t>اشارة</w:t>
            </w:r>
            <w:r>
              <w:rPr>
                <w:rStyle w:val="IndexLink"/>
                <w:rtl w:val="true"/>
              </w:rPr>
              <w:tab/>
            </w:r>
            <w:r>
              <w:rPr>
                <w:rStyle w:val="IndexLink"/>
              </w:rPr>
              <w:t>250</w:t>
            </w:r>
          </w:hyperlink>
        </w:p>
        <w:p>
          <w:pPr>
            <w:pStyle w:val="Contents6"/>
            <w:tabs>
              <w:tab w:val="clear" w:pos="7609"/>
              <w:tab w:val="right" w:pos="9026" w:leader="dot"/>
            </w:tabs>
            <w:rPr/>
          </w:pPr>
          <w:hyperlink w:anchor="__RefHeading___Toc2133692_237004111">
            <w:r>
              <w:rPr>
                <w:webHidden/>
                <w:rStyle w:val="IndexLink"/>
                <w:rtl w:val="true"/>
              </w:rPr>
              <w:t>الإشکال الأول</w:t>
            </w:r>
            <w:r>
              <w:rPr>
                <w:rStyle w:val="IndexLink"/>
                <w:rtl w:val="true"/>
              </w:rPr>
              <w:t xml:space="preserve">: </w:t>
            </w:r>
            <w:r>
              <w:rPr>
                <w:rStyle w:val="IndexLink"/>
                <w:rtl w:val="true"/>
              </w:rPr>
              <w:t>السیرة معارضة بمثلها</w:t>
            </w:r>
            <w:r>
              <w:rPr>
                <w:rStyle w:val="IndexLink"/>
                <w:rtl w:val="true"/>
              </w:rPr>
              <w:tab/>
            </w:r>
            <w:r>
              <w:rPr>
                <w:rStyle w:val="IndexLink"/>
              </w:rPr>
              <w:t>250</w:t>
            </w:r>
          </w:hyperlink>
        </w:p>
        <w:p>
          <w:pPr>
            <w:pStyle w:val="Contents6"/>
            <w:tabs>
              <w:tab w:val="clear" w:pos="7609"/>
              <w:tab w:val="right" w:pos="9026" w:leader="dot"/>
            </w:tabs>
            <w:rPr/>
          </w:pPr>
          <w:hyperlink w:anchor="__RefHeading___Toc2133694_237004111">
            <w:r>
              <w:rPr>
                <w:webHidden/>
                <w:rStyle w:val="IndexLink"/>
                <w:rtl w:val="true"/>
              </w:rPr>
              <w:t>الإشکال الثانی</w:t>
            </w:r>
            <w:r>
              <w:rPr>
                <w:rStyle w:val="IndexLink"/>
                <w:rtl w:val="true"/>
              </w:rPr>
              <w:t xml:space="preserve">: </w:t>
            </w:r>
            <w:r>
              <w:rPr>
                <w:rStyle w:val="IndexLink"/>
                <w:rtl w:val="true"/>
              </w:rPr>
              <w:t xml:space="preserve">عدم اتصال السیرة بزمن المعصوم </w:t>
            </w:r>
            <w:r>
              <w:rPr>
                <w:rStyle w:val="IndexLink"/>
                <w:rtl w:val="true"/>
              </w:rPr>
              <w:t>(</w:t>
            </w:r>
            <w:r>
              <w:rPr>
                <w:rStyle w:val="IndexLink"/>
                <w:rtl w:val="true"/>
              </w:rPr>
              <w:t>علیه السلام</w:t>
            </w:r>
            <w:r>
              <w:rPr>
                <w:rStyle w:val="IndexLink"/>
                <w:rtl w:val="true"/>
              </w:rPr>
              <w:t>)</w:t>
              <w:tab/>
            </w:r>
            <w:r>
              <w:rPr>
                <w:rStyle w:val="IndexLink"/>
              </w:rPr>
              <w:t>257</w:t>
            </w:r>
          </w:hyperlink>
        </w:p>
        <w:p>
          <w:pPr>
            <w:pStyle w:val="Contents6"/>
            <w:tabs>
              <w:tab w:val="clear" w:pos="7609"/>
              <w:tab w:val="right" w:pos="9026" w:leader="dot"/>
            </w:tabs>
            <w:rPr/>
          </w:pPr>
          <w:hyperlink w:anchor="__RefHeading___Toc2133696_237004111">
            <w:r>
              <w:rPr>
                <w:webHidden/>
                <w:rStyle w:val="IndexLink"/>
                <w:rtl w:val="true"/>
              </w:rPr>
              <w:t>الإشکال الثالث</w:t>
            </w:r>
            <w:r>
              <w:rPr>
                <w:rStyle w:val="IndexLink"/>
                <w:rtl w:val="true"/>
              </w:rPr>
              <w:t xml:space="preserve">: </w:t>
            </w:r>
            <w:r>
              <w:rPr>
                <w:rStyle w:val="IndexLink"/>
                <w:rtl w:val="true"/>
              </w:rPr>
              <w:t>إنّ جواز الکشف لا یستلزم جواز النظر</w:t>
            </w:r>
            <w:r>
              <w:rPr>
                <w:rStyle w:val="IndexLink"/>
                <w:rtl w:val="true"/>
              </w:rPr>
              <w:tab/>
            </w:r>
            <w:r>
              <w:rPr>
                <w:rStyle w:val="IndexLink"/>
              </w:rPr>
              <w:t>257</w:t>
            </w:r>
          </w:hyperlink>
        </w:p>
        <w:p>
          <w:pPr>
            <w:pStyle w:val="Contents6"/>
            <w:tabs>
              <w:tab w:val="clear" w:pos="7609"/>
              <w:tab w:val="right" w:pos="9026" w:leader="dot"/>
            </w:tabs>
            <w:rPr/>
          </w:pPr>
          <w:hyperlink w:anchor="__RefHeading___Toc2133698_237004111">
            <w:r>
              <w:rPr>
                <w:webHidden/>
                <w:rStyle w:val="IndexLink"/>
                <w:rtl w:val="true"/>
              </w:rPr>
              <w:t>الدلیل الرابع والعشرون</w:t>
            </w:r>
            <w:r>
              <w:rPr>
                <w:rStyle w:val="IndexLink"/>
                <w:rtl w:val="true"/>
              </w:rPr>
              <w:t xml:space="preserve">: </w:t>
            </w:r>
            <w:r>
              <w:rPr>
                <w:rStyle w:val="IndexLink"/>
                <w:rtl w:val="true"/>
              </w:rPr>
              <w:t>النصوص الدالة علی جواز وضع القواعد جلابیبهن وخمرهن</w:t>
            </w:r>
            <w:r>
              <w:rPr>
                <w:rStyle w:val="IndexLink"/>
                <w:rtl w:val="true"/>
              </w:rPr>
              <w:tab/>
            </w:r>
            <w:r>
              <w:rPr>
                <w:rStyle w:val="IndexLink"/>
              </w:rPr>
              <w:t>257</w:t>
            </w:r>
          </w:hyperlink>
        </w:p>
        <w:p>
          <w:pPr>
            <w:pStyle w:val="Contents6"/>
            <w:tabs>
              <w:tab w:val="clear" w:pos="7609"/>
              <w:tab w:val="right" w:pos="9026" w:leader="dot"/>
            </w:tabs>
            <w:rPr/>
          </w:pPr>
          <w:hyperlink w:anchor="__RefHeading___Toc2133700_237004111">
            <w:r>
              <w:rPr>
                <w:webHidden/>
                <w:rStyle w:val="IndexLink"/>
                <w:rtl w:val="true"/>
              </w:rPr>
              <w:t>الدلیل الخامس والعشرون</w:t>
            </w:r>
            <w:r>
              <w:rPr>
                <w:rStyle w:val="IndexLink"/>
                <w:rtl w:val="true"/>
              </w:rPr>
              <w:t xml:space="preserve">: </w:t>
            </w:r>
            <w:r>
              <w:rPr>
                <w:rStyle w:val="IndexLink"/>
                <w:rtl w:val="true"/>
              </w:rPr>
              <w:t>وجود العسر والحرج فی اجتناب النظر</w:t>
            </w:r>
            <w:r>
              <w:rPr>
                <w:rStyle w:val="IndexLink"/>
                <w:rtl w:val="true"/>
              </w:rPr>
              <w:tab/>
            </w:r>
            <w:r>
              <w:rPr>
                <w:rStyle w:val="IndexLink"/>
              </w:rPr>
              <w:t>260</w:t>
            </w:r>
          </w:hyperlink>
        </w:p>
        <w:p>
          <w:pPr>
            <w:pStyle w:val="Contents6"/>
            <w:tabs>
              <w:tab w:val="clear" w:pos="7609"/>
              <w:tab w:val="right" w:pos="9026" w:leader="dot"/>
            </w:tabs>
            <w:rPr/>
          </w:pPr>
          <w:hyperlink w:anchor="__RefHeading___Toc2133702_237004111">
            <w:r>
              <w:rPr>
                <w:webHidden/>
                <w:rStyle w:val="IndexLink"/>
                <w:rtl w:val="true"/>
              </w:rPr>
              <w:t>الدلیل السادس والعشرون</w:t>
            </w:r>
            <w:r>
              <w:rPr>
                <w:rStyle w:val="IndexLink"/>
                <w:rtl w:val="true"/>
              </w:rPr>
              <w:t xml:space="preserve">: </w:t>
            </w:r>
            <w:r>
              <w:rPr>
                <w:rStyle w:val="IndexLink"/>
                <w:rtl w:val="true"/>
              </w:rPr>
              <w:t>إجراء أصالة البراءة</w:t>
            </w:r>
            <w:r>
              <w:rPr>
                <w:rStyle w:val="IndexLink"/>
                <w:rtl w:val="true"/>
              </w:rPr>
              <w:tab/>
            </w:r>
            <w:r>
              <w:rPr>
                <w:rStyle w:val="IndexLink"/>
              </w:rPr>
              <w:t>261</w:t>
            </w:r>
          </w:hyperlink>
        </w:p>
        <w:p>
          <w:pPr>
            <w:pStyle w:val="Contents5"/>
            <w:tabs>
              <w:tab w:val="clear" w:pos="7892"/>
              <w:tab w:val="right" w:pos="9026" w:leader="dot"/>
            </w:tabs>
            <w:rPr/>
          </w:pPr>
          <w:hyperlink w:anchor="__RefHeading___Toc2133704_237004111">
            <w:r>
              <w:rPr>
                <w:webHidden/>
                <w:rStyle w:val="IndexLink"/>
                <w:rtl w:val="true"/>
              </w:rPr>
              <w:t>القول الثانی</w:t>
            </w:r>
            <w:r>
              <w:rPr>
                <w:rStyle w:val="IndexLink"/>
                <w:rtl w:val="true"/>
              </w:rPr>
              <w:t xml:space="preserve">: </w:t>
            </w:r>
            <w:r>
              <w:rPr>
                <w:rStyle w:val="IndexLink"/>
                <w:rtl w:val="true"/>
              </w:rPr>
              <w:t>حرمة النظر مطلقاً</w:t>
            </w:r>
            <w:r>
              <w:rPr>
                <w:rStyle w:val="IndexLink"/>
                <w:rtl w:val="true"/>
              </w:rPr>
              <w:tab/>
            </w:r>
            <w:r>
              <w:rPr>
                <w:rStyle w:val="IndexLink"/>
              </w:rPr>
              <w:t>262</w:t>
            </w:r>
          </w:hyperlink>
        </w:p>
        <w:p>
          <w:pPr>
            <w:pStyle w:val="Contents6"/>
            <w:tabs>
              <w:tab w:val="clear" w:pos="7609"/>
              <w:tab w:val="right" w:pos="9026" w:leader="dot"/>
            </w:tabs>
            <w:rPr/>
          </w:pPr>
          <w:hyperlink w:anchor="__RefHeading___Toc2133706_237004111">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2133708_237004111">
            <w:r>
              <w:rPr>
                <w:webHidden/>
                <w:rStyle w:val="IndexLink"/>
                <w:rtl w:val="true"/>
              </w:rPr>
              <w:t>الدلیل الأول</w:t>
            </w:r>
            <w:r>
              <w:rPr>
                <w:rStyle w:val="IndexLink"/>
                <w:rtl w:val="true"/>
              </w:rPr>
              <w:t xml:space="preserve">: </w:t>
            </w:r>
            <w:r>
              <w:rPr>
                <w:rStyle w:val="IndexLink"/>
                <w:rtl w:val="true"/>
              </w:rPr>
              <w:t>آیة الغض</w:t>
            </w:r>
            <w:r>
              <w:rPr>
                <w:rStyle w:val="IndexLink"/>
                <w:rtl w:val="true"/>
              </w:rPr>
              <w:tab/>
            </w:r>
            <w:r>
              <w:rPr>
                <w:rStyle w:val="IndexLink"/>
              </w:rPr>
              <w:t>262</w:t>
            </w:r>
          </w:hyperlink>
        </w:p>
        <w:p>
          <w:pPr>
            <w:pStyle w:val="Contents6"/>
            <w:tabs>
              <w:tab w:val="clear" w:pos="7609"/>
              <w:tab w:val="right" w:pos="9026" w:leader="dot"/>
            </w:tabs>
            <w:rPr/>
          </w:pPr>
          <w:hyperlink w:anchor="__RefHeading___Toc2133710_237004111">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2133712_237004111">
            <w:r>
              <w:rPr>
                <w:webHidden/>
                <w:rStyle w:val="IndexLink"/>
                <w:rtl w:val="true"/>
              </w:rPr>
              <w:t>الإشکالات علی الدلیل الأول</w:t>
            </w:r>
            <w:r>
              <w:rPr>
                <w:rStyle w:val="IndexLink"/>
                <w:rtl w:val="true"/>
              </w:rPr>
              <w:tab/>
            </w:r>
            <w:r>
              <w:rPr>
                <w:rStyle w:val="IndexLink"/>
              </w:rPr>
              <w:t>262</w:t>
            </w:r>
          </w:hyperlink>
        </w:p>
        <w:p>
          <w:pPr>
            <w:pStyle w:val="Contents6"/>
            <w:tabs>
              <w:tab w:val="clear" w:pos="7609"/>
              <w:tab w:val="right" w:pos="9026" w:leader="dot"/>
            </w:tabs>
            <w:rPr/>
          </w:pPr>
          <w:hyperlink w:anchor="__RefHeading___Toc2133714_237004111">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2133716_237004111">
            <w:r>
              <w:rPr>
                <w:webHidden/>
                <w:rStyle w:val="IndexLink"/>
                <w:rtl w:val="true"/>
              </w:rPr>
              <w:t>الإشکال الأول</w:t>
            </w:r>
            <w:r>
              <w:rPr>
                <w:rStyle w:val="IndexLink"/>
                <w:rtl w:val="true"/>
              </w:rPr>
              <w:t xml:space="preserve">: </w:t>
            </w:r>
            <w:r>
              <w:rPr>
                <w:rStyle w:val="IndexLink"/>
                <w:rtl w:val="true"/>
              </w:rPr>
              <w:t>اختصاص الآیة بالنظر إلی العورة</w:t>
            </w:r>
            <w:r>
              <w:rPr>
                <w:rStyle w:val="IndexLink"/>
                <w:rtl w:val="true"/>
              </w:rPr>
              <w:tab/>
            </w:r>
            <w:r>
              <w:rPr>
                <w:rStyle w:val="IndexLink"/>
              </w:rPr>
              <w:t>262</w:t>
            </w:r>
          </w:hyperlink>
        </w:p>
        <w:p>
          <w:pPr>
            <w:pStyle w:val="Contents6"/>
            <w:tabs>
              <w:tab w:val="clear" w:pos="7609"/>
              <w:tab w:val="right" w:pos="9026" w:leader="dot"/>
            </w:tabs>
            <w:rPr/>
          </w:pPr>
          <w:hyperlink w:anchor="__RefHeading___Toc2133718_237004111">
            <w:r>
              <w:rPr>
                <w:webHidden/>
                <w:rStyle w:val="IndexLink"/>
                <w:rtl w:val="true"/>
              </w:rPr>
              <w:t>الإشکال الثانی</w:t>
            </w:r>
            <w:r>
              <w:rPr>
                <w:rStyle w:val="IndexLink"/>
                <w:rtl w:val="true"/>
              </w:rPr>
              <w:t xml:space="preserve">: </w:t>
            </w:r>
            <w:r>
              <w:rPr>
                <w:rStyle w:val="IndexLink"/>
                <w:rtl w:val="true"/>
              </w:rPr>
              <w:t>عدم إرادة المعنی الحقیقی للغض</w:t>
            </w:r>
            <w:r>
              <w:rPr>
                <w:rStyle w:val="IndexLink"/>
                <w:rtl w:val="true"/>
              </w:rPr>
              <w:tab/>
            </w:r>
            <w:r>
              <w:rPr>
                <w:rStyle w:val="IndexLink"/>
              </w:rPr>
              <w:t>264</w:t>
            </w:r>
          </w:hyperlink>
        </w:p>
        <w:p>
          <w:pPr>
            <w:pStyle w:val="Contents6"/>
            <w:tabs>
              <w:tab w:val="clear" w:pos="7609"/>
              <w:tab w:val="right" w:pos="9026" w:leader="dot"/>
            </w:tabs>
            <w:rPr/>
          </w:pPr>
          <w:hyperlink w:anchor="__RefHeading___Toc2133720_237004111">
            <w:r>
              <w:rPr>
                <w:webHidden/>
                <w:rStyle w:val="IndexLink"/>
                <w:rtl w:val="true"/>
              </w:rPr>
              <w:t>الإشکال الثالث</w:t>
            </w:r>
            <w:r>
              <w:rPr>
                <w:rStyle w:val="IndexLink"/>
                <w:rtl w:val="true"/>
              </w:rPr>
              <w:t xml:space="preserve">: </w:t>
            </w:r>
            <w:r>
              <w:rPr>
                <w:rStyle w:val="IndexLink"/>
                <w:rtl w:val="true"/>
              </w:rPr>
              <w:t>الغض فی الآیة إرشاد إلی ترک النظر إلی ما ثبتت حرمته</w:t>
            </w:r>
            <w:r>
              <w:rPr>
                <w:rStyle w:val="IndexLink"/>
                <w:rtl w:val="true"/>
              </w:rPr>
              <w:tab/>
            </w:r>
            <w:r>
              <w:rPr>
                <w:rStyle w:val="IndexLink"/>
              </w:rPr>
              <w:t>268</w:t>
            </w:r>
          </w:hyperlink>
        </w:p>
        <w:p>
          <w:pPr>
            <w:pStyle w:val="Contents6"/>
            <w:tabs>
              <w:tab w:val="clear" w:pos="7609"/>
              <w:tab w:val="right" w:pos="9026" w:leader="dot"/>
            </w:tabs>
            <w:rPr/>
          </w:pPr>
          <w:hyperlink w:anchor="__RefHeading___Toc2133722_237004111">
            <w:r>
              <w:rPr>
                <w:webHidden/>
                <w:rStyle w:val="IndexLink"/>
                <w:rtl w:val="true"/>
              </w:rPr>
              <w:t>الإشکال الرابع</w:t>
            </w:r>
            <w:r>
              <w:rPr>
                <w:rStyle w:val="IndexLink"/>
                <w:rtl w:val="true"/>
              </w:rPr>
              <w:t xml:space="preserve">: </w:t>
            </w:r>
            <w:r>
              <w:rPr>
                <w:rStyle w:val="IndexLink"/>
                <w:rtl w:val="true"/>
              </w:rPr>
              <w:t>کون غض النظر أعم من ترک النظر</w:t>
            </w:r>
            <w:r>
              <w:rPr>
                <w:rStyle w:val="IndexLink"/>
                <w:rtl w:val="true"/>
              </w:rPr>
              <w:tab/>
            </w:r>
            <w:r>
              <w:rPr>
                <w:rStyle w:val="IndexLink"/>
              </w:rPr>
              <w:t>269</w:t>
            </w:r>
          </w:hyperlink>
        </w:p>
        <w:p>
          <w:pPr>
            <w:pStyle w:val="Contents6"/>
            <w:tabs>
              <w:tab w:val="clear" w:pos="7609"/>
              <w:tab w:val="right" w:pos="9026" w:leader="dot"/>
            </w:tabs>
            <w:rPr/>
          </w:pPr>
          <w:hyperlink w:anchor="__RefHeading___Toc2133724_237004111">
            <w:r>
              <w:rPr>
                <w:webHidden/>
                <w:rStyle w:val="IndexLink"/>
                <w:rtl w:val="true"/>
              </w:rPr>
              <w:t>الإشکال الخامس</w:t>
            </w:r>
            <w:r>
              <w:rPr>
                <w:rStyle w:val="IndexLink"/>
                <w:rtl w:val="true"/>
              </w:rPr>
              <w:t xml:space="preserve">: </w:t>
            </w:r>
            <w:r>
              <w:rPr>
                <w:rStyle w:val="IndexLink"/>
                <w:rtl w:val="true"/>
              </w:rPr>
              <w:t>المراد من الغض عدم التحدیق</w:t>
            </w:r>
            <w:r>
              <w:rPr>
                <w:rStyle w:val="IndexLink"/>
                <w:rtl w:val="true"/>
              </w:rPr>
              <w:tab/>
            </w:r>
            <w:r>
              <w:rPr>
                <w:rStyle w:val="IndexLink"/>
              </w:rPr>
              <w:t>269</w:t>
            </w:r>
          </w:hyperlink>
        </w:p>
        <w:p>
          <w:pPr>
            <w:pStyle w:val="Contents6"/>
            <w:tabs>
              <w:tab w:val="clear" w:pos="7609"/>
              <w:tab w:val="right" w:pos="9026" w:leader="dot"/>
            </w:tabs>
            <w:rPr/>
          </w:pPr>
          <w:hyperlink w:anchor="__RefHeading___Toc2133726_237004111">
            <w:r>
              <w:rPr>
                <w:webHidden/>
                <w:rStyle w:val="IndexLink"/>
                <w:rtl w:val="true"/>
              </w:rPr>
              <w:t>الإشکال السادس</w:t>
            </w:r>
            <w:r>
              <w:rPr>
                <w:rStyle w:val="IndexLink"/>
                <w:rtl w:val="true"/>
              </w:rPr>
              <w:t xml:space="preserve">: </w:t>
            </w:r>
            <w:r>
              <w:rPr>
                <w:rStyle w:val="IndexLink"/>
                <w:rtl w:val="true"/>
              </w:rPr>
              <w:t>دلالة الآیة علی حرمة بعض أفراد النظر</w:t>
            </w:r>
            <w:r>
              <w:rPr>
                <w:rStyle w:val="IndexLink"/>
                <w:rtl w:val="true"/>
              </w:rPr>
              <w:tab/>
            </w:r>
            <w:r>
              <w:rPr>
                <w:rStyle w:val="IndexLink"/>
              </w:rPr>
              <w:t>270</w:t>
            </w:r>
          </w:hyperlink>
        </w:p>
        <w:p>
          <w:pPr>
            <w:pStyle w:val="Contents6"/>
            <w:tabs>
              <w:tab w:val="clear" w:pos="7609"/>
              <w:tab w:val="right" w:pos="9026" w:leader="dot"/>
            </w:tabs>
            <w:rPr/>
          </w:pPr>
          <w:hyperlink w:anchor="__RefHeading___Toc2133728_237004111">
            <w:r>
              <w:rPr>
                <w:webHidden/>
                <w:rStyle w:val="IndexLink"/>
                <w:rtl w:val="true"/>
              </w:rPr>
              <w:t>الإشکال السابع</w:t>
            </w:r>
            <w:r>
              <w:rPr>
                <w:rStyle w:val="IndexLink"/>
                <w:rtl w:val="true"/>
              </w:rPr>
              <w:t xml:space="preserve">: </w:t>
            </w:r>
            <w:r>
              <w:rPr>
                <w:rStyle w:val="IndexLink"/>
                <w:rtl w:val="true"/>
              </w:rPr>
              <w:t>عدم إحراز کون الآیة فی مقام البیان</w:t>
            </w:r>
            <w:r>
              <w:rPr>
                <w:rStyle w:val="IndexLink"/>
                <w:rtl w:val="true"/>
              </w:rPr>
              <w:tab/>
            </w:r>
            <w:r>
              <w:rPr>
                <w:rStyle w:val="IndexLink"/>
              </w:rPr>
              <w:t>271</w:t>
            </w:r>
          </w:hyperlink>
        </w:p>
        <w:p>
          <w:pPr>
            <w:pStyle w:val="Contents6"/>
            <w:tabs>
              <w:tab w:val="clear" w:pos="7609"/>
              <w:tab w:val="right" w:pos="9026" w:leader="dot"/>
            </w:tabs>
            <w:rPr/>
          </w:pPr>
          <w:hyperlink w:anchor="__RefHeading___Toc2133730_237004111">
            <w:r>
              <w:rPr>
                <w:webHidden/>
                <w:rStyle w:val="IndexLink"/>
                <w:rtl w:val="true"/>
              </w:rPr>
              <w:t>الإشکال الثامن</w:t>
            </w:r>
            <w:r>
              <w:rPr>
                <w:rStyle w:val="IndexLink"/>
                <w:rtl w:val="true"/>
              </w:rPr>
              <w:t xml:space="preserve">: </w:t>
            </w:r>
            <w:r>
              <w:rPr>
                <w:rStyle w:val="IndexLink"/>
                <w:rtl w:val="true"/>
              </w:rPr>
              <w:t>قبول الإطلاق للتخصیص</w:t>
            </w:r>
            <w:r>
              <w:rPr>
                <w:rStyle w:val="IndexLink"/>
                <w:rtl w:val="true"/>
              </w:rPr>
              <w:tab/>
            </w:r>
            <w:r>
              <w:rPr>
                <w:rStyle w:val="IndexLink"/>
              </w:rPr>
              <w:t>272</w:t>
            </w:r>
          </w:hyperlink>
        </w:p>
        <w:p>
          <w:pPr>
            <w:pStyle w:val="Contents6"/>
            <w:tabs>
              <w:tab w:val="clear" w:pos="7609"/>
              <w:tab w:val="right" w:pos="9026" w:leader="dot"/>
            </w:tabs>
            <w:rPr/>
          </w:pPr>
          <w:hyperlink w:anchor="__RefHeading___Toc2133732_237004111">
            <w:r>
              <w:rPr>
                <w:webHidden/>
                <w:rStyle w:val="IndexLink"/>
                <w:rtl w:val="true"/>
              </w:rPr>
              <w:t>الدلیل الثانی</w:t>
            </w:r>
            <w:r>
              <w:rPr>
                <w:rStyle w:val="IndexLink"/>
                <w:rtl w:val="true"/>
              </w:rPr>
              <w:t xml:space="preserve">: </w:t>
            </w:r>
            <w:r>
              <w:rPr>
                <w:rStyle w:val="IndexLink"/>
                <w:rtl w:val="true"/>
              </w:rPr>
              <w:t xml:space="preserve">قوله تعالی </w:t>
            </w:r>
            <w:r>
              <w:rPr>
                <w:rStyle w:val="IndexLink"/>
                <w:rtl w:val="true"/>
              </w:rPr>
              <w:t>{</w:t>
            </w:r>
            <w:r>
              <w:rPr>
                <w:rStyle w:val="IndexLink"/>
                <w:rtl w:val="true"/>
              </w:rPr>
              <w:t>وَ إِذا سَأَلْتُمُوهُنَّ مَتاعاً فَسْئَلُوهُنَّ مِنْ وَراءِ حِجابٍ</w:t>
            </w:r>
            <w:r>
              <w:rPr>
                <w:rStyle w:val="IndexLink"/>
                <w:rtl w:val="true"/>
              </w:rPr>
              <w:t>}</w:t>
              <w:tab/>
            </w:r>
            <w:r>
              <w:rPr>
                <w:rStyle w:val="IndexLink"/>
              </w:rPr>
              <w:t>272</w:t>
            </w:r>
          </w:hyperlink>
        </w:p>
        <w:p>
          <w:pPr>
            <w:pStyle w:val="Contents6"/>
            <w:tabs>
              <w:tab w:val="clear" w:pos="7609"/>
              <w:tab w:val="right" w:pos="9026" w:leader="dot"/>
            </w:tabs>
            <w:rPr/>
          </w:pPr>
          <w:hyperlink w:anchor="__RefHeading___Toc2133734_237004111">
            <w:r>
              <w:rPr>
                <w:webHidden/>
                <w:rStyle w:val="IndexLink"/>
                <w:rtl w:val="true"/>
              </w:rPr>
              <w:t>الدلیل الثالث</w:t>
            </w:r>
            <w:r>
              <w:rPr>
                <w:rStyle w:val="IndexLink"/>
                <w:rtl w:val="true"/>
              </w:rPr>
              <w:t xml:space="preserve">: </w:t>
            </w:r>
            <w:r>
              <w:rPr>
                <w:rStyle w:val="IndexLink"/>
                <w:rtl w:val="true"/>
              </w:rPr>
              <w:t>قوله تعالی</w:t>
            </w:r>
            <w:r>
              <w:rPr>
                <w:rStyle w:val="IndexLink"/>
                <w:rtl w:val="true"/>
              </w:rPr>
              <w:t>: {</w:t>
            </w:r>
            <w:r>
              <w:rPr>
                <w:rStyle w:val="IndexLink"/>
                <w:rtl w:val="true"/>
              </w:rPr>
              <w:t>وَ لا یُبْدینَ زینَتَهُنَّ إِلاَّ لِبُعُولَتِهِنَّ</w:t>
            </w:r>
            <w:r>
              <w:rPr>
                <w:rStyle w:val="IndexLink"/>
                <w:rtl w:val="true"/>
              </w:rPr>
              <w:t>}</w:t>
              <w:tab/>
            </w:r>
            <w:r>
              <w:rPr>
                <w:rStyle w:val="IndexLink"/>
              </w:rPr>
              <w:t>276</w:t>
            </w:r>
          </w:hyperlink>
        </w:p>
        <w:p>
          <w:pPr>
            <w:pStyle w:val="Contents6"/>
            <w:tabs>
              <w:tab w:val="clear" w:pos="7609"/>
              <w:tab w:val="right" w:pos="9026" w:leader="dot"/>
            </w:tabs>
            <w:rPr/>
          </w:pPr>
          <w:hyperlink w:anchor="__RefHeading___Toc2133736_237004111">
            <w:r>
              <w:rPr>
                <w:webHidden/>
                <w:rStyle w:val="IndexLink"/>
                <w:rtl w:val="true"/>
              </w:rPr>
              <w:t>الدلیل الرابع</w:t>
            </w:r>
            <w:r>
              <w:rPr>
                <w:rStyle w:val="IndexLink"/>
                <w:rtl w:val="true"/>
              </w:rPr>
              <w:t xml:space="preserve">: </w:t>
            </w:r>
            <w:r>
              <w:rPr>
                <w:rStyle w:val="IndexLink"/>
                <w:rtl w:val="true"/>
              </w:rPr>
              <w:t>آیة القواعد من النساء</w:t>
            </w:r>
            <w:r>
              <w:rPr>
                <w:rStyle w:val="IndexLink"/>
                <w:rtl w:val="true"/>
              </w:rPr>
              <w:tab/>
            </w:r>
            <w:r>
              <w:rPr>
                <w:rStyle w:val="IndexLink"/>
              </w:rPr>
              <w:t>278</w:t>
            </w:r>
          </w:hyperlink>
        </w:p>
        <w:p>
          <w:pPr>
            <w:pStyle w:val="Contents6"/>
            <w:tabs>
              <w:tab w:val="clear" w:pos="7609"/>
              <w:tab w:val="right" w:pos="9026" w:leader="dot"/>
            </w:tabs>
            <w:rPr/>
          </w:pPr>
          <w:hyperlink w:anchor="__RefHeading___Toc2133738_237004111">
            <w:r>
              <w:rPr>
                <w:webHidden/>
                <w:rStyle w:val="IndexLink"/>
                <w:rtl w:val="true"/>
              </w:rPr>
              <w:t>الدلیل الخامس</w:t>
            </w:r>
            <w:r>
              <w:rPr>
                <w:rStyle w:val="IndexLink"/>
                <w:rtl w:val="true"/>
              </w:rPr>
              <w:t xml:space="preserve">: </w:t>
            </w:r>
            <w:r>
              <w:rPr>
                <w:rStyle w:val="IndexLink"/>
                <w:rtl w:val="true"/>
              </w:rPr>
              <w:t>قوله تعالی</w:t>
            </w:r>
            <w:r>
              <w:rPr>
                <w:rStyle w:val="IndexLink"/>
                <w:rtl w:val="true"/>
              </w:rPr>
              <w:t>: {</w:t>
            </w:r>
            <w:r>
              <w:rPr>
                <w:rStyle w:val="IndexLink"/>
                <w:rtl w:val="true"/>
              </w:rPr>
              <w:t>وَ لْیَضْرِبْنَ بِخُمُرِهِنَّ عَلی جُیُوبِهِنَّ</w:t>
            </w:r>
            <w:r>
              <w:rPr>
                <w:rStyle w:val="IndexLink"/>
                <w:rtl w:val="true"/>
              </w:rPr>
              <w:t>}</w:t>
              <w:tab/>
            </w:r>
            <w:r>
              <w:rPr>
                <w:rStyle w:val="IndexLink"/>
              </w:rPr>
              <w:t>280</w:t>
            </w:r>
          </w:hyperlink>
        </w:p>
        <w:p>
          <w:pPr>
            <w:pStyle w:val="Contents6"/>
            <w:tabs>
              <w:tab w:val="clear" w:pos="7609"/>
              <w:tab w:val="right" w:pos="9026" w:leader="dot"/>
            </w:tabs>
            <w:rPr/>
          </w:pPr>
          <w:hyperlink w:anchor="__RefHeading___Toc2133740_237004111">
            <w:r>
              <w:rPr>
                <w:webHidden/>
                <w:rStyle w:val="IndexLink"/>
                <w:rtl w:val="true"/>
              </w:rPr>
              <w:t>الدلیل السادس</w:t>
            </w:r>
            <w:r>
              <w:rPr>
                <w:rStyle w:val="IndexLink"/>
                <w:rtl w:val="true"/>
              </w:rPr>
              <w:t xml:space="preserve">: </w:t>
            </w:r>
            <w:r>
              <w:rPr>
                <w:rStyle w:val="IndexLink"/>
                <w:rtl w:val="true"/>
              </w:rPr>
              <w:t>آیة الحجاب</w:t>
            </w:r>
            <w:r>
              <w:rPr>
                <w:rStyle w:val="IndexLink"/>
                <w:rtl w:val="true"/>
              </w:rPr>
              <w:tab/>
            </w:r>
            <w:r>
              <w:rPr>
                <w:rStyle w:val="IndexLink"/>
              </w:rPr>
              <w:t>281</w:t>
            </w:r>
          </w:hyperlink>
        </w:p>
        <w:p>
          <w:pPr>
            <w:pStyle w:val="Contents6"/>
            <w:tabs>
              <w:tab w:val="clear" w:pos="7609"/>
              <w:tab w:val="right" w:pos="9026" w:leader="dot"/>
            </w:tabs>
            <w:rPr/>
          </w:pPr>
          <w:hyperlink w:anchor="__RefHeading___Toc2133742_237004111">
            <w:r>
              <w:rPr>
                <w:webHidden/>
                <w:rStyle w:val="IndexLink"/>
                <w:rtl w:val="true"/>
              </w:rPr>
              <w:t>الدلیل السابع</w:t>
            </w:r>
            <w:r>
              <w:rPr>
                <w:rStyle w:val="IndexLink"/>
                <w:rtl w:val="true"/>
              </w:rPr>
              <w:t xml:space="preserve">: </w:t>
            </w:r>
            <w:r>
              <w:rPr>
                <w:rStyle w:val="IndexLink"/>
                <w:rtl w:val="true"/>
              </w:rPr>
              <w:t>الروایات الدالة علی جواز النظر إلی وجه المرأة ویدیها إذا أراد الزواج بها</w:t>
            </w:r>
            <w:r>
              <w:rPr>
                <w:rStyle w:val="IndexLink"/>
                <w:rtl w:val="true"/>
              </w:rPr>
              <w:tab/>
            </w:r>
            <w:r>
              <w:rPr>
                <w:rStyle w:val="IndexLink"/>
              </w:rPr>
              <w:t>282</w:t>
            </w:r>
          </w:hyperlink>
        </w:p>
        <w:p>
          <w:pPr>
            <w:pStyle w:val="Contents6"/>
            <w:tabs>
              <w:tab w:val="clear" w:pos="7609"/>
              <w:tab w:val="right" w:pos="9026" w:leader="dot"/>
            </w:tabs>
            <w:rPr/>
          </w:pPr>
          <w:hyperlink w:anchor="__RefHeading___Toc2133744_237004111">
            <w:r>
              <w:rPr>
                <w:webHidden/>
                <w:rStyle w:val="IndexLink"/>
                <w:rtl w:val="true"/>
              </w:rPr>
              <w:t>اشارة</w:t>
            </w:r>
            <w:r>
              <w:rPr>
                <w:rStyle w:val="IndexLink"/>
                <w:rtl w:val="true"/>
              </w:rPr>
              <w:tab/>
            </w:r>
            <w:r>
              <w:rPr>
                <w:rStyle w:val="IndexLink"/>
              </w:rPr>
              <w:t>282</w:t>
            </w:r>
          </w:hyperlink>
        </w:p>
        <w:p>
          <w:pPr>
            <w:pStyle w:val="Contents6"/>
            <w:tabs>
              <w:tab w:val="clear" w:pos="7609"/>
              <w:tab w:val="right" w:pos="9026" w:leader="dot"/>
            </w:tabs>
            <w:rPr/>
          </w:pPr>
          <w:hyperlink w:anchor="__RefHeading___Toc2133746_237004111">
            <w:r>
              <w:rPr>
                <w:webHidden/>
                <w:rStyle w:val="IndexLink"/>
                <w:rtl w:val="true"/>
              </w:rPr>
              <w:t>الإشکالات علی الدلیل السابع</w:t>
            </w:r>
            <w:r>
              <w:rPr>
                <w:rStyle w:val="IndexLink"/>
                <w:rtl w:val="true"/>
              </w:rPr>
              <w:tab/>
            </w:r>
            <w:r>
              <w:rPr>
                <w:rStyle w:val="IndexLink"/>
              </w:rPr>
              <w:t>282</w:t>
            </w:r>
          </w:hyperlink>
        </w:p>
        <w:p>
          <w:pPr>
            <w:pStyle w:val="Contents6"/>
            <w:tabs>
              <w:tab w:val="clear" w:pos="7609"/>
              <w:tab w:val="right" w:pos="9026" w:leader="dot"/>
            </w:tabs>
            <w:rPr/>
          </w:pPr>
          <w:hyperlink w:anchor="__RefHeading___Toc2133748_237004111">
            <w:r>
              <w:rPr>
                <w:webHidden/>
                <w:rStyle w:val="IndexLink"/>
                <w:rtl w:val="true"/>
              </w:rPr>
              <w:t>اشارة</w:t>
            </w:r>
            <w:r>
              <w:rPr>
                <w:rStyle w:val="IndexLink"/>
                <w:rtl w:val="true"/>
              </w:rPr>
              <w:tab/>
            </w:r>
            <w:r>
              <w:rPr>
                <w:rStyle w:val="IndexLink"/>
              </w:rPr>
              <w:t>282</w:t>
            </w:r>
          </w:hyperlink>
        </w:p>
        <w:p>
          <w:pPr>
            <w:pStyle w:val="Contents6"/>
            <w:tabs>
              <w:tab w:val="clear" w:pos="7609"/>
              <w:tab w:val="right" w:pos="9026" w:leader="dot"/>
            </w:tabs>
            <w:rPr/>
          </w:pPr>
          <w:hyperlink w:anchor="__RefHeading___Toc2133750_237004111">
            <w:r>
              <w:rPr>
                <w:webHidden/>
                <w:rStyle w:val="IndexLink"/>
                <w:rtl w:val="true"/>
              </w:rPr>
              <w:t>الإشکال الأول</w:t>
            </w:r>
            <w:r>
              <w:rPr>
                <w:rStyle w:val="IndexLink"/>
                <w:rtl w:val="true"/>
              </w:rPr>
              <w:t xml:space="preserve">: </w:t>
            </w:r>
            <w:r>
              <w:rPr>
                <w:rStyle w:val="IndexLink"/>
                <w:rtl w:val="true"/>
              </w:rPr>
              <w:t>الروایات أجنبیة عما نحن فیه</w:t>
            </w:r>
            <w:r>
              <w:rPr>
                <w:rStyle w:val="IndexLink"/>
                <w:rtl w:val="true"/>
              </w:rPr>
              <w:tab/>
            </w:r>
            <w:r>
              <w:rPr>
                <w:rStyle w:val="IndexLink"/>
              </w:rPr>
              <w:t>282</w:t>
            </w:r>
          </w:hyperlink>
        </w:p>
        <w:p>
          <w:pPr>
            <w:pStyle w:val="Contents6"/>
            <w:tabs>
              <w:tab w:val="clear" w:pos="7609"/>
              <w:tab w:val="right" w:pos="9026" w:leader="dot"/>
            </w:tabs>
            <w:rPr/>
          </w:pPr>
          <w:hyperlink w:anchor="__RefHeading___Toc2133752_237004111">
            <w:r>
              <w:rPr>
                <w:webHidden/>
                <w:rStyle w:val="IndexLink"/>
                <w:rtl w:val="true"/>
              </w:rPr>
              <w:t>الإشکال الثانی</w:t>
            </w:r>
            <w:r>
              <w:rPr>
                <w:rStyle w:val="IndexLink"/>
                <w:rtl w:val="true"/>
              </w:rPr>
              <w:t xml:space="preserve">: </w:t>
            </w:r>
            <w:r>
              <w:rPr>
                <w:rStyle w:val="IndexLink"/>
                <w:rtl w:val="true"/>
              </w:rPr>
              <w:t>مفهوم الروایات عدم جواز النظر عند عدم إرادة التزویج</w:t>
            </w:r>
            <w:r>
              <w:rPr>
                <w:rStyle w:val="IndexLink"/>
                <w:rtl w:val="true"/>
              </w:rPr>
              <w:tab/>
            </w:r>
            <w:r>
              <w:rPr>
                <w:rStyle w:val="IndexLink"/>
              </w:rPr>
              <w:t>283</w:t>
            </w:r>
          </w:hyperlink>
        </w:p>
        <w:p>
          <w:pPr>
            <w:pStyle w:val="Contents6"/>
            <w:tabs>
              <w:tab w:val="clear" w:pos="7609"/>
              <w:tab w:val="right" w:pos="9026" w:leader="dot"/>
            </w:tabs>
            <w:rPr/>
          </w:pPr>
          <w:hyperlink w:anchor="__RefHeading___Toc2133754_237004111">
            <w:r>
              <w:rPr>
                <w:webHidden/>
                <w:rStyle w:val="IndexLink"/>
                <w:rtl w:val="true"/>
              </w:rPr>
              <w:t>الإشکال الثالث</w:t>
            </w:r>
            <w:r>
              <w:rPr>
                <w:rStyle w:val="IndexLink"/>
                <w:rtl w:val="true"/>
              </w:rPr>
              <w:t xml:space="preserve">: </w:t>
            </w:r>
            <w:r>
              <w:rPr>
                <w:rStyle w:val="IndexLink"/>
                <w:rtl w:val="true"/>
              </w:rPr>
              <w:t>حمل الروایات المانعة علی الکراهة</w:t>
            </w:r>
            <w:r>
              <w:rPr>
                <w:rStyle w:val="IndexLink"/>
                <w:rtl w:val="true"/>
              </w:rPr>
              <w:tab/>
            </w:r>
            <w:r>
              <w:rPr>
                <w:rStyle w:val="IndexLink"/>
              </w:rPr>
              <w:t>284</w:t>
            </w:r>
          </w:hyperlink>
        </w:p>
        <w:p>
          <w:pPr>
            <w:pStyle w:val="Contents6"/>
            <w:tabs>
              <w:tab w:val="clear" w:pos="7609"/>
              <w:tab w:val="right" w:pos="9026" w:leader="dot"/>
            </w:tabs>
            <w:rPr/>
          </w:pPr>
          <w:hyperlink w:anchor="__RefHeading___Toc2133756_237004111">
            <w:r>
              <w:rPr>
                <w:webHidden/>
                <w:rStyle w:val="IndexLink"/>
                <w:rtl w:val="true"/>
              </w:rPr>
              <w:t>الإشکال الرابع</w:t>
            </w:r>
            <w:r>
              <w:rPr>
                <w:rStyle w:val="IndexLink"/>
                <w:rtl w:val="true"/>
              </w:rPr>
              <w:t xml:space="preserve">: </w:t>
            </w:r>
            <w:r>
              <w:rPr>
                <w:rStyle w:val="IndexLink"/>
                <w:rtl w:val="true"/>
              </w:rPr>
              <w:t>تقدیم روایات جواز النظر</w:t>
            </w:r>
            <w:r>
              <w:rPr>
                <w:rStyle w:val="IndexLink"/>
                <w:rtl w:val="true"/>
              </w:rPr>
              <w:tab/>
            </w:r>
            <w:r>
              <w:rPr>
                <w:rStyle w:val="IndexLink"/>
              </w:rPr>
              <w:t>285</w:t>
            </w:r>
          </w:hyperlink>
        </w:p>
        <w:p>
          <w:pPr>
            <w:pStyle w:val="Contents6"/>
            <w:tabs>
              <w:tab w:val="clear" w:pos="7609"/>
              <w:tab w:val="right" w:pos="9026" w:leader="dot"/>
            </w:tabs>
            <w:rPr/>
          </w:pPr>
          <w:hyperlink w:anchor="__RefHeading___Toc2133758_237004111">
            <w:r>
              <w:rPr>
                <w:webHidden/>
                <w:rStyle w:val="IndexLink"/>
                <w:rtl w:val="true"/>
              </w:rPr>
              <w:t>الإشکال الخامس</w:t>
            </w:r>
            <w:r>
              <w:rPr>
                <w:rStyle w:val="IndexLink"/>
                <w:rtl w:val="true"/>
              </w:rPr>
              <w:t xml:space="preserve">: </w:t>
            </w:r>
            <w:r>
              <w:rPr>
                <w:rStyle w:val="IndexLink"/>
                <w:rtl w:val="true"/>
              </w:rPr>
              <w:t>ترجیح روایات الجواز لمخالفتها للعامة</w:t>
            </w:r>
            <w:r>
              <w:rPr>
                <w:rStyle w:val="IndexLink"/>
                <w:rtl w:val="true"/>
              </w:rPr>
              <w:tab/>
            </w:r>
            <w:r>
              <w:rPr>
                <w:rStyle w:val="IndexLink"/>
              </w:rPr>
              <w:t>285</w:t>
            </w:r>
          </w:hyperlink>
        </w:p>
        <w:p>
          <w:pPr>
            <w:pStyle w:val="Contents6"/>
            <w:tabs>
              <w:tab w:val="clear" w:pos="7609"/>
              <w:tab w:val="right" w:pos="9026" w:leader="dot"/>
            </w:tabs>
            <w:rPr/>
          </w:pPr>
          <w:hyperlink w:anchor="__RefHeading___Toc2133760_237004111">
            <w:r>
              <w:rPr>
                <w:webHidden/>
                <w:rStyle w:val="IndexLink"/>
                <w:rtl w:val="true"/>
              </w:rPr>
              <w:t>الإشکال السادس</w:t>
            </w:r>
            <w:r>
              <w:rPr>
                <w:rStyle w:val="IndexLink"/>
                <w:rtl w:val="true"/>
              </w:rPr>
              <w:t xml:space="preserve">: </w:t>
            </w:r>
            <w:r>
              <w:rPr>
                <w:rStyle w:val="IndexLink"/>
                <w:rtl w:val="true"/>
              </w:rPr>
              <w:t>تقدیم روایات الجواز للأحدثیة</w:t>
            </w:r>
            <w:r>
              <w:rPr>
                <w:rStyle w:val="IndexLink"/>
                <w:rtl w:val="true"/>
              </w:rPr>
              <w:tab/>
            </w:r>
            <w:r>
              <w:rPr>
                <w:rStyle w:val="IndexLink"/>
              </w:rPr>
              <w:t>285</w:t>
            </w:r>
          </w:hyperlink>
        </w:p>
        <w:p>
          <w:pPr>
            <w:pStyle w:val="Contents6"/>
            <w:tabs>
              <w:tab w:val="clear" w:pos="7609"/>
              <w:tab w:val="right" w:pos="9026" w:leader="dot"/>
            </w:tabs>
            <w:rPr/>
          </w:pPr>
          <w:hyperlink w:anchor="__RefHeading___Toc2133762_237004111">
            <w:r>
              <w:rPr>
                <w:webHidden/>
                <w:rStyle w:val="IndexLink"/>
                <w:rtl w:val="true"/>
              </w:rPr>
              <w:t>الإشکال السابع</w:t>
            </w:r>
            <w:r>
              <w:rPr>
                <w:rStyle w:val="IndexLink"/>
                <w:rtl w:val="true"/>
              </w:rPr>
              <w:t xml:space="preserve">: </w:t>
            </w:r>
            <w:r>
              <w:rPr>
                <w:rStyle w:val="IndexLink"/>
                <w:rtl w:val="true"/>
              </w:rPr>
              <w:t>عند التعارض نختار روایات الجواز</w:t>
            </w:r>
            <w:r>
              <w:rPr>
                <w:rStyle w:val="IndexLink"/>
                <w:rtl w:val="true"/>
              </w:rPr>
              <w:tab/>
            </w:r>
            <w:r>
              <w:rPr>
                <w:rStyle w:val="IndexLink"/>
              </w:rPr>
              <w:t>286</w:t>
            </w:r>
          </w:hyperlink>
        </w:p>
        <w:p>
          <w:pPr>
            <w:pStyle w:val="Contents6"/>
            <w:tabs>
              <w:tab w:val="clear" w:pos="7609"/>
              <w:tab w:val="right" w:pos="9026" w:leader="dot"/>
            </w:tabs>
            <w:rPr/>
          </w:pPr>
          <w:hyperlink w:anchor="__RefHeading___Toc2133764_237004111">
            <w:r>
              <w:rPr>
                <w:webHidden/>
                <w:rStyle w:val="IndexLink"/>
                <w:rtl w:val="true"/>
              </w:rPr>
              <w:t>الإشکال الثامن</w:t>
            </w:r>
            <w:r>
              <w:rPr>
                <w:rStyle w:val="IndexLink"/>
                <w:rtl w:val="true"/>
              </w:rPr>
              <w:t xml:space="preserve">: </w:t>
            </w:r>
            <w:r>
              <w:rPr>
                <w:rStyle w:val="IndexLink"/>
                <w:rtl w:val="true"/>
              </w:rPr>
              <w:t>مقتضی الأصل الأولی هو البراءة</w:t>
            </w:r>
            <w:r>
              <w:rPr>
                <w:rStyle w:val="IndexLink"/>
                <w:rtl w:val="true"/>
              </w:rPr>
              <w:tab/>
            </w:r>
            <w:r>
              <w:rPr>
                <w:rStyle w:val="IndexLink"/>
              </w:rPr>
              <w:t>286</w:t>
            </w:r>
          </w:hyperlink>
        </w:p>
        <w:p>
          <w:pPr>
            <w:pStyle w:val="Contents6"/>
            <w:tabs>
              <w:tab w:val="clear" w:pos="7609"/>
              <w:tab w:val="right" w:pos="9026" w:leader="dot"/>
            </w:tabs>
            <w:rPr/>
          </w:pPr>
          <w:hyperlink w:anchor="__RefHeading___Toc2133766_237004111">
            <w:r>
              <w:rPr>
                <w:webHidden/>
                <w:rStyle w:val="IndexLink"/>
                <w:rtl w:val="true"/>
              </w:rPr>
              <w:t>الدلیل الثامن</w:t>
            </w:r>
            <w:r>
              <w:rPr>
                <w:rStyle w:val="IndexLink"/>
                <w:rtl w:val="true"/>
              </w:rPr>
              <w:t xml:space="preserve">: </w:t>
            </w:r>
            <w:r>
              <w:rPr>
                <w:rStyle w:val="IndexLink"/>
                <w:rtl w:val="true"/>
              </w:rPr>
              <w:t>الأخبار الدالة علی جواز النظر إلی وجه الذمیة ویدیها</w:t>
            </w:r>
            <w:r>
              <w:rPr>
                <w:rStyle w:val="IndexLink"/>
                <w:rtl w:val="true"/>
              </w:rPr>
              <w:tab/>
            </w:r>
            <w:r>
              <w:rPr>
                <w:rStyle w:val="IndexLink"/>
              </w:rPr>
              <w:t>286</w:t>
            </w:r>
          </w:hyperlink>
        </w:p>
        <w:p>
          <w:pPr>
            <w:pStyle w:val="Contents6"/>
            <w:tabs>
              <w:tab w:val="clear" w:pos="7609"/>
              <w:tab w:val="right" w:pos="9026" w:leader="dot"/>
            </w:tabs>
            <w:rPr/>
          </w:pPr>
          <w:hyperlink w:anchor="__RefHeading___Toc2133768_237004111">
            <w:r>
              <w:rPr>
                <w:webHidden/>
                <w:rStyle w:val="IndexLink"/>
                <w:rtl w:val="true"/>
              </w:rPr>
              <w:t>الدلیل التاسع</w:t>
            </w:r>
            <w:r>
              <w:rPr>
                <w:rStyle w:val="IndexLink"/>
                <w:rtl w:val="true"/>
              </w:rPr>
              <w:t xml:space="preserve">: </w:t>
            </w:r>
            <w:r>
              <w:rPr>
                <w:rStyle w:val="IndexLink"/>
                <w:rtl w:val="true"/>
              </w:rPr>
              <w:t>صحیحة الصفار</w:t>
            </w:r>
            <w:r>
              <w:rPr>
                <w:rStyle w:val="IndexLink"/>
                <w:rtl w:val="true"/>
              </w:rPr>
              <w:tab/>
            </w:r>
            <w:r>
              <w:rPr>
                <w:rStyle w:val="IndexLink"/>
              </w:rPr>
              <w:t>288</w:t>
            </w:r>
          </w:hyperlink>
        </w:p>
        <w:p>
          <w:pPr>
            <w:pStyle w:val="Contents6"/>
            <w:tabs>
              <w:tab w:val="clear" w:pos="7609"/>
              <w:tab w:val="right" w:pos="9026" w:leader="dot"/>
            </w:tabs>
            <w:rPr/>
          </w:pPr>
          <w:hyperlink w:anchor="__RefHeading___Toc2133770_237004111">
            <w:r>
              <w:rPr>
                <w:webHidden/>
                <w:rStyle w:val="IndexLink"/>
                <w:rtl w:val="true"/>
              </w:rPr>
              <w:t>الدلیل العاشر</w:t>
            </w:r>
            <w:r>
              <w:rPr>
                <w:rStyle w:val="IndexLink"/>
                <w:rtl w:val="true"/>
              </w:rPr>
              <w:t xml:space="preserve">: </w:t>
            </w:r>
            <w:r>
              <w:rPr>
                <w:rStyle w:val="IndexLink"/>
                <w:rtl w:val="true"/>
              </w:rPr>
              <w:t>صحیحة الفضیل</w:t>
            </w:r>
            <w:r>
              <w:rPr>
                <w:rStyle w:val="IndexLink"/>
                <w:rtl w:val="true"/>
              </w:rPr>
              <w:tab/>
            </w:r>
            <w:r>
              <w:rPr>
                <w:rStyle w:val="IndexLink"/>
              </w:rPr>
              <w:t>293</w:t>
            </w:r>
          </w:hyperlink>
        </w:p>
        <w:p>
          <w:pPr>
            <w:pStyle w:val="Contents6"/>
            <w:tabs>
              <w:tab w:val="clear" w:pos="7609"/>
              <w:tab w:val="right" w:pos="9026" w:leader="dot"/>
            </w:tabs>
            <w:rPr/>
          </w:pPr>
          <w:hyperlink w:anchor="__RefHeading___Toc2133772_237004111">
            <w:r>
              <w:rPr>
                <w:webHidden/>
                <w:rStyle w:val="IndexLink"/>
                <w:rtl w:val="true"/>
              </w:rPr>
              <w:t>الدلیل الحادی عشر</w:t>
            </w:r>
            <w:r>
              <w:rPr>
                <w:rStyle w:val="IndexLink"/>
                <w:rtl w:val="true"/>
              </w:rPr>
              <w:t xml:space="preserve">: </w:t>
            </w:r>
            <w:r>
              <w:rPr>
                <w:rStyle w:val="IndexLink"/>
                <w:rtl w:val="true"/>
              </w:rPr>
              <w:t>الأخبار الدالة علی أن النظر إلی الأجنبیة سهم من سهام إبلیس</w:t>
            </w:r>
            <w:r>
              <w:rPr>
                <w:rStyle w:val="IndexLink"/>
                <w:rtl w:val="true"/>
              </w:rPr>
              <w:tab/>
            </w:r>
            <w:r>
              <w:rPr>
                <w:rStyle w:val="IndexLink"/>
              </w:rPr>
              <w:t>294</w:t>
            </w:r>
          </w:hyperlink>
        </w:p>
        <w:p>
          <w:pPr>
            <w:pStyle w:val="Contents6"/>
            <w:tabs>
              <w:tab w:val="clear" w:pos="7609"/>
              <w:tab w:val="right" w:pos="9026" w:leader="dot"/>
            </w:tabs>
            <w:rPr/>
          </w:pPr>
          <w:hyperlink w:anchor="__RefHeading___Toc2133774_237004111">
            <w:r>
              <w:rPr>
                <w:webHidden/>
                <w:rStyle w:val="IndexLink"/>
                <w:rtl w:val="true"/>
              </w:rPr>
              <w:t>الدلیل الثانی عشر</w:t>
            </w:r>
            <w:r>
              <w:rPr>
                <w:rStyle w:val="IndexLink"/>
                <w:rtl w:val="true"/>
              </w:rPr>
              <w:t xml:space="preserve">: </w:t>
            </w:r>
            <w:r>
              <w:rPr>
                <w:rStyle w:val="IndexLink"/>
                <w:rtl w:val="true"/>
              </w:rPr>
              <w:t>روایة الفضیل</w:t>
            </w:r>
            <w:r>
              <w:rPr>
                <w:rStyle w:val="IndexLink"/>
                <w:rtl w:val="true"/>
              </w:rPr>
              <w:tab/>
            </w:r>
            <w:r>
              <w:rPr>
                <w:rStyle w:val="IndexLink"/>
              </w:rPr>
              <w:t>298</w:t>
            </w:r>
          </w:hyperlink>
        </w:p>
        <w:p>
          <w:pPr>
            <w:pStyle w:val="Contents6"/>
            <w:tabs>
              <w:tab w:val="clear" w:pos="7609"/>
              <w:tab w:val="right" w:pos="9026" w:leader="dot"/>
            </w:tabs>
            <w:rPr/>
          </w:pPr>
          <w:hyperlink w:anchor="__RefHeading___Toc2133776_237004111">
            <w:r>
              <w:rPr>
                <w:webHidden/>
                <w:rStyle w:val="IndexLink"/>
                <w:rtl w:val="true"/>
              </w:rPr>
              <w:t>الدلیل الثالث عشر</w:t>
            </w:r>
            <w:r>
              <w:rPr>
                <w:rStyle w:val="IndexLink"/>
                <w:rtl w:val="true"/>
              </w:rPr>
              <w:t xml:space="preserve">: </w:t>
            </w:r>
            <w:r>
              <w:rPr>
                <w:rStyle w:val="IndexLink"/>
                <w:rtl w:val="true"/>
              </w:rPr>
              <w:t>الروایات الدالة علی ذم أهل الکوفة ویزید لإبدائهم المخدرات</w:t>
            </w:r>
            <w:r>
              <w:rPr>
                <w:rStyle w:val="IndexLink"/>
                <w:rtl w:val="true"/>
              </w:rPr>
              <w:tab/>
            </w:r>
            <w:r>
              <w:rPr>
                <w:rStyle w:val="IndexLink"/>
              </w:rPr>
              <w:t>301</w:t>
            </w:r>
          </w:hyperlink>
        </w:p>
        <w:p>
          <w:pPr>
            <w:pStyle w:val="Contents6"/>
            <w:tabs>
              <w:tab w:val="clear" w:pos="7609"/>
              <w:tab w:val="right" w:pos="9026" w:leader="dot"/>
            </w:tabs>
            <w:rPr/>
          </w:pPr>
          <w:hyperlink w:anchor="__RefHeading___Toc2133778_237004111">
            <w:r>
              <w:rPr>
                <w:webHidden/>
                <w:rStyle w:val="IndexLink"/>
                <w:rtl w:val="true"/>
              </w:rPr>
              <w:t>الدلیل الرابع عشر</w:t>
            </w:r>
            <w:r>
              <w:rPr>
                <w:rStyle w:val="IndexLink"/>
                <w:rtl w:val="true"/>
              </w:rPr>
              <w:t xml:space="preserve">: </w:t>
            </w:r>
            <w:r>
              <w:rPr>
                <w:rStyle w:val="IndexLink"/>
                <w:rtl w:val="true"/>
              </w:rPr>
              <w:t>دلیل العقل</w:t>
            </w:r>
            <w:r>
              <w:rPr>
                <w:rStyle w:val="IndexLink"/>
                <w:rtl w:val="true"/>
              </w:rPr>
              <w:tab/>
            </w:r>
            <w:r>
              <w:rPr>
                <w:rStyle w:val="IndexLink"/>
              </w:rPr>
              <w:t>302</w:t>
            </w:r>
          </w:hyperlink>
        </w:p>
        <w:p>
          <w:pPr>
            <w:pStyle w:val="Contents6"/>
            <w:tabs>
              <w:tab w:val="clear" w:pos="7609"/>
              <w:tab w:val="right" w:pos="9026" w:leader="dot"/>
            </w:tabs>
            <w:rPr/>
          </w:pPr>
          <w:hyperlink w:anchor="__RefHeading___Toc2133780_237004111">
            <w:r>
              <w:rPr>
                <w:webHidden/>
                <w:rStyle w:val="IndexLink"/>
                <w:rtl w:val="true"/>
              </w:rPr>
              <w:t>الدلیل الخامس عشر</w:t>
            </w:r>
            <w:r>
              <w:rPr>
                <w:rStyle w:val="IndexLink"/>
                <w:rtl w:val="true"/>
              </w:rPr>
              <w:t xml:space="preserve">: </w:t>
            </w:r>
            <w:r>
              <w:rPr>
                <w:rStyle w:val="IndexLink"/>
                <w:rtl w:val="true"/>
              </w:rPr>
              <w:t>الإجماع</w:t>
            </w:r>
            <w:r>
              <w:rPr>
                <w:rStyle w:val="IndexLink"/>
                <w:rtl w:val="true"/>
              </w:rPr>
              <w:tab/>
            </w:r>
            <w:r>
              <w:rPr>
                <w:rStyle w:val="IndexLink"/>
              </w:rPr>
              <w:t>304</w:t>
            </w:r>
          </w:hyperlink>
        </w:p>
        <w:p>
          <w:pPr>
            <w:pStyle w:val="Contents6"/>
            <w:tabs>
              <w:tab w:val="clear" w:pos="7609"/>
              <w:tab w:val="right" w:pos="9026" w:leader="dot"/>
            </w:tabs>
            <w:rPr/>
          </w:pPr>
          <w:hyperlink w:anchor="__RefHeading___Toc2133782_237004111">
            <w:r>
              <w:rPr>
                <w:webHidden/>
                <w:rStyle w:val="IndexLink"/>
                <w:rtl w:val="true"/>
              </w:rPr>
              <w:t>الدلیل السادس عشر</w:t>
            </w:r>
            <w:r>
              <w:rPr>
                <w:rStyle w:val="IndexLink"/>
                <w:rtl w:val="true"/>
              </w:rPr>
              <w:t xml:space="preserve">: </w:t>
            </w:r>
            <w:r>
              <w:rPr>
                <w:rStyle w:val="IndexLink"/>
                <w:rtl w:val="true"/>
              </w:rPr>
              <w:t>السیرة المستمرة علی الستر وعدم النظر</w:t>
            </w:r>
            <w:r>
              <w:rPr>
                <w:rStyle w:val="IndexLink"/>
                <w:rtl w:val="true"/>
              </w:rPr>
              <w:tab/>
            </w:r>
            <w:r>
              <w:rPr>
                <w:rStyle w:val="IndexLink"/>
              </w:rPr>
              <w:t>307</w:t>
            </w:r>
          </w:hyperlink>
        </w:p>
        <w:p>
          <w:pPr>
            <w:pStyle w:val="Contents6"/>
            <w:tabs>
              <w:tab w:val="clear" w:pos="7609"/>
              <w:tab w:val="right" w:pos="9026" w:leader="dot"/>
            </w:tabs>
            <w:rPr/>
          </w:pPr>
          <w:hyperlink w:anchor="__RefHeading___Toc2133784_237004111">
            <w:r>
              <w:rPr>
                <w:webHidden/>
                <w:rStyle w:val="IndexLink"/>
                <w:rtl w:val="true"/>
              </w:rPr>
              <w:t>الدلیل السابع عشر</w:t>
            </w:r>
            <w:r>
              <w:rPr>
                <w:rStyle w:val="IndexLink"/>
                <w:rtl w:val="true"/>
              </w:rPr>
              <w:t xml:space="preserve">: </w:t>
            </w:r>
            <w:r>
              <w:rPr>
                <w:rStyle w:val="IndexLink"/>
                <w:rtl w:val="true"/>
              </w:rPr>
              <w:t>الستر مقتضی مرتکزات المتشرعة</w:t>
            </w:r>
            <w:r>
              <w:rPr>
                <w:rStyle w:val="IndexLink"/>
                <w:rtl w:val="true"/>
              </w:rPr>
              <w:tab/>
            </w:r>
            <w:r>
              <w:rPr>
                <w:rStyle w:val="IndexLink"/>
              </w:rPr>
              <w:t>308</w:t>
            </w:r>
          </w:hyperlink>
        </w:p>
        <w:p>
          <w:pPr>
            <w:pStyle w:val="Contents6"/>
            <w:tabs>
              <w:tab w:val="clear" w:pos="7609"/>
              <w:tab w:val="right" w:pos="9026" w:leader="dot"/>
            </w:tabs>
            <w:rPr/>
          </w:pPr>
          <w:hyperlink w:anchor="__RefHeading___Toc2133786_237004111">
            <w:r>
              <w:rPr>
                <w:webHidden/>
                <w:rStyle w:val="IndexLink"/>
                <w:rtl w:val="true"/>
              </w:rPr>
              <w:t>الدلیل الثامن عشر</w:t>
            </w:r>
            <w:r>
              <w:rPr>
                <w:rStyle w:val="IndexLink"/>
                <w:rtl w:val="true"/>
              </w:rPr>
              <w:t xml:space="preserve">: </w:t>
            </w:r>
            <w:r>
              <w:rPr>
                <w:rStyle w:val="IndexLink"/>
                <w:rtl w:val="true"/>
              </w:rPr>
              <w:t xml:space="preserve">اجتناب النبی والأئمة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واتباعهم عن النظر</w:t>
            </w:r>
            <w:r>
              <w:rPr>
                <w:rStyle w:val="IndexLink"/>
                <w:rtl w:val="true"/>
              </w:rPr>
              <w:tab/>
            </w:r>
            <w:r>
              <w:rPr>
                <w:rStyle w:val="IndexLink"/>
              </w:rPr>
              <w:t>309</w:t>
            </w:r>
          </w:hyperlink>
        </w:p>
        <w:p>
          <w:pPr>
            <w:pStyle w:val="Contents6"/>
            <w:tabs>
              <w:tab w:val="clear" w:pos="7609"/>
              <w:tab w:val="right" w:pos="9026" w:leader="dot"/>
            </w:tabs>
            <w:rPr/>
          </w:pPr>
          <w:hyperlink w:anchor="__RefHeading___Toc2133788_237004111">
            <w:r>
              <w:rPr>
                <w:webHidden/>
                <w:rStyle w:val="IndexLink"/>
                <w:rtl w:val="true"/>
              </w:rPr>
              <w:t>الدلیل التاسع عشر</w:t>
            </w:r>
            <w:r>
              <w:rPr>
                <w:rStyle w:val="IndexLink"/>
                <w:rtl w:val="true"/>
              </w:rPr>
              <w:t xml:space="preserve">: </w:t>
            </w:r>
            <w:r>
              <w:rPr>
                <w:rStyle w:val="IndexLink"/>
                <w:rtl w:val="true"/>
              </w:rPr>
              <w:t>معرفة المسلمین والمسلمات بالتستر</w:t>
            </w:r>
            <w:r>
              <w:rPr>
                <w:rStyle w:val="IndexLink"/>
                <w:rtl w:val="true"/>
              </w:rPr>
              <w:tab/>
            </w:r>
            <w:r>
              <w:rPr>
                <w:rStyle w:val="IndexLink"/>
              </w:rPr>
              <w:t>309</w:t>
            </w:r>
          </w:hyperlink>
        </w:p>
        <w:p>
          <w:pPr>
            <w:pStyle w:val="Contents6"/>
            <w:tabs>
              <w:tab w:val="clear" w:pos="7609"/>
              <w:tab w:val="right" w:pos="9026" w:leader="dot"/>
            </w:tabs>
            <w:rPr/>
          </w:pPr>
          <w:hyperlink w:anchor="__RefHeading___Toc2133790_237004111">
            <w:r>
              <w:rPr>
                <w:webHidden/>
                <w:rStyle w:val="IndexLink"/>
                <w:rtl w:val="true"/>
              </w:rPr>
              <w:t>الدلیل العشرون</w:t>
            </w:r>
            <w:r>
              <w:rPr>
                <w:rStyle w:val="IndexLink"/>
                <w:rtl w:val="true"/>
              </w:rPr>
              <w:t xml:space="preserve">: </w:t>
            </w:r>
            <w:r>
              <w:rPr>
                <w:rStyle w:val="IndexLink"/>
                <w:rtl w:val="true"/>
              </w:rPr>
              <w:t>ارتکاز کون النظر معصیة توجب التوبة</w:t>
            </w:r>
            <w:r>
              <w:rPr>
                <w:rStyle w:val="IndexLink"/>
                <w:rtl w:val="true"/>
              </w:rPr>
              <w:tab/>
            </w:r>
            <w:r>
              <w:rPr>
                <w:rStyle w:val="IndexLink"/>
              </w:rPr>
              <w:t>310</w:t>
            </w:r>
          </w:hyperlink>
        </w:p>
        <w:p>
          <w:pPr>
            <w:pStyle w:val="Contents6"/>
            <w:tabs>
              <w:tab w:val="clear" w:pos="7609"/>
              <w:tab w:val="right" w:pos="9026" w:leader="dot"/>
            </w:tabs>
            <w:rPr/>
          </w:pPr>
          <w:hyperlink w:anchor="__RefHeading___Toc2133792_237004111">
            <w:r>
              <w:rPr>
                <w:webHidden/>
                <w:rStyle w:val="IndexLink"/>
                <w:rtl w:val="true"/>
              </w:rPr>
              <w:t>الدلیل الواحد والعشرون</w:t>
            </w:r>
            <w:r>
              <w:rPr>
                <w:rStyle w:val="IndexLink"/>
                <w:rtl w:val="true"/>
              </w:rPr>
              <w:t xml:space="preserve">: </w:t>
            </w:r>
            <w:r>
              <w:rPr>
                <w:rStyle w:val="IndexLink"/>
                <w:rtl w:val="true"/>
              </w:rPr>
              <w:t>قصور أدلة جواز النظر عن الدلالة</w:t>
            </w:r>
            <w:r>
              <w:rPr>
                <w:rStyle w:val="IndexLink"/>
                <w:rtl w:val="true"/>
              </w:rPr>
              <w:tab/>
            </w:r>
            <w:r>
              <w:rPr>
                <w:rStyle w:val="IndexLink"/>
              </w:rPr>
              <w:t>312</w:t>
            </w:r>
          </w:hyperlink>
        </w:p>
        <w:p>
          <w:pPr>
            <w:pStyle w:val="Contents6"/>
            <w:tabs>
              <w:tab w:val="clear" w:pos="7609"/>
              <w:tab w:val="right" w:pos="9026" w:leader="dot"/>
            </w:tabs>
            <w:rPr/>
          </w:pPr>
          <w:hyperlink w:anchor="__RefHeading___Toc2133794_237004111">
            <w:r>
              <w:rPr>
                <w:webHidden/>
                <w:rStyle w:val="IndexLink"/>
                <w:rtl w:val="true"/>
              </w:rPr>
              <w:t>الدلیل الثانی والعشرون</w:t>
            </w:r>
            <w:r>
              <w:rPr>
                <w:rStyle w:val="IndexLink"/>
                <w:rtl w:val="true"/>
              </w:rPr>
              <w:t xml:space="preserve">: </w:t>
            </w:r>
            <w:r>
              <w:rPr>
                <w:rStyle w:val="IndexLink"/>
                <w:rtl w:val="true"/>
              </w:rPr>
              <w:t>تتبع الأخبار یؤذن بالمنع من النظر</w:t>
            </w:r>
            <w:r>
              <w:rPr>
                <w:rStyle w:val="IndexLink"/>
                <w:rtl w:val="true"/>
              </w:rPr>
              <w:tab/>
            </w:r>
            <w:r>
              <w:rPr>
                <w:rStyle w:val="IndexLink"/>
              </w:rPr>
              <w:t>312</w:t>
            </w:r>
          </w:hyperlink>
        </w:p>
        <w:p>
          <w:pPr>
            <w:pStyle w:val="Contents6"/>
            <w:tabs>
              <w:tab w:val="clear" w:pos="7609"/>
              <w:tab w:val="right" w:pos="9026" w:leader="dot"/>
            </w:tabs>
            <w:rPr/>
          </w:pPr>
          <w:hyperlink w:anchor="__RefHeading___Toc2133796_237004111">
            <w:r>
              <w:rPr>
                <w:webHidden/>
                <w:rStyle w:val="IndexLink"/>
                <w:rtl w:val="true"/>
              </w:rPr>
              <w:t>الدلیل الثالث والعشرون</w:t>
            </w:r>
            <w:r>
              <w:rPr>
                <w:rStyle w:val="IndexLink"/>
                <w:rtl w:val="true"/>
              </w:rPr>
              <w:t xml:space="preserve">: </w:t>
            </w:r>
            <w:r>
              <w:rPr>
                <w:rStyle w:val="IndexLink"/>
                <w:rtl w:val="true"/>
              </w:rPr>
              <w:t>لو کان جواز النظر ثابتاً لکان من الواضحات المشهورات</w:t>
            </w:r>
            <w:r>
              <w:rPr>
                <w:rStyle w:val="IndexLink"/>
                <w:rtl w:val="true"/>
              </w:rPr>
              <w:tab/>
            </w:r>
            <w:r>
              <w:rPr>
                <w:rStyle w:val="IndexLink"/>
              </w:rPr>
              <w:t>316</w:t>
            </w:r>
          </w:hyperlink>
        </w:p>
        <w:p>
          <w:pPr>
            <w:pStyle w:val="Contents6"/>
            <w:tabs>
              <w:tab w:val="clear" w:pos="7609"/>
              <w:tab w:val="right" w:pos="9026" w:leader="dot"/>
            </w:tabs>
            <w:rPr/>
          </w:pPr>
          <w:hyperlink w:anchor="__RefHeading___Toc2133798_237004111">
            <w:r>
              <w:rPr>
                <w:webHidden/>
                <w:rStyle w:val="IndexLink"/>
                <w:rtl w:val="true"/>
              </w:rPr>
              <w:t>الدلیل الرابع والعشرون</w:t>
            </w:r>
            <w:r>
              <w:rPr>
                <w:rStyle w:val="IndexLink"/>
                <w:rtl w:val="true"/>
              </w:rPr>
              <w:t xml:space="preserve">: </w:t>
            </w:r>
            <w:r>
              <w:rPr>
                <w:rStyle w:val="IndexLink"/>
                <w:rtl w:val="true"/>
              </w:rPr>
              <w:t>الشهرة بین القدماء</w:t>
            </w:r>
            <w:r>
              <w:rPr>
                <w:rStyle w:val="IndexLink"/>
                <w:rtl w:val="true"/>
              </w:rPr>
              <w:tab/>
            </w:r>
            <w:r>
              <w:rPr>
                <w:rStyle w:val="IndexLink"/>
              </w:rPr>
              <w:t>318</w:t>
            </w:r>
          </w:hyperlink>
        </w:p>
        <w:p>
          <w:pPr>
            <w:pStyle w:val="Contents6"/>
            <w:tabs>
              <w:tab w:val="clear" w:pos="7609"/>
              <w:tab w:val="right" w:pos="9026" w:leader="dot"/>
            </w:tabs>
            <w:rPr/>
          </w:pPr>
          <w:hyperlink w:anchor="__RefHeading___Toc2133800_237004111">
            <w:r>
              <w:rPr>
                <w:webHidden/>
                <w:rStyle w:val="IndexLink"/>
                <w:rtl w:val="true"/>
              </w:rPr>
              <w:t>الدلیل الخامس والعشرون</w:t>
            </w:r>
            <w:r>
              <w:rPr>
                <w:rStyle w:val="IndexLink"/>
                <w:rtl w:val="true"/>
              </w:rPr>
              <w:t xml:space="preserve">: </w:t>
            </w:r>
            <w:r>
              <w:rPr>
                <w:rStyle w:val="IndexLink"/>
                <w:rtl w:val="true"/>
              </w:rPr>
              <w:t>الروایات الدالة علی حبس النساء فی البیوت</w:t>
            </w:r>
            <w:r>
              <w:rPr>
                <w:rStyle w:val="IndexLink"/>
                <w:rtl w:val="true"/>
              </w:rPr>
              <w:tab/>
            </w:r>
            <w:r>
              <w:rPr>
                <w:rStyle w:val="IndexLink"/>
              </w:rPr>
              <w:t>324</w:t>
            </w:r>
          </w:hyperlink>
        </w:p>
        <w:p>
          <w:pPr>
            <w:pStyle w:val="Contents6"/>
            <w:tabs>
              <w:tab w:val="clear" w:pos="7609"/>
              <w:tab w:val="right" w:pos="9026" w:leader="dot"/>
            </w:tabs>
            <w:rPr/>
          </w:pPr>
          <w:hyperlink w:anchor="__RefHeading___Toc2133802_237004111">
            <w:r>
              <w:rPr>
                <w:webHidden/>
                <w:rStyle w:val="IndexLink"/>
                <w:rtl w:val="true"/>
              </w:rPr>
              <w:t>الدلیل السادس والعشرون</w:t>
            </w:r>
            <w:r>
              <w:rPr>
                <w:rStyle w:val="IndexLink"/>
                <w:rtl w:val="true"/>
              </w:rPr>
              <w:t xml:space="preserve">: </w:t>
            </w:r>
            <w:r>
              <w:rPr>
                <w:rStyle w:val="IndexLink"/>
                <w:rtl w:val="true"/>
              </w:rPr>
              <w:t>الروایات الدالة علی أن المرأة عورة</w:t>
            </w:r>
            <w:r>
              <w:rPr>
                <w:rStyle w:val="IndexLink"/>
                <w:rtl w:val="true"/>
              </w:rPr>
              <w:tab/>
            </w:r>
            <w:r>
              <w:rPr>
                <w:rStyle w:val="IndexLink"/>
              </w:rPr>
              <w:t>327</w:t>
            </w:r>
          </w:hyperlink>
        </w:p>
        <w:p>
          <w:pPr>
            <w:pStyle w:val="Contents6"/>
            <w:tabs>
              <w:tab w:val="clear" w:pos="7609"/>
              <w:tab w:val="right" w:pos="9026" w:leader="dot"/>
            </w:tabs>
            <w:rPr/>
          </w:pPr>
          <w:hyperlink w:anchor="__RefHeading___Toc2133804_237004111">
            <w:r>
              <w:rPr>
                <w:webHidden/>
                <w:rStyle w:val="IndexLink"/>
                <w:rtl w:val="true"/>
              </w:rPr>
              <w:t>الدلیل السابع والعشرون</w:t>
            </w:r>
            <w:r>
              <w:rPr>
                <w:rStyle w:val="IndexLink"/>
                <w:rtl w:val="true"/>
              </w:rPr>
              <w:t xml:space="preserve">: </w:t>
            </w:r>
            <w:r>
              <w:rPr>
                <w:rStyle w:val="IndexLink"/>
                <w:rtl w:val="true"/>
              </w:rPr>
              <w:t>الروایات الدالة علی وجوب الستر حال الإحرام</w:t>
            </w:r>
            <w:r>
              <w:rPr>
                <w:rStyle w:val="IndexLink"/>
                <w:rtl w:val="true"/>
              </w:rPr>
              <w:tab/>
            </w:r>
            <w:r>
              <w:rPr>
                <w:rStyle w:val="IndexLink"/>
              </w:rPr>
              <w:t>329</w:t>
            </w:r>
          </w:hyperlink>
        </w:p>
        <w:p>
          <w:pPr>
            <w:pStyle w:val="Contents6"/>
            <w:tabs>
              <w:tab w:val="clear" w:pos="7609"/>
              <w:tab w:val="right" w:pos="9026" w:leader="dot"/>
            </w:tabs>
            <w:rPr/>
          </w:pPr>
          <w:hyperlink w:anchor="__RefHeading___Toc2133806_237004111">
            <w:r>
              <w:rPr>
                <w:webHidden/>
                <w:rStyle w:val="IndexLink"/>
                <w:rtl w:val="true"/>
              </w:rPr>
              <w:t>الدلیل الثامن والعشرون</w:t>
            </w:r>
            <w:r>
              <w:rPr>
                <w:rStyle w:val="IndexLink"/>
                <w:rtl w:val="true"/>
              </w:rPr>
              <w:t xml:space="preserve">: </w:t>
            </w:r>
            <w:r>
              <w:rPr>
                <w:rStyle w:val="IndexLink"/>
                <w:rtl w:val="true"/>
              </w:rPr>
              <w:t>الوجدان</w:t>
            </w:r>
            <w:r>
              <w:rPr>
                <w:rStyle w:val="IndexLink"/>
                <w:rtl w:val="true"/>
              </w:rPr>
              <w:tab/>
            </w:r>
            <w:r>
              <w:rPr>
                <w:rStyle w:val="IndexLink"/>
              </w:rPr>
              <w:t>330</w:t>
            </w:r>
          </w:hyperlink>
        </w:p>
        <w:p>
          <w:pPr>
            <w:pStyle w:val="Contents5"/>
            <w:tabs>
              <w:tab w:val="clear" w:pos="7892"/>
              <w:tab w:val="right" w:pos="9026" w:leader="dot"/>
            </w:tabs>
            <w:rPr/>
          </w:pPr>
          <w:hyperlink w:anchor="__RefHeading___Toc2133808_237004111">
            <w:r>
              <w:rPr>
                <w:webHidden/>
                <w:rStyle w:val="IndexLink"/>
                <w:rtl w:val="true"/>
              </w:rPr>
              <w:t>القول الثالث</w:t>
            </w:r>
            <w:r>
              <w:rPr>
                <w:rStyle w:val="IndexLink"/>
                <w:rtl w:val="true"/>
              </w:rPr>
              <w:t xml:space="preserve">: </w:t>
            </w:r>
            <w:r>
              <w:rPr>
                <w:rStyle w:val="IndexLink"/>
                <w:rtl w:val="true"/>
              </w:rPr>
              <w:t>التفصیل بین النظرة الأولی وغیرها</w:t>
            </w:r>
            <w:r>
              <w:rPr>
                <w:rStyle w:val="IndexLink"/>
                <w:rtl w:val="true"/>
              </w:rPr>
              <w:tab/>
            </w:r>
            <w:r>
              <w:rPr>
                <w:rStyle w:val="IndexLink"/>
              </w:rPr>
              <w:t>331</w:t>
            </w:r>
          </w:hyperlink>
        </w:p>
        <w:p>
          <w:pPr>
            <w:pStyle w:val="Contents6"/>
            <w:tabs>
              <w:tab w:val="clear" w:pos="7609"/>
              <w:tab w:val="right" w:pos="9026" w:leader="dot"/>
            </w:tabs>
            <w:rPr/>
          </w:pPr>
          <w:hyperlink w:anchor="__RefHeading___Toc2133810_237004111">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2133812_237004111">
            <w:r>
              <w:rPr>
                <w:webHidden/>
                <w:rStyle w:val="IndexLink"/>
                <w:rtl w:val="true"/>
              </w:rPr>
              <w:t>أدلة القول الثالث</w:t>
            </w:r>
            <w:r>
              <w:rPr>
                <w:rStyle w:val="IndexLink"/>
                <w:rtl w:val="true"/>
              </w:rPr>
              <w:tab/>
            </w:r>
            <w:r>
              <w:rPr>
                <w:rStyle w:val="IndexLink"/>
              </w:rPr>
              <w:t>331</w:t>
            </w:r>
          </w:hyperlink>
        </w:p>
        <w:p>
          <w:pPr>
            <w:pStyle w:val="Contents6"/>
            <w:tabs>
              <w:tab w:val="clear" w:pos="7609"/>
              <w:tab w:val="right" w:pos="9026" w:leader="dot"/>
            </w:tabs>
            <w:rPr/>
          </w:pPr>
          <w:hyperlink w:anchor="__RefHeading___Toc2133814_237004111">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2133816_237004111">
            <w:r>
              <w:rPr>
                <w:webHidden/>
                <w:rStyle w:val="IndexLink"/>
                <w:rtl w:val="true"/>
              </w:rPr>
              <w:t>الدلیل الأول</w:t>
            </w:r>
            <w:r>
              <w:rPr>
                <w:rStyle w:val="IndexLink"/>
                <w:rtl w:val="true"/>
              </w:rPr>
              <w:t xml:space="preserve">: </w:t>
            </w:r>
            <w:r>
              <w:rPr>
                <w:rStyle w:val="IndexLink"/>
                <w:rtl w:val="true"/>
              </w:rPr>
              <w:t>المنساق من أدلة الجواز هو المرة الأولی</w:t>
            </w:r>
            <w:r>
              <w:rPr>
                <w:rStyle w:val="IndexLink"/>
                <w:rtl w:val="true"/>
              </w:rPr>
              <w:tab/>
            </w:r>
            <w:r>
              <w:rPr>
                <w:rStyle w:val="IndexLink"/>
              </w:rPr>
              <w:t>332</w:t>
            </w:r>
          </w:hyperlink>
        </w:p>
        <w:p>
          <w:pPr>
            <w:pStyle w:val="Contents6"/>
            <w:tabs>
              <w:tab w:val="clear" w:pos="7609"/>
              <w:tab w:val="right" w:pos="9026" w:leader="dot"/>
            </w:tabs>
            <w:rPr/>
          </w:pPr>
          <w:hyperlink w:anchor="__RefHeading___Toc2133818_237004111">
            <w:r>
              <w:rPr>
                <w:webHidden/>
                <w:rStyle w:val="IndexLink"/>
                <w:rtl w:val="true"/>
              </w:rPr>
              <w:t>الدلیل الثانی</w:t>
            </w:r>
            <w:r>
              <w:rPr>
                <w:rStyle w:val="IndexLink"/>
                <w:rtl w:val="true"/>
              </w:rPr>
              <w:t xml:space="preserve">: </w:t>
            </w:r>
            <w:r>
              <w:rPr>
                <w:rStyle w:val="IndexLink"/>
                <w:rtl w:val="true"/>
              </w:rPr>
              <w:t>استنکار المتشرعة للمرة الثانیة</w:t>
            </w:r>
            <w:r>
              <w:rPr>
                <w:rStyle w:val="IndexLink"/>
                <w:rtl w:val="true"/>
              </w:rPr>
              <w:tab/>
            </w:r>
            <w:r>
              <w:rPr>
                <w:rStyle w:val="IndexLink"/>
              </w:rPr>
              <w:t>332</w:t>
            </w:r>
          </w:hyperlink>
        </w:p>
        <w:p>
          <w:pPr>
            <w:pStyle w:val="Contents6"/>
            <w:tabs>
              <w:tab w:val="clear" w:pos="7609"/>
              <w:tab w:val="right" w:pos="9026" w:leader="dot"/>
            </w:tabs>
            <w:rPr/>
          </w:pPr>
          <w:hyperlink w:anchor="__RefHeading___Toc2133820_237004111">
            <w:r>
              <w:rPr>
                <w:webHidden/>
                <w:rStyle w:val="IndexLink"/>
                <w:rtl w:val="true"/>
              </w:rPr>
              <w:t>الدلیل الثالث</w:t>
            </w:r>
            <w:r>
              <w:rPr>
                <w:rStyle w:val="IndexLink"/>
                <w:rtl w:val="true"/>
              </w:rPr>
              <w:t xml:space="preserve">: </w:t>
            </w:r>
            <w:r>
              <w:rPr>
                <w:rStyle w:val="IndexLink"/>
                <w:rtl w:val="true"/>
              </w:rPr>
              <w:t>الروایات الواردة فی جواز النظرة الأولی</w:t>
            </w:r>
            <w:r>
              <w:rPr>
                <w:rStyle w:val="IndexLink"/>
                <w:rtl w:val="true"/>
              </w:rPr>
              <w:tab/>
            </w:r>
            <w:r>
              <w:rPr>
                <w:rStyle w:val="IndexLink"/>
              </w:rPr>
              <w:t>332</w:t>
            </w:r>
          </w:hyperlink>
        </w:p>
        <w:p>
          <w:pPr>
            <w:pStyle w:val="Contents6"/>
            <w:tabs>
              <w:tab w:val="clear" w:pos="7609"/>
              <w:tab w:val="right" w:pos="9026" w:leader="dot"/>
            </w:tabs>
            <w:rPr/>
          </w:pPr>
          <w:hyperlink w:anchor="__RefHeading___Toc2133822_237004111">
            <w:r>
              <w:rPr>
                <w:webHidden/>
                <w:rStyle w:val="IndexLink"/>
                <w:rtl w:val="true"/>
              </w:rPr>
              <w:t>اشارة</w:t>
            </w:r>
            <w:r>
              <w:rPr>
                <w:rStyle w:val="IndexLink"/>
                <w:rtl w:val="true"/>
              </w:rPr>
              <w:tab/>
            </w:r>
            <w:r>
              <w:rPr>
                <w:rStyle w:val="IndexLink"/>
              </w:rPr>
              <w:t>332</w:t>
            </w:r>
          </w:hyperlink>
        </w:p>
        <w:p>
          <w:pPr>
            <w:pStyle w:val="Contents6"/>
            <w:tabs>
              <w:tab w:val="clear" w:pos="7609"/>
              <w:tab w:val="right" w:pos="9026" w:leader="dot"/>
            </w:tabs>
            <w:rPr/>
          </w:pPr>
          <w:hyperlink w:anchor="__RefHeading___Toc2133824_237004111">
            <w:r>
              <w:rPr>
                <w:webHidden/>
                <w:rStyle w:val="IndexLink"/>
                <w:rtl w:val="true"/>
              </w:rPr>
              <w:t>الإشکالات علی الدلیل الثالث</w:t>
            </w:r>
            <w:r>
              <w:rPr>
                <w:rStyle w:val="IndexLink"/>
                <w:rtl w:val="true"/>
              </w:rPr>
              <w:tab/>
            </w:r>
            <w:r>
              <w:rPr>
                <w:rStyle w:val="IndexLink"/>
              </w:rPr>
              <w:t>335</w:t>
            </w:r>
          </w:hyperlink>
        </w:p>
        <w:p>
          <w:pPr>
            <w:pStyle w:val="Contents6"/>
            <w:tabs>
              <w:tab w:val="clear" w:pos="7609"/>
              <w:tab w:val="right" w:pos="9026" w:leader="dot"/>
            </w:tabs>
            <w:rPr/>
          </w:pPr>
          <w:hyperlink w:anchor="__RefHeading___Toc2133826_237004111">
            <w:r>
              <w:rPr>
                <w:webHidden/>
                <w:rStyle w:val="IndexLink"/>
                <w:rtl w:val="true"/>
              </w:rPr>
              <w:t>اشارة</w:t>
            </w:r>
            <w:r>
              <w:rPr>
                <w:rStyle w:val="IndexLink"/>
                <w:rtl w:val="true"/>
              </w:rPr>
              <w:tab/>
            </w:r>
            <w:r>
              <w:rPr>
                <w:rStyle w:val="IndexLink"/>
              </w:rPr>
              <w:t>335</w:t>
            </w:r>
          </w:hyperlink>
        </w:p>
        <w:p>
          <w:pPr>
            <w:pStyle w:val="Contents6"/>
            <w:tabs>
              <w:tab w:val="clear" w:pos="7609"/>
              <w:tab w:val="right" w:pos="9026" w:leader="dot"/>
            </w:tabs>
            <w:rPr/>
          </w:pPr>
          <w:hyperlink w:anchor="__RefHeading___Toc2133828_237004111">
            <w:r>
              <w:rPr>
                <w:webHidden/>
                <w:rStyle w:val="IndexLink"/>
                <w:rtl w:val="true"/>
              </w:rPr>
              <w:t>الإشکال الأول</w:t>
            </w:r>
            <w:r>
              <w:rPr>
                <w:rStyle w:val="IndexLink"/>
                <w:rtl w:val="true"/>
              </w:rPr>
              <w:t xml:space="preserve">: </w:t>
            </w:r>
            <w:r>
              <w:rPr>
                <w:rStyle w:val="IndexLink"/>
                <w:rtl w:val="true"/>
              </w:rPr>
              <w:t>الفرق بین النظرة الاتفاقیة والمقصودة</w:t>
            </w:r>
            <w:r>
              <w:rPr>
                <w:rStyle w:val="IndexLink"/>
                <w:rtl w:val="true"/>
              </w:rPr>
              <w:tab/>
            </w:r>
            <w:r>
              <w:rPr>
                <w:rStyle w:val="IndexLink"/>
              </w:rPr>
              <w:t>335</w:t>
            </w:r>
          </w:hyperlink>
        </w:p>
        <w:p>
          <w:pPr>
            <w:pStyle w:val="Contents6"/>
            <w:tabs>
              <w:tab w:val="clear" w:pos="7609"/>
              <w:tab w:val="right" w:pos="9026" w:leader="dot"/>
            </w:tabs>
            <w:rPr/>
          </w:pPr>
          <w:hyperlink w:anchor="__RefHeading___Toc2133830_237004111">
            <w:r>
              <w:rPr>
                <w:webHidden/>
                <w:rStyle w:val="IndexLink"/>
                <w:rtl w:val="true"/>
              </w:rPr>
              <w:t>الإشکال الثانی</w:t>
            </w:r>
            <w:r>
              <w:rPr>
                <w:rStyle w:val="IndexLink"/>
                <w:rtl w:val="true"/>
              </w:rPr>
              <w:t xml:space="preserve">: </w:t>
            </w:r>
            <w:r>
              <w:rPr>
                <w:rStyle w:val="IndexLink"/>
                <w:rtl w:val="true"/>
              </w:rPr>
              <w:t>ضعف سند الروایات المفصلة</w:t>
            </w:r>
            <w:r>
              <w:rPr>
                <w:rStyle w:val="IndexLink"/>
                <w:rtl w:val="true"/>
              </w:rPr>
              <w:tab/>
            </w:r>
            <w:r>
              <w:rPr>
                <w:rStyle w:val="IndexLink"/>
              </w:rPr>
              <w:t>335</w:t>
            </w:r>
          </w:hyperlink>
        </w:p>
        <w:p>
          <w:pPr>
            <w:pStyle w:val="Contents6"/>
            <w:tabs>
              <w:tab w:val="clear" w:pos="7609"/>
              <w:tab w:val="right" w:pos="9026" w:leader="dot"/>
            </w:tabs>
            <w:rPr/>
          </w:pPr>
          <w:hyperlink w:anchor="__RefHeading___Toc2133832_237004111">
            <w:r>
              <w:rPr>
                <w:webHidden/>
                <w:rStyle w:val="IndexLink"/>
                <w:rtl w:val="true"/>
              </w:rPr>
              <w:t>الإشکال الثالث</w:t>
            </w:r>
            <w:r>
              <w:rPr>
                <w:rStyle w:val="IndexLink"/>
                <w:rtl w:val="true"/>
              </w:rPr>
              <w:t xml:space="preserve">: </w:t>
            </w:r>
            <w:r>
              <w:rPr>
                <w:rStyle w:val="IndexLink"/>
                <w:rtl w:val="true"/>
              </w:rPr>
              <w:t>عدم قبول العقل للتفصیل بین النظرة الأولی والثانیة</w:t>
            </w:r>
            <w:r>
              <w:rPr>
                <w:rStyle w:val="IndexLink"/>
                <w:rtl w:val="true"/>
              </w:rPr>
              <w:tab/>
            </w:r>
            <w:r>
              <w:rPr>
                <w:rStyle w:val="IndexLink"/>
              </w:rPr>
              <w:t>336</w:t>
            </w:r>
          </w:hyperlink>
        </w:p>
        <w:p>
          <w:pPr>
            <w:pStyle w:val="Contents6"/>
            <w:tabs>
              <w:tab w:val="clear" w:pos="7609"/>
              <w:tab w:val="right" w:pos="9026" w:leader="dot"/>
            </w:tabs>
            <w:rPr/>
          </w:pPr>
          <w:hyperlink w:anchor="__RefHeading___Toc2133834_237004111">
            <w:r>
              <w:rPr>
                <w:webHidden/>
                <w:rStyle w:val="IndexLink"/>
                <w:rtl w:val="true"/>
              </w:rPr>
              <w:t>الإشکال الرابع</w:t>
            </w:r>
            <w:r>
              <w:rPr>
                <w:rStyle w:val="IndexLink"/>
                <w:rtl w:val="true"/>
              </w:rPr>
              <w:t xml:space="preserve">: </w:t>
            </w:r>
            <w:r>
              <w:rPr>
                <w:rStyle w:val="IndexLink"/>
                <w:rtl w:val="true"/>
              </w:rPr>
              <w:t>الروایات معللة فیدور الحکم مدارها</w:t>
            </w:r>
            <w:r>
              <w:rPr>
                <w:rStyle w:val="IndexLink"/>
                <w:rtl w:val="true"/>
              </w:rPr>
              <w:tab/>
            </w:r>
            <w:r>
              <w:rPr>
                <w:rStyle w:val="IndexLink"/>
              </w:rPr>
              <w:t>338</w:t>
            </w:r>
          </w:hyperlink>
        </w:p>
        <w:p>
          <w:pPr>
            <w:pStyle w:val="Contents6"/>
            <w:tabs>
              <w:tab w:val="clear" w:pos="7609"/>
              <w:tab w:val="right" w:pos="9026" w:leader="dot"/>
            </w:tabs>
            <w:rPr/>
          </w:pPr>
          <w:hyperlink w:anchor="__RefHeading___Toc2133836_237004111">
            <w:r>
              <w:rPr>
                <w:webHidden/>
                <w:rStyle w:val="IndexLink"/>
                <w:rtl w:val="true"/>
              </w:rPr>
              <w:t>الإشکال الخامس</w:t>
            </w:r>
            <w:r>
              <w:rPr>
                <w:rStyle w:val="IndexLink"/>
                <w:rtl w:val="true"/>
              </w:rPr>
              <w:t xml:space="preserve">: </w:t>
            </w:r>
            <w:r>
              <w:rPr>
                <w:rStyle w:val="IndexLink"/>
                <w:rtl w:val="true"/>
              </w:rPr>
              <w:t>حمل الروایات علی الکراهة</w:t>
            </w:r>
            <w:r>
              <w:rPr>
                <w:rStyle w:val="IndexLink"/>
                <w:rtl w:val="true"/>
              </w:rPr>
              <w:tab/>
            </w:r>
            <w:r>
              <w:rPr>
                <w:rStyle w:val="IndexLink"/>
              </w:rPr>
              <w:t>338</w:t>
            </w:r>
          </w:hyperlink>
        </w:p>
        <w:p>
          <w:pPr>
            <w:pStyle w:val="Contents6"/>
            <w:tabs>
              <w:tab w:val="clear" w:pos="7609"/>
              <w:tab w:val="right" w:pos="9026" w:leader="dot"/>
            </w:tabs>
            <w:rPr/>
          </w:pPr>
          <w:hyperlink w:anchor="__RefHeading___Toc2133838_237004111">
            <w:r>
              <w:rPr>
                <w:webHidden/>
                <w:rStyle w:val="IndexLink"/>
                <w:rtl w:val="true"/>
              </w:rPr>
              <w:t>الإشکال السادس</w:t>
            </w:r>
            <w:r>
              <w:rPr>
                <w:rStyle w:val="IndexLink"/>
                <w:rtl w:val="true"/>
              </w:rPr>
              <w:t xml:space="preserve">: </w:t>
            </w:r>
            <w:r>
              <w:rPr>
                <w:rStyle w:val="IndexLink"/>
                <w:rtl w:val="true"/>
              </w:rPr>
              <w:t>التعارض بین هذه الروایات وبین أدلة جواز النظر إلی الوجه والکفین</w:t>
            </w:r>
            <w:r>
              <w:rPr>
                <w:rStyle w:val="IndexLink"/>
                <w:rtl w:val="true"/>
              </w:rPr>
              <w:tab/>
            </w:r>
            <w:r>
              <w:rPr>
                <w:rStyle w:val="IndexLink"/>
              </w:rPr>
              <w:t>339</w:t>
            </w:r>
          </w:hyperlink>
        </w:p>
        <w:p>
          <w:pPr>
            <w:pStyle w:val="Contents6"/>
            <w:tabs>
              <w:tab w:val="clear" w:pos="7609"/>
              <w:tab w:val="right" w:pos="9026" w:leader="dot"/>
            </w:tabs>
            <w:rPr/>
          </w:pPr>
          <w:hyperlink w:anchor="__RefHeading___Toc2133840_237004111">
            <w:r>
              <w:rPr>
                <w:webHidden/>
                <w:rStyle w:val="IndexLink"/>
                <w:rtl w:val="true"/>
              </w:rPr>
              <w:t>الإشکال السابع</w:t>
            </w:r>
            <w:r>
              <w:rPr>
                <w:rStyle w:val="IndexLink"/>
                <w:rtl w:val="true"/>
              </w:rPr>
              <w:t xml:space="preserve">: </w:t>
            </w:r>
            <w:r>
              <w:rPr>
                <w:rStyle w:val="IndexLink"/>
                <w:rtl w:val="true"/>
              </w:rPr>
              <w:t>عدم صراحة الروایات فی التحریم</w:t>
            </w:r>
            <w:r>
              <w:rPr>
                <w:rStyle w:val="IndexLink"/>
                <w:rtl w:val="true"/>
              </w:rPr>
              <w:tab/>
            </w:r>
            <w:r>
              <w:rPr>
                <w:rStyle w:val="IndexLink"/>
              </w:rPr>
              <w:t>339</w:t>
            </w:r>
          </w:hyperlink>
        </w:p>
        <w:p>
          <w:pPr>
            <w:pStyle w:val="Contents6"/>
            <w:tabs>
              <w:tab w:val="clear" w:pos="7609"/>
              <w:tab w:val="right" w:pos="9026" w:leader="dot"/>
            </w:tabs>
            <w:rPr/>
          </w:pPr>
          <w:hyperlink w:anchor="__RefHeading___Toc2133842_237004111">
            <w:r>
              <w:rPr>
                <w:webHidden/>
                <w:rStyle w:val="IndexLink"/>
                <w:rtl w:val="true"/>
              </w:rPr>
              <w:t>الإشکال الثامن</w:t>
            </w:r>
            <w:r>
              <w:rPr>
                <w:rStyle w:val="IndexLink"/>
                <w:rtl w:val="true"/>
              </w:rPr>
              <w:t xml:space="preserve">: </w:t>
            </w:r>
            <w:r>
              <w:rPr>
                <w:rStyle w:val="IndexLink"/>
                <w:rtl w:val="true"/>
              </w:rPr>
              <w:t>إجمال المتعلق</w:t>
            </w:r>
            <w:r>
              <w:rPr>
                <w:rStyle w:val="IndexLink"/>
                <w:rtl w:val="true"/>
              </w:rPr>
              <w:tab/>
            </w:r>
            <w:r>
              <w:rPr>
                <w:rStyle w:val="IndexLink"/>
              </w:rPr>
              <w:t>340</w:t>
            </w:r>
          </w:hyperlink>
        </w:p>
        <w:p>
          <w:pPr>
            <w:pStyle w:val="Contents6"/>
            <w:tabs>
              <w:tab w:val="clear" w:pos="7609"/>
              <w:tab w:val="right" w:pos="9026" w:leader="dot"/>
            </w:tabs>
            <w:rPr/>
          </w:pPr>
          <w:hyperlink w:anchor="__RefHeading___Toc2133844_237004111">
            <w:r>
              <w:rPr>
                <w:webHidden/>
                <w:rStyle w:val="IndexLink"/>
                <w:rtl w:val="true"/>
              </w:rPr>
              <w:t>الدلیل الرابع</w:t>
            </w:r>
            <w:r>
              <w:rPr>
                <w:rStyle w:val="IndexLink"/>
                <w:rtl w:val="true"/>
              </w:rPr>
              <w:t xml:space="preserve">: </w:t>
            </w:r>
            <w:r>
              <w:rPr>
                <w:rStyle w:val="IndexLink"/>
                <w:rtl w:val="true"/>
              </w:rPr>
              <w:t>کون النظرة الثانیة مظنة الفتنة</w:t>
            </w:r>
            <w:r>
              <w:rPr>
                <w:rStyle w:val="IndexLink"/>
                <w:rtl w:val="true"/>
              </w:rPr>
              <w:tab/>
            </w:r>
            <w:r>
              <w:rPr>
                <w:rStyle w:val="IndexLink"/>
              </w:rPr>
              <w:t>340</w:t>
            </w:r>
          </w:hyperlink>
        </w:p>
        <w:p>
          <w:pPr>
            <w:pStyle w:val="Contents6"/>
            <w:tabs>
              <w:tab w:val="clear" w:pos="7609"/>
              <w:tab w:val="right" w:pos="9026" w:leader="dot"/>
            </w:tabs>
            <w:rPr/>
          </w:pPr>
          <w:hyperlink w:anchor="__RefHeading___Toc2133846_237004111">
            <w:r>
              <w:rPr>
                <w:webHidden/>
                <w:rStyle w:val="IndexLink"/>
                <w:rtl w:val="true"/>
              </w:rPr>
              <w:t>الدلیل الخامس</w:t>
            </w:r>
            <w:r>
              <w:rPr>
                <w:rStyle w:val="IndexLink"/>
                <w:rtl w:val="true"/>
              </w:rPr>
              <w:t xml:space="preserve">: </w:t>
            </w:r>
            <w:r>
              <w:rPr>
                <w:rStyle w:val="IndexLink"/>
                <w:rtl w:val="true"/>
              </w:rPr>
              <w:t>مقتضی الجمع بین أدلة القولین هو التفصیل</w:t>
            </w:r>
            <w:r>
              <w:rPr>
                <w:rStyle w:val="IndexLink"/>
                <w:rtl w:val="true"/>
              </w:rPr>
              <w:tab/>
            </w:r>
            <w:r>
              <w:rPr>
                <w:rStyle w:val="IndexLink"/>
              </w:rPr>
              <w:t>341</w:t>
            </w:r>
          </w:hyperlink>
        </w:p>
        <w:p>
          <w:pPr>
            <w:pStyle w:val="Contents4"/>
            <w:tabs>
              <w:tab w:val="clear" w:pos="8176"/>
              <w:tab w:val="right" w:pos="9026" w:leader="dot"/>
            </w:tabs>
            <w:rPr/>
          </w:pPr>
          <w:hyperlink w:anchor="__RefHeading___Toc2133848_237004111">
            <w:r>
              <w:rPr>
                <w:webHidden/>
                <w:rStyle w:val="IndexLink"/>
                <w:rtl w:val="true"/>
              </w:rPr>
              <w:t>فروع</w:t>
            </w:r>
            <w:r>
              <w:rPr>
                <w:rStyle w:val="IndexLink"/>
                <w:rtl w:val="true"/>
              </w:rPr>
              <w:tab/>
            </w:r>
            <w:r>
              <w:rPr>
                <w:rStyle w:val="IndexLink"/>
              </w:rPr>
              <w:t>341</w:t>
            </w:r>
          </w:hyperlink>
        </w:p>
        <w:p>
          <w:pPr>
            <w:pStyle w:val="Contents5"/>
            <w:tabs>
              <w:tab w:val="clear" w:pos="7892"/>
              <w:tab w:val="right" w:pos="9026" w:leader="dot"/>
            </w:tabs>
            <w:rPr/>
          </w:pPr>
          <w:hyperlink w:anchor="__RefHeading___Toc2133850_237004111">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2133852_237004111">
            <w:r>
              <w:rPr>
                <w:webHidden/>
                <w:rStyle w:val="IndexLink"/>
                <w:rtl w:val="true"/>
              </w:rPr>
              <w:t>الفرع الأول</w:t>
            </w:r>
            <w:r>
              <w:rPr>
                <w:rStyle w:val="IndexLink"/>
                <w:rtl w:val="true"/>
              </w:rPr>
              <w:t xml:space="preserve">: </w:t>
            </w:r>
            <w:r>
              <w:rPr>
                <w:rStyle w:val="IndexLink"/>
                <w:rtl w:val="true"/>
              </w:rPr>
              <w:t>فی شروط جواز النظر إلی الوجه والکفین</w:t>
            </w:r>
            <w:r>
              <w:rPr>
                <w:rStyle w:val="IndexLink"/>
                <w:rtl w:val="true"/>
              </w:rPr>
              <w:tab/>
            </w:r>
            <w:r>
              <w:rPr>
                <w:rStyle w:val="IndexLink"/>
              </w:rPr>
              <w:t>342</w:t>
            </w:r>
          </w:hyperlink>
        </w:p>
        <w:p>
          <w:pPr>
            <w:pStyle w:val="Contents5"/>
            <w:tabs>
              <w:tab w:val="clear" w:pos="7892"/>
              <w:tab w:val="right" w:pos="9026" w:leader="dot"/>
            </w:tabs>
            <w:rPr/>
          </w:pPr>
          <w:hyperlink w:anchor="__RefHeading___Toc2133854_237004111">
            <w:r>
              <w:rPr>
                <w:webHidden/>
                <w:rStyle w:val="IndexLink"/>
                <w:rtl w:val="true"/>
              </w:rPr>
              <w:t>الفرع الثانی</w:t>
            </w:r>
            <w:r>
              <w:rPr>
                <w:rStyle w:val="IndexLink"/>
                <w:rtl w:val="true"/>
              </w:rPr>
              <w:t xml:space="preserve">: </w:t>
            </w:r>
            <w:r>
              <w:rPr>
                <w:rStyle w:val="IndexLink"/>
                <w:rtl w:val="true"/>
              </w:rPr>
              <w:t>حصول التلذذ فی أثناء النظر</w:t>
            </w:r>
            <w:r>
              <w:rPr>
                <w:rStyle w:val="IndexLink"/>
                <w:rtl w:val="true"/>
              </w:rPr>
              <w:tab/>
            </w:r>
            <w:r>
              <w:rPr>
                <w:rStyle w:val="IndexLink"/>
              </w:rPr>
              <w:t>342</w:t>
            </w:r>
          </w:hyperlink>
        </w:p>
        <w:p>
          <w:pPr>
            <w:pStyle w:val="Contents5"/>
            <w:tabs>
              <w:tab w:val="clear" w:pos="7892"/>
              <w:tab w:val="right" w:pos="9026" w:leader="dot"/>
            </w:tabs>
            <w:rPr/>
          </w:pPr>
          <w:hyperlink w:anchor="__RefHeading___Toc2133856_237004111">
            <w:r>
              <w:rPr>
                <w:webHidden/>
                <w:rStyle w:val="IndexLink"/>
                <w:rtl w:val="true"/>
              </w:rPr>
              <w:t>الفرع الثالث</w:t>
            </w:r>
            <w:r>
              <w:rPr>
                <w:rStyle w:val="IndexLink"/>
                <w:rtl w:val="true"/>
              </w:rPr>
              <w:t xml:space="preserve">: </w:t>
            </w:r>
            <w:r>
              <w:rPr>
                <w:rStyle w:val="IndexLink"/>
                <w:rtl w:val="true"/>
              </w:rPr>
              <w:t>فی أنواع النظر</w:t>
            </w:r>
            <w:r>
              <w:rPr>
                <w:rStyle w:val="IndexLink"/>
                <w:rtl w:val="true"/>
              </w:rPr>
              <w:tab/>
            </w:r>
            <w:r>
              <w:rPr>
                <w:rStyle w:val="IndexLink"/>
              </w:rPr>
              <w:t>345</w:t>
            </w:r>
          </w:hyperlink>
        </w:p>
        <w:p>
          <w:pPr>
            <w:pStyle w:val="Contents5"/>
            <w:tabs>
              <w:tab w:val="clear" w:pos="7892"/>
              <w:tab w:val="right" w:pos="9026" w:leader="dot"/>
            </w:tabs>
            <w:rPr/>
          </w:pPr>
          <w:hyperlink w:anchor="__RefHeading___Toc2133858_237004111">
            <w:r>
              <w:rPr>
                <w:webHidden/>
                <w:rStyle w:val="IndexLink"/>
                <w:rtl w:val="true"/>
              </w:rPr>
              <w:t>الفرع الرابع</w:t>
            </w:r>
            <w:r>
              <w:rPr>
                <w:rStyle w:val="IndexLink"/>
                <w:rtl w:val="true"/>
              </w:rPr>
              <w:t xml:space="preserve">: </w:t>
            </w:r>
            <w:r>
              <w:rPr>
                <w:rStyle w:val="IndexLink"/>
                <w:rtl w:val="true"/>
              </w:rPr>
              <w:t>کفایة الوهم فی خوف الوقوع فی الحرام</w:t>
            </w:r>
            <w:r>
              <w:rPr>
                <w:rStyle w:val="IndexLink"/>
                <w:rtl w:val="true"/>
              </w:rPr>
              <w:tab/>
            </w:r>
            <w:r>
              <w:rPr>
                <w:rStyle w:val="IndexLink"/>
              </w:rPr>
              <w:t>346</w:t>
            </w:r>
          </w:hyperlink>
        </w:p>
        <w:p>
          <w:pPr>
            <w:pStyle w:val="Contents2"/>
            <w:tabs>
              <w:tab w:val="clear" w:pos="8743"/>
              <w:tab w:val="right" w:pos="9026" w:leader="dot"/>
            </w:tabs>
            <w:rPr/>
          </w:pPr>
          <w:hyperlink w:anchor="__RefHeading___Toc2133860_237004111">
            <w:r>
              <w:rPr>
                <w:webHidden/>
                <w:rStyle w:val="IndexLink"/>
                <w:rtl w:val="true"/>
              </w:rPr>
              <w:t>المسألة الرابعة</w:t>
            </w:r>
            <w:r>
              <w:rPr>
                <w:rStyle w:val="IndexLink"/>
                <w:rtl w:val="true"/>
              </w:rPr>
              <w:t xml:space="preserve">: </w:t>
            </w:r>
            <w:r>
              <w:rPr>
                <w:rStyle w:val="IndexLink"/>
                <w:rtl w:val="true"/>
              </w:rPr>
              <w:t>نظر المرأة إلی الرجل</w:t>
            </w:r>
            <w:r>
              <w:rPr>
                <w:rStyle w:val="IndexLink"/>
                <w:rtl w:val="true"/>
              </w:rPr>
              <w:tab/>
            </w:r>
            <w:r>
              <w:rPr>
                <w:rStyle w:val="IndexLink"/>
              </w:rPr>
              <w:t>349</w:t>
            </w:r>
          </w:hyperlink>
        </w:p>
        <w:p>
          <w:pPr>
            <w:pStyle w:val="Contents3"/>
            <w:tabs>
              <w:tab w:val="clear" w:pos="8459"/>
              <w:tab w:val="right" w:pos="9026" w:leader="dot"/>
            </w:tabs>
            <w:rPr/>
          </w:pPr>
          <w:hyperlink w:anchor="__RefHeading___Toc2133862_237004111">
            <w:r>
              <w:rPr>
                <w:webHidden/>
                <w:rStyle w:val="IndexLink"/>
                <w:rtl w:val="true"/>
              </w:rPr>
              <w:t>اشارة</w:t>
            </w:r>
            <w:r>
              <w:rPr>
                <w:rStyle w:val="IndexLink"/>
                <w:rtl w:val="true"/>
              </w:rPr>
              <w:tab/>
            </w:r>
            <w:r>
              <w:rPr>
                <w:rStyle w:val="IndexLink"/>
              </w:rPr>
              <w:t>349</w:t>
            </w:r>
          </w:hyperlink>
        </w:p>
        <w:p>
          <w:pPr>
            <w:pStyle w:val="Contents3"/>
            <w:tabs>
              <w:tab w:val="clear" w:pos="8459"/>
              <w:tab w:val="right" w:pos="9026" w:leader="dot"/>
            </w:tabs>
            <w:rPr/>
          </w:pPr>
          <w:hyperlink w:anchor="__RefHeading___Toc2133864_237004111">
            <w:r>
              <w:rPr>
                <w:webHidden/>
                <w:rStyle w:val="IndexLink"/>
                <w:rtl w:val="true"/>
              </w:rPr>
              <w:t>المسألة الرابعة</w:t>
            </w:r>
            <w:r>
              <w:rPr>
                <w:rStyle w:val="IndexLink"/>
                <w:rtl w:val="true"/>
              </w:rPr>
              <w:t xml:space="preserve">: </w:t>
            </w:r>
            <w:r>
              <w:rPr>
                <w:rStyle w:val="IndexLink"/>
                <w:rtl w:val="true"/>
              </w:rPr>
              <w:t>نظر المرأة إلی الرجل</w:t>
            </w:r>
            <w:r>
              <w:rPr>
                <w:rStyle w:val="IndexLink"/>
                <w:rtl w:val="true"/>
              </w:rPr>
              <w:tab/>
            </w:r>
            <w:r>
              <w:rPr>
                <w:rStyle w:val="IndexLink"/>
              </w:rPr>
              <w:t>351</w:t>
            </w:r>
          </w:hyperlink>
        </w:p>
        <w:p>
          <w:pPr>
            <w:pStyle w:val="Contents4"/>
            <w:tabs>
              <w:tab w:val="clear" w:pos="8176"/>
              <w:tab w:val="right" w:pos="9026" w:leader="dot"/>
            </w:tabs>
            <w:rPr/>
          </w:pPr>
          <w:hyperlink w:anchor="__RefHeading___Toc2133866_237004111">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2133868_237004111">
            <w:r>
              <w:rPr>
                <w:webHidden/>
                <w:rStyle w:val="IndexLink"/>
                <w:rtl w:val="true"/>
              </w:rPr>
              <w:t>الأقوال فی حکم نظر المرأة إلی الرجل</w:t>
            </w:r>
            <w:r>
              <w:rPr>
                <w:rStyle w:val="IndexLink"/>
                <w:rtl w:val="true"/>
              </w:rPr>
              <w:tab/>
            </w:r>
            <w:r>
              <w:rPr>
                <w:rStyle w:val="IndexLink"/>
              </w:rPr>
              <w:t>351</w:t>
            </w:r>
          </w:hyperlink>
        </w:p>
        <w:p>
          <w:pPr>
            <w:pStyle w:val="Contents5"/>
            <w:tabs>
              <w:tab w:val="clear" w:pos="7892"/>
              <w:tab w:val="right" w:pos="9026" w:leader="dot"/>
            </w:tabs>
            <w:rPr/>
          </w:pPr>
          <w:hyperlink w:anchor="__RefHeading___Toc2133870_237004111">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2133872_237004111">
            <w:r>
              <w:rPr>
                <w:webHidden/>
                <w:rStyle w:val="IndexLink"/>
                <w:rtl w:val="true"/>
              </w:rPr>
              <w:t>القول الأول</w:t>
            </w:r>
            <w:r>
              <w:rPr>
                <w:rStyle w:val="IndexLink"/>
                <w:rtl w:val="true"/>
              </w:rPr>
              <w:t xml:space="preserve">: </w:t>
            </w:r>
            <w:r>
              <w:rPr>
                <w:rStyle w:val="IndexLink"/>
                <w:rtl w:val="true"/>
              </w:rPr>
              <w:t>حرمة النظر إلی جمیع الجسد</w:t>
            </w:r>
            <w:r>
              <w:rPr>
                <w:rStyle w:val="IndexLink"/>
                <w:rtl w:val="true"/>
              </w:rPr>
              <w:tab/>
            </w:r>
            <w:r>
              <w:rPr>
                <w:rStyle w:val="IndexLink"/>
              </w:rPr>
              <w:t>351</w:t>
            </w:r>
          </w:hyperlink>
        </w:p>
        <w:p>
          <w:pPr>
            <w:pStyle w:val="Contents5"/>
            <w:tabs>
              <w:tab w:val="clear" w:pos="7892"/>
              <w:tab w:val="right" w:pos="9026" w:leader="dot"/>
            </w:tabs>
            <w:rPr/>
          </w:pPr>
          <w:hyperlink w:anchor="__RefHeading___Toc2133874_237004111">
            <w:r>
              <w:rPr>
                <w:webHidden/>
                <w:rStyle w:val="IndexLink"/>
                <w:rtl w:val="true"/>
              </w:rPr>
              <w:t>القول الثانی</w:t>
            </w:r>
            <w:r>
              <w:rPr>
                <w:rStyle w:val="IndexLink"/>
                <w:rtl w:val="true"/>
              </w:rPr>
              <w:t xml:space="preserve">: </w:t>
            </w:r>
            <w:r>
              <w:rPr>
                <w:rStyle w:val="IndexLink"/>
                <w:rtl w:val="true"/>
              </w:rPr>
              <w:t>حرمة النظر فی الجملة</w:t>
            </w:r>
            <w:r>
              <w:rPr>
                <w:rStyle w:val="IndexLink"/>
                <w:rtl w:val="true"/>
              </w:rPr>
              <w:tab/>
            </w:r>
            <w:r>
              <w:rPr>
                <w:rStyle w:val="IndexLink"/>
              </w:rPr>
              <w:t>359</w:t>
            </w:r>
          </w:hyperlink>
        </w:p>
        <w:p>
          <w:pPr>
            <w:pStyle w:val="Contents6"/>
            <w:tabs>
              <w:tab w:val="clear" w:pos="7609"/>
              <w:tab w:val="right" w:pos="9026" w:leader="dot"/>
            </w:tabs>
            <w:rPr/>
          </w:pPr>
          <w:hyperlink w:anchor="__RefHeading___Toc2133876_237004111">
            <w:r>
              <w:rPr>
                <w:webHidden/>
                <w:rStyle w:val="IndexLink"/>
                <w:rtl w:val="true"/>
              </w:rPr>
              <w:t>اشارة</w:t>
            </w:r>
            <w:r>
              <w:rPr>
                <w:rStyle w:val="IndexLink"/>
                <w:rtl w:val="true"/>
              </w:rPr>
              <w:tab/>
            </w:r>
            <w:r>
              <w:rPr>
                <w:rStyle w:val="IndexLink"/>
              </w:rPr>
              <w:t>359</w:t>
            </w:r>
          </w:hyperlink>
        </w:p>
        <w:p>
          <w:pPr>
            <w:pStyle w:val="Contents6"/>
            <w:tabs>
              <w:tab w:val="clear" w:pos="7609"/>
              <w:tab w:val="right" w:pos="9026" w:leader="dot"/>
            </w:tabs>
            <w:rPr/>
          </w:pPr>
          <w:hyperlink w:anchor="__RefHeading___Toc2133878_237004111">
            <w:r>
              <w:rPr>
                <w:webHidden/>
                <w:rStyle w:val="IndexLink"/>
                <w:rtl w:val="true"/>
              </w:rPr>
              <w:t>التفصیل بین النظرة الأولی والثانیة</w:t>
            </w:r>
            <w:r>
              <w:rPr>
                <w:rStyle w:val="IndexLink"/>
                <w:rtl w:val="true"/>
              </w:rPr>
              <w:tab/>
            </w:r>
            <w:r>
              <w:rPr>
                <w:rStyle w:val="IndexLink"/>
              </w:rPr>
              <w:t>362</w:t>
            </w:r>
          </w:hyperlink>
        </w:p>
        <w:p>
          <w:pPr>
            <w:pStyle w:val="Contents5"/>
            <w:tabs>
              <w:tab w:val="clear" w:pos="7892"/>
              <w:tab w:val="right" w:pos="9026" w:leader="dot"/>
            </w:tabs>
            <w:rPr/>
          </w:pPr>
          <w:hyperlink w:anchor="__RefHeading___Toc2133880_237004111">
            <w:r>
              <w:rPr>
                <w:webHidden/>
                <w:rStyle w:val="IndexLink"/>
                <w:rtl w:val="true"/>
              </w:rPr>
              <w:t>القول الثالث</w:t>
            </w:r>
            <w:r>
              <w:rPr>
                <w:rStyle w:val="IndexLink"/>
                <w:rtl w:val="true"/>
              </w:rPr>
              <w:t xml:space="preserve">: </w:t>
            </w:r>
            <w:r>
              <w:rPr>
                <w:rStyle w:val="IndexLink"/>
                <w:rtl w:val="true"/>
              </w:rPr>
              <w:t>حرمة النظر إلی غیر ما جرت السیرة علی عدم ستره أو علی النظر إلیه</w:t>
            </w:r>
            <w:r>
              <w:rPr>
                <w:rStyle w:val="IndexLink"/>
                <w:rtl w:val="true"/>
              </w:rPr>
              <w:tab/>
            </w:r>
            <w:r>
              <w:rPr>
                <w:rStyle w:val="IndexLink"/>
              </w:rPr>
              <w:t>362</w:t>
            </w:r>
          </w:hyperlink>
        </w:p>
        <w:p>
          <w:pPr>
            <w:pStyle w:val="Contents5"/>
            <w:tabs>
              <w:tab w:val="clear" w:pos="7892"/>
              <w:tab w:val="right" w:pos="9026" w:leader="dot"/>
            </w:tabs>
            <w:rPr/>
          </w:pPr>
          <w:hyperlink w:anchor="__RefHeading___Toc2133882_237004111">
            <w:r>
              <w:rPr>
                <w:webHidden/>
                <w:rStyle w:val="IndexLink"/>
                <w:rtl w:val="true"/>
              </w:rPr>
              <w:t>القول الرابع</w:t>
            </w:r>
            <w:r>
              <w:rPr>
                <w:rStyle w:val="IndexLink"/>
                <w:rtl w:val="true"/>
              </w:rPr>
              <w:t xml:space="preserve">: </w:t>
            </w:r>
            <w:r>
              <w:rPr>
                <w:rStyle w:val="IndexLink"/>
                <w:rtl w:val="true"/>
              </w:rPr>
              <w:t>حرمة النظر إلی خصوص العورتین</w:t>
            </w:r>
            <w:r>
              <w:rPr>
                <w:rStyle w:val="IndexLink"/>
                <w:rtl w:val="true"/>
              </w:rPr>
              <w:tab/>
            </w:r>
            <w:r>
              <w:rPr>
                <w:rStyle w:val="IndexLink"/>
              </w:rPr>
              <w:t>369</w:t>
            </w:r>
          </w:hyperlink>
        </w:p>
        <w:p>
          <w:pPr>
            <w:pStyle w:val="Contents6"/>
            <w:tabs>
              <w:tab w:val="clear" w:pos="7609"/>
              <w:tab w:val="right" w:pos="9026" w:leader="dot"/>
            </w:tabs>
            <w:rPr/>
          </w:pPr>
          <w:hyperlink w:anchor="__RefHeading___Toc2133884_237004111">
            <w:r>
              <w:rPr>
                <w:webHidden/>
                <w:rStyle w:val="IndexLink"/>
                <w:rtl w:val="true"/>
              </w:rPr>
              <w:t>اشارة</w:t>
            </w:r>
            <w:r>
              <w:rPr>
                <w:rStyle w:val="IndexLink"/>
                <w:rtl w:val="true"/>
              </w:rPr>
              <w:tab/>
            </w:r>
            <w:r>
              <w:rPr>
                <w:rStyle w:val="IndexLink"/>
              </w:rPr>
              <w:t>369</w:t>
            </w:r>
          </w:hyperlink>
        </w:p>
        <w:p>
          <w:pPr>
            <w:pStyle w:val="Contents6"/>
            <w:tabs>
              <w:tab w:val="clear" w:pos="7609"/>
              <w:tab w:val="right" w:pos="9026" w:leader="dot"/>
            </w:tabs>
            <w:rPr/>
          </w:pPr>
          <w:hyperlink w:anchor="__RefHeading___Toc2133886_237004111">
            <w:r>
              <w:rPr>
                <w:webHidden/>
                <w:rStyle w:val="IndexLink"/>
                <w:rtl w:val="true"/>
              </w:rPr>
              <w:t>شرط عدم اللذة والریبة</w:t>
            </w:r>
            <w:r>
              <w:rPr>
                <w:rStyle w:val="IndexLink"/>
                <w:rtl w:val="true"/>
              </w:rPr>
              <w:tab/>
            </w:r>
            <w:r>
              <w:rPr>
                <w:rStyle w:val="IndexLink"/>
              </w:rPr>
              <w:t>372</w:t>
            </w:r>
          </w:hyperlink>
        </w:p>
        <w:p>
          <w:pPr>
            <w:pStyle w:val="Contents2"/>
            <w:tabs>
              <w:tab w:val="clear" w:pos="8743"/>
              <w:tab w:val="right" w:pos="9026" w:leader="dot"/>
            </w:tabs>
            <w:rPr/>
          </w:pPr>
          <w:hyperlink w:anchor="__RefHeading___Toc2133888_237004111">
            <w:r>
              <w:rPr>
                <w:webHidden/>
                <w:rStyle w:val="IndexLink"/>
                <w:rtl w:val="true"/>
              </w:rPr>
              <w:t>المسألة الخامسة</w:t>
            </w:r>
            <w:r>
              <w:rPr>
                <w:rStyle w:val="IndexLink"/>
                <w:rtl w:val="true"/>
              </w:rPr>
              <w:t xml:space="preserve">: </w:t>
            </w:r>
            <w:r>
              <w:rPr>
                <w:rStyle w:val="IndexLink"/>
                <w:rtl w:val="true"/>
              </w:rPr>
              <w:t>النظر إلی من یرید الزواج منها</w:t>
            </w:r>
            <w:r>
              <w:rPr>
                <w:rStyle w:val="IndexLink"/>
                <w:rtl w:val="true"/>
              </w:rPr>
              <w:tab/>
            </w:r>
            <w:r>
              <w:rPr>
                <w:rStyle w:val="IndexLink"/>
              </w:rPr>
              <w:t>373</w:t>
            </w:r>
          </w:hyperlink>
        </w:p>
        <w:p>
          <w:pPr>
            <w:pStyle w:val="Contents3"/>
            <w:tabs>
              <w:tab w:val="clear" w:pos="8459"/>
              <w:tab w:val="right" w:pos="9026" w:leader="dot"/>
            </w:tabs>
            <w:rPr/>
          </w:pPr>
          <w:hyperlink w:anchor="__RefHeading___Toc2133890_237004111">
            <w:r>
              <w:rPr>
                <w:webHidden/>
                <w:rStyle w:val="IndexLink"/>
                <w:rtl w:val="true"/>
              </w:rPr>
              <w:t>اشارة</w:t>
            </w:r>
            <w:r>
              <w:rPr>
                <w:rStyle w:val="IndexLink"/>
                <w:rtl w:val="true"/>
              </w:rPr>
              <w:tab/>
            </w:r>
            <w:r>
              <w:rPr>
                <w:rStyle w:val="IndexLink"/>
              </w:rPr>
              <w:t>373</w:t>
            </w:r>
          </w:hyperlink>
        </w:p>
        <w:p>
          <w:pPr>
            <w:pStyle w:val="Contents3"/>
            <w:tabs>
              <w:tab w:val="clear" w:pos="8459"/>
              <w:tab w:val="right" w:pos="9026" w:leader="dot"/>
            </w:tabs>
            <w:rPr/>
          </w:pPr>
          <w:hyperlink w:anchor="__RefHeading___Toc2133892_237004111">
            <w:r>
              <w:rPr>
                <w:webHidden/>
                <w:rStyle w:val="IndexLink"/>
                <w:rtl w:val="true"/>
              </w:rPr>
              <w:t>المسألة الخامسة</w:t>
            </w:r>
            <w:r>
              <w:rPr>
                <w:rStyle w:val="IndexLink"/>
                <w:rtl w:val="true"/>
              </w:rPr>
              <w:t xml:space="preserve">: </w:t>
            </w:r>
            <w:r>
              <w:rPr>
                <w:rStyle w:val="IndexLink"/>
                <w:rtl w:val="true"/>
              </w:rPr>
              <w:t>النظر إلی من یرید الزواج منها</w:t>
            </w:r>
            <w:r>
              <w:rPr>
                <w:rStyle w:val="IndexLink"/>
                <w:rtl w:val="true"/>
              </w:rPr>
              <w:tab/>
            </w:r>
            <w:r>
              <w:rPr>
                <w:rStyle w:val="IndexLink"/>
              </w:rPr>
              <w:t>375</w:t>
            </w:r>
          </w:hyperlink>
        </w:p>
        <w:p>
          <w:pPr>
            <w:pStyle w:val="Contents2"/>
            <w:tabs>
              <w:tab w:val="clear" w:pos="8743"/>
              <w:tab w:val="right" w:pos="9026" w:leader="dot"/>
            </w:tabs>
            <w:rPr/>
          </w:pPr>
          <w:hyperlink w:anchor="__RefHeading___Toc2133894_237004111">
            <w:r>
              <w:rPr>
                <w:webHidden/>
                <w:rStyle w:val="IndexLink"/>
                <w:rtl w:val="true"/>
              </w:rPr>
              <w:t>مصادر التحقیق</w:t>
            </w:r>
            <w:r>
              <w:rPr>
                <w:rStyle w:val="IndexLink"/>
                <w:rtl w:val="true"/>
              </w:rPr>
              <w:tab/>
            </w:r>
            <w:r>
              <w:rPr>
                <w:rStyle w:val="IndexLink"/>
              </w:rPr>
              <w:t>385</w:t>
            </w:r>
          </w:hyperlink>
        </w:p>
        <w:p>
          <w:pPr>
            <w:pStyle w:val="Contents2"/>
            <w:tabs>
              <w:tab w:val="clear" w:pos="8743"/>
              <w:tab w:val="right" w:pos="9026" w:leader="dot"/>
            </w:tabs>
            <w:rPr/>
          </w:pPr>
          <w:hyperlink w:anchor="__RefHeading___Toc2133896_237004111">
            <w:r>
              <w:rPr>
                <w:webHidden/>
                <w:rStyle w:val="IndexLink"/>
                <w:rtl w:val="true"/>
              </w:rPr>
              <w:t>فهرس المحتویات</w:t>
            </w:r>
            <w:r>
              <w:rPr>
                <w:rStyle w:val="IndexLink"/>
                <w:rtl w:val="true"/>
              </w:rPr>
              <w:tab/>
            </w:r>
            <w:r>
              <w:rPr>
                <w:rStyle w:val="IndexLink"/>
              </w:rPr>
              <w:t>399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89_41800"/>
      <w:bookmarkStart w:id="1" w:name="pg6289_41800"/>
      <w:bookmarkEnd w:id="1"/>
    </w:p>
    <w:p>
      <w:pPr>
        <w:pStyle w:val="Heading2"/>
        <w:numPr>
          <w:ilvl w:val="1"/>
          <w:numId w:val="1"/>
        </w:numPr>
        <w:rPr/>
      </w:pPr>
      <w:bookmarkStart w:id="2" w:name="pg6289_41800"/>
      <w:bookmarkStart w:id="3" w:name="__RefHeading___Toc2133202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بحوث فقه فی النظر</w:t>
      </w:r>
    </w:p>
    <w:p>
      <w:pPr>
        <w:pStyle w:val="BookText"/>
        <w:rPr/>
      </w:pPr>
      <w:r>
        <w:rPr>
          <w:rFonts w:ascii="IRNazanin" w:hAnsi="IRNazanin" w:eastAsia="IRNazanin"/>
          <w:color w:val="111111"/>
          <w:sz w:val="28"/>
          <w:sz w:val="28"/>
          <w:szCs w:val="28"/>
          <w:rtl w:val="true"/>
          <w:lang w:bidi="fa-IR"/>
        </w:rPr>
        <w:t>آیت الله سید محمدرضا حسینی شیرازی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الطیبه النجف الاشرف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های حلال و حرام در فقه</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33204_23700411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الطبعة الثانیة</w:t>
      </w:r>
    </w:p>
    <w:p>
      <w:pPr>
        <w:pStyle w:val="BookText"/>
        <w:rPr/>
      </w:pP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bookmarkStart w:id="7" w:name="pg6289_41802"/>
    </w:p>
    <w:p>
      <w:pPr>
        <w:pStyle w:val="Heading2"/>
        <w:numPr>
          <w:ilvl w:val="1"/>
          <w:numId w:val="1"/>
        </w:numPr>
        <w:rPr/>
      </w:pPr>
      <w:bookmarkStart w:id="8" w:name="__RefHeading___Toc2133206_237004111"/>
      <w:bookmarkStart w:id="9" w:name="_Toc3"/>
      <w:bookmarkEnd w:id="7"/>
      <w:bookmarkEnd w:id="8"/>
      <w:r>
        <w:rPr>
          <w:rtl w:val="true"/>
        </w:rPr>
        <w:t>کلمة المؤسسة</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والصلاة والسلام علی محمد وآله الطاهرین ولعنة الله علی أعدائهم أجمعین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فالکتاب الماثل بین یدیک هو تقریرات بحث الخارج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خلاصة دروس ألقاها الفقیه المقدس آیة الله السید محمد رضا الحسینی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جمع من طلبة العلوم الدینیة، وقد کتب تقریراته أکثر من واحد من تلامذته، إلا أنا اخترنا هذا التقریر نظراً إلی إشراف السید الفقید علیه وقد زاد ونقص وعلّق علیه بخط یده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طبع هذا التقریر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الفقیه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البالغة واحداً وعشرین مجلداً، إلا أنا رجحنا طباعته بشکل مستقل لیعمّ نفعه نظراً لکثرة ابتلاء المؤمنین والمؤمنات بهذه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نسأل الله تعالی للفقید السعید علوّ الدرجات، وأن یبارک فی قلم المقرّر، وأن یوفقنا إلی المزید من نشر علوم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مؤسسة الشجرة الطیبة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6289_41804"/>
      <w:bookmarkStart w:id="11" w:name="pg6289_41804"/>
      <w:bookmarkEnd w:id="11"/>
    </w:p>
    <w:p>
      <w:pPr>
        <w:pStyle w:val="Heading2"/>
        <w:numPr>
          <w:ilvl w:val="1"/>
          <w:numId w:val="1"/>
        </w:numPr>
        <w:rPr/>
      </w:pPr>
      <w:bookmarkStart w:id="12" w:name="pg6289_41804"/>
      <w:bookmarkStart w:id="13" w:name="__RefHeading___Toc2133208_237004111"/>
      <w:bookmarkStart w:id="14" w:name="_Toc4"/>
      <w:bookmarkEnd w:id="12"/>
      <w:bookmarkEnd w:id="13"/>
      <w:r>
        <w:rPr>
          <w:rtl w:val="true"/>
        </w:rPr>
        <w:t>المقدمة</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محمد وآله الطاهرین، ولعنة الله علی أعدائهم أجمعین إلی یوم الدین 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تقریر بحث الخارج لسماحة آیة الله المحقق السید محمد رضا الحسینی الشیرازی، وقد اشتمل علی بعض المسائل المتعلقة بأحکام النظر إلی النساء، وهی من المسائل التی یکثر الابتلاء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من دأب السید الأستاذ فی هذا الدرس أن یقرأ متن ما أعدّه علی الطلبة أوّلاً، فیطرح البحث بکلّ أدب ولطف، ویحکمه بالأدلة الدقیقة، ممّا یکشف عن سعة اطلاعه وغوره فی أعماق بحار الفقه، ثم یفسح المجال للإشکالات، ویستمع إلی المناقشات بسعة صدر بالغ، واهتمام قلّ نظیره، وکان یترک المجال للمستشکل لیعرب عن رأیه مهما کانت شخصیته الاجتماعیّة والحوزویّة، ومهما کان الإشکال، ثم یقوم بردّ الإشکال، وقد یطیل معه أخذاً ورداً إلی أن تنضج المسألة وتحل العُقد، فقد کان واسع الصدر، حسن الأخلاق، قلّ ما رأیت نظیره فیمن رأیت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قرّرت نصّ ما کان یقرؤه السید الأستاذ، ثمّ بعض الإشکالات التی أوردها التلامذة، ثم جواب السید الأُستاذ، فما کان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w:t>
      </w:r>
    </w:p>
    <w:p>
      <w:pPr>
        <w:pStyle w:val="BookText"/>
        <w:rPr/>
      </w:pPr>
      <w:r>
        <w:rPr>
          <w:rFonts w:ascii="IRNazanin" w:hAnsi="IRNazanin" w:eastAsia="IRNazanin"/>
          <w:color w:val="111111"/>
          <w:sz w:val="28"/>
          <w:sz w:val="28"/>
          <w:szCs w:val="28"/>
          <w:rtl w:val="true"/>
          <w:lang w:bidi="fa-IR"/>
        </w:rPr>
        <w:t>هو من الإشکالات الواردة أثناء التدریس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والفضل فی هذه التقریرات من الله تبارک وتعالی ورسوله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من السید الأستاذ، والنقص والإشکال وقصور البیان وضعف الأداء من العبد المقرّر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وأهدیت ثواب هذا الجهد القلیل إلی سیدی ومولای أبی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فإنّها بضاعة مزجاة أرجو منه القبول، فإنّ الهدایا علی مقدار مهدیها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أسأل الله أنْ ینفع به المؤمنین، ویجعله ذخراً لیوم لا ینفع فیه مال ولا بنون</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15" w:name="pg6289_41806"/>
    </w:p>
    <w:p>
      <w:pPr>
        <w:pStyle w:val="Heading2"/>
        <w:numPr>
          <w:ilvl w:val="1"/>
          <w:numId w:val="1"/>
        </w:numPr>
        <w:rPr/>
      </w:pPr>
      <w:bookmarkStart w:id="16" w:name="__RefHeading___Toc2133210_237004111"/>
      <w:bookmarkStart w:id="17" w:name="_Toc5"/>
      <w:bookmarkEnd w:id="15"/>
      <w:bookmarkEnd w:id="16"/>
      <w:r>
        <w:rPr>
          <w:rtl w:val="true"/>
        </w:rPr>
        <w:t>المسألة الأولی</w:t>
      </w:r>
      <w:r>
        <w:rPr>
          <w:rtl w:val="true"/>
        </w:rPr>
        <w:t xml:space="preserve">: </w:t>
      </w:r>
      <w:r>
        <w:rPr>
          <w:rtl w:val="true"/>
        </w:rPr>
        <w:t>المبتذلات اللاتی إذا نهین لا ینتهین</w:t>
      </w:r>
      <w:bookmarkEnd w:id="1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2133212_237004111"/>
      <w:bookmarkStart w:id="19" w:name="_Toc6"/>
      <w:bookmarkEnd w:id="18"/>
      <w:r>
        <w:rPr>
          <w:rtl w:val="true"/>
        </w:rPr>
        <w:t>اشارة</w:t>
      </w:r>
      <w:bookmarkEnd w:id="1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6289_41808"/>
      <w:bookmarkStart w:id="21" w:name="pg6289_41808"/>
      <w:bookmarkEnd w:id="21"/>
    </w:p>
    <w:p>
      <w:pPr>
        <w:pStyle w:val="Heading3"/>
        <w:numPr>
          <w:ilvl w:val="2"/>
          <w:numId w:val="1"/>
        </w:numPr>
        <w:rPr/>
      </w:pPr>
      <w:bookmarkStart w:id="22" w:name="pg6289_41808"/>
      <w:bookmarkStart w:id="23" w:name="__RefHeading___Toc2133214_237004111"/>
      <w:bookmarkStart w:id="24" w:name="_Toc7"/>
      <w:bookmarkEnd w:id="22"/>
      <w:bookmarkEnd w:id="23"/>
      <w:r>
        <w:rPr>
          <w:rtl w:val="true"/>
        </w:rPr>
        <w:t>المسألة الأولی</w:t>
      </w:r>
      <w:r>
        <w:rPr>
          <w:rtl w:val="true"/>
        </w:rPr>
        <w:t xml:space="preserve">: </w:t>
      </w:r>
      <w:r>
        <w:rPr>
          <w:rtl w:val="true"/>
        </w:rPr>
        <w:t>المبتذلات اللاتی إذا نهین لا ینتهین</w:t>
      </w:r>
      <w:bookmarkEnd w:id="24"/>
    </w:p>
    <w:p>
      <w:pPr>
        <w:pStyle w:val="Heading4"/>
        <w:numPr>
          <w:ilvl w:val="3"/>
          <w:numId w:val="1"/>
        </w:numPr>
        <w:rPr/>
      </w:pPr>
      <w:bookmarkStart w:id="25" w:name="__RefHeading___Toc2133216_237004111"/>
      <w:bookmarkStart w:id="26" w:name="_Toc8"/>
      <w:bookmarkEnd w:id="25"/>
      <w:r>
        <w:rPr>
          <w:rtl w:val="true"/>
        </w:rPr>
        <w:t>اشارة</w:t>
      </w:r>
      <w:bookmarkEnd w:id="26"/>
    </w:p>
    <w:p>
      <w:pPr>
        <w:pStyle w:val="BookText"/>
        <w:rPr/>
      </w:pPr>
      <w:r>
        <w:rPr>
          <w:rFonts w:ascii="IRNazanin" w:hAnsi="IRNazanin" w:eastAsia="IRNazanin"/>
          <w:color w:val="111111"/>
          <w:sz w:val="28"/>
          <w:sz w:val="28"/>
          <w:szCs w:val="28"/>
          <w:rtl w:val="true"/>
          <w:lang w:bidi="fa-IR"/>
        </w:rPr>
        <w:t>إحدی المسائل التی یکثر الابتلاء بها مسألة المبتذلات اللواتی إذا نُهینَ لا ینتهین، فهل یجوز النظر إلیهن أم لا؟</w:t>
      </w:r>
    </w:p>
    <w:p>
      <w:pPr>
        <w:pStyle w:val="BookText"/>
        <w:rPr/>
      </w:pPr>
      <w:r>
        <w:rPr>
          <w:rFonts w:ascii="IRNazanin" w:hAnsi="IRNazanin" w:eastAsia="IRNazanin"/>
          <w:color w:val="111111"/>
          <w:sz w:val="28"/>
          <w:sz w:val="28"/>
          <w:szCs w:val="28"/>
          <w:rtl w:val="true"/>
          <w:lang w:bidi="fa-IR"/>
        </w:rPr>
        <w:t>قال صاحب العروة بعد إفتائه بجواز النظر إلی نساء الکفار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یلحق بهم نساء أهل البوادی والقری من الأعراب وغیرهم وهو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عدم حرمة التردد فی الأسواق ونحوها مع العلم بوقوع النظر علیهن، ولا یجب غض البصر إذا لم یکن هناک خوف افتتان</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2133218_237004111"/>
      <w:bookmarkStart w:id="28" w:name="_Toc9"/>
      <w:bookmarkEnd w:id="27"/>
      <w:r>
        <w:rPr>
          <w:rtl w:val="true"/>
        </w:rPr>
        <w:t>فروع المسألة الأولی</w:t>
      </w:r>
      <w:bookmarkEnd w:id="28"/>
    </w:p>
    <w:p>
      <w:pPr>
        <w:pStyle w:val="Heading5"/>
        <w:numPr>
          <w:ilvl w:val="4"/>
          <w:numId w:val="1"/>
        </w:numPr>
        <w:rPr/>
      </w:pPr>
      <w:bookmarkStart w:id="29" w:name="__RefHeading___Toc2133220_237004111"/>
      <w:bookmarkStart w:id="30" w:name="_Toc10"/>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وفی هذه المسألة عدة فروع</w:t>
      </w:r>
      <w:r>
        <w:rPr>
          <w:rFonts w:eastAsia="IRNazanin" w:cs="IRNazanin"/>
          <w:color w:val="111111"/>
          <w:sz w:val="28"/>
          <w:szCs w:val="28"/>
          <w:rtl w:val="true"/>
          <w:lang w:bidi="fa-IR"/>
        </w:rPr>
        <w:t>:</w:t>
      </w:r>
    </w:p>
    <w:p>
      <w:pPr>
        <w:pStyle w:val="Heading5"/>
        <w:numPr>
          <w:ilvl w:val="4"/>
          <w:numId w:val="1"/>
        </w:numPr>
        <w:rPr/>
      </w:pPr>
      <w:bookmarkStart w:id="31" w:name="__RefHeading___Toc2133222_237004111"/>
      <w:bookmarkStart w:id="32" w:name="_Toc11"/>
      <w:bookmarkEnd w:id="31"/>
      <w:r>
        <w:rPr>
          <w:rtl w:val="true"/>
        </w:rPr>
        <w:t>الفرع الأول</w:t>
      </w:r>
      <w:r>
        <w:rPr>
          <w:rtl w:val="true"/>
        </w:rPr>
        <w:t xml:space="preserve">: </w:t>
      </w:r>
      <w:r>
        <w:rPr>
          <w:rtl w:val="true"/>
        </w:rPr>
        <w:t>فی حکم النظر إلیهن</w:t>
      </w:r>
      <w:bookmarkEnd w:id="32"/>
    </w:p>
    <w:p>
      <w:pPr>
        <w:pStyle w:val="Heading6"/>
        <w:numPr>
          <w:ilvl w:val="5"/>
          <w:numId w:val="1"/>
        </w:numPr>
        <w:rPr/>
      </w:pPr>
      <w:bookmarkStart w:id="33" w:name="__RefHeading___Toc2133224_237004111"/>
      <w:bookmarkStart w:id="34" w:name="_Toc12"/>
      <w:bookmarkEnd w:id="33"/>
      <w:r>
        <w:rPr>
          <w:rtl w:val="true"/>
        </w:rPr>
        <w:t>اشارة</w:t>
      </w:r>
      <w:bookmarkEnd w:id="3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استشکل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النظر إلیهنَّ</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ووافقه علی ذلک المحقق النائینی والمحقق العراقی والمحقق الحائری والسید أبو الحسن الإصفهانی والسید عبد الهادی الشیرازی والسید البروجردی والسید الگلپایگانی والسید الوالد رحمهم الله</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35" w:name="pg6289_41809"/>
    </w:p>
    <w:p>
      <w:pPr>
        <w:pStyle w:val="BookText"/>
        <w:rPr/>
      </w:pPr>
      <w:bookmarkEnd w:id="35"/>
      <w:r>
        <w:rPr>
          <w:rFonts w:ascii="IRNazanin" w:hAnsi="IRNazanin" w:eastAsia="IRNazanin"/>
          <w:color w:val="111111"/>
          <w:sz w:val="28"/>
          <w:sz w:val="28"/>
          <w:szCs w:val="28"/>
          <w:rtl w:val="true"/>
          <w:lang w:bidi="fa-IR"/>
        </w:rPr>
        <w:t>وأمّا الشیخ الکلینی</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اعتمد علی الخبر المروی فی هذا الشأن، وأفتی صاحب الوسائل طبق هذا الخبر فی عنوان الباب</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السید حسن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الأظهر جواز ذلک</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ووافقه السید تقی القمی فی المبانی</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ما عثرنا علیه فی هذه العجالة، وقد أشکل المعظم فی ذلک، بینما أجاز الأقل</w:t>
      </w:r>
      <w:r>
        <w:rPr>
          <w:rFonts w:eastAsia="IRNazanin" w:cs="IRNazanin"/>
          <w:color w:val="111111"/>
          <w:sz w:val="28"/>
          <w:szCs w:val="28"/>
          <w:rtl w:val="true"/>
          <w:lang w:bidi="fa-IR"/>
        </w:rPr>
        <w:t>.</w:t>
      </w:r>
    </w:p>
    <w:p>
      <w:pPr>
        <w:pStyle w:val="Heading6"/>
        <w:numPr>
          <w:ilvl w:val="5"/>
          <w:numId w:val="1"/>
        </w:numPr>
        <w:rPr/>
      </w:pPr>
      <w:bookmarkStart w:id="36" w:name="__RefHeading___Toc2133226_237004111"/>
      <w:bookmarkStart w:id="37" w:name="_Toc13"/>
      <w:bookmarkEnd w:id="36"/>
      <w:r>
        <w:rPr>
          <w:rtl w:val="true"/>
        </w:rPr>
        <w:t>أدلة جواز النظر</w:t>
      </w:r>
      <w:bookmarkEnd w:id="37"/>
    </w:p>
    <w:p>
      <w:pPr>
        <w:pStyle w:val="Heading6"/>
        <w:numPr>
          <w:ilvl w:val="5"/>
          <w:numId w:val="1"/>
        </w:numPr>
        <w:rPr/>
      </w:pPr>
      <w:bookmarkStart w:id="38" w:name="__RefHeading___Toc2133228_237004111"/>
      <w:bookmarkStart w:id="39" w:name="_Toc14"/>
      <w:bookmarkEnd w:id="38"/>
      <w:r>
        <w:rPr>
          <w:rtl w:val="true"/>
        </w:rPr>
        <w:t>اشارة</w:t>
      </w:r>
      <w:bookmarkEnd w:id="39"/>
    </w:p>
    <w:p>
      <w:pPr>
        <w:pStyle w:val="BookText"/>
        <w:rPr/>
      </w:pPr>
      <w:r>
        <w:rPr>
          <w:rFonts w:ascii="IRNazanin" w:hAnsi="IRNazanin" w:eastAsia="IRNazanin"/>
          <w:color w:val="111111"/>
          <w:sz w:val="28"/>
          <w:sz w:val="28"/>
          <w:szCs w:val="28"/>
          <w:rtl w:val="true"/>
          <w:lang w:bidi="fa-IR"/>
        </w:rPr>
        <w:t>یمکن الاستدلال علی الجواز بأدلة</w:t>
      </w:r>
      <w:r>
        <w:rPr>
          <w:rFonts w:eastAsia="IRNazanin" w:cs="IRNazanin"/>
          <w:color w:val="111111"/>
          <w:sz w:val="28"/>
          <w:szCs w:val="28"/>
          <w:rtl w:val="true"/>
          <w:lang w:bidi="fa-IR"/>
        </w:rPr>
        <w:t>:</w:t>
      </w:r>
    </w:p>
    <w:p>
      <w:pPr>
        <w:pStyle w:val="Heading6"/>
        <w:numPr>
          <w:ilvl w:val="5"/>
          <w:numId w:val="1"/>
        </w:numPr>
        <w:rPr/>
      </w:pPr>
      <w:bookmarkStart w:id="40" w:name="__RefHeading___Toc2133230_237004111"/>
      <w:bookmarkStart w:id="41" w:name="_Toc15"/>
      <w:bookmarkEnd w:id="40"/>
      <w:r>
        <w:rPr>
          <w:rtl w:val="true"/>
        </w:rPr>
        <w:t>الدلیل الأول</w:t>
      </w:r>
      <w:r>
        <w:rPr>
          <w:rtl w:val="true"/>
        </w:rPr>
        <w:t xml:space="preserve">: </w:t>
      </w:r>
      <w:r>
        <w:rPr>
          <w:rtl w:val="true"/>
        </w:rPr>
        <w:t>روایة عباد بن صهیب</w:t>
      </w:r>
      <w:bookmarkEnd w:id="41"/>
    </w:p>
    <w:p>
      <w:pPr>
        <w:pStyle w:val="Heading6"/>
        <w:numPr>
          <w:ilvl w:val="5"/>
          <w:numId w:val="1"/>
        </w:numPr>
        <w:rPr/>
      </w:pPr>
      <w:bookmarkStart w:id="42" w:name="__RefHeading___Toc2133232_237004111"/>
      <w:bookmarkStart w:id="43" w:name="_Toc16"/>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ما رواه الکلینی فی الکافی،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عیسی، عن ابن محبوب، عن عباد بن صهیب،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بالنظر إلی رؤوس أهل تهامة والأعراب وأهل السواد والعلوج؛ لأنهم إذا نهوا لا ینتهون</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عمدة الأدلة علی جواز النظر إلی المبتذلات اللواتی إذا نهین لا ینتهین</w:t>
      </w:r>
      <w:r>
        <w:rPr>
          <w:rFonts w:eastAsia="IRNazanin" w:cs="IRNazanin"/>
          <w:color w:val="111111"/>
          <w:sz w:val="28"/>
          <w:szCs w:val="28"/>
          <w:rtl w:val="true"/>
          <w:lang w:bidi="fa-IR"/>
        </w:rPr>
        <w:t xml:space="preserve">. </w:t>
      </w:r>
      <w:bookmarkStart w:id="44" w:name="pg6289_41810"/>
    </w:p>
    <w:p>
      <w:pPr>
        <w:pStyle w:val="Heading6"/>
        <w:numPr>
          <w:ilvl w:val="5"/>
          <w:numId w:val="1"/>
        </w:numPr>
        <w:rPr/>
      </w:pPr>
      <w:bookmarkStart w:id="45" w:name="__RefHeading___Toc2133234_237004111"/>
      <w:bookmarkStart w:id="46" w:name="_Toc17"/>
      <w:bookmarkEnd w:id="44"/>
      <w:bookmarkEnd w:id="45"/>
      <w:r>
        <w:rPr>
          <w:rtl w:val="true"/>
        </w:rPr>
        <w:t>الإشکالات علی الدلیل الأول</w:t>
      </w:r>
      <w:bookmarkEnd w:id="46"/>
    </w:p>
    <w:p>
      <w:pPr>
        <w:pStyle w:val="Heading6"/>
        <w:numPr>
          <w:ilvl w:val="5"/>
          <w:numId w:val="1"/>
        </w:numPr>
        <w:rPr/>
      </w:pPr>
      <w:bookmarkStart w:id="47" w:name="__RefHeading___Toc2133236_237004111"/>
      <w:bookmarkStart w:id="48" w:name="_Toc18"/>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وفی الاستدلال بهذه الروایة إشکالات</w:t>
      </w:r>
      <w:r>
        <w:rPr>
          <w:rFonts w:eastAsia="IRNazanin" w:cs="IRNazanin"/>
          <w:color w:val="111111"/>
          <w:sz w:val="28"/>
          <w:szCs w:val="28"/>
          <w:rtl w:val="true"/>
          <w:lang w:bidi="fa-IR"/>
        </w:rPr>
        <w:t>:</w:t>
      </w:r>
    </w:p>
    <w:p>
      <w:pPr>
        <w:pStyle w:val="Heading6"/>
        <w:numPr>
          <w:ilvl w:val="5"/>
          <w:numId w:val="1"/>
        </w:numPr>
        <w:rPr/>
      </w:pPr>
      <w:bookmarkStart w:id="49" w:name="__RefHeading___Toc2133238_237004111"/>
      <w:bookmarkStart w:id="50" w:name="_Toc19"/>
      <w:bookmarkEnd w:id="49"/>
      <w:r>
        <w:rPr>
          <w:rtl w:val="true"/>
        </w:rPr>
        <w:t>الإشکال الأول</w:t>
      </w:r>
      <w:r>
        <w:rPr>
          <w:rtl w:val="true"/>
        </w:rPr>
        <w:t xml:space="preserve">: </w:t>
      </w:r>
      <w:r>
        <w:rPr>
          <w:rtl w:val="true"/>
        </w:rPr>
        <w:t>إشکال سندی</w:t>
      </w:r>
      <w:bookmarkEnd w:id="50"/>
    </w:p>
    <w:p>
      <w:pPr>
        <w:pStyle w:val="Heading6"/>
        <w:numPr>
          <w:ilvl w:val="5"/>
          <w:numId w:val="1"/>
        </w:numPr>
        <w:rPr/>
      </w:pPr>
      <w:bookmarkStart w:id="51" w:name="__RefHeading___Toc2133240_237004111"/>
      <w:bookmarkStart w:id="52" w:name="_Toc20"/>
      <w:bookmarkEnd w:id="51"/>
      <w:r>
        <w:rPr>
          <w:rtl w:val="true"/>
        </w:rPr>
        <w:t>اشارة</w:t>
      </w:r>
      <w:bookmarkEnd w:id="5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السندی، وذلک من جهتین</w:t>
      </w:r>
      <w:r>
        <w:rPr>
          <w:rFonts w:eastAsia="IRNazanin" w:cs="IRNazanin"/>
          <w:color w:val="111111"/>
          <w:sz w:val="28"/>
          <w:szCs w:val="28"/>
          <w:rtl w:val="true"/>
          <w:lang w:bidi="fa-IR"/>
        </w:rPr>
        <w:t>:</w:t>
      </w:r>
    </w:p>
    <w:p>
      <w:pPr>
        <w:pStyle w:val="Heading6"/>
        <w:numPr>
          <w:ilvl w:val="5"/>
          <w:numId w:val="1"/>
        </w:numPr>
        <w:rPr/>
      </w:pPr>
      <w:bookmarkStart w:id="53" w:name="__RefHeading___Toc2133242_237004111"/>
      <w:bookmarkStart w:id="54" w:name="_Toc21"/>
      <w:bookmarkEnd w:id="53"/>
      <w:r>
        <w:rPr>
          <w:rtl w:val="true"/>
        </w:rPr>
        <w:t>الجهة الأولی</w:t>
      </w:r>
      <w:r>
        <w:rPr>
          <w:rtl w:val="true"/>
        </w:rPr>
        <w:t xml:space="preserve">: </w:t>
      </w:r>
      <w:r>
        <w:rPr>
          <w:rtl w:val="true"/>
        </w:rPr>
        <w:t>مجهولیة عدة الکافی</w:t>
      </w:r>
      <w:bookmarkEnd w:id="54"/>
    </w:p>
    <w:p>
      <w:pPr>
        <w:pStyle w:val="Heading6"/>
        <w:numPr>
          <w:ilvl w:val="5"/>
          <w:numId w:val="1"/>
        </w:numPr>
        <w:rPr/>
      </w:pPr>
      <w:bookmarkStart w:id="55" w:name="__RefHeading___Toc2133244_237004111"/>
      <w:bookmarkStart w:id="56" w:name="_Toc22"/>
      <w:bookmarkEnd w:id="55"/>
      <w:r>
        <w:rPr>
          <w:rtl w:val="true"/>
        </w:rPr>
        <w:t>اشارة</w:t>
      </w:r>
      <w:bookmarkEnd w:id="56"/>
    </w:p>
    <w:p>
      <w:pPr>
        <w:pStyle w:val="BookText"/>
        <w:rPr/>
      </w:pPr>
      <w:r>
        <w:rPr>
          <w:rFonts w:ascii="IRNazanin" w:hAnsi="IRNazanin" w:eastAsia="IRNazanin"/>
          <w:color w:val="111111"/>
          <w:sz w:val="28"/>
          <w:sz w:val="28"/>
          <w:szCs w:val="28"/>
          <w:rtl w:val="true"/>
          <w:lang w:bidi="fa-IR"/>
        </w:rPr>
        <w:t>مجهولیة العدة التی یروی عنها الکلینی هذه الروایة، وهو إشکال عام یشمل الکثیر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 بأجوبة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هنالک طرقاً لدفع الإشکال من هذه الجهة</w:t>
      </w:r>
      <w:r>
        <w:rPr>
          <w:rFonts w:eastAsia="IRNazanin" w:cs="IRNazanin"/>
          <w:color w:val="111111"/>
          <w:sz w:val="28"/>
          <w:szCs w:val="28"/>
          <w:rtl w:val="true"/>
          <w:lang w:bidi="fa-IR"/>
        </w:rPr>
        <w:t>.</w:t>
      </w:r>
    </w:p>
    <w:p>
      <w:pPr>
        <w:pStyle w:val="Heading6"/>
        <w:numPr>
          <w:ilvl w:val="5"/>
          <w:numId w:val="1"/>
        </w:numPr>
        <w:rPr/>
      </w:pPr>
      <w:bookmarkStart w:id="57" w:name="__RefHeading___Toc2133246_237004111"/>
      <w:bookmarkStart w:id="58" w:name="_Toc23"/>
      <w:bookmarkEnd w:id="57"/>
      <w:r>
        <w:rPr>
          <w:rtl w:val="true"/>
        </w:rPr>
        <w:t>طرق توثیق العدة</w:t>
      </w:r>
      <w:bookmarkEnd w:id="58"/>
    </w:p>
    <w:p>
      <w:pPr>
        <w:pStyle w:val="Heading6"/>
        <w:numPr>
          <w:ilvl w:val="5"/>
          <w:numId w:val="1"/>
        </w:numPr>
        <w:rPr/>
      </w:pPr>
      <w:bookmarkStart w:id="59" w:name="__RefHeading___Toc2133248_237004111"/>
      <w:bookmarkStart w:id="60" w:name="_Toc24"/>
      <w:bookmarkEnd w:id="59"/>
      <w:r>
        <w:rPr>
          <w:rtl w:val="true"/>
        </w:rPr>
        <w:t>اشارة</w:t>
      </w:r>
      <w:bookmarkEnd w:id="60"/>
    </w:p>
    <w:p>
      <w:pPr>
        <w:pStyle w:val="BookText"/>
        <w:rPr/>
      </w:pPr>
      <w:r>
        <w:rPr>
          <w:rFonts w:ascii="IRNazanin" w:hAnsi="IRNazanin" w:eastAsia="IRNazanin"/>
          <w:color w:val="111111"/>
          <w:sz w:val="28"/>
          <w:sz w:val="28"/>
          <w:szCs w:val="28"/>
          <w:rtl w:val="true"/>
          <w:lang w:bidi="fa-IR"/>
        </w:rPr>
        <w:t>هناک عدة طرق لتوثیق عدة الشیخ الکلینی فی الکافی، وهی</w:t>
      </w:r>
      <w:r>
        <w:rPr>
          <w:rFonts w:eastAsia="IRNazanin" w:cs="IRNazanin"/>
          <w:color w:val="111111"/>
          <w:sz w:val="28"/>
          <w:szCs w:val="28"/>
          <w:rtl w:val="true"/>
          <w:lang w:bidi="fa-IR"/>
        </w:rPr>
        <w:t>:</w:t>
      </w:r>
    </w:p>
    <w:p>
      <w:pPr>
        <w:pStyle w:val="Heading6"/>
        <w:numPr>
          <w:ilvl w:val="5"/>
          <w:numId w:val="1"/>
        </w:numPr>
        <w:rPr/>
      </w:pPr>
      <w:bookmarkStart w:id="61" w:name="__RefHeading___Toc2133250_237004111"/>
      <w:bookmarkStart w:id="62" w:name="_Toc25"/>
      <w:bookmarkEnd w:id="61"/>
      <w:r>
        <w:rPr>
          <w:rtl w:val="true"/>
        </w:rPr>
        <w:t>الطریق الأول</w:t>
      </w:r>
      <w:r>
        <w:rPr>
          <w:rtl w:val="true"/>
        </w:rPr>
        <w:t xml:space="preserve">: </w:t>
      </w:r>
      <w:r>
        <w:rPr>
          <w:rtl w:val="true"/>
        </w:rPr>
        <w:t>احتواء العدة علی ثقة واحد</w:t>
      </w:r>
      <w:bookmarkEnd w:id="62"/>
    </w:p>
    <w:p>
      <w:pPr>
        <w:pStyle w:val="BookText"/>
        <w:rPr/>
      </w:pPr>
      <w:r>
        <w:rPr>
          <w:rFonts w:ascii="IRNazanin" w:hAnsi="IRNazanin" w:eastAsia="IRNazanin"/>
          <w:color w:val="111111"/>
          <w:sz w:val="28"/>
          <w:sz w:val="28"/>
          <w:szCs w:val="28"/>
          <w:rtl w:val="true"/>
          <w:lang w:bidi="fa-IR"/>
        </w:rPr>
        <w:t>لقد ذکر النجاشی فی ترجمة أحمد بن محمد بن عیسی أنَّ الکلینی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فی کتابی عدة من أصحابنا عن أحمد بن محمد بن عیسی فهم محمد بن یحیی وعلی بن موسی الکمیذانی، وداود بن کورة، وأحمد بن إدریس، وعلی بن إبراهیم بن هاشم</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فتکون العدة محتویة علی ثقة واحد علی الأقل، وهی فی المقام عن أحمد بن محمد بن عیسی، فتحتوی علی محمد بن یحیی الثقة الجلیل الأشعری العطار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ومثل ذلک ما نقله العلامة عن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بینهما أنّ النجاشی اقتصر علی ذکر رجال العدة عن أحمد بن محمد، وأمّا العلامة فقد ذکر عنه رجال العدد الثلاث، وفی کل واحدة منها یوجد واحد من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هذا الطریق أنهما لم یعاصرا الکلینی حتی یکونا سمعا عنه مباشرة، فلابد من أن تکون هنالک وسائط محذوفة بینهما وبینه، وحیث إنّ الوسائط مجهولة لزم عدم حجیة النقل المذکور، کما یقال مثل ذلک فی مراسیل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الإشکال متین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هنالک طریقة واحدة لدفعه، وهی احتمال کون النقل حسیاً، باعتبار وضوح الأمر من جهة نقله کابراً عن کابر، وإذا دار الأمر بین کونه حسیاً أو حدسیاً کانت أصالة الحس العقلائیة محکمة، کما یقال بمثل ذلک فی توثیقات الرجالیین لمن لم یعاصروهم فی الروایات، کتوثیق النجاشی لعبد الله بن سنان، مع أنّ الوسائط بینهما محذوفة، وکما نوثق الشیخ الأنصاری مع أننا لم نره، فلیس ذلک اجتهاداً، وإنما هو عن حس أو کالحس، وقول الثقة فی ذلک معتبر، وفی المقام یحتمل کون نقل العلامة والنجاشی عن الکلینی نقلاً حسیاً أو کالحسی، وإذا دار الأمر بین الحس والحدس تکون أصالة الحس العقلائیة محکمة، وإلا انسد باب التوثیقات الرجالیة، خاصة مع ملاحظة أنّ کتاب الکافی بدأ بالانتشار فی عهد الکلینی، وکان یعتمد ویتدارس فی العهود الأولی، وقد کتبه لیکون مرجعاً للشیعة إلی یوم القیامة، فاحتمال أن یکون نقل مثل هذه القضیة المهمة کابراً عن کابر </w:t>
      </w:r>
      <w:bookmarkStart w:id="63" w:name="pg6289_41812"/>
    </w:p>
    <w:p>
      <w:pPr>
        <w:pStyle w:val="BookText"/>
        <w:rPr/>
      </w:pPr>
      <w:bookmarkEnd w:id="63"/>
      <w:r>
        <w:rPr>
          <w:rFonts w:ascii="IRNazanin" w:hAnsi="IRNazanin" w:eastAsia="IRNazanin"/>
          <w:color w:val="111111"/>
          <w:sz w:val="28"/>
          <w:sz w:val="28"/>
          <w:szCs w:val="28"/>
          <w:rtl w:val="true"/>
          <w:lang w:bidi="fa-IR"/>
        </w:rPr>
        <w:t>متواتراً أو مستفیضاً حتی وصلت إلی النجاشی والعلامة قائمٌ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تم ذلک فی النجاشی عن الکلینی فلا بد من تمامیته فی الکلینی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الاحتمال قائماً قلنا بذلک، لکنه کثر الاعتماد فی تلک الروایات علی الاجتهاد، فهل یحتمل أنّ ثلث روایات الفقیه کانت واضحة، بحیث رواها الشیخ الصدوق من باب الوضوح لا الاجتهاد فی صدورها عن المعصوم؟</w:t>
      </w:r>
    </w:p>
    <w:p>
      <w:pPr>
        <w:pStyle w:val="Heading6"/>
        <w:numPr>
          <w:ilvl w:val="5"/>
          <w:numId w:val="1"/>
        </w:numPr>
        <w:rPr/>
      </w:pPr>
      <w:bookmarkStart w:id="64" w:name="__RefHeading___Toc2133252_237004111"/>
      <w:bookmarkStart w:id="65" w:name="_Toc26"/>
      <w:bookmarkEnd w:id="64"/>
      <w:r>
        <w:rPr>
          <w:rtl w:val="true"/>
        </w:rPr>
        <w:t>الطریق الثانی</w:t>
      </w:r>
      <w:r>
        <w:rPr>
          <w:rtl w:val="true"/>
        </w:rPr>
        <w:t xml:space="preserve">: </w:t>
      </w:r>
      <w:r>
        <w:rPr>
          <w:rtl w:val="true"/>
        </w:rPr>
        <w:t>ما ذکره الکلینی فی الحدیث الأول</w:t>
      </w:r>
      <w:bookmarkEnd w:id="65"/>
    </w:p>
    <w:p>
      <w:pPr>
        <w:pStyle w:val="BookText"/>
        <w:rPr/>
      </w:pPr>
      <w:r>
        <w:rPr>
          <w:rFonts w:ascii="IRNazanin" w:hAnsi="IRNazanin" w:eastAsia="IRNazanin"/>
          <w:color w:val="111111"/>
          <w:sz w:val="28"/>
          <w:sz w:val="28"/>
          <w:szCs w:val="28"/>
          <w:rtl w:val="true"/>
          <w:lang w:bidi="fa-IR"/>
        </w:rPr>
        <w:t>قال الشیخ الکلینی فی الحدیث الأول من أصول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عدة من أصحابنا منهم محمد بن یحیی العطار، عن أحمد بن محمد</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فیدل علی وجوده فی جمیع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ویستفاد من کلامه فی الکافی أنّ محمد بن یحیی أحد العدة، وهو کاف فی المطلوب، وقد اتفق هذا البیان فی أول حدیث ذکره فی الکتاب، و ظاهره أنه أحال الباقی علیه</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عدة من أصحابنا، علی بن إبراهیم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فی بعض نسخ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بن خالد</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أصالة عدم الزیادة مقدمة علی </w:t>
      </w:r>
      <w:bookmarkStart w:id="66" w:name="pg6289_41813"/>
    </w:p>
    <w:p>
      <w:pPr>
        <w:pStyle w:val="BookText"/>
        <w:rPr/>
      </w:pPr>
      <w:bookmarkEnd w:id="66"/>
      <w:r>
        <w:rPr>
          <w:rFonts w:ascii="IRNazanin" w:hAnsi="IRNazanin" w:eastAsia="IRNazanin"/>
          <w:color w:val="111111"/>
          <w:sz w:val="28"/>
          <w:sz w:val="28"/>
          <w:szCs w:val="28"/>
          <w:rtl w:val="true"/>
          <w:lang w:bidi="fa-IR"/>
        </w:rPr>
        <w:t>أصالة عدم 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یشکل بأنّ ذلک لا یمثل قرینة عامة فی جمیع الموارد، لا أقل من الاحتمال الموجب لسقوط الاستدلال، فهو مثل أن یقول شخص کالخطیب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جماعة منهم فلان،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جماعة، فهل یعتبر إحالة علی الحدیث الأول؟ إلا أنّ صاحب المعالم مع دقته اعتبرها إحالة، فیکون محمد بن یحیی فی کل العدد، فتکون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قرینة ظنیة جیدة</w:t>
      </w:r>
      <w:r>
        <w:rPr>
          <w:rFonts w:eastAsia="IRNazanin" w:cs="IRNazanin"/>
          <w:color w:val="111111"/>
          <w:sz w:val="28"/>
          <w:szCs w:val="28"/>
          <w:rtl w:val="true"/>
          <w:lang w:bidi="fa-IR"/>
        </w:rPr>
        <w:t>.</w:t>
      </w:r>
    </w:p>
    <w:p>
      <w:pPr>
        <w:pStyle w:val="Heading6"/>
        <w:numPr>
          <w:ilvl w:val="5"/>
          <w:numId w:val="1"/>
        </w:numPr>
        <w:rPr/>
      </w:pPr>
      <w:bookmarkStart w:id="67" w:name="__RefHeading___Toc2133254_237004111"/>
      <w:bookmarkStart w:id="68" w:name="_Toc27"/>
      <w:bookmarkEnd w:id="67"/>
      <w:r>
        <w:rPr>
          <w:rtl w:val="true"/>
        </w:rPr>
        <w:t>الطریق الثالث</w:t>
      </w:r>
      <w:r>
        <w:rPr>
          <w:rtl w:val="true"/>
        </w:rPr>
        <w:t xml:space="preserve">: </w:t>
      </w:r>
      <w:r>
        <w:rPr>
          <w:rtl w:val="true"/>
        </w:rPr>
        <w:t>استبعاد اجتماع المشایخ علی الخلاف</w:t>
      </w:r>
      <w:bookmarkEnd w:id="68"/>
    </w:p>
    <w:p>
      <w:pPr>
        <w:pStyle w:val="BookText"/>
        <w:rPr/>
      </w:pPr>
      <w:r>
        <w:rPr>
          <w:rFonts w:ascii="IRNazanin" w:hAnsi="IRNazanin" w:eastAsia="IRNazanin"/>
          <w:color w:val="111111"/>
          <w:sz w:val="28"/>
          <w:sz w:val="28"/>
          <w:szCs w:val="28"/>
          <w:rtl w:val="true"/>
          <w:lang w:bidi="fa-IR"/>
        </w:rPr>
        <w:t xml:space="preserve">أقل أفراد العدة ثلاثة، ومن البعید اجتماع ثلاثة من مشایخ الکلینی علی التواطؤ علی الکذب، أو وقوعهم فی الخطأ جمیعاً، خاصة أنّ الشیخ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اعتمد علی کلّ الکافی، وقد ألفه لیکون المرجع للشیعة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أکثر الروایة عن العدة، ویبعد أن تکون القرائن فی جمیع تلک الموارد خارجیة، فیتعین کونها داخلیة، فیدل ذلک علی 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اعتمد شخص علی فرد فی موارد متعددة، فإنّ ذلک یدل علی أنّ القرینة داخلیة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طرق أخری لإثبات وثاقة العدة لعل مجموعها یوجب الاطمئنان بما ذکر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بقاء الإشکال فی العدة، فهنالک طریق آخر لا توجد فیه العدة، وهو ما رواه الصدوق بإسناده عن الحسن بن محبوب عن </w:t>
      </w:r>
      <w:bookmarkStart w:id="69" w:name="pg6289_41814"/>
    </w:p>
    <w:p>
      <w:pPr>
        <w:pStyle w:val="BookText"/>
        <w:rPr/>
      </w:pPr>
      <w:bookmarkEnd w:id="69"/>
      <w:r>
        <w:rPr>
          <w:rFonts w:ascii="IRNazanin" w:hAnsi="IRNazanin" w:eastAsia="IRNazanin"/>
          <w:color w:val="111111"/>
          <w:sz w:val="28"/>
          <w:sz w:val="28"/>
          <w:szCs w:val="28"/>
          <w:rtl w:val="true"/>
          <w:lang w:bidi="fa-IR"/>
        </w:rPr>
        <w:t>عباد بن صهیب</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مشیخة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فیه عن الحسن بن محبوب فقد رویته عن محمد بن موسی بن المتوکل رضی الله عنه</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 الله بن جعفر الحمیری</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وسعد بن عبد الله</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محمد بن عیسی</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الحسن بن محبوب</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الشیخ الصدوق نفس الروایة فی العلل بنفس السند، إلا أنه ذکر أهل الذمة بدل العلوج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تم حلّ الجهة الأولی من جهات الإشکال إما بالجواب الأول أو الثانی</w:t>
      </w:r>
      <w:r>
        <w:rPr>
          <w:rFonts w:eastAsia="IRNazanin" w:cs="IRNazanin"/>
          <w:color w:val="111111"/>
          <w:sz w:val="28"/>
          <w:szCs w:val="28"/>
          <w:rtl w:val="true"/>
          <w:lang w:bidi="fa-IR"/>
        </w:rPr>
        <w:t>.</w:t>
      </w:r>
    </w:p>
    <w:p>
      <w:pPr>
        <w:pStyle w:val="Heading6"/>
        <w:numPr>
          <w:ilvl w:val="5"/>
          <w:numId w:val="1"/>
        </w:numPr>
        <w:rPr/>
      </w:pPr>
      <w:bookmarkStart w:id="70" w:name="__RefHeading___Toc2133256_237004111"/>
      <w:bookmarkStart w:id="71" w:name="_Toc28"/>
      <w:bookmarkEnd w:id="70"/>
      <w:r>
        <w:rPr>
          <w:rtl w:val="true"/>
        </w:rPr>
        <w:t>الجهة الثانیة</w:t>
      </w:r>
      <w:r>
        <w:rPr>
          <w:rtl w:val="true"/>
        </w:rPr>
        <w:t xml:space="preserve">: </w:t>
      </w:r>
      <w:r>
        <w:rPr>
          <w:rtl w:val="true"/>
        </w:rPr>
        <w:t>ضعف عباد بن صهیب</w:t>
      </w:r>
      <w:bookmarkEnd w:id="71"/>
    </w:p>
    <w:p>
      <w:pPr>
        <w:pStyle w:val="BookText"/>
        <w:rPr/>
      </w:pPr>
      <w:r>
        <w:rPr>
          <w:rFonts w:ascii="IRNazanin" w:hAnsi="IRNazanin" w:eastAsia="IRNazanin"/>
          <w:color w:val="111111"/>
          <w:sz w:val="28"/>
          <w:sz w:val="28"/>
          <w:szCs w:val="28"/>
          <w:rtl w:val="true"/>
          <w:lang w:bidi="fa-IR"/>
        </w:rPr>
        <w:t>ما ذکره فی المستمسک</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ضعف الروایة بعباد، فإنّ طرقها تنتهی إلیه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هنالک طرقاً لتوثیق عباد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طرق توثیق عباد بن صهیب</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محبوب عنه، وهو من أصحاب الإجماع، ذکره المحقق النراقی</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الحکیم</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الوالد</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 فإنّ المبنی محلّ إشکال علی ما فصّل فی علم الرجال فی بحث الوقوع فی سند أصحاب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الحکیم</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الوالد</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أحمد بن محمد بن عیسی، الراوی عن ابن محبوب، هو الثقة الجلیل الذی أخرج البرقی من قم؛ لأنه یروی عن 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لأنه أنما أخرج البرقی لإکثاره الروایة عن الضعفاء، واعتماده المراسیل، أو لخصوصیة فیما رواه، کأن تسبب فتنة اجتماعیة أو فکریة حسبما یراه المخرج، فلا یدل ذلک علی أنه لا یروی أیة روایة ضعیفة، لا أقل من إجمال وجه العمل، فإنّ العمل لا لسان له،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وقوعه فی أسانید تفسیر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المبنی غیر مرضی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لتوثیق النجاشی له</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72" w:name="pg6289_41816"/>
    </w:p>
    <w:p>
      <w:pPr>
        <w:pStyle w:val="BookText"/>
        <w:rPr/>
      </w:pPr>
      <w:bookmarkEnd w:id="72"/>
      <w:r>
        <w:rPr>
          <w:rFonts w:ascii="IRNazanin" w:hAnsi="IRNazanin" w:eastAsia="IRNazanin"/>
          <w:color w:val="111111"/>
          <w:sz w:val="28"/>
          <w:sz w:val="28"/>
          <w:szCs w:val="28"/>
          <w:rtl w:val="true"/>
          <w:lang w:bidi="fa-IR"/>
        </w:rPr>
        <w:t>فتحصل أنّ سند الروایة تام، خلافاً للسید الحکیم الذی ضعفها، وکذا صاحب الجواهر</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عبر عنها بخبر عباد، وإن لم یکن مقیّداً بالمصطلحات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لقد عبر السید الخوئی</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بالصحیحة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إذ عباد عامی، کما صرح بذلک فی المعجم،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إشکال فی کونه عامیاً بشهادة الشیخ والکشی</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عبر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الخبر بالموثق</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أنّ الروایة موثقة، وأنّ الإشکال الأول غیر تام</w:t>
      </w:r>
      <w:r>
        <w:rPr>
          <w:rFonts w:eastAsia="IRNazanin" w:cs="IRNazanin"/>
          <w:color w:val="111111"/>
          <w:sz w:val="28"/>
          <w:szCs w:val="28"/>
          <w:rtl w:val="true"/>
          <w:lang w:bidi="fa-IR"/>
        </w:rPr>
        <w:t>.</w:t>
      </w:r>
    </w:p>
    <w:p>
      <w:pPr>
        <w:pStyle w:val="Heading6"/>
        <w:numPr>
          <w:ilvl w:val="5"/>
          <w:numId w:val="1"/>
        </w:numPr>
        <w:rPr/>
      </w:pPr>
      <w:bookmarkStart w:id="73" w:name="__RefHeading___Toc2133258_237004111"/>
      <w:bookmarkStart w:id="74" w:name="_Toc29"/>
      <w:bookmarkEnd w:id="73"/>
      <w:r>
        <w:rPr>
          <w:rtl w:val="true"/>
        </w:rPr>
        <w:t>الإشکال الثانی</w:t>
      </w:r>
      <w:r>
        <w:rPr>
          <w:rtl w:val="true"/>
        </w:rPr>
        <w:t xml:space="preserve">: </w:t>
      </w:r>
      <w:r>
        <w:rPr>
          <w:rtl w:val="true"/>
        </w:rPr>
        <w:t>کون المراد من الحدیث عدم وجوب الغض</w:t>
      </w:r>
      <w:bookmarkEnd w:id="74"/>
    </w:p>
    <w:p>
      <w:pPr>
        <w:pStyle w:val="BookText"/>
        <w:rPr/>
      </w:pPr>
      <w:r>
        <w:rPr>
          <w:rFonts w:ascii="IRNazanin" w:hAnsi="IRNazanin" w:eastAsia="IRNazanin"/>
          <w:color w:val="111111"/>
          <w:sz w:val="28"/>
          <w:sz w:val="28"/>
          <w:szCs w:val="28"/>
          <w:rtl w:val="true"/>
          <w:lang w:bidi="fa-IR"/>
        </w:rPr>
        <w:t>ما ذکره صاحب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کون المراد منه عدم وجوب الغض وعدم حرمة التردد فی الأسواق والزقاق من هذه الجهة؛ لما فی ذلک من العسر والحرج بعد فرض عدم الانتهاء بالنهی</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الذی یدخل الأسواق یعلم إجمالاً بوقوع نظره علی اللواتی إذا نهین لا ینتهین، ومعه یدور أمره بین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الدخول إلیها، أو وجوب غض </w:t>
      </w:r>
    </w:p>
    <w:p>
      <w:pPr>
        <w:pStyle w:val="BookText"/>
        <w:rPr/>
      </w:pPr>
      <w:r>
        <w:rPr>
          <w:rFonts w:ascii="IRNazanin" w:hAnsi="IRNazanin" w:eastAsia="IRNazanin"/>
          <w:color w:val="111111"/>
          <w:sz w:val="28"/>
          <w:sz w:val="28"/>
          <w:szCs w:val="28"/>
          <w:rtl w:val="true"/>
          <w:lang w:bidi="fa-IR"/>
        </w:rPr>
        <w:t>النظر حتی لا ینظر إلی أحد، فیکون مراد الروایة عدم الإشکال فی النظر المتعقب لدخول الأسواق و 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تقیید من غیر دلیل؛ إذ مقتضی الإطلاق کون الموضوع هو النظر، لا النظر المترتب علی دخول الأسواق، وقد ذکر فی 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الجواهر خلاف الظاهر</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یُنتصر للجواهر بأنّ القدر المتیقن هو خصوص النظر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القدر المتیقن الخارجی</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یقدح فی إطلاق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 المتیقن فی مقام التخاطب یمنع من انعقاد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فیه نظر أیضاً، علی ما فصّل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المتیقن الخارجی متحقق فی جمیع المطلقات، فالقدر المتیقن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العدول منهم، لکن ذلک لا یمنع من انعقاد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قدراً متیقناً فی مقام التخاطب، کما لو کان الحدیث عن علماء الدین أو سأله عن المفید والصدوق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مداد العلماء أفضل من 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القول بعدم شموله لعلماء المنطق، کما علیه صاحب الکفایة، وإن ذهب الکثیر من المحققین إلی عدم منعه الإطلاق أیضاً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المقام لم یتحقق القدر المتیقن فی مقام التخاطب، حیث لا سؤال </w:t>
      </w:r>
      <w:bookmarkStart w:id="75" w:name="pg6289_41818"/>
    </w:p>
    <w:p>
      <w:pPr>
        <w:pStyle w:val="BookText"/>
        <w:rPr/>
      </w:pPr>
      <w:bookmarkEnd w:id="75"/>
      <w:r>
        <w:rPr>
          <w:rFonts w:ascii="IRNazanin" w:hAnsi="IRNazanin" w:eastAsia="IRNazanin"/>
          <w:color w:val="111111"/>
          <w:sz w:val="28"/>
          <w:sz w:val="28"/>
          <w:szCs w:val="28"/>
          <w:rtl w:val="true"/>
          <w:lang w:bidi="fa-IR"/>
        </w:rPr>
        <w:t xml:space="preserve">مثلاً عن الدخول فی الأسواق، حتی یحمل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فی الجواهر غیر واضح</w:t>
      </w:r>
      <w:r>
        <w:rPr>
          <w:rFonts w:eastAsia="IRNazanin" w:cs="IRNazanin"/>
          <w:color w:val="111111"/>
          <w:sz w:val="28"/>
          <w:szCs w:val="28"/>
          <w:rtl w:val="true"/>
          <w:lang w:bidi="fa-IR"/>
        </w:rPr>
        <w:t>.</w:t>
      </w:r>
    </w:p>
    <w:p>
      <w:pPr>
        <w:pStyle w:val="Heading6"/>
        <w:numPr>
          <w:ilvl w:val="5"/>
          <w:numId w:val="1"/>
        </w:numPr>
        <w:rPr/>
      </w:pPr>
      <w:bookmarkStart w:id="76" w:name="__RefHeading___Toc2133260_237004111"/>
      <w:bookmarkStart w:id="77" w:name="_Toc30"/>
      <w:bookmarkEnd w:id="76"/>
      <w:r>
        <w:rPr>
          <w:rtl w:val="true"/>
        </w:rPr>
        <w:t>الإشکال الثالث</w:t>
      </w:r>
      <w:r>
        <w:rPr>
          <w:rtl w:val="true"/>
        </w:rPr>
        <w:t xml:space="preserve">: </w:t>
      </w:r>
      <w:r>
        <w:rPr>
          <w:rtl w:val="true"/>
        </w:rPr>
        <w:t>قصر الجواز علی النظر القهری</w:t>
      </w:r>
      <w:bookmarkEnd w:id="77"/>
    </w:p>
    <w:p>
      <w:pPr>
        <w:pStyle w:val="BookText"/>
        <w:rPr/>
      </w:pPr>
      <w:r>
        <w:rPr>
          <w:rFonts w:ascii="IRNazanin" w:hAnsi="IRNazanin" w:eastAsia="IRNazanin"/>
          <w:color w:val="111111"/>
          <w:sz w:val="28"/>
          <w:sz w:val="28"/>
          <w:szCs w:val="28"/>
          <w:rtl w:val="true"/>
          <w:lang w:bidi="fa-IR"/>
        </w:rPr>
        <w:t xml:space="preserve">إن مقتضی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لم یتعمد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الجواز علی النظر القهری، وما هو خارج عن الاختیار، فلا یشمل النظر الاختیاری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نص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بالنظر إلی رؤوس أهل تهامة والأعراب وأهل السواد والعلوج؛ لأنهم إذا نهوا لا ینتهون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والمجنونة والمغلوبة علی عقلها لا بأس بالنظر إلی شعرها وجسدها ما لم یتعمد ذلک</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فالقید الأخیر یدل علی أنّ النظر اتفاقی، ولیس الکلام فیه، وإنما الکلام فی النظر المتعمد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 المتیقن عوده إلی الجملة الأخیرة لا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إذ ذلک وإن کان هو القدر المتیقن، إلا أنه یوجب الإجمال فیما تقدمها من الجمل؛ لکون القرینة متصلة، کما ذکر نظیر ذلک فی الاستثناء المتعقب للجمل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وأضف الخطباء واحترم الشعراء، إلا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المتیقن عود الاستثناء إلی الأخیر، لکن قال جمع من المحققین</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یمنع عن انعقاد الإطلاق فی الجمل المتقدمة؛ لأنّ القرینة متصلة لا منفصلة، فلا یمکن التمسک بالإطلاق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الروایة عدم ارتباط القید بما تقدم الجملة الأخیرة؛ لمکان تصدیرها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استقلالها عما قبلها، وکأنه قطع الکلام عما تقدمه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الراوی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عاطفة تربط الجملتین، وهو ظاهر فی الاتصال لا الانفصال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الانفصال، خاصة مع ملاحظة التعلیل فی الشق الأول من الروایة والتقیید فی الشق الثانی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فرض رجوع القید إلی الجمیع أو فرض الإجمال، إلا أنّ معنی التعمد هو خصوص النظر الشهوی، لا مطلق النظر المتعمد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کلمات بعض الفقهاء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الحر العاملی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بالتعمد هنا النظر بشهوة</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علی وجه التلذذ به والمیل إلیه</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فقه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بالتعمد القصد إلی النظر الملازم للنظر بشهوة</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یذکروا البرهان علی المدّعَی، لکن السید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 علی ذلک فی الفقه،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المراد بعدم التعمد القصد لأجل اللذة، وإلاّ فعدم </w:t>
      </w:r>
    </w:p>
    <w:p>
      <w:pPr>
        <w:pStyle w:val="BookText"/>
        <w:rPr/>
      </w:pPr>
      <w:r>
        <w:rPr>
          <w:rFonts w:ascii="IRNazanin" w:hAnsi="IRNazanin" w:eastAsia="IRNazanin"/>
          <w:color w:val="111111"/>
          <w:sz w:val="28"/>
          <w:sz w:val="28"/>
          <w:szCs w:val="28"/>
          <w:rtl w:val="true"/>
          <w:lang w:bidi="fa-IR"/>
        </w:rPr>
        <w:t>التعمد یجوز حتی بالنسبة إلی المسلمة</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التعمد مقابل الخطأ ولا حکم للخطأ، فلا معنی لحمل عدم التعمد علی الخطأ والسهو، کما لو فتح عینه من النوم ورأی الأجنبیة أمامه، فلا یمکن أن یکون فیه البأس حتی ننفی ذلک، فلا یکون معنی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یتوهم لزوم غض النظر فی الأسواق حتی لا یقع النظر خطأ، فینفی الإمام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المقدور بالواسطة مقدور، فإذا علم أنّ هذا النظر یؤدی به إلی النظر اعتبر عمداً لا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حتی لو فرض عود القید للجمیع لا للجملة الأخیرة، ولم یکن منفصلاً عنها لم یضر بما نحن فیه؛ لأنّ النظر بشهوة إلی اللواتی إذا نهین لا ینتهین لیس محل الکلام، وستأتی قیود هذا النظر، فلم یقل أحد بجواز النظر إلیهن بشهوة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القید لیس للجملة الأولی، ولو کان قیداً لها لم یضر بمقصودنا؛ لأنّ المراد النظر الشهوی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وجه لتفسیر التعمد بالنظر بشهوة، بل یمکن تفسیره بطول النظر مثلاً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خلاف الظاهر جداً، أما التفسیر بالنظر الشهوی فهو وارد، کما نشاهد مثله فی الفتاوی</w:t>
      </w:r>
      <w:r>
        <w:rPr>
          <w:rFonts w:eastAsia="IRNazanin" w:cs="IRNazanin"/>
          <w:color w:val="111111"/>
          <w:sz w:val="28"/>
          <w:szCs w:val="28"/>
          <w:rtl w:val="true"/>
          <w:lang w:bidi="fa-IR"/>
        </w:rPr>
        <w:t xml:space="preserve">. </w:t>
      </w:r>
      <w:bookmarkStart w:id="78" w:name="pg6289_41821"/>
    </w:p>
    <w:p>
      <w:pPr>
        <w:pStyle w:val="Heading6"/>
        <w:numPr>
          <w:ilvl w:val="5"/>
          <w:numId w:val="1"/>
        </w:numPr>
        <w:rPr/>
      </w:pPr>
      <w:bookmarkStart w:id="79" w:name="__RefHeading___Toc2133262_237004111"/>
      <w:bookmarkStart w:id="80" w:name="_Toc31"/>
      <w:bookmarkEnd w:id="78"/>
      <w:bookmarkEnd w:id="79"/>
      <w:r>
        <w:rPr>
          <w:rtl w:val="true"/>
        </w:rPr>
        <w:t>الإشکال الرابع</w:t>
      </w:r>
      <w:r>
        <w:rPr>
          <w:rtl w:val="true"/>
        </w:rPr>
        <w:t xml:space="preserve">: </w:t>
      </w:r>
      <w:r>
        <w:rPr>
          <w:rtl w:val="true"/>
        </w:rPr>
        <w:t>تقید الروایة بأهل الذمة</w:t>
      </w:r>
      <w:bookmarkEnd w:id="80"/>
    </w:p>
    <w:p>
      <w:pPr>
        <w:pStyle w:val="BookText"/>
        <w:rPr/>
      </w:pPr>
      <w:r>
        <w:rPr>
          <w:rFonts w:ascii="IRNazanin" w:hAnsi="IRNazanin" w:eastAsia="IRNazanin"/>
          <w:color w:val="111111"/>
          <w:sz w:val="28"/>
          <w:sz w:val="28"/>
          <w:szCs w:val="28"/>
          <w:rtl w:val="true"/>
          <w:lang w:bidi="fa-IR"/>
        </w:rPr>
        <w:t>إنّ هذه الروایة وردت فی الفقیه والعلل مقیدة بکونهم من أهل الذمة، ومع التعارض بین أصالة عدم الزیادة وعدم النقیصة تقدم أصالة عدم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بالنظر إلی شعور نساء أهل تهامة والأعراب وأهل البوادی من أهل الذمة والعلوج</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والعلج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الضخم القوی من کفار العجم، وبعضهم یطلقه علی الکافر مطلقاً</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ترتبط الروایة بما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فیدور الأمر بین أن یکون الکلینی نقص أو الصدوق زاد، فیقدم الأول؛ لأصالة عدم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لا یقدح فی المقصود؛ لمکان العلة التی تعمم وتخصص، فعموم التعلیل</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مع فرض وجود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الکلینی یشمل غیر أهل الذمة، فإنّ العلة ظاهرة ظهوراً قویاً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الموجود روایتین، خاصة مع ملاحظة اشتمال إحداهما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البوادی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خلاف الظاهر، فالفرق بین الألفاظ قلیل، فاحتمال تعدد روایة ابن محبوب عن عباد بن صهیب الواردة فی الطریقین ضعیف، خاصة </w:t>
      </w:r>
      <w:bookmarkStart w:id="81" w:name="pg6289_41822"/>
    </w:p>
    <w:p>
      <w:pPr>
        <w:pStyle w:val="BookText"/>
        <w:rPr/>
      </w:pPr>
      <w:bookmarkEnd w:id="81"/>
      <w:r>
        <w:rPr>
          <w:rFonts w:ascii="IRNazanin" w:hAnsi="IRNazanin" w:eastAsia="IRNazanin"/>
          <w:color w:val="111111"/>
          <w:sz w:val="28"/>
          <w:sz w:val="28"/>
          <w:szCs w:val="28"/>
          <w:rtl w:val="true"/>
          <w:lang w:bidi="fa-IR"/>
        </w:rPr>
        <w:t>مع ملاحظة أول الروایة وآخرها، فالظاهر أنه نفس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فاحتمال أنّ ابن محبوب الذی روی عن عباد بن صهیب اللذین وردا فی الطریقین رویا روایتین خلاف الظاهر، فالظاهر أنه نفس الروایة، خاصة مع أول الروایة وآخرها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تم التقیید بأهل الذمة؟</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الإشکال وارد علی کل مفهوم لقب، فقد یکون التقیید لأجل أنه محل الابتلاء أو لحکمة أخری،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الرمان لأنه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روایات الاستصحاب المعللة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الیقین لا یدفع بالشک</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دل علی التعمیم إلی غیر الوضوء والخفقة والخفقتان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العلة تنقل الموضوع إلی موضوع التعلیل، فیصبح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ولذا یشمل اللیمون الحامض بخلاف الرمان الحلو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أضبط، فیقدم فی التعارض بینه وبین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الأمر کذلک، لکن لو نقص الأضبط وزاد غیره أخذ بالزیادة للأصل المذکور، فإنّ أصالة عدم الزیادة مقدمة علی أصالة عدم النقیصة عقلائیاً</w:t>
      </w:r>
      <w:r>
        <w:rPr>
          <w:rFonts w:eastAsia="IRNazanin" w:cs="IRNazanin"/>
          <w:color w:val="111111"/>
          <w:sz w:val="28"/>
          <w:szCs w:val="28"/>
          <w:rtl w:val="true"/>
          <w:lang w:bidi="fa-IR"/>
        </w:rPr>
        <w:t>.</w:t>
      </w:r>
    </w:p>
    <w:p>
      <w:pPr>
        <w:pStyle w:val="Heading6"/>
        <w:numPr>
          <w:ilvl w:val="5"/>
          <w:numId w:val="1"/>
        </w:numPr>
        <w:rPr/>
      </w:pPr>
      <w:bookmarkStart w:id="82" w:name="__RefHeading___Toc2133264_237004111"/>
      <w:bookmarkStart w:id="83" w:name="_Toc32"/>
      <w:bookmarkEnd w:id="82"/>
      <w:r>
        <w:rPr>
          <w:rtl w:val="true"/>
        </w:rPr>
        <w:t>الإشکال الخامس</w:t>
      </w:r>
      <w:r>
        <w:rPr>
          <w:rtl w:val="true"/>
        </w:rPr>
        <w:t xml:space="preserve">: </w:t>
      </w:r>
      <w:r>
        <w:rPr>
          <w:rtl w:val="true"/>
        </w:rPr>
        <w:t>الأخذ بالتعلیل أشکل</w:t>
      </w:r>
      <w:bookmarkEnd w:id="8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ما ذکره السید السبزواری،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 الأخذ بتعلیله أشکل</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فالعمل به مشکل والأخذ بتعلیله أشکل، ولکنه لم یبین وجه </w:t>
      </w:r>
    </w:p>
    <w:p>
      <w:pPr>
        <w:pStyle w:val="BookText"/>
        <w:rPr/>
      </w:pPr>
      <w:r>
        <w:rPr>
          <w:rFonts w:ascii="IRNazanin" w:hAnsi="IRNazanin" w:eastAsia="IRNazanin"/>
          <w:color w:val="111111"/>
          <w:sz w:val="28"/>
          <w:sz w:val="28"/>
          <w:szCs w:val="28"/>
          <w:rtl w:val="true"/>
          <w:lang w:bidi="fa-IR"/>
        </w:rPr>
        <w:t>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مانع من الأخذ بعموم التعلیل والحکم بجواز النظر إلی جمیع أجسادهن، واستثناء ما خرج بإجماع ونحوه لا یقدح فی عموم التعلیل؛ لتمام الباقی،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الرمان لأنه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وثبت من الخارج خروج حامض خاص من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الأخذ بعموم العلة یستلزم جواز غیر النظر من اللمس وغیره إذا کن لا ینتهین بالنهی عن ذلک، وإخراج کل ذلک من عموم العلة تخصیص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ویمکن دفع الإشکال بأنّ غایة ما یلزم کون العلة علة للجعل لا للمجعول، وبعبارة أخری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إذا نهوا لا ینتهون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لا علة، وحینئذٍ یختص جواز النظر بالرأس ولا یعم سائر الجسد، بل یجب الاقتصار علی مورد الروایة، وهو النظر إلی الرؤوس فقط لا إلی غیرها، وهذا لا یستلزم الإشکال فی أصل الحکم کما صنعه فی المهذب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أنما یتم بناء علی تقدیم روایة الکلینی المطلقة علی روایة الصدوق المقیدة، وأمّا بناءً علی تقدیم روایة الصدوق فیختص الحکم بأهل الذمة، ولا یجدینا فی المقام مطلقاً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یستلزم تخصیص الأکثر؛ لأنه الأکثر النوعی لا الفردی، فإنّ الأنواع تکثر، لکن أکثر الأفراد داخلة فی النظر، فمثلاً یخرج الرجل وینظر إلی ألف امرأة، بینما یقبل امرأة واحدة ویصافح أخری وینظر بشهوة إلی ثالثة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الملاحظ النوع أم الأفراد؟ ثم إنه مع ملاحظة بقیة الأنواع التی جرت العادة علیها، کالملامسة والخلوة بالأجنبیة والمفاکهة الشهویة والنظر الالتذاذی، ألا یکون الأخذ بعموم العلة تخصیصاً للأکثر؟ فإنّ الملاک أن لا یکون التعلیل مستهجناً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فرض تمامیة الإشکال فهو جواب آخر عما ذکر،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تخصیصاً للأکثر، فلا مانع من الأخذ بعموم التعلیل والحکم طبقه، إلا فیما قام الدلیل علی الخلاف، کالضرورة أو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 واحد بین الرأس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وحدة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تعمم وتخصص فی مدار الحکم الوارد لا حکم آخر، وفی المقام وردت العلة فی محط النظر، والعلة تدور مدار النظر تعمیماً وتخصیصاً، فلا یسری حکمها لغیر النظر کاللمس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علة جواز النظر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لأنهن إذا نهین لا ینتهین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بالصلاة خلف زید لأنه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جواز الصلاة خلف کل عادل، ومع الاعتراف بالعلیة فإنها تعمم إلی غیر المورد،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الرمان فإنه قاطع للصفراء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یمکن الحکم علی ذلک بکل قاطع للصفراء، فلو کان دلکه أو النظر إلیه قاطعاً للصفراء شمله الحکم، فلا خصوصیة للأکل، کما لا خصوصیة للرمان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فالعلة تعمم لکل ما ترتبت علیه العلة،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هی موضوع الحکم فی الواقع، فلا إشکال فی کل ما کان حراماً، لکنهن لا ینتهین بالنهی </w:t>
      </w:r>
    </w:p>
    <w:p>
      <w:pPr>
        <w:pStyle w:val="BookText"/>
        <w:rPr/>
      </w:pPr>
      <w:r>
        <w:rPr>
          <w:rFonts w:ascii="IRNazanin" w:hAnsi="IRNazanin" w:eastAsia="IRNazanin"/>
          <w:color w:val="111111"/>
          <w:sz w:val="28"/>
          <w:sz w:val="28"/>
          <w:szCs w:val="28"/>
          <w:rtl w:val="true"/>
          <w:lang w:bidi="fa-IR"/>
        </w:rPr>
        <w:t>عنه، مع مراعاة القید السابق،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یمنع منه ضرورة أو 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تُعطی للعرف، فإن فهم منها العمومیة عمّت وإلا فلا، ففی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الرمان لأنه قاطع للصفراء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یفهم العرف العمومیة؛ لذا یتعدی إلی النظر واللمس والدلک، أما فی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أحبها لأنها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یدل علی أنه یحب کل شیء کبیر؟</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یفهم ذلک فیتعدی إلی سائر الموارد،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بالنظر لأنهن لا یرتدعن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العلة عدم ارتداعهن، فالمصافحة أیضاً کذلک؛ لأنهن لا یرتدعن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کونها حکمة، لم یصح التعدی إلی غیر أهل تهامة والبوادی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التعمیم لغیرهم؛ لوحدة الملاک ولفهم عدم الخصوصیة إن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یسمع کلامک فاعبس فی وجهه، وقطّب جبینک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تتعدی إلی الضرب؟</w:t>
      </w:r>
    </w:p>
    <w:p>
      <w:pPr>
        <w:pStyle w:val="BookText"/>
        <w:rPr/>
      </w:pPr>
      <w:r>
        <w:rPr>
          <w:rFonts w:ascii="IRNazanin" w:hAnsi="IRNazanin" w:eastAsia="IRNazanin"/>
          <w:color w:val="111111"/>
          <w:sz w:val="28"/>
          <w:sz w:val="28"/>
          <w:szCs w:val="28"/>
          <w:rtl w:val="true"/>
          <w:lang w:bidi="fa-IR"/>
        </w:rPr>
        <w:t>إذا کان هذا هو العلة نتعدی، ما لم یخرج منه شیء</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لأنهن إذا نهین لا ینتهین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علة أو حکمة، فعلی الأول أمکن التعدی من الرؤوس إلی غیرها إلا ما خرج بالدلیل، وتأتی شبهة تخصیص الأکثر، فإن تمکنا من دفعها بما ذکر تمت العلیة، وتکون العلة هی المحور ما لم یمنع منه مانع، کالنظر إلی العورة والمصافحة والخلوة والمفاکهة، أما النظر المجرد فلا مانع من شمول العلة له، وعلی الثانی لزم الاقتصار علی الرؤوس، ویرد الإشکال أنّ روایة الصدوق مقیدة، </w:t>
      </w:r>
      <w:bookmarkStart w:id="84" w:name="pg6289_41826"/>
    </w:p>
    <w:p>
      <w:pPr>
        <w:pStyle w:val="BookText"/>
        <w:rPr/>
      </w:pPr>
      <w:bookmarkEnd w:id="84"/>
      <w:r>
        <w:rPr>
          <w:rFonts w:ascii="IRNazanin" w:hAnsi="IRNazanin" w:eastAsia="IRNazanin"/>
          <w:color w:val="111111"/>
          <w:sz w:val="28"/>
          <w:sz w:val="28"/>
          <w:szCs w:val="28"/>
          <w:rtl w:val="true"/>
          <w:lang w:bidi="fa-IR"/>
        </w:rPr>
        <w:t xml:space="preserve">فإن رجحت علی روایة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التعدی؛ لأنه خاص بأهل الذمة</w:t>
      </w:r>
      <w:r>
        <w:rPr>
          <w:rFonts w:eastAsia="IRNazanin" w:cs="IRNazanin"/>
          <w:color w:val="111111"/>
          <w:sz w:val="28"/>
          <w:szCs w:val="28"/>
          <w:rtl w:val="true"/>
          <w:lang w:bidi="fa-IR"/>
        </w:rPr>
        <w:t>.</w:t>
      </w:r>
    </w:p>
    <w:p>
      <w:pPr>
        <w:pStyle w:val="Heading6"/>
        <w:numPr>
          <w:ilvl w:val="5"/>
          <w:numId w:val="1"/>
        </w:numPr>
        <w:rPr/>
      </w:pPr>
      <w:bookmarkStart w:id="85" w:name="__RefHeading___Toc2133266_237004111"/>
      <w:bookmarkStart w:id="86" w:name="_Toc33"/>
      <w:bookmarkEnd w:id="85"/>
      <w:r>
        <w:rPr>
          <w:rtl w:val="true"/>
        </w:rPr>
        <w:t>الإشکال السادس</w:t>
      </w:r>
      <w:r>
        <w:rPr>
          <w:rtl w:val="true"/>
        </w:rPr>
        <w:t xml:space="preserve">: </w:t>
      </w:r>
      <w:r>
        <w:rPr>
          <w:rtl w:val="true"/>
        </w:rPr>
        <w:t>إعراض المشهور عن العمل بالروایة</w:t>
      </w:r>
      <w:bookmarkEnd w:id="86"/>
    </w:p>
    <w:p>
      <w:pPr>
        <w:pStyle w:val="BookText"/>
        <w:rPr/>
      </w:pPr>
      <w:r>
        <w:rPr>
          <w:rFonts w:ascii="IRNazanin" w:hAnsi="IRNazanin" w:eastAsia="IRNazanin"/>
          <w:color w:val="111111"/>
          <w:sz w:val="28"/>
          <w:sz w:val="28"/>
          <w:szCs w:val="28"/>
          <w:rtl w:val="true"/>
          <w:lang w:bidi="fa-IR"/>
        </w:rPr>
        <w:t>إعراض مشهور الفقهاء عن الخبر؛ إذ لم نجد من أفتی طبقه من المتقدمین إلا الشیخ الکلینی فی الکافی</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والحر العاملی فی الوسائل</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وبعض متأخری المتأخرین، کالسید حسن القمی والسید الخوئی والسید السیستانی</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روایة الصدوق فی الفقیه فهی مقیدة لا مطلقة، وحکمه بالعموم استناداً إلی عموم العلة غیر واضح، فلعله فهم الحکمة منها لا العلة، فلا یمکن تحمیل الفتوی فی غیر أهل الذمة علی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یبقی من المتقدمین إلاّ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به مع إعراض المشهور عنه مشکل</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یجاب عنه بأنّ الفقهاء لم یتعرضوا لمضمون الخبر، وعدم التعرض لمضمونه لا یساوق الإعراض عنه، فهما شیئان، والمتحقق فی المقام الأول ولم یثبت الثانی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مرآة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أرَ فی کلام الأصحاب تصریحاً به</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هذا الجواب نظر؛ إذ عدم التعرض یلازم الإعراض بشرطین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المسألة محل الابتلاء کثیراً، أما إذا لم تکن المسألة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کبعض الفروع النادرة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أن یکون عدم التعرض للحکم لعدم الحاجة، فلا یکشف عن الإعراض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الخبر بمرأی منهم ومسمع، وإلاّ فلا یکون دلیلاً علی الإعراض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والشرطان متوفران فی المقام، فإن المسألة محل الابتلاء کثیراً، خاصة مع ملاحظة البدویات والقرویات، فإنّ الکثیر منهن لم یکن یلتزمن بالحجاب الشرعی، والخبر کان بمرأی منهم ومسمع، فقد أوردوه فی کتبهم، ومع ذلک لم یفتوا طبقه، فیکون عدم التعرض دلیلاً علی الإعراض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نماذج ممن ذکر الخبر فی کتابه، فمع أنهم ذکروا الحکم الکلی، وهو عدم جواز النظر، وذکروا الاستثناءات فیه واحدا واحدا، وذکروا هذا الخبر أیضاً، إلاّ أنّ أی واحد منهم لم یُفتِ طبقه حسب تتبعی بقدر الإمکان، فیبقی الحکم الکلی علی العموم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والمحقق الکرکی والشهید الثانی والسید العاملی والمحقق السبزواری والفاضل الهندی والشیخ البحرانی والسید الطباطبائی والمحقق النراقی والسید الخونساری</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 ولکن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لا یکفی فی تحقق الإعراض ما لم تکن دلالة الخبر جلیة، ولیس الأمر فی المقام کذلک؛ إذ الخبر الواصل إلیهم هو الخبر المقید بأهل الذمة، وأمّا الخبر المطلق فلم یثبت وصوله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فالخبر فی المصادر المذکورة مقید، ودلالته علی الحکم فی المقام مبتنیة علی کون العلة معممة، واستفادة العموم منها غیر جلیة، فلم یثبت الإعراض عن الخبر المطلق فی المقام، وأمّا خبر الکلینی المطلق فلم نجد له إشارة إلاّ فی الحدائق وجامع المدارک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ونظیر ذلک ما ذکر فی 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أکثر الفقهاء لم یلتفتوا إلیها، فلم یعتمدوا علیها إلی حوالی تسعمائة سنة، بل استدلوا بحکم العقل علی ذلک، فقد قال الشیخ الأعظم فی الرسائل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کلمات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کالشیخ والسیدین</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والفاضلین</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والشهیدین وصاحب المعالم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حکماً عقلیاً؛ ولذا لم یتمسک أحد هؤلاء بخبر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ذکر فی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انتصاراً للقائل بحجیته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الشیطان ینفخ بین ألیتی المصلی، فلا ینصرفن أحدکم إلاّ بعد أن یسمع صوتاً أو یجد ریحاً، ومن العجب أنه انتصر بهذا الخبر الضعیف</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المختص بمورد خاص، ولم یتمسک بالأخبار الصحیحة العامة المعدودة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p>
    <w:p>
      <w:pPr>
        <w:pStyle w:val="BookText"/>
        <w:rPr/>
      </w:pPr>
      <w:r>
        <w:rPr>
          <w:rFonts w:ascii="Amiri" w:hAnsi="Amiri" w:eastAsia="Amiri" w:cs="Amiri"/>
          <w:color w:val="111111"/>
          <w:sz w:val="28"/>
          <w:sz w:val="28"/>
          <w:szCs w:val="28"/>
          <w:rtl w:val="true"/>
          <w:lang w:bidi="ar-SA"/>
        </w:rPr>
        <w:t xml:space="preserve">الأربعمائة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العلوم</w:t>
      </w:r>
      <w:r>
        <w:rPr>
          <w:rFonts w:eastAsia="Amiri" w:cs="Amiri" w:ascii="Amiri" w:hAnsi="Amiri"/>
          <w:color w:val="111111"/>
          <w:sz w:val="28"/>
          <w:szCs w:val="28"/>
          <w:rtl w:val="true"/>
          <w:lang w:bidi="ar-SA"/>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وأول من تمسک بهذه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وجدته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الشیخ البهائی فیما حکی عنه فی العقد الطهماسبی، وتبعه صاحب الذخیرة وشارح الدروس، وشاع بین من تأخر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یظهر من الحلی فی السرائر الاعتماد علی هذه الأخبار، حیث عبر عن استصحاب نجاسة الماء المتغیر بعد زوال تغیره من قبل نفسه بعدم النقض إلاّ بالیقین، وهذه العبارة الظاهر أنها مأخوذة من الأخبار</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فاستفادة الحکم من الأخبار یبتنی علی عموم العلة، ولا یخفی أنّ هنالک بعض الروایات العامة أیضاً، لکنهم لم یلتفتوا إلیها، أو لم یروا علیتها، فلم ینتقلوا إلی الحکم، فلا یدل علی الإعراض، وفی المقام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عدم وصول الخبر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هنالک الکثیر من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العقائدیة التی هی من البدیهیات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تصل إلیهم، بل کانوا یتهمون القائل بها بالغلو، فلم تکن تلک الروایات فی متناول أیدیهم لتشتتها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لم یظهر لنا أنّ الفقهاء هل رأوا روایة الکافی أم لا؟ وأمّا روایة الفقیه التی رأوها فهی مقیدة، ولم ینتقلوا منها إلی عموم العلة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فالمسألة مشکلة کما ذهب إلیه صاحب العروة وجمع من المحشین</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خاصة أننا لم نجد أی واحد من القدماء أو المتأخرین أفتی بها إلا الکلینی </w:t>
      </w:r>
      <w:bookmarkStart w:id="87" w:name="pg6289_41830"/>
    </w:p>
    <w:p>
      <w:pPr>
        <w:pStyle w:val="BookText"/>
        <w:rPr/>
      </w:pPr>
      <w:bookmarkEnd w:id="87"/>
      <w:r>
        <w:rPr>
          <w:rFonts w:ascii="IRNazanin" w:hAnsi="IRNazanin" w:eastAsia="IRNazanin"/>
          <w:color w:val="111111"/>
          <w:sz w:val="28"/>
          <w:sz w:val="28"/>
          <w:szCs w:val="28"/>
          <w:rtl w:val="true"/>
          <w:lang w:bidi="fa-IR"/>
        </w:rPr>
        <w:t>وصاحب الوسائل وجمعاً من المعاصرین، فهل یمکن الفتوی بذلک مع ملاحظة ما مرّ من السید السبزواری والعلامة المجلسی وما قاله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یبعد إذاً العمل بالحدیث، لولا ما قد یظهر من المشهور من عدم العمل به؛ لعدم تعرضهم لمضمونه</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السید الوالد، حیث قوّی الخبر فی الفقه</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لم یفتِ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الدلیل الأول</w:t>
      </w:r>
      <w:r>
        <w:rPr>
          <w:rFonts w:eastAsia="IRNazanin" w:cs="IRNazanin"/>
          <w:color w:val="111111"/>
          <w:sz w:val="28"/>
          <w:szCs w:val="28"/>
          <w:rtl w:val="true"/>
          <w:lang w:bidi="fa-IR"/>
        </w:rPr>
        <w:t>.</w:t>
      </w:r>
    </w:p>
    <w:p>
      <w:pPr>
        <w:pStyle w:val="Heading6"/>
        <w:numPr>
          <w:ilvl w:val="5"/>
          <w:numId w:val="1"/>
        </w:numPr>
        <w:rPr/>
      </w:pPr>
      <w:bookmarkStart w:id="88" w:name="__RefHeading___Toc2133268_237004111"/>
      <w:bookmarkStart w:id="89" w:name="_Toc34"/>
      <w:bookmarkEnd w:id="88"/>
      <w:r>
        <w:rPr>
          <w:rtl w:val="true"/>
        </w:rPr>
        <w:t>الدلیل الثانی</w:t>
      </w:r>
      <w:r>
        <w:rPr>
          <w:rtl w:val="true"/>
        </w:rPr>
        <w:t xml:space="preserve">: </w:t>
      </w:r>
      <w:r>
        <w:rPr>
          <w:rtl w:val="true"/>
        </w:rPr>
        <w:t>رفع الحرج</w:t>
      </w:r>
      <w:bookmarkEnd w:id="89"/>
    </w:p>
    <w:p>
      <w:pPr>
        <w:pStyle w:val="BookText"/>
        <w:rPr/>
      </w:pPr>
      <w:r>
        <w:rPr>
          <w:rFonts w:ascii="Amiri" w:hAnsi="Amiri" w:eastAsia="Amiri" w:cs="Amiri"/>
          <w:color w:val="111111"/>
          <w:sz w:val="28"/>
          <w:sz w:val="28"/>
          <w:szCs w:val="28"/>
          <w:rtl w:val="true"/>
          <w:lang w:bidi="ar-SA"/>
        </w:rPr>
        <w:t>إنّ تجنب النظر حرجی، ومقتضی الآیة الکریمة والروایات الشریفة رفع الحرج،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الحرج عنوان ثانوی، ورفعه للحرمة یدور مدار تحققه لا مطلقاً،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رفع الحرج للحکم یتوقف علی ثبوت الحرج، فإذا لم یتحقق فی فرد لم ترتفع الحرمة، کما أنه یتقدر بقدره فیمن تحقق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المرفوع بأدلة الحرج خصوص الأحکام الوجوبیة، فلا یرفع التحریم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الجواب الثانی تأمل مذکور فی القواعد الفقهیة</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90" w:name="pg6289_41831"/>
    </w:p>
    <w:p>
      <w:pPr>
        <w:pStyle w:val="BookText"/>
        <w:rPr/>
      </w:pPr>
      <w:bookmarkEnd w:id="90"/>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الحرج علة للجعل لا المجعول،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لولا أن أشق علی أمتی</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فلتحقق الحرج فی المعظم یرفع الله الحکم عن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علة، بل هو موضوع، فإن لم یتحقق الموضوع لم یترتب الحکم،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یکن ضرر لم یرتفع الحکم، وقد ثبت الحکم الأولی العام، ثم جاء العنوان الثانوی الرافع له، فمن البدیهیات الفقهیة أنه یتقدر بقدره وفی حدوده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مجعول فی موضع الحرج، فلا ترفعه أدلة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أنه کذلک ارتفع الحکم بالمقدار الذی جعل فی مورده، أما لو کان الحرج أکثر من ذلک فلا، ویمکن عدّ هذا جواباً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یثبت الجواز برفع الحرمة؟</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للملازمة العرفیة، فإنه لو ارتفعت الحرمة دلّ ذلک علی الجواز، فإذا ارتفعت الحرمة دار الأمر بین الأحکام الأربعة الباقیة، وهی تکفینا</w:t>
      </w:r>
      <w:r>
        <w:rPr>
          <w:rFonts w:eastAsia="IRNazanin" w:cs="IRNazanin"/>
          <w:color w:val="111111"/>
          <w:sz w:val="28"/>
          <w:szCs w:val="28"/>
          <w:rtl w:val="true"/>
          <w:lang w:bidi="fa-IR"/>
        </w:rPr>
        <w:t>.</w:t>
      </w:r>
    </w:p>
    <w:p>
      <w:pPr>
        <w:pStyle w:val="Heading6"/>
        <w:numPr>
          <w:ilvl w:val="5"/>
          <w:numId w:val="1"/>
        </w:numPr>
        <w:rPr/>
      </w:pPr>
      <w:bookmarkStart w:id="91" w:name="__RefHeading___Toc2133270_237004111"/>
      <w:bookmarkStart w:id="92" w:name="_Toc35"/>
      <w:bookmarkEnd w:id="91"/>
      <w:r>
        <w:rPr>
          <w:rtl w:val="true"/>
        </w:rPr>
        <w:t>الدلیل الثالث</w:t>
      </w:r>
      <w:r>
        <w:rPr>
          <w:rtl w:val="true"/>
        </w:rPr>
        <w:t xml:space="preserve">: </w:t>
      </w:r>
      <w:r>
        <w:rPr>
          <w:rtl w:val="true"/>
        </w:rPr>
        <w:t>سیرة المتشرعة</w:t>
      </w:r>
      <w:bookmarkEnd w:id="92"/>
    </w:p>
    <w:p>
      <w:pPr>
        <w:pStyle w:val="BookText"/>
        <w:rPr/>
      </w:pPr>
      <w:r>
        <w:rPr>
          <w:rFonts w:ascii="IRNazanin" w:hAnsi="IRNazanin" w:eastAsia="IRNazanin"/>
          <w:color w:val="111111"/>
          <w:sz w:val="28"/>
          <w:sz w:val="28"/>
          <w:szCs w:val="28"/>
          <w:rtl w:val="true"/>
          <w:lang w:bidi="fa-IR"/>
        </w:rPr>
        <w:t>وفی تحقق سیرة مستجمعة لشرائط الحجیة فی غیر ما استثناه صاحب العروة</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من ذلک أنّ جمیع الأدلة القائمة علی جواز النظر</w:t>
      </w:r>
      <w:r>
        <w:rPr>
          <w:rFonts w:eastAsia="IRNazanin" w:cs="IRNazanin"/>
          <w:color w:val="111111"/>
          <w:sz w:val="28"/>
          <w:szCs w:val="28"/>
          <w:rtl w:val="true"/>
          <w:lang w:bidi="fa-IR"/>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مخدوشة، </w:t>
      </w:r>
      <w:bookmarkStart w:id="93" w:name="pg6289_41832"/>
    </w:p>
    <w:p>
      <w:pPr>
        <w:pStyle w:val="BookText"/>
        <w:rPr/>
      </w:pPr>
      <w:bookmarkEnd w:id="93"/>
      <w:r>
        <w:rPr>
          <w:rFonts w:ascii="IRNazanin" w:hAnsi="IRNazanin" w:eastAsia="IRNazanin"/>
          <w:color w:val="111111"/>
          <w:sz w:val="28"/>
          <w:sz w:val="28"/>
          <w:szCs w:val="28"/>
          <w:rtl w:val="true"/>
          <w:lang w:bidi="fa-IR"/>
        </w:rPr>
        <w:t>ویبقی الحکم بلا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الفرع الأول</w:t>
      </w:r>
      <w:r>
        <w:rPr>
          <w:rFonts w:eastAsia="IRNazanin" w:cs="IRNazanin"/>
          <w:color w:val="111111"/>
          <w:sz w:val="28"/>
          <w:szCs w:val="28"/>
          <w:rtl w:val="true"/>
          <w:lang w:bidi="fa-IR"/>
        </w:rPr>
        <w:t>.</w:t>
      </w:r>
    </w:p>
    <w:p>
      <w:pPr>
        <w:pStyle w:val="Heading5"/>
        <w:numPr>
          <w:ilvl w:val="4"/>
          <w:numId w:val="1"/>
        </w:numPr>
        <w:rPr/>
      </w:pPr>
      <w:bookmarkStart w:id="94" w:name="__RefHeading___Toc2133272_237004111"/>
      <w:bookmarkStart w:id="95" w:name="_Toc36"/>
      <w:bookmarkEnd w:id="94"/>
      <w:r>
        <w:rPr>
          <w:rtl w:val="true"/>
        </w:rPr>
        <w:t>الفرع الثانی</w:t>
      </w:r>
      <w:r>
        <w:rPr>
          <w:rtl w:val="true"/>
        </w:rPr>
        <w:t xml:space="preserve">: </w:t>
      </w:r>
      <w:r>
        <w:rPr>
          <w:rtl w:val="true"/>
        </w:rPr>
        <w:t>فی حکم التردد فی الأسواق</w:t>
      </w:r>
      <w:bookmarkEnd w:id="95"/>
    </w:p>
    <w:p>
      <w:pPr>
        <w:pStyle w:val="Heading6"/>
        <w:numPr>
          <w:ilvl w:val="5"/>
          <w:numId w:val="1"/>
        </w:numPr>
        <w:rPr/>
      </w:pPr>
      <w:bookmarkStart w:id="96" w:name="__RefHeading___Toc2133274_237004111"/>
      <w:bookmarkStart w:id="97" w:name="_Toc37"/>
      <w:bookmarkEnd w:id="96"/>
      <w:r>
        <w:rPr>
          <w:rtl w:val="true"/>
        </w:rPr>
        <w:t>اشارة</w:t>
      </w:r>
      <w:bookmarkEnd w:id="97"/>
    </w:p>
    <w:p>
      <w:pPr>
        <w:pStyle w:val="BookText"/>
        <w:rPr/>
      </w:pPr>
      <w:r>
        <w:rPr>
          <w:rFonts w:ascii="IRNazanin" w:hAnsi="IRNazanin" w:eastAsia="IRNazanin"/>
          <w:color w:val="111111"/>
          <w:sz w:val="28"/>
          <w:sz w:val="28"/>
          <w:szCs w:val="28"/>
          <w:rtl w:val="true"/>
          <w:lang w:bidi="fa-IR"/>
        </w:rPr>
        <w:t>یقع الکلام فی حکم التردد فی الأسواق مع العلم بوقوع النظر علیهن، بناءً علی حرمة النظر إلیهنَّ فی حدّ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القاعدة الأولیة الحرمة؛ لمنجزیة العلم الإجمالی فی التدریجیات کالدفعیات</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المعروف بین من تعرض لهذه المسألة هو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 الظاهر عدم حرمة التردد فی الأسواق ونحوها مع العلم بوقوع النظر علیهن، ولا یجب غض البصر إذا لم یکن هناک خوف افتتان</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ووافقه علی ذلک المحقق العراقی والمحقق الحائری والمحقق النائینی والسید أبو الحسن الإصفهانی والسید عبد الهادی الشیرازی</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الوالد</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الخوئی والسید حسن القمی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المخالف الوحید فیما وجدنا هو السید البروجردی، حیث علق علی العروة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تأمل إذا کان عالماً بوقوع النظر علیهن</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98" w:name="pg6289_41833"/>
    </w:p>
    <w:p>
      <w:pPr>
        <w:pStyle w:val="Heading6"/>
        <w:numPr>
          <w:ilvl w:val="5"/>
          <w:numId w:val="1"/>
        </w:numPr>
        <w:rPr/>
      </w:pPr>
      <w:bookmarkStart w:id="99" w:name="__RefHeading___Toc2133276_237004111"/>
      <w:bookmarkStart w:id="100" w:name="_Toc38"/>
      <w:bookmarkEnd w:id="98"/>
      <w:bookmarkEnd w:id="99"/>
      <w:r>
        <w:rPr>
          <w:rtl w:val="true"/>
        </w:rPr>
        <w:t>أدلة جواز النظر</w:t>
      </w:r>
      <w:bookmarkEnd w:id="100"/>
    </w:p>
    <w:p>
      <w:pPr>
        <w:pStyle w:val="Heading6"/>
        <w:numPr>
          <w:ilvl w:val="5"/>
          <w:numId w:val="1"/>
        </w:numPr>
        <w:rPr/>
      </w:pPr>
      <w:bookmarkStart w:id="101" w:name="__RefHeading___Toc2133278_237004111"/>
      <w:bookmarkStart w:id="102" w:name="_Toc39"/>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واستدل علی الجواز بأدلة</w:t>
      </w:r>
      <w:r>
        <w:rPr>
          <w:rFonts w:eastAsia="IRNazanin" w:cs="IRNazanin"/>
          <w:color w:val="111111"/>
          <w:sz w:val="28"/>
          <w:szCs w:val="28"/>
          <w:rtl w:val="true"/>
          <w:lang w:bidi="fa-IR"/>
        </w:rPr>
        <w:t>:</w:t>
      </w:r>
    </w:p>
    <w:p>
      <w:pPr>
        <w:pStyle w:val="Heading6"/>
        <w:numPr>
          <w:ilvl w:val="5"/>
          <w:numId w:val="1"/>
        </w:numPr>
        <w:rPr/>
      </w:pPr>
      <w:bookmarkStart w:id="103" w:name="__RefHeading___Toc2133280_237004111"/>
      <w:bookmarkStart w:id="104" w:name="_Toc40"/>
      <w:bookmarkEnd w:id="103"/>
      <w:r>
        <w:rPr>
          <w:rtl w:val="true"/>
        </w:rPr>
        <w:t>الدلیل الأول</w:t>
      </w:r>
      <w:r>
        <w:rPr>
          <w:rtl w:val="true"/>
        </w:rPr>
        <w:t xml:space="preserve">: </w:t>
      </w:r>
      <w:r>
        <w:rPr>
          <w:rtl w:val="true"/>
        </w:rPr>
        <w:t>الإجماع</w:t>
      </w:r>
      <w:bookmarkEnd w:id="104"/>
    </w:p>
    <w:p>
      <w:pPr>
        <w:pStyle w:val="BookText"/>
        <w:rPr/>
      </w:pPr>
      <w:r>
        <w:rPr>
          <w:rFonts w:ascii="IRNazanin" w:hAnsi="IRNazanin" w:eastAsia="IRNazanin"/>
          <w:color w:val="111111"/>
          <w:sz w:val="28"/>
          <w:sz w:val="28"/>
          <w:szCs w:val="28"/>
          <w:rtl w:val="true"/>
          <w:lang w:bidi="fa-IR"/>
        </w:rPr>
        <w:t>وهو ما ذکره السید السبزواری</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إجماع منقول، وحجیته موقوفة علی کشفه، ولو بضمیمة القرائن الاُخر عن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دلیل معتبر، مع أنّ المسألة غیر مذکورة فی کلمات معظم الفقهاء حسبما رأینا فی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محرماً لذکروه مع کثرة الابتلاء؛ فإنّ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یذهبون إلی الأسواق، فهل کانوا یغمضون عیونهم؟ فیمکن کشف رضاهم من سکوتهم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إجماع تقریری، وهو مصطلح جدید، ویمکن توجیه الإجماع المذکور بذلک، فإنّ الفقهاء لم ینکروا علی هذه الظاهرة مع کثرة الابتلاء، فإن تم ذلک أمکن القول به فی کل ظاهرة خارجیة متداولة</w:t>
      </w:r>
      <w:r>
        <w:rPr>
          <w:rFonts w:eastAsia="IRNazanin" w:cs="IRNazanin"/>
          <w:color w:val="111111"/>
          <w:sz w:val="28"/>
          <w:szCs w:val="28"/>
          <w:rtl w:val="true"/>
          <w:lang w:bidi="fa-IR"/>
        </w:rPr>
        <w:t>.</w:t>
      </w:r>
    </w:p>
    <w:p>
      <w:pPr>
        <w:pStyle w:val="Heading6"/>
        <w:numPr>
          <w:ilvl w:val="5"/>
          <w:numId w:val="1"/>
        </w:numPr>
        <w:rPr/>
      </w:pPr>
      <w:bookmarkStart w:id="105" w:name="__RefHeading___Toc2133282_237004111"/>
      <w:bookmarkStart w:id="106" w:name="_Toc41"/>
      <w:bookmarkEnd w:id="105"/>
      <w:r>
        <w:rPr>
          <w:rtl w:val="true"/>
        </w:rPr>
        <w:t>الدلیل الثانی</w:t>
      </w:r>
      <w:r>
        <w:rPr>
          <w:rtl w:val="true"/>
        </w:rPr>
        <w:t xml:space="preserve">: </w:t>
      </w:r>
      <w:r>
        <w:rPr>
          <w:rtl w:val="true"/>
        </w:rPr>
        <w:t>العسر والحرج</w:t>
      </w:r>
      <w:bookmarkEnd w:id="106"/>
    </w:p>
    <w:p>
      <w:pPr>
        <w:pStyle w:val="BookText"/>
        <w:rPr/>
      </w:pPr>
      <w:r>
        <w:rPr>
          <w:rFonts w:ascii="IRNazanin" w:hAnsi="IRNazanin" w:eastAsia="IRNazanin"/>
          <w:color w:val="111111"/>
          <w:sz w:val="28"/>
          <w:sz w:val="28"/>
          <w:szCs w:val="28"/>
          <w:rtl w:val="true"/>
          <w:lang w:bidi="fa-IR"/>
        </w:rPr>
        <w:t>وهو ما ذکره فی المهذب</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رفع العسر للحکم یتوقف علی تحققه ویتقدر بقدره،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شخص یمکنه أن یدعی الحرج، حیث لم یبین حدوده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الإنسان علی نفسه بصیرة</w:t>
      </w:r>
      <w:r>
        <w:rPr>
          <w:rFonts w:eastAsia="IRNazanin" w:cs="IRNazanin"/>
          <w:color w:val="111111"/>
          <w:sz w:val="28"/>
          <w:szCs w:val="28"/>
          <w:rtl w:val="true"/>
          <w:lang w:bidi="fa-IR"/>
        </w:rPr>
        <w:t xml:space="preserve">. </w:t>
      </w:r>
      <w:bookmarkStart w:id="107" w:name="pg6289_41834"/>
    </w:p>
    <w:p>
      <w:pPr>
        <w:pStyle w:val="Heading6"/>
        <w:numPr>
          <w:ilvl w:val="5"/>
          <w:numId w:val="1"/>
        </w:numPr>
        <w:rPr/>
      </w:pPr>
      <w:bookmarkStart w:id="108" w:name="__RefHeading___Toc2133284_237004111"/>
      <w:bookmarkStart w:id="109" w:name="_Toc42"/>
      <w:bookmarkEnd w:id="107"/>
      <w:bookmarkEnd w:id="108"/>
      <w:r>
        <w:rPr>
          <w:rtl w:val="true"/>
        </w:rPr>
        <w:t>الدلیل الثالث</w:t>
      </w:r>
      <w:r>
        <w:rPr>
          <w:rtl w:val="true"/>
        </w:rPr>
        <w:t xml:space="preserve">: </w:t>
      </w:r>
      <w:r>
        <w:rPr>
          <w:rtl w:val="true"/>
        </w:rPr>
        <w:t>إنه القدر المتیقن</w:t>
      </w:r>
      <w:bookmarkEnd w:id="109"/>
    </w:p>
    <w:p>
      <w:pPr>
        <w:pStyle w:val="BookText"/>
        <w:rPr/>
      </w:pPr>
      <w:r>
        <w:rPr>
          <w:rFonts w:ascii="IRNazanin" w:hAnsi="IRNazanin" w:eastAsia="IRNazanin"/>
          <w:color w:val="111111"/>
          <w:sz w:val="28"/>
          <w:sz w:val="28"/>
          <w:szCs w:val="28"/>
          <w:rtl w:val="true"/>
          <w:lang w:bidi="fa-IR"/>
        </w:rPr>
        <w:t>إنه القدر المتیقن من الروایة، ولا إعراض عن ذلک، کما ذکره فی المستمسک</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وحاصله أنّ إسقاط الإعراض للخبر المعتبر یتقدر بقدره، ولا إعراض عما ذکر، وإلاّ لبان بنهیهم عن ذلک، وبعبارة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المفهوم من کلام السید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خبر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جواز النظر مطلقاً، والفقهاء أعرضوا عنه، لکنهم لم یعرضوا عنه فی هذا المورد، فیمکن الأخذ بالقدر المتیقن منه، وهو النظر الذی یترتب علی الدخول فی الأسواق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الفقهاء لم یعملوا بالخبر علی نحو مطلق، لکن عملوا به فی الجملة، فهو دلیل فی الجملة علی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یعلم استنادهم إلی هذا الخبر، ولعلهم استندوا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الإعراض مسقط للسند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الإعراض قد یکون موهناً للسند، وقد یکون موهناً لجهة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قوّة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روایات الغروب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الإعراض لا یکون مسقطاً للسند فحسب، بل قد یسقط الدلالة أو الجهة؛ لأنّ الحجیة متقوّمة بهذه الثلاثة، فیکون الإعراض مسقطاً لإحداها</w:t>
      </w:r>
      <w:r>
        <w:rPr>
          <w:rFonts w:eastAsia="IRNazanin" w:cs="IRNazanin"/>
          <w:color w:val="111111"/>
          <w:sz w:val="28"/>
          <w:szCs w:val="28"/>
          <w:rtl w:val="true"/>
          <w:lang w:bidi="fa-IR"/>
        </w:rPr>
        <w:t>.</w:t>
      </w:r>
    </w:p>
    <w:p>
      <w:pPr>
        <w:pStyle w:val="Heading6"/>
        <w:numPr>
          <w:ilvl w:val="5"/>
          <w:numId w:val="1"/>
        </w:numPr>
        <w:rPr/>
      </w:pPr>
      <w:bookmarkStart w:id="110" w:name="__RefHeading___Toc2133286_237004111"/>
      <w:bookmarkStart w:id="111" w:name="_Toc43"/>
      <w:bookmarkEnd w:id="110"/>
      <w:r>
        <w:rPr>
          <w:rtl w:val="true"/>
        </w:rPr>
        <w:t>الدلیل الرابع</w:t>
      </w:r>
      <w:r>
        <w:rPr>
          <w:rtl w:val="true"/>
        </w:rPr>
        <w:t xml:space="preserve">: </w:t>
      </w:r>
      <w:r>
        <w:rPr>
          <w:rtl w:val="true"/>
        </w:rPr>
        <w:t>السیرة القطعیة</w:t>
      </w:r>
      <w:bookmarkEnd w:id="11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ذکرها السید الوالد</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السبزواری</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112" w:name="pg6289_41835"/>
    </w:p>
    <w:p>
      <w:pPr>
        <w:pStyle w:val="BookText"/>
        <w:rPr/>
      </w:pPr>
      <w:bookmarkEnd w:id="112"/>
      <w:r>
        <w:rPr>
          <w:rFonts w:ascii="IRNazanin" w:hAnsi="IRNazanin" w:eastAsia="IRNazanin"/>
          <w:color w:val="111111"/>
          <w:sz w:val="28"/>
          <w:sz w:val="28"/>
          <w:szCs w:val="28"/>
          <w:rtl w:val="true"/>
          <w:lang w:bidi="fa-IR"/>
        </w:rPr>
        <w:t>والظاهر تمامیة هذا الدلیل علی الجواز، فإنه لو کان محرماً لزم إما اعتزال المتدینین الأسواق ونحوها، أو غضهم البصر عند دخولها، واللوازم منتفیة، فینتفی الملزوم ویتعین الحکم بالحلیة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ما ذکرناه فتاوی محشی العروة إلاّ السید البروجردی فیما رأینا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غیر محصورة، فحینما یدخل المکلف السوق یری البائع والمشتری والمرأة المحجبة، وواحدة من عشر نساء إذا نهیت لا تنتهی، فإذا وقع نظره إلیها غض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الشبهة محصورة فی الأسواق المختلطة، أو شبهة الکثیر فی الکثیر التی تؤول إلی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الفرع الثانی</w:t>
      </w:r>
      <w:r>
        <w:rPr>
          <w:rFonts w:eastAsia="IRNazanin" w:cs="IRNazanin"/>
          <w:color w:val="111111"/>
          <w:sz w:val="28"/>
          <w:szCs w:val="28"/>
          <w:rtl w:val="true"/>
          <w:lang w:bidi="fa-IR"/>
        </w:rPr>
        <w:t>.</w:t>
      </w:r>
    </w:p>
    <w:p>
      <w:pPr>
        <w:pStyle w:val="Heading5"/>
        <w:numPr>
          <w:ilvl w:val="4"/>
          <w:numId w:val="1"/>
        </w:numPr>
        <w:rPr/>
      </w:pPr>
      <w:bookmarkStart w:id="113" w:name="__RefHeading___Toc2133288_237004111"/>
      <w:bookmarkStart w:id="114" w:name="_Toc44"/>
      <w:bookmarkEnd w:id="113"/>
      <w:r>
        <w:rPr>
          <w:rtl w:val="true"/>
        </w:rPr>
        <w:t>الفرع الثالث</w:t>
      </w:r>
      <w:r>
        <w:rPr>
          <w:rtl w:val="true"/>
        </w:rPr>
        <w:t xml:space="preserve">: </w:t>
      </w:r>
      <w:r>
        <w:rPr>
          <w:rtl w:val="true"/>
        </w:rPr>
        <w:t>فی حدود المنظور إلیه</w:t>
      </w:r>
      <w:bookmarkEnd w:id="114"/>
    </w:p>
    <w:p>
      <w:pPr>
        <w:pStyle w:val="BookText"/>
        <w:rPr/>
      </w:pPr>
      <w:r>
        <w:rPr>
          <w:rFonts w:ascii="IRNazanin" w:hAnsi="IRNazanin" w:eastAsia="IRNazanin"/>
          <w:color w:val="111111"/>
          <w:sz w:val="28"/>
          <w:sz w:val="28"/>
          <w:szCs w:val="28"/>
          <w:rtl w:val="true"/>
          <w:lang w:bidi="fa-IR"/>
        </w:rPr>
        <w:t>یقع الکلام فی حدود المنظور إلیه بناء علی جواز النظر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أجد تعرضاً لهذه المسألة إلا من السید الخوئی،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یخفی أنّ الحکم هنا یختص بما جرت عادتهن علی عدم ستره، ولیس الحکم فیهن کالحکم فی الذمیات، فإنّ منشأه فی الذمیة عدم الحرمة</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یختص الحکم بما جرت عادتهن علی عدم ستره، فی حین أنّ منشأه فی أهل البوادی هو هتک حرمتهن بأیدیهن؛ إذ لا ینتهین إذا نهین</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ومفاده وإن کان التخصیص من جهة، لکنه تعمیم من جهة ثانیة، بمعنی </w:t>
      </w:r>
    </w:p>
    <w:p>
      <w:pPr>
        <w:pStyle w:val="BookText"/>
        <w:rPr/>
      </w:pPr>
      <w:r>
        <w:rPr>
          <w:rFonts w:ascii="IRNazanin" w:hAnsi="IRNazanin" w:eastAsia="IRNazanin"/>
          <w:color w:val="111111"/>
          <w:sz w:val="28"/>
          <w:sz w:val="28"/>
          <w:szCs w:val="28"/>
          <w:rtl w:val="true"/>
          <w:lang w:bidi="fa-IR"/>
        </w:rPr>
        <w:t>أنّ الذمیة إذا کانت عادتها ستر الذراع فانکشف ذراعها فی حال النوم مثلاً لم یکن إشکال فی النظر إلیه، فلا ندور مدار العادة، أمّا المسلمة فالأمر تابع لما اعتادت علی کشفه، فإذا لم تکن تکشف ذراعها فانکشف فی حال النوم فلا یجوز النظر إلیه، فإنها لم تهتک هذه المنطقة؛ لأنها إذا نُهیت عن کشف ذراعها انتهت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العنوان المذکور فی الروایة أعم مما ذکره من عنوان ما جرت عادتهن علی عدم ستره؛ إذ عدم الانتهاء بالنهی قد یتحقق فی مورد جریان العادة علی عدم الستر، وقد یتحقق فی مورد خاص، بأن لم تستر شعرها مثلاً فی واقعة خاصة، ولم تنتهِ بالنهی، کلیلة زفافها، وإن لم تجر عادتها علی عدم ستره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بانصراف الروایة عن مثل ذلک، فیتساوی مؤدی التعبیرین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ولکن عموم الحکم حتی للعورة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تأمل؛ لإطلاق کلماتهم فی حرمة النظر إلی عورة المسلم بلا استثناء، وقد وردت بعض النصوص فی جواز النظر إلی عورة الکافر</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 ذلک أعرض الفقهاء عن العمل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الروایة معتبرة علی بعض المبانی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بعورة المسلم، وقد ذکر الإعراض فی الفقه والمهذب والمستمسک</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115" w:name="pg6289_41837"/>
    </w:p>
    <w:p>
      <w:pPr>
        <w:pStyle w:val="BookText"/>
        <w:rPr/>
      </w:pPr>
      <w:bookmarkEnd w:id="115"/>
      <w:r>
        <w:rPr>
          <w:rFonts w:ascii="IRNazanin" w:hAnsi="IRNazanin" w:eastAsia="IRNazanin"/>
          <w:color w:val="111111"/>
          <w:sz w:val="28"/>
          <w:sz w:val="28"/>
          <w:szCs w:val="28"/>
          <w:rtl w:val="true"/>
          <w:lang w:bidi="fa-IR"/>
        </w:rPr>
        <w:t>وسیأتی الکلام فی ذلک فی المسألة القادمة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یجعل احتیاطه وجوباً بعدم النظر إلی عورة الکافر فی حاشیته علی العروة</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تخصیص العموم المذکور فی المقام، فلا یعلم أنّ مراده فی الشرح حتی العورة، بدلیل ما ذکره فی مباحث التخلی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أفتی بالعدم أو احتاط وجوباً کل من رأیت حواشیهم علی العروة وهم حوالی ثمانیة عشر عالماً</w:t>
      </w:r>
      <w:r>
        <w:rPr>
          <w:rFonts w:eastAsia="IRNazanin" w:cs="IRNazanin"/>
          <w:color w:val="111111"/>
          <w:sz w:val="28"/>
          <w:szCs w:val="28"/>
          <w:rtl w:val="true"/>
          <w:lang w:bidi="fa-IR"/>
        </w:rPr>
        <w:t>.</w:t>
      </w:r>
    </w:p>
    <w:p>
      <w:pPr>
        <w:pStyle w:val="Heading5"/>
        <w:numPr>
          <w:ilvl w:val="4"/>
          <w:numId w:val="1"/>
        </w:numPr>
        <w:rPr/>
      </w:pPr>
      <w:bookmarkStart w:id="116" w:name="__RefHeading___Toc2133290_237004111"/>
      <w:bookmarkStart w:id="117" w:name="_Toc45"/>
      <w:bookmarkEnd w:id="116"/>
      <w:r>
        <w:rPr>
          <w:rtl w:val="true"/>
        </w:rPr>
        <w:t>الفرع الرابع</w:t>
      </w:r>
      <w:r>
        <w:rPr>
          <w:rtl w:val="true"/>
        </w:rPr>
        <w:t xml:space="preserve">: </w:t>
      </w:r>
      <w:r>
        <w:rPr>
          <w:rtl w:val="true"/>
        </w:rPr>
        <w:t>الکلام فی الانتهاء المقید</w:t>
      </w:r>
      <w:bookmarkEnd w:id="117"/>
    </w:p>
    <w:p>
      <w:pPr>
        <w:pStyle w:val="BookText"/>
        <w:rPr/>
      </w:pPr>
      <w:r>
        <w:rPr>
          <w:rFonts w:ascii="IRNazanin" w:hAnsi="IRNazanin" w:eastAsia="IRNazanin"/>
          <w:color w:val="111111"/>
          <w:sz w:val="28"/>
          <w:sz w:val="28"/>
          <w:szCs w:val="28"/>
          <w:rtl w:val="true"/>
          <w:lang w:bidi="fa-IR"/>
        </w:rPr>
        <w:t>الظاهر أنه لا فرق بین عدم الستر مطلقاً أو مقیداً بزمان خاص أو مکان خاص، کما فی حالة السفر إلی بلاد الکفار مثلاً؛ وذلک لتحقق العلة، وهی عدم الانتهاء بالنهی، و التقیید بعدم الانتهاء مطلقاً مندفع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المبتذلة تارة غیر محجبة مطلقاً، وتارة هی محجبة ولکن تخلع الحجاب حینما تذهب إلی بلاد الأجانب ولا تنتهی، والحکم هو جواز النظر إلیها هناک لتحقق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التنظیر له بسائر العناوین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تجلس مع الذین یغتابون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تجلس مع الذین یشربون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المقصود من یشربه دائماً، وإنما الحکم شامل لمن شربها فی فترة دون فترة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التعمیم بأن یجوز النظر إلیها حتی فی فترة تحجبها؛ لأنها لیست منتهیة، وإنما تلبس الحجاب للضغط الاجتماعی، فیصح إطلاق </w:t>
      </w:r>
      <w:bookmarkStart w:id="118" w:name="pg6289_41838"/>
    </w:p>
    <w:p>
      <w:pPr>
        <w:pStyle w:val="BookText"/>
        <w:rPr/>
      </w:pPr>
      <w:bookmarkEnd w:id="1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فإنّ الانتهاء ملکة، وهی لا تملکه؛ ولذا لو زال الظرف الذی تعیش فیه نزعت الحجاب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یتبدل الحکم بتبدل الموضوع، والملکة تتبعض، فقد لا ینحرف الإنسان بملیون دینار، بل بعشرة ملایین مثلاً</w:t>
      </w:r>
      <w:r>
        <w:rPr>
          <w:rFonts w:eastAsia="IRNazanin" w:cs="IRNazanin"/>
          <w:color w:val="111111"/>
          <w:sz w:val="28"/>
          <w:szCs w:val="28"/>
          <w:rtl w:val="true"/>
          <w:lang w:bidi="fa-IR"/>
        </w:rPr>
        <w:t>.</w:t>
      </w:r>
    </w:p>
    <w:p>
      <w:pPr>
        <w:pStyle w:val="Heading5"/>
        <w:numPr>
          <w:ilvl w:val="4"/>
          <w:numId w:val="1"/>
        </w:numPr>
        <w:rPr/>
      </w:pPr>
      <w:bookmarkStart w:id="119" w:name="__RefHeading___Toc2133292_237004111"/>
      <w:bookmarkStart w:id="120" w:name="_Toc46"/>
      <w:bookmarkEnd w:id="119"/>
      <w:r>
        <w:rPr>
          <w:rtl w:val="true"/>
        </w:rPr>
        <w:t>الفرع الخامس</w:t>
      </w:r>
      <w:r>
        <w:rPr>
          <w:rtl w:val="true"/>
        </w:rPr>
        <w:t xml:space="preserve">: </w:t>
      </w:r>
      <w:r>
        <w:rPr>
          <w:rtl w:val="true"/>
        </w:rPr>
        <w:t>العلم بعدم الانتهاء</w:t>
      </w:r>
      <w:bookmarkEnd w:id="120"/>
    </w:p>
    <w:p>
      <w:pPr>
        <w:pStyle w:val="BookText"/>
        <w:rPr/>
      </w:pPr>
      <w:r>
        <w:rPr>
          <w:rFonts w:ascii="IRNazanin" w:hAnsi="IRNazanin" w:eastAsia="IRNazanin"/>
          <w:color w:val="111111"/>
          <w:sz w:val="28"/>
          <w:sz w:val="28"/>
          <w:szCs w:val="28"/>
          <w:rtl w:val="true"/>
          <w:lang w:bidi="fa-IR"/>
        </w:rPr>
        <w:t xml:space="preserve">الظاهر أنه لا یشترط العلم بعدم الانتهاء بالنهی، وإلا لم یصلح ذلک تعلیلاً لجواز النظر لرؤوس أهل تهامة والأعراب، وأهل السواد والعلوج علی نحو الإطلاق، وتصدی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لإحراز عدم انتهائهن جمیعاً بالنهی خارجاً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القضیة المذکورة فی الروایة طبیعیة؛ ولذا یکفی فیها تعارف عدم الانتهاء بالنهی، وعلیه فلو حصل الظن بعدم الانتهاء فی مورد جاز النظر، بل وکذا مع الشک، بل قد یقال بجوازه حتی مع الظن بالانتهاء بالنهی ما لم یصل إلی حدّ الاطمئنان؛ لأنّ ذلک لا ینافی کون عدم الانتهاء هو مقتضی الطبیعة،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ذلک ما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الدواء الکذائی فإنه علاج للحمی، فحیث إنّ القضیة طبیعیة یلزم تناوله، ولو مع الظن بعدم الإجداء فی خصوص المورد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القضایا الطبیعیة لا یشترط العلم بتحقق العلة،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أغلب التعلیلات الطبیة والشرعیة، وأغلب تعلیلات علم الاجتماع وعلم النفس، وعلم الأخلاق مسوقة علی نحو القضایا الطبیعیة لا علی نحو القضایا </w:t>
      </w:r>
    </w:p>
    <w:p>
      <w:pPr>
        <w:pStyle w:val="BookText"/>
        <w:rPr/>
      </w:pPr>
      <w:r>
        <w:rPr>
          <w:rFonts w:ascii="IRNazanin" w:hAnsi="IRNazanin" w:eastAsia="IRNazanin"/>
          <w:color w:val="111111"/>
          <w:sz w:val="28"/>
          <w:sz w:val="28"/>
          <w:szCs w:val="28"/>
          <w:rtl w:val="true"/>
          <w:lang w:bidi="fa-IR"/>
        </w:rPr>
        <w:t>المسورة الکلیة،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فی کل یوم، فإنّ الصدقة تدفع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ثابت حتی لو ظن أنّ هذه الصدقة لا تدفع البلاء، وکما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تناول الدواء الکذائی فإنه علاج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ظن العبد بأنه لیس علاجاً فی هذا الیوم لعامل معین، کما لو کان قد تناول طعاماً معیناً یظن أنه یمنع الدواء من التأثیر، فهل یمکنه أن یعتذر أمام المولی بأنی ظننت بالخلاف أم لا عذر له؟</w:t>
      </w:r>
    </w:p>
    <w:p>
      <w:pPr>
        <w:pStyle w:val="BookText"/>
        <w:rPr/>
      </w:pPr>
      <w:r>
        <w:rPr>
          <w:rFonts w:ascii="IRNazanin" w:hAnsi="IRNazanin" w:eastAsia="IRNazanin"/>
          <w:color w:val="111111"/>
          <w:sz w:val="28"/>
          <w:sz w:val="28"/>
          <w:szCs w:val="28"/>
          <w:rtl w:val="true"/>
          <w:lang w:bidi="fa-IR"/>
        </w:rPr>
        <w:t>أما القضیة المسورة الحقیقیة فهی تدور مدار علتها، بخلاف القضیة الطبیعیة حیث یکفی کون الطبیعة هذه، والمستظهر من الأمر فی المقام أنّ القضیة طبیعیة، یعنی النساء غیر المحجبات عادة لا ینتهین بالنهی، فتشملهن العلة حتی فیما إذا ظن أنّ المرأة المعینة تنتهی بالنهی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أنّ القضیة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القضیة حقیقیة، لکنها طبیعیة لا علی نحو الکلیة المسورة، وغالب القضایا هی من قبیل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إحراز الابتذال، فإنّ ترتب الحکم علی الموضوع فرع لتحقق الموضوع، فنساء أهل تهامة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مبتذلة وغیر مبتذلة خرج شعرها صدفة، ولا یعلم أنّ هذه المرأة هل هی مبتذلة أم لا؟ فلا یمکن ترتب الحکم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فرع جدید، والکلام الآن فی التعلیل الطبیعی فیمن لا یعلم أنها أخرجت شعرها عمداً أو غفلة خرج، وإلا کان ذلک إلغاء للحکم، فکل امرأة لا یعلم أنها تنتهی أم لا إلا لمن یعرفها حق المعرفة کالجارة مثلاً</w:t>
      </w:r>
      <w:r>
        <w:rPr>
          <w:rFonts w:eastAsia="IRNazanin" w:cs="IRNazanin"/>
          <w:color w:val="111111"/>
          <w:sz w:val="28"/>
          <w:szCs w:val="28"/>
          <w:rtl w:val="true"/>
          <w:lang w:bidi="fa-IR"/>
        </w:rPr>
        <w:t xml:space="preserve">. </w:t>
      </w:r>
      <w:bookmarkStart w:id="121" w:name="pg6289_41840"/>
    </w:p>
    <w:p>
      <w:pPr>
        <w:pStyle w:val="BookText"/>
        <w:rPr/>
      </w:pPr>
      <w:bookmarkEnd w:id="121"/>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القضیة طبیعیة جاز النظر إلی من یعلم أنها إذا نهیت تنتهی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منصرفة عن صورة العلم، فلا یشملها الدلیل، کما فی مثال الصدقة التی یعلم أنها لا تدفع الموت فلا یجب دفعها</w:t>
      </w:r>
      <w:r>
        <w:rPr>
          <w:rFonts w:eastAsia="IRNazanin" w:cs="IRNazanin"/>
          <w:color w:val="111111"/>
          <w:sz w:val="28"/>
          <w:szCs w:val="28"/>
          <w:rtl w:val="true"/>
          <w:lang w:bidi="fa-IR"/>
        </w:rPr>
        <w:t>.</w:t>
      </w:r>
    </w:p>
    <w:p>
      <w:pPr>
        <w:pStyle w:val="Heading5"/>
        <w:numPr>
          <w:ilvl w:val="4"/>
          <w:numId w:val="1"/>
        </w:numPr>
        <w:rPr/>
      </w:pPr>
      <w:bookmarkStart w:id="122" w:name="__RefHeading___Toc2133294_237004111"/>
      <w:bookmarkStart w:id="123" w:name="_Toc47"/>
      <w:bookmarkEnd w:id="122"/>
      <w:r>
        <w:rPr>
          <w:rtl w:val="true"/>
        </w:rPr>
        <w:t>الفرع السادس</w:t>
      </w:r>
      <w:r>
        <w:rPr>
          <w:rtl w:val="true"/>
        </w:rPr>
        <w:t xml:space="preserve">: </w:t>
      </w:r>
      <w:r>
        <w:rPr>
          <w:rtl w:val="true"/>
        </w:rPr>
        <w:t>شرائط جواز النظر</w:t>
      </w:r>
      <w:bookmarkEnd w:id="123"/>
    </w:p>
    <w:p>
      <w:pPr>
        <w:pStyle w:val="BookText"/>
        <w:rPr/>
      </w:pPr>
      <w:r>
        <w:rPr>
          <w:rFonts w:ascii="IRNazanin" w:hAnsi="IRNazanin" w:eastAsia="IRNazanin"/>
          <w:color w:val="111111"/>
          <w:sz w:val="28"/>
          <w:sz w:val="28"/>
          <w:szCs w:val="28"/>
          <w:rtl w:val="true"/>
          <w:lang w:bidi="fa-IR"/>
        </w:rPr>
        <w:t xml:space="preserve">یشترط فی جواز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اللذة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خوف الافتتان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الکلام فی ذلک فی المسألة القادمة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یشترط عدم التزین علی ما سیأتی فی تلک المسألة إن شاء الله</w:t>
      </w:r>
      <w:r>
        <w:rPr>
          <w:rFonts w:eastAsia="IRNazanin" w:cs="IRNazanin"/>
          <w:color w:val="111111"/>
          <w:sz w:val="28"/>
          <w:szCs w:val="28"/>
          <w:rtl w:val="true"/>
          <w:lang w:bidi="fa-IR"/>
        </w:rPr>
        <w:t>.</w:t>
      </w:r>
    </w:p>
    <w:p>
      <w:pPr>
        <w:pStyle w:val="Heading5"/>
        <w:numPr>
          <w:ilvl w:val="4"/>
          <w:numId w:val="1"/>
        </w:numPr>
        <w:rPr/>
      </w:pPr>
      <w:bookmarkStart w:id="124" w:name="__RefHeading___Toc2133296_237004111"/>
      <w:bookmarkStart w:id="125" w:name="_Toc48"/>
      <w:bookmarkEnd w:id="124"/>
      <w:r>
        <w:rPr>
          <w:rtl w:val="true"/>
        </w:rPr>
        <w:t>الفرع السابع</w:t>
      </w:r>
      <w:r>
        <w:rPr>
          <w:rtl w:val="true"/>
        </w:rPr>
        <w:t xml:space="preserve">: </w:t>
      </w:r>
      <w:r>
        <w:rPr>
          <w:rtl w:val="true"/>
        </w:rPr>
        <w:t>حکم اللمس وغیره</w:t>
      </w:r>
      <w:bookmarkEnd w:id="125"/>
    </w:p>
    <w:p>
      <w:pPr>
        <w:pStyle w:val="BookText"/>
        <w:rPr/>
      </w:pPr>
      <w:r>
        <w:rPr>
          <w:rFonts w:ascii="IRNazanin" w:hAnsi="IRNazanin" w:eastAsia="IRNazanin"/>
          <w:color w:val="111111"/>
          <w:sz w:val="28"/>
          <w:sz w:val="28"/>
          <w:szCs w:val="28"/>
          <w:rtl w:val="true"/>
          <w:lang w:bidi="fa-IR"/>
        </w:rPr>
        <w:t>لا یجوز اللمس ونحوه وإن لم یکنّ ینتهین بالنهی للارتکاز المتشرعی وعدم الخلاف، والتعلیل قابل للتخصیص، ولا یلزم من ذلک خروج الأکثر کما سبق</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ینتهی البحث فی المسألة الأولی</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6289_41842"/>
      <w:bookmarkStart w:id="127" w:name="pg6289_41842"/>
      <w:bookmarkEnd w:id="127"/>
    </w:p>
    <w:p>
      <w:pPr>
        <w:pStyle w:val="Heading2"/>
        <w:numPr>
          <w:ilvl w:val="1"/>
          <w:numId w:val="1"/>
        </w:numPr>
        <w:rPr/>
      </w:pPr>
      <w:bookmarkStart w:id="128" w:name="pg6289_41842"/>
      <w:bookmarkStart w:id="129" w:name="__RefHeading___Toc2133298_237004111"/>
      <w:bookmarkStart w:id="130" w:name="_Toc49"/>
      <w:bookmarkEnd w:id="128"/>
      <w:bookmarkEnd w:id="129"/>
      <w:r>
        <w:rPr>
          <w:rtl w:val="true"/>
        </w:rPr>
        <w:t>المسألة الثانیة</w:t>
      </w:r>
      <w:r>
        <w:rPr>
          <w:rtl w:val="true"/>
        </w:rPr>
        <w:t xml:space="preserve">: </w:t>
      </w:r>
      <w:r>
        <w:rPr>
          <w:rtl w:val="true"/>
        </w:rPr>
        <w:t>النظر إلی نساء أهل الذمة ومطلق الکوافر</w:t>
      </w:r>
      <w:bookmarkEnd w:id="13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 w:name="__RefHeading___Toc2133300_237004111"/>
      <w:bookmarkStart w:id="132" w:name="_Toc50"/>
      <w:bookmarkEnd w:id="131"/>
      <w:r>
        <w:rPr>
          <w:rtl w:val="true"/>
        </w:rPr>
        <w:t>اشارة</w:t>
      </w:r>
      <w:bookmarkEnd w:id="13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6289_41844"/>
      <w:bookmarkStart w:id="134" w:name="pg6289_41844"/>
      <w:bookmarkEnd w:id="134"/>
    </w:p>
    <w:p>
      <w:pPr>
        <w:pStyle w:val="Heading3"/>
        <w:numPr>
          <w:ilvl w:val="2"/>
          <w:numId w:val="1"/>
        </w:numPr>
        <w:rPr/>
      </w:pPr>
      <w:bookmarkStart w:id="135" w:name="pg6289_41844"/>
      <w:bookmarkStart w:id="136" w:name="__RefHeading___Toc2133302_237004111"/>
      <w:bookmarkStart w:id="137" w:name="_Toc51"/>
      <w:bookmarkEnd w:id="135"/>
      <w:bookmarkEnd w:id="136"/>
      <w:r>
        <w:rPr>
          <w:rtl w:val="true"/>
        </w:rPr>
        <w:t>المسألة الثانیة</w:t>
      </w:r>
      <w:r>
        <w:rPr>
          <w:rtl w:val="true"/>
        </w:rPr>
        <w:t xml:space="preserve">: </w:t>
      </w:r>
      <w:r>
        <w:rPr>
          <w:rtl w:val="true"/>
        </w:rPr>
        <w:t>النظر إلی نساء أهل الذمة ومطلق الکوافر</w:t>
      </w:r>
      <w:bookmarkEnd w:id="137"/>
    </w:p>
    <w:p>
      <w:pPr>
        <w:pStyle w:val="Heading4"/>
        <w:numPr>
          <w:ilvl w:val="3"/>
          <w:numId w:val="1"/>
        </w:numPr>
        <w:rPr/>
      </w:pPr>
      <w:bookmarkStart w:id="138" w:name="__RefHeading___Toc2133304_237004111"/>
      <w:bookmarkStart w:id="139" w:name="_Toc52"/>
      <w:bookmarkEnd w:id="138"/>
      <w:r>
        <w:rPr>
          <w:rtl w:val="true"/>
        </w:rPr>
        <w:t>اشارة</w:t>
      </w:r>
      <w:bookmarkEnd w:id="139"/>
    </w:p>
    <w:p>
      <w:pPr>
        <w:pStyle w:val="BookText"/>
        <w:rPr/>
      </w:pPr>
      <w:r>
        <w:rPr>
          <w:rFonts w:ascii="IRNazanin" w:hAnsi="IRNazanin" w:eastAsia="IRNazanin"/>
          <w:color w:val="111111"/>
          <w:sz w:val="28"/>
          <w:sz w:val="28"/>
          <w:szCs w:val="28"/>
          <w:rtl w:val="true"/>
          <w:lang w:bidi="fa-IR"/>
        </w:rPr>
        <w:t>قال صاحب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النظر إلی نساء أهل الذمة، بل مطلق الکفار مع عدم التلذذ والریبة، أی خوف الوقوع فی الحرام، والأحوط الاقتصار علی المقدار الذی جرت عادتهن علی عدم ستره</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 w:name="__RefHeading___Toc2133306_237004111"/>
      <w:bookmarkStart w:id="141" w:name="_Toc53"/>
      <w:bookmarkEnd w:id="140"/>
      <w:r>
        <w:rPr>
          <w:rtl w:val="true"/>
        </w:rPr>
        <w:t>فروع المسألة الثانیة</w:t>
      </w:r>
      <w:bookmarkEnd w:id="141"/>
    </w:p>
    <w:p>
      <w:pPr>
        <w:pStyle w:val="Heading5"/>
        <w:numPr>
          <w:ilvl w:val="4"/>
          <w:numId w:val="1"/>
        </w:numPr>
        <w:rPr/>
      </w:pPr>
      <w:bookmarkStart w:id="142" w:name="__RefHeading___Toc2133308_237004111"/>
      <w:bookmarkStart w:id="143" w:name="_Toc54"/>
      <w:bookmarkEnd w:id="142"/>
      <w:r>
        <w:rPr>
          <w:rtl w:val="true"/>
        </w:rPr>
        <w:t>اشارة</w:t>
      </w:r>
      <w:bookmarkEnd w:id="143"/>
    </w:p>
    <w:p>
      <w:pPr>
        <w:pStyle w:val="BookText"/>
        <w:rPr/>
      </w:pPr>
      <w:r>
        <w:rPr>
          <w:rFonts w:ascii="IRNazanin" w:hAnsi="IRNazanin" w:eastAsia="IRNazanin"/>
          <w:color w:val="111111"/>
          <w:sz w:val="28"/>
          <w:sz w:val="28"/>
          <w:szCs w:val="28"/>
          <w:rtl w:val="true"/>
          <w:lang w:bidi="fa-IR"/>
        </w:rPr>
        <w:t>وفی هذه المسألة فروع</w:t>
      </w:r>
      <w:r>
        <w:rPr>
          <w:rFonts w:eastAsia="IRNazanin" w:cs="IRNazanin"/>
          <w:color w:val="111111"/>
          <w:sz w:val="28"/>
          <w:szCs w:val="28"/>
          <w:rtl w:val="true"/>
          <w:lang w:bidi="fa-IR"/>
        </w:rPr>
        <w:t>:</w:t>
      </w:r>
    </w:p>
    <w:p>
      <w:pPr>
        <w:pStyle w:val="Heading5"/>
        <w:numPr>
          <w:ilvl w:val="4"/>
          <w:numId w:val="1"/>
        </w:numPr>
        <w:rPr/>
      </w:pPr>
      <w:bookmarkStart w:id="144" w:name="__RefHeading___Toc2133310_237004111"/>
      <w:bookmarkStart w:id="145" w:name="_Toc55"/>
      <w:bookmarkEnd w:id="144"/>
      <w:r>
        <w:rPr>
          <w:rtl w:val="true"/>
        </w:rPr>
        <w:t>الفرع الأول</w:t>
      </w:r>
      <w:r>
        <w:rPr>
          <w:rtl w:val="true"/>
        </w:rPr>
        <w:t xml:space="preserve">: </w:t>
      </w:r>
      <w:r>
        <w:rPr>
          <w:rtl w:val="true"/>
        </w:rPr>
        <w:t>فی أصل جواز النظر إلی نساء أهل الذمة</w:t>
      </w:r>
      <w:bookmarkEnd w:id="145"/>
    </w:p>
    <w:p>
      <w:pPr>
        <w:pStyle w:val="Heading6"/>
        <w:numPr>
          <w:ilvl w:val="5"/>
          <w:numId w:val="1"/>
        </w:numPr>
        <w:rPr/>
      </w:pPr>
      <w:bookmarkStart w:id="146" w:name="__RefHeading___Toc2133312_237004111"/>
      <w:bookmarkStart w:id="147" w:name="_Toc56"/>
      <w:bookmarkEnd w:id="146"/>
      <w:r>
        <w:rPr>
          <w:rtl w:val="true"/>
        </w:rPr>
        <w:t>اشارة</w:t>
      </w:r>
      <w:bookmarkEnd w:id="147"/>
    </w:p>
    <w:p>
      <w:pPr>
        <w:pStyle w:val="BookText"/>
        <w:rPr/>
      </w:pPr>
      <w:r>
        <w:rPr>
          <w:rFonts w:ascii="IRNazanin" w:hAnsi="IRNazanin" w:eastAsia="IRNazanin"/>
          <w:color w:val="111111"/>
          <w:sz w:val="28"/>
          <w:sz w:val="28"/>
          <w:szCs w:val="28"/>
          <w:rtl w:val="true"/>
          <w:lang w:bidi="fa-IR"/>
        </w:rPr>
        <w:t>وقد نسب القول بالجواز إلی الشیخ المفید فی المقنعة والشیخ الطوسی فی النهایة والقاضی والمحقق فی الشرائع والعلامة فی القواعد کما نسب إلی أکثر المتأخرین کما فی المستند</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هو المشهور، کما صرح به فی المسالک والمستند والحدائق والفقه وفقه الصادق</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فی مرآة العقول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وعمل به المفید والشیخ وأکثر الأصحاب مع الحمل علی عدم الشهوة والریبة</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148" w:name="pg6289_41845"/>
    </w:p>
    <w:p>
      <w:pPr>
        <w:pStyle w:val="BookText"/>
        <w:rPr/>
      </w:pPr>
      <w:bookmarkEnd w:id="148"/>
      <w:r>
        <w:rPr>
          <w:rFonts w:ascii="IRNazanin" w:hAnsi="IRNazanin" w:eastAsia="IRNazanin"/>
          <w:color w:val="111111"/>
          <w:sz w:val="28"/>
          <w:sz w:val="28"/>
          <w:szCs w:val="28"/>
          <w:rtl w:val="true"/>
          <w:lang w:bidi="fa-IR"/>
        </w:rPr>
        <w:t>وأید صاحب العروة فی الجواز المحقق العراقی والمحقق النائینی والسید أبو الحسن الإصفهانی والسید عبد الهادی الشیرازی والسید البروجردی والسید القمی والسید الوالد والسید الگلپایگانی والسید الخوئی رحمهم الله</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وخالف فی ذلک ابن إدریس الحلی فی السرائر</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والعلامة الحلی فی المختلف</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المحقق الحائری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 أن لا یکون النظر مقصوداً أصلیاً</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یذهب للأسواق وینظر إلیهن تبعاً، وتارة یذهب إلی الأسواق حتی ینظر إلیهن</w:t>
      </w:r>
      <w:r>
        <w:rPr>
          <w:rFonts w:eastAsia="IRNazanin" w:cs="IRNazanin"/>
          <w:color w:val="111111"/>
          <w:sz w:val="28"/>
          <w:szCs w:val="28"/>
          <w:rtl w:val="true"/>
          <w:lang w:bidi="fa-IR"/>
        </w:rPr>
        <w:t>.</w:t>
      </w:r>
    </w:p>
    <w:p>
      <w:pPr>
        <w:pStyle w:val="Heading6"/>
        <w:numPr>
          <w:ilvl w:val="5"/>
          <w:numId w:val="1"/>
        </w:numPr>
        <w:rPr/>
      </w:pPr>
      <w:bookmarkStart w:id="149" w:name="__RefHeading___Toc2133314_237004111"/>
      <w:bookmarkStart w:id="150" w:name="_Toc57"/>
      <w:bookmarkEnd w:id="149"/>
      <w:r>
        <w:rPr>
          <w:rtl w:val="true"/>
        </w:rPr>
        <w:t>أدلة جواز النظر إلی نساء أهل الذمة</w:t>
      </w:r>
      <w:bookmarkEnd w:id="150"/>
    </w:p>
    <w:p>
      <w:pPr>
        <w:pStyle w:val="Heading6"/>
        <w:numPr>
          <w:ilvl w:val="5"/>
          <w:numId w:val="1"/>
        </w:numPr>
        <w:rPr/>
      </w:pPr>
      <w:bookmarkStart w:id="151" w:name="__RefHeading___Toc2133316_237004111"/>
      <w:bookmarkStart w:id="152" w:name="_Toc58"/>
      <w:bookmarkEnd w:id="151"/>
      <w:r>
        <w:rPr>
          <w:rtl w:val="true"/>
        </w:rPr>
        <w:t>اشارة</w:t>
      </w:r>
      <w:bookmarkEnd w:id="152"/>
    </w:p>
    <w:p>
      <w:pPr>
        <w:pStyle w:val="BookText"/>
        <w:rPr/>
      </w:pPr>
      <w:r>
        <w:rPr>
          <w:rFonts w:ascii="IRNazanin" w:hAnsi="IRNazanin" w:eastAsia="IRNazanin"/>
          <w:color w:val="111111"/>
          <w:sz w:val="28"/>
          <w:sz w:val="28"/>
          <w:szCs w:val="28"/>
          <w:rtl w:val="true"/>
          <w:lang w:bidi="fa-IR"/>
        </w:rPr>
        <w:t>وکیف کان، فیدلُّ علی الحکم أمور</w:t>
      </w:r>
      <w:r>
        <w:rPr>
          <w:rFonts w:eastAsia="IRNazanin" w:cs="IRNazanin"/>
          <w:color w:val="111111"/>
          <w:sz w:val="28"/>
          <w:szCs w:val="28"/>
          <w:rtl w:val="true"/>
          <w:lang w:bidi="fa-IR"/>
        </w:rPr>
        <w:t>:</w:t>
      </w:r>
    </w:p>
    <w:p>
      <w:pPr>
        <w:pStyle w:val="Heading6"/>
        <w:numPr>
          <w:ilvl w:val="5"/>
          <w:numId w:val="1"/>
        </w:numPr>
        <w:rPr/>
      </w:pPr>
      <w:bookmarkStart w:id="153" w:name="__RefHeading___Toc2133318_237004111"/>
      <w:bookmarkStart w:id="154" w:name="_Toc59"/>
      <w:bookmarkEnd w:id="153"/>
      <w:r>
        <w:rPr>
          <w:rtl w:val="true"/>
        </w:rPr>
        <w:t>الدلیل الأول</w:t>
      </w:r>
      <w:r>
        <w:rPr>
          <w:rtl w:val="true"/>
        </w:rPr>
        <w:t xml:space="preserve">: </w:t>
      </w:r>
      <w:r>
        <w:rPr>
          <w:rtl w:val="true"/>
        </w:rPr>
        <w:t>موثقة عباد بن صهیب المتقدمة</w:t>
      </w:r>
      <w:bookmarkEnd w:id="154"/>
    </w:p>
    <w:p>
      <w:pPr>
        <w:pStyle w:val="BookText"/>
        <w:rPr/>
      </w:pPr>
      <w:r>
        <w:rPr>
          <w:rFonts w:ascii="IRNazanin" w:hAnsi="IRNazanin" w:eastAsia="IRNazanin"/>
          <w:color w:val="111111"/>
          <w:sz w:val="28"/>
          <w:sz w:val="28"/>
          <w:szCs w:val="28"/>
          <w:rtl w:val="true"/>
          <w:lang w:bidi="fa-IR"/>
        </w:rPr>
        <w:t>وذلک من جهات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بالنظر إلی شعور نساء أهل تهامة والأعراب وأهل البوادی من أهل الذمة والعلوج</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العلل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بالنظر إلی رؤوس أهل تهامة والأعراب وأهل </w:t>
      </w:r>
    </w:p>
    <w:p>
      <w:pPr>
        <w:pStyle w:val="BookText"/>
        <w:rPr/>
      </w:pPr>
      <w:r>
        <w:rPr>
          <w:rFonts w:ascii="Amiri" w:hAnsi="Amiri" w:eastAsia="Amiri" w:cs="Amiri"/>
          <w:color w:val="111111"/>
          <w:sz w:val="28"/>
          <w:sz w:val="28"/>
          <w:szCs w:val="28"/>
          <w:rtl w:val="true"/>
          <w:lang w:bidi="ar-SA"/>
        </w:rPr>
        <w:t>السواد من أهل الذمة</w:t>
      </w:r>
      <w:r>
        <w:rPr>
          <w:rFonts w:eastAsia="Amiri" w:cs="Amiri" w:ascii="Amiri" w:hAnsi="Amiri"/>
          <w:color w:val="111111"/>
          <w:sz w:val="28"/>
          <w:szCs w:val="28"/>
          <w:rtl w:val="true"/>
          <w:lang w:bidi="ar-SA"/>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الظاهر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 للجمیع، وإن کان المتیقن عوده إلی الأخیر، وبإلغاء الخصوصیة عرفاً یتم التعدی إلی غیرهن من أهل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 مقتضی القاعدة رجوع القید إلی الأخیر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المتیقن عوده إلی الأخیر ویوجب الإجمال فیما تقدمه، ولکن لا ینافی أن یکون له ظهور فی العود إلی الجمیع، فهو القاعدة فی موارد الشک،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واحترم الخطباء وأضف الشعراء إذا کانوا عدولاً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لا شک حتی تجری القاعدة، فلو أراد العود إلی الأخیر فقط لزم أن یفصل بفاصل عادة، أو یغیر سیاق الکلام، وإلاّ فلعل ظاهره العود إلی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یؤید ذلک أن مَن رأینا کلماتهم من الفقهاء سابقاً فی المسألة الأولی أنهم کانوا یذکرون هذه الروایة لأهل الذمة، وکأنهم فهموا أنه یعود إلی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والعلوج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الکلینی والفقیه</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خلت منه روایة العلل</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أصالة عدم الزیادة مقدمة علی أصالة عدم النقیصة، مضافاً إلی أنّ الکافی والفقیه أضبط من العلل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العلوج یشمل أهل الذمة وغیرهم؛ إذ هو مطلق الکافر، لا </w:t>
      </w:r>
      <w:bookmarkStart w:id="155" w:name="pg6289_41847"/>
    </w:p>
    <w:p>
      <w:pPr>
        <w:pStyle w:val="BookText"/>
        <w:rPr/>
      </w:pPr>
      <w:bookmarkEnd w:id="155"/>
      <w:r>
        <w:rPr>
          <w:rFonts w:ascii="IRNazanin" w:hAnsi="IRNazanin" w:eastAsia="IRNazanin"/>
          <w:color w:val="111111"/>
          <w:sz w:val="28"/>
          <w:sz w:val="28"/>
          <w:szCs w:val="28"/>
          <w:rtl w:val="true"/>
          <w:lang w:bidi="fa-IR"/>
        </w:rPr>
        <w:t>الکافر الضخم القوی فقط، ولو بإلغاء الخصوصیة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العلة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لأنهن إذا نهین لا ینتهین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الفقیه والعلل، وفی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لأنهم إذا نهوا لا ینتهون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فتشمل الذمیة مطلقاً، سواء کانت قویة أم ضعیفة، ضخمة أم ناعمة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ولا یخفی أنّ هذا الدلیل خاص بصورة عدم الانتهاء بالنهی، وأما مع الانتهاء به فلا یشملهن الحدیث؛ إذ الدلیل أخصّ من المدعی، فیثبت المطلوب فی الجملة، ولعل غالب الذمیات إذا نهین لا ینتهین</w:t>
      </w:r>
      <w:r>
        <w:rPr>
          <w:rFonts w:eastAsia="IRNazanin" w:cs="IRNazanin"/>
          <w:color w:val="111111"/>
          <w:sz w:val="28"/>
          <w:szCs w:val="28"/>
          <w:rtl w:val="true"/>
          <w:lang w:bidi="fa-IR"/>
        </w:rPr>
        <w:t>.</w:t>
      </w:r>
    </w:p>
    <w:p>
      <w:pPr>
        <w:pStyle w:val="Heading6"/>
        <w:numPr>
          <w:ilvl w:val="5"/>
          <w:numId w:val="1"/>
        </w:numPr>
        <w:rPr/>
      </w:pPr>
      <w:bookmarkStart w:id="156" w:name="__RefHeading___Toc2133320_237004111"/>
      <w:bookmarkStart w:id="157" w:name="_Toc60"/>
      <w:bookmarkEnd w:id="156"/>
      <w:r>
        <w:rPr>
          <w:rtl w:val="true"/>
        </w:rPr>
        <w:t>الدلیل الثانی</w:t>
      </w:r>
      <w:r>
        <w:rPr>
          <w:rtl w:val="true"/>
        </w:rPr>
        <w:t xml:space="preserve">: </w:t>
      </w:r>
      <w:r>
        <w:rPr>
          <w:rtl w:val="true"/>
        </w:rPr>
        <w:t>روایة السکونی</w:t>
      </w:r>
      <w:bookmarkEnd w:id="157"/>
    </w:p>
    <w:p>
      <w:pPr>
        <w:pStyle w:val="BookText"/>
        <w:rPr/>
      </w:pPr>
      <w:r>
        <w:rPr>
          <w:rFonts w:ascii="IRNazanin" w:hAnsi="IRNazanin" w:eastAsia="IRNazanin"/>
          <w:color w:val="111111"/>
          <w:sz w:val="28"/>
          <w:sz w:val="28"/>
          <w:szCs w:val="28"/>
          <w:rtl w:val="true"/>
          <w:lang w:bidi="fa-IR"/>
        </w:rPr>
        <w:t>ما رواه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عن أبیه، عن النوفلی، عن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حرمة لنساء أهل الذمة إن ینظر إلی شعورهن وأیدیهن</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هذه الروایة بحثان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ودلالی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البحث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العلامة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علی المشهور</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یبین وجه الضعف، والظاهر أنه إما للنوفلی فقط، أو له وللسکونی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وضعّفها السید القمی فی المبانی</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فی الروایة مَن یتأمل فیه تأملاً شدیداً إلا الحسین بن یزید بن </w:t>
      </w:r>
    </w:p>
    <w:p>
      <w:pPr>
        <w:pStyle w:val="BookText"/>
        <w:rPr/>
      </w:pPr>
      <w:r>
        <w:rPr>
          <w:rFonts w:ascii="IRNazanin" w:hAnsi="IRNazanin" w:eastAsia="IRNazanin"/>
          <w:color w:val="111111"/>
          <w:sz w:val="28"/>
          <w:sz w:val="28"/>
          <w:szCs w:val="28"/>
          <w:rtl w:val="true"/>
          <w:lang w:bidi="fa-IR"/>
        </w:rPr>
        <w:t>محمد النوفلی، أما السکونی فثقة علی المختار، وإن کان فیه نوع من الخدش لکنه غیر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أن یقال باعتبار الروایة، وذلک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بوثاقة النوفلی</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وقع فی أسناد کامل الزیارات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المبنی غیر 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وقع فی أسناد تفسیر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 ما ورد علی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غالب روایات السکونی رواها النوفلی، وقد ذکر الشیخ الطوسی فی کتاب العدة أنّ الطائفة عملت بروایة السکونی</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عنه فی مواضع من کتبه أنّ الإمامیة مجمعة علی العمل بروایته</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تمسک بالعام فی الشبهة المصداقیة، فتأمل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إحراز الموضوع، وأنّ الروایات التی رواها النوفلی عن السکونی هی روایات السکونی، فلو فرضنا أنه مختلق للأسانید فلا یثبت أنها روایاته حتی یشمله کلام الشیخ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یوثق ما بأیدینا من روایات السکونی، وهی روایات النوفلی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روایات لم یقع فی طریقها النوفلی؛ وذلک کما لو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بالأوامر الواردة إلیک عن أبیک، فلو ورد الأمر عن طریق مجهول أو مشکوک لم یتم الموضوع حتی یلزم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 بروایات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معظم النبویات ضعیفة، فهل یلزم العمل بها؟</w:t>
      </w:r>
    </w:p>
    <w:p>
      <w:pPr>
        <w:pStyle w:val="BookText"/>
        <w:rPr/>
      </w:pPr>
      <w:r>
        <w:rPr>
          <w:rFonts w:ascii="IRNazanin" w:hAnsi="IRNazanin" w:eastAsia="IRNazanin"/>
          <w:color w:val="111111"/>
          <w:sz w:val="28"/>
          <w:sz w:val="28"/>
          <w:szCs w:val="28"/>
          <w:rtl w:val="true"/>
          <w:lang w:bidi="fa-IR"/>
        </w:rPr>
        <w:t>القرینة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الوحید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کثیر الروایة وسدیدها ومقبولها</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القرینة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إکثار الکلینی الروایة عن النوفلی عن السکونی فی الکافی، فحسب الاستقراء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المجلد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المجلد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وثمانون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المجلد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وأربعون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المجلد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المجلد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اثنتان وثمانون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المجلد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وتسعون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المجلد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وستون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المجلد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روایات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فالمجموع أربعمائة وتسع عشرة روایة، وربما تکون الروایات أکثر، </w:t>
      </w:r>
    </w:p>
    <w:p>
      <w:pPr>
        <w:pStyle w:val="BookText"/>
        <w:rPr/>
      </w:pPr>
      <w:r>
        <w:rPr>
          <w:rFonts w:ascii="IRNazanin" w:hAnsi="IRNazanin" w:eastAsia="IRNazanin"/>
          <w:color w:val="111111"/>
          <w:sz w:val="28"/>
          <w:sz w:val="28"/>
          <w:szCs w:val="28"/>
          <w:rtl w:val="true"/>
          <w:lang w:bidi="fa-IR"/>
        </w:rPr>
        <w:t xml:space="preserve">والشیخ الکلینی إنما کتب الکافی لیکون المرجع للشیعة إلی یوم القیامة، وذکر الروایات الصحیحة عن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فاعتماده علی هذه الروایات إما للقرائن الخارجیة فی کل روایة روایة، وإمّا للقرینة الداخلیة، وهی وثاقة النوفلی، وقد ذکرنا أنه یمکن أن تکون القرینة خارجیة فی بضع روایات، أما إذا کثرت الروایات فلا بد أن تکون القرینة داخلیة، فننتهی بذلک إلی توثیق الکلینی للنوفلی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الصدوق اعتمد علی روایات السکونی فی الفقیه فی موارد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المشیخة طریقه إلی السکونی یمرّ بالنوفلی، ولا بد من إحصاء موارده، فإن کان کثیراً دل علی توثیقه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خصوص هذه الروایة بالعمل</w:t>
      </w:r>
    </w:p>
    <w:p>
      <w:p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أکثر الأصحاب</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لا بأس بالعمل به بعد اعتماد المشهور علیه، وإن کان ظاهر من علل بأنها بمنزلة الإماء عدم الاعتماد علیه، ولکن اعتماد غیره کاف فی جبر ضعفه لو کان</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هذا القول عمل الأصحاب، ما عدا ابن إدریس، وتبعه العلامة فی المختلف، وأمّا فی باقی کتبه فهو موافق لمذهب الأصحاب</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إلا أنه لا یدل علی الاستناد إلی هذا الخبر، وإنّما یدل علی موافقة المشهور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ذلک أنّ الروایة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البحث الثانی فهو البحث الدلالی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هذه الروایة خاصة بالشعور والأیدی، فلا تشمل غیرهما؛ إذ سلب الحرمة مقیّد لا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 بشمول الروایة للوجه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یستدل لذلک بأدلة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القول بالفصل</w:t>
      </w:r>
    </w:p>
    <w:p>
      <w:pPr>
        <w:pStyle w:val="BookText"/>
        <w:rPr/>
      </w:pPr>
      <w:r>
        <w:rPr>
          <w:rFonts w:ascii="IRNazanin" w:hAnsi="IRNazanin" w:eastAsia="IRNazanin"/>
          <w:color w:val="111111"/>
          <w:sz w:val="28"/>
          <w:sz w:val="28"/>
          <w:szCs w:val="28"/>
          <w:rtl w:val="true"/>
          <w:lang w:bidi="fa-IR"/>
        </w:rPr>
        <w:t>ذکره فی المستند</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الحجة القول بعدم الفصل لا عدم القول بالفصل، وبحثه موکول إلی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العرفیة</w:t>
      </w:r>
    </w:p>
    <w:p>
      <w:pPr>
        <w:pStyle w:val="BookText"/>
        <w:rPr/>
      </w:pPr>
      <w:r>
        <w:rPr>
          <w:rFonts w:ascii="IRNazanin" w:hAnsi="IRNazanin" w:eastAsia="IRNazanin"/>
          <w:color w:val="111111"/>
          <w:sz w:val="28"/>
          <w:sz w:val="28"/>
          <w:szCs w:val="28"/>
          <w:rtl w:val="true"/>
          <w:lang w:bidi="fa-IR"/>
        </w:rPr>
        <w:t>فإنه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تنظر إلی شعرها کان معناه عرفا لا بأس بالنظر إلی وجهها، ولا یعقل اختلاف المتلازمین فی الحکم اختلافاً بالتضاد؛ لأنه تناقض، کوجوب استقبال القبلة وحرمة استدبارها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الأولویة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بتقریر أنّ الشارع شدد فی الشعر والید ما لم یشدد فی الوجه؛ ولذا جاز النظر إلی وجه المسلمة ولم یجز النظر إلی شعرها وتمام یدها علی مبنی </w:t>
      </w:r>
      <w:bookmarkStart w:id="158" w:name="pg6289_41852"/>
    </w:p>
    <w:p>
      <w:pPr>
        <w:pStyle w:val="BookText"/>
        <w:rPr/>
      </w:pPr>
      <w:bookmarkEnd w:id="158"/>
      <w:r>
        <w:rPr>
          <w:rFonts w:ascii="IRNazanin" w:hAnsi="IRNazanin" w:eastAsia="IRNazanin"/>
          <w:color w:val="111111"/>
          <w:sz w:val="28"/>
          <w:sz w:val="28"/>
          <w:szCs w:val="28"/>
          <w:rtl w:val="true"/>
          <w:lang w:bidi="fa-IR"/>
        </w:rPr>
        <w:t xml:space="preserve">کثیر من الفقهاء، وجاز للمرأة کشف الوجه ولم یجز کشف الشعر وتمام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علی القول بحرمة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جاز النظر إلی شعرها وتمام الید جاز النظر إلی الوجه بطریق أولی</w:t>
      </w:r>
      <w:r>
        <w:rPr>
          <w:rFonts w:eastAsia="IRNazanin" w:cs="IRNazanin"/>
          <w:color w:val="111111"/>
          <w:sz w:val="28"/>
          <w:szCs w:val="28"/>
          <w:rtl w:val="true"/>
          <w:lang w:bidi="fa-IR"/>
        </w:rPr>
        <w:t>.</w:t>
      </w:r>
    </w:p>
    <w:p>
      <w:pPr>
        <w:pStyle w:val="Heading6"/>
        <w:numPr>
          <w:ilvl w:val="5"/>
          <w:numId w:val="1"/>
        </w:numPr>
        <w:rPr/>
      </w:pPr>
      <w:bookmarkStart w:id="159" w:name="__RefHeading___Toc2133322_237004111"/>
      <w:bookmarkStart w:id="160" w:name="_Toc61"/>
      <w:bookmarkEnd w:id="159"/>
      <w:r>
        <w:rPr>
          <w:rtl w:val="true"/>
        </w:rPr>
        <w:t>الدلیل الثالث</w:t>
      </w:r>
      <w:r>
        <w:rPr>
          <w:rtl w:val="true"/>
        </w:rPr>
        <w:t xml:space="preserve">: </w:t>
      </w:r>
      <w:r>
        <w:rPr>
          <w:rtl w:val="true"/>
        </w:rPr>
        <w:t>روایة عبد الله بن جعفر</w:t>
      </w:r>
      <w:bookmarkEnd w:id="160"/>
    </w:p>
    <w:p>
      <w:pPr>
        <w:pStyle w:val="BookText"/>
        <w:rPr/>
      </w:pPr>
      <w:r>
        <w:rPr>
          <w:rFonts w:ascii="IRNazanin" w:hAnsi="IRNazanin" w:eastAsia="IRNazanin"/>
          <w:color w:val="111111"/>
          <w:sz w:val="28"/>
          <w:sz w:val="28"/>
          <w:szCs w:val="28"/>
          <w:rtl w:val="true"/>
          <w:lang w:bidi="fa-IR"/>
        </w:rPr>
        <w:t>فقد ورد فی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البختری، عن جعفر بن محمّد،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بالنظر إلی رؤوس نساء أهل الذمة</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الرأس یشمل الوجه أیضاً، فإنه ظاهر عرفاً فی مثل المقام فیما یقابل البدن، وفی شموله للرقبة 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سند الروایة ضعیف؛ إذ فیه أبو البختری، وهو وهب بن وهب العامی الضعیف الذی قیل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کذّاب أکذب البریة</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مجرد فتوی المشهور طبق الروایة جابر لسندها، فتأمل</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1" w:name="__RefHeading___Toc2133324_237004111"/>
      <w:bookmarkStart w:id="162" w:name="_Toc62"/>
      <w:bookmarkEnd w:id="161"/>
      <w:r>
        <w:rPr>
          <w:rtl w:val="true"/>
        </w:rPr>
        <w:t>الدلیل الرابع</w:t>
      </w:r>
      <w:r>
        <w:rPr>
          <w:rtl w:val="true"/>
        </w:rPr>
        <w:t xml:space="preserve">: </w:t>
      </w:r>
      <w:r>
        <w:rPr>
          <w:rtl w:val="true"/>
        </w:rPr>
        <w:t>السیرة</w:t>
      </w:r>
      <w:bookmarkEnd w:id="16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السید الوالد فی الفقه</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المؤید، ونسبه إلی جملة منهم </w:t>
      </w:r>
    </w:p>
    <w:p>
      <w:pPr>
        <w:pStyle w:val="BookText"/>
        <w:rPr/>
      </w:pP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وجود سیرة مستجمعة لشرائط الحجیة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جرت سیرة المتشرعة علی النظر إلی نساء أهل الذمة، وکانت متصلة بزمان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ونالت تقریره، أو کانت کاشفة کشفا إنیاً عن دلیل معتبر؟</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تحقق السیرة، خاصة مع ملاحظة وجودهن فی الأسواق وهنّ مکشفات، ولم یکن یلتزمن بالحجاب، بالإضافة إلی ورود الروایة بجواز النظر إلیهن، وإلا کانت لغواً، حیث لا مورد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الثابت أنهن کنّ متبرجات کظاهرة عامة فی عهد الشارع؟ فقد ورد فی التاریخ أنّ الحرائر من أهل الذمة، بل المشرکات کنّ محجبات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الروایة فربما تکون لبیان الحکم الشرعی، بالإضافة إلی أنّ من مواردها أهل الذمة فی بیوت المسلمین، فلا تدل علی أنهن کن مکشفات فی الأسواق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من إثبات أنهنّ لم یکنّ ملتزمات بالحجاب کظاهرة عامة، ولم یرد رادع عن ذلک حتی یفید التقریر، فتکون السیرة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تکفینا السیرة فی زماننا هذا علی المبنی، مع عدم إحراز عدم اتصالها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سیرة المتدینین علی النظر أم أنّ البعض ینظرون تبعاً لبعض الفتاوی بالجواز؟ </w:t>
      </w:r>
      <w:bookmarkStart w:id="163" w:name="pg6289_41854"/>
    </w:p>
    <w:p>
      <w:pPr>
        <w:pStyle w:val="BookText"/>
        <w:rPr/>
      </w:pPr>
      <w:bookmarkEnd w:id="163"/>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المتدینون یحتاطون فی کل شیء، فلا یرتکبون خلاف الاحتیاط، فلا تدل سیرتهم علی الإلزام، فالمهم سیرة بعض المسلمین، وهی متحققة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سیرة المتدینین الملتزمین بالضوابط الشرعیة</w:t>
      </w:r>
      <w:r>
        <w:rPr>
          <w:rFonts w:eastAsia="IRNazanin" w:cs="IRNazanin"/>
          <w:color w:val="111111"/>
          <w:sz w:val="28"/>
          <w:szCs w:val="28"/>
          <w:rtl w:val="true"/>
          <w:lang w:bidi="fa-IR"/>
        </w:rPr>
        <w:t>.</w:t>
      </w:r>
    </w:p>
    <w:p>
      <w:pPr>
        <w:pStyle w:val="Heading6"/>
        <w:numPr>
          <w:ilvl w:val="5"/>
          <w:numId w:val="1"/>
        </w:numPr>
        <w:rPr/>
      </w:pPr>
      <w:bookmarkStart w:id="164" w:name="__RefHeading___Toc2133326_237004111"/>
      <w:bookmarkStart w:id="165" w:name="_Toc63"/>
      <w:bookmarkEnd w:id="164"/>
      <w:r>
        <w:rPr>
          <w:rtl w:val="true"/>
        </w:rPr>
        <w:t>الدلیل الخامس</w:t>
      </w:r>
      <w:r>
        <w:rPr>
          <w:rtl w:val="true"/>
        </w:rPr>
        <w:t xml:space="preserve">: </w:t>
      </w:r>
      <w:r>
        <w:rPr>
          <w:rtl w:val="true"/>
        </w:rPr>
        <w:t>الحرج</w:t>
      </w:r>
      <w:bookmarkEnd w:id="165"/>
    </w:p>
    <w:p>
      <w:pPr>
        <w:pStyle w:val="BookText"/>
        <w:rPr/>
      </w:pPr>
      <w:r>
        <w:rPr>
          <w:rFonts w:ascii="IRNazanin" w:hAnsi="IRNazanin" w:eastAsia="IRNazanin"/>
          <w:color w:val="111111"/>
          <w:sz w:val="28"/>
          <w:sz w:val="28"/>
          <w:szCs w:val="28"/>
          <w:rtl w:val="true"/>
          <w:lang w:bidi="fa-IR"/>
        </w:rPr>
        <w:t>ذکره السید الوالد بعنوان المؤید ونسبه إلی جمع</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شخصی ویتقدر بقدره، کما مضی بحثه</w:t>
      </w:r>
      <w:r>
        <w:rPr>
          <w:rFonts w:eastAsia="IRNazanin" w:cs="IRNazanin"/>
          <w:color w:val="111111"/>
          <w:sz w:val="28"/>
          <w:szCs w:val="28"/>
          <w:rtl w:val="true"/>
          <w:lang w:bidi="fa-IR"/>
        </w:rPr>
        <w:t>.</w:t>
      </w:r>
    </w:p>
    <w:p>
      <w:pPr>
        <w:pStyle w:val="Heading6"/>
        <w:numPr>
          <w:ilvl w:val="5"/>
          <w:numId w:val="1"/>
        </w:numPr>
        <w:rPr/>
      </w:pPr>
      <w:bookmarkStart w:id="166" w:name="__RefHeading___Toc2133328_237004111"/>
      <w:bookmarkStart w:id="167" w:name="_Toc64"/>
      <w:bookmarkEnd w:id="166"/>
      <w:r>
        <w:rPr>
          <w:rtl w:val="true"/>
        </w:rPr>
        <w:t>الدلیل السادس</w:t>
      </w:r>
      <w:r>
        <w:rPr>
          <w:rtl w:val="true"/>
        </w:rPr>
        <w:t xml:space="preserve">: </w:t>
      </w:r>
      <w:r>
        <w:rPr>
          <w:rtl w:val="true"/>
        </w:rPr>
        <w:t xml:space="preserve">أهل الذمة ممالیک للإمام </w:t>
      </w:r>
      <w:r>
        <w:rPr>
          <w:rtl w:val="true"/>
        </w:rPr>
        <w:t>(</w:t>
      </w:r>
      <w:r>
        <w:rPr>
          <w:rtl w:val="true"/>
        </w:rPr>
        <w:t>علیه السلام</w:t>
      </w:r>
      <w:r>
        <w:rPr>
          <w:rtl w:val="true"/>
        </w:rPr>
        <w:t>)</w:t>
      </w:r>
      <w:bookmarkEnd w:id="167"/>
    </w:p>
    <w:p>
      <w:pPr>
        <w:pStyle w:val="Heading6"/>
        <w:numPr>
          <w:ilvl w:val="5"/>
          <w:numId w:val="1"/>
        </w:numPr>
        <w:rPr/>
      </w:pPr>
      <w:bookmarkStart w:id="168" w:name="__RefHeading___Toc2133330_237004111"/>
      <w:bookmarkStart w:id="169" w:name="_Toc65"/>
      <w:bookmarkEnd w:id="168"/>
      <w:r>
        <w:rPr>
          <w:rtl w:val="true"/>
        </w:rPr>
        <w:t>اشارة</w:t>
      </w:r>
      <w:bookmarkEnd w:id="169"/>
    </w:p>
    <w:p>
      <w:pPr>
        <w:pStyle w:val="BookText"/>
        <w:rPr/>
      </w:pPr>
      <w:r>
        <w:rPr>
          <w:rFonts w:ascii="IRNazanin" w:hAnsi="IRNazanin" w:eastAsia="IRNazanin"/>
          <w:color w:val="111111"/>
          <w:sz w:val="28"/>
          <w:sz w:val="28"/>
          <w:szCs w:val="28"/>
          <w:rtl w:val="true"/>
          <w:lang w:bidi="fa-IR"/>
        </w:rPr>
        <w:t>وهو مرکب من صغری وکبری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الصغری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الذمة ممالیک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الکبری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النظر إلی أمة الغیر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فیقع الکلام فی مقامین</w:t>
      </w:r>
      <w:r>
        <w:rPr>
          <w:rFonts w:eastAsia="IRNazanin" w:cs="IRNazanin"/>
          <w:color w:val="111111"/>
          <w:sz w:val="28"/>
          <w:szCs w:val="28"/>
          <w:rtl w:val="true"/>
          <w:lang w:bidi="fa-IR"/>
        </w:rPr>
        <w:t>:</w:t>
      </w:r>
    </w:p>
    <w:p>
      <w:pPr>
        <w:pStyle w:val="Heading6"/>
        <w:numPr>
          <w:ilvl w:val="5"/>
          <w:numId w:val="1"/>
        </w:numPr>
        <w:rPr/>
      </w:pPr>
      <w:bookmarkStart w:id="170" w:name="__RefHeading___Toc2133332_237004111"/>
      <w:bookmarkStart w:id="171" w:name="_Toc66"/>
      <w:bookmarkEnd w:id="170"/>
      <w:r>
        <w:rPr>
          <w:rtl w:val="true"/>
        </w:rPr>
        <w:t>المقام الأول</w:t>
      </w:r>
      <w:r>
        <w:rPr>
          <w:rtl w:val="true"/>
        </w:rPr>
        <w:t xml:space="preserve">: </w:t>
      </w:r>
      <w:r>
        <w:rPr>
          <w:rtl w:val="true"/>
        </w:rPr>
        <w:t xml:space="preserve">کون أهل الذمة ممالیک للإمام </w:t>
      </w:r>
      <w:r>
        <w:rPr>
          <w:rtl w:val="true"/>
        </w:rPr>
        <w:t>(</w:t>
      </w:r>
      <w:r>
        <w:rPr>
          <w:rtl w:val="true"/>
        </w:rPr>
        <w:t>علیه السلام</w:t>
      </w:r>
      <w:r>
        <w:rPr>
          <w:rtl w:val="true"/>
        </w:rPr>
        <w:t>)</w:t>
      </w:r>
      <w:bookmarkEnd w:id="171"/>
    </w:p>
    <w:p>
      <w:pPr>
        <w:pStyle w:val="BookText"/>
        <w:rPr/>
      </w:pPr>
      <w:r>
        <w:rPr>
          <w:rFonts w:ascii="IRNazanin" w:hAnsi="IRNazanin" w:eastAsia="IRNazanin"/>
          <w:color w:val="111111"/>
          <w:sz w:val="28"/>
          <w:sz w:val="28"/>
          <w:szCs w:val="28"/>
          <w:rtl w:val="true"/>
          <w:lang w:bidi="fa-IR"/>
        </w:rPr>
        <w:t xml:space="preserve">إنّ أهل الذمة ممالیک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نساءهم إماء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فتدل علیه عدة روایات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عن أبیه، عن ابن محبوب، عن ابن رئاب، عن أبی بصیر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له امرأة نصرانیة، له أن یتزوج علیها یهودیة؟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الکتاب ممالیک للإمام، وذلک موسع منا علیکم خاصة، فلا بأس أن یتزوج،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یتزوج أمة؟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یصلح أن یتزوج ثلاث إماء</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والسند والدلالة تامتان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عن أبیه، عن ابن محبوب، عن ابن رئاب، عن ابن بکیر،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نصرانیة کانت تحت نصرانی فطلقها، هل علیها عدة مثل عدة المسلمة؟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أهل الکتاب ممالیک للإمام، ألا تری أنهم یؤدون الجزیة کما یؤدی العبد الضریبة إلی مولاه؟</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أسلم منهم فهو حرّ تطرح عنه الجزیة،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عدتها إن أراد المسلم أن یتزوجها؟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عدتها عدة الأمة، حیضتان أو خمسة وأربعون یوماً قبل أن تسلم</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صحیحة علی ما فی الوسائل، وموثقة علی ما فی الکافی، فهی معتبرة علی کل حال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محمد بن یحیی، عن أحمد بن محمد وعلی بن إبراهیم عن أبیه جمیعاً، عن ابن محبوب، عن أبی ولاد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فیما بین أهل الذمة معاقلة فیما یجنون من قتل أو جراحة، إنما یؤخذ ذلک من أموالهم، فإن لم یکن لهم مال رجعت الجنایة علی إمام المسلمین؛ لأنهم یؤدون إلیه الجزیة کما یؤدی العبد الضریبة إلی سیده،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ممالیک للإمام، فمن أسلم منهم فهو حر</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172" w:name="pg6289_41856"/>
    </w:p>
    <w:p>
      <w:pPr>
        <w:pStyle w:val="BookText"/>
        <w:rPr/>
      </w:pPr>
      <w:bookmarkEnd w:id="172"/>
      <w:r>
        <w:rPr>
          <w:rFonts w:ascii="IRNazanin" w:hAnsi="IRNazanin" w:eastAsia="IRNazanin"/>
          <w:color w:val="111111"/>
          <w:sz w:val="28"/>
          <w:sz w:val="28"/>
          <w:szCs w:val="28"/>
          <w:rtl w:val="true"/>
          <w:lang w:bidi="fa-IR"/>
        </w:rPr>
        <w:t>وهی صحیحة</w:t>
      </w:r>
      <w:r>
        <w:rPr>
          <w:rFonts w:eastAsia="IRNazanin" w:cs="IRNazanin"/>
          <w:color w:val="111111"/>
          <w:sz w:val="28"/>
          <w:szCs w:val="28"/>
          <w:rtl w:val="true"/>
          <w:lang w:bidi="fa-IR"/>
        </w:rPr>
        <w:t>.</w:t>
      </w:r>
    </w:p>
    <w:p>
      <w:pPr>
        <w:pStyle w:val="Heading6"/>
        <w:numPr>
          <w:ilvl w:val="5"/>
          <w:numId w:val="1"/>
        </w:numPr>
        <w:rPr/>
      </w:pPr>
      <w:bookmarkStart w:id="173" w:name="__RefHeading___Toc2133334_237004111"/>
      <w:bookmarkStart w:id="174" w:name="_Toc67"/>
      <w:bookmarkEnd w:id="173"/>
      <w:r>
        <w:rPr>
          <w:rtl w:val="true"/>
        </w:rPr>
        <w:t>المقام الثانی</w:t>
      </w:r>
      <w:r>
        <w:rPr>
          <w:rtl w:val="true"/>
        </w:rPr>
        <w:t xml:space="preserve">: </w:t>
      </w:r>
      <w:r>
        <w:rPr>
          <w:rtl w:val="true"/>
        </w:rPr>
        <w:t>فی جواز النظر إلی أمة الغیر</w:t>
      </w:r>
      <w:bookmarkEnd w:id="174"/>
    </w:p>
    <w:p>
      <w:pPr>
        <w:pStyle w:val="Heading6"/>
        <w:numPr>
          <w:ilvl w:val="5"/>
          <w:numId w:val="1"/>
        </w:numPr>
        <w:rPr/>
      </w:pPr>
      <w:bookmarkStart w:id="175" w:name="__RefHeading___Toc2133336_237004111"/>
      <w:bookmarkStart w:id="176" w:name="_Toc68"/>
      <w:bookmarkEnd w:id="175"/>
      <w:r>
        <w:rPr>
          <w:rtl w:val="true"/>
        </w:rPr>
        <w:t>اشارة</w:t>
      </w:r>
      <w:bookmarkEnd w:id="176"/>
    </w:p>
    <w:p>
      <w:pPr>
        <w:pStyle w:val="BookText"/>
        <w:rPr/>
      </w:pPr>
      <w:r>
        <w:rPr>
          <w:rFonts w:ascii="IRNazanin" w:hAnsi="IRNazanin" w:eastAsia="IRNazanin"/>
          <w:color w:val="111111"/>
          <w:sz w:val="28"/>
          <w:sz w:val="28"/>
          <w:szCs w:val="28"/>
          <w:rtl w:val="true"/>
          <w:lang w:bidi="fa-IR"/>
        </w:rPr>
        <w:t>وتدل علیه أدلة</w:t>
      </w:r>
      <w:r>
        <w:rPr>
          <w:rFonts w:eastAsia="IRNazanin" w:cs="IRNazanin"/>
          <w:color w:val="111111"/>
          <w:sz w:val="28"/>
          <w:szCs w:val="28"/>
          <w:rtl w:val="true"/>
          <w:lang w:bidi="fa-IR"/>
        </w:rPr>
        <w:t>:</w:t>
      </w:r>
    </w:p>
    <w:p>
      <w:pPr>
        <w:pStyle w:val="Heading6"/>
        <w:numPr>
          <w:ilvl w:val="5"/>
          <w:numId w:val="1"/>
        </w:numPr>
        <w:rPr/>
      </w:pPr>
      <w:bookmarkStart w:id="177" w:name="__RefHeading___Toc2133338_237004111"/>
      <w:bookmarkStart w:id="178" w:name="_Toc69"/>
      <w:bookmarkEnd w:id="177"/>
      <w:r>
        <w:rPr>
          <w:rtl w:val="true"/>
        </w:rPr>
        <w:t>الدلیل الأول</w:t>
      </w:r>
      <w:r>
        <w:rPr>
          <w:rtl w:val="true"/>
        </w:rPr>
        <w:t xml:space="preserve">: </w:t>
      </w:r>
      <w:r>
        <w:rPr>
          <w:rtl w:val="true"/>
        </w:rPr>
        <w:t>روایة الخثعمی</w:t>
      </w:r>
      <w:bookmarkEnd w:id="178"/>
    </w:p>
    <w:p>
      <w:pPr>
        <w:pStyle w:val="BookText"/>
        <w:rPr/>
      </w:pPr>
      <w:r>
        <w:rPr>
          <w:rFonts w:ascii="IRNazanin" w:hAnsi="IRNazanin" w:eastAsia="IRNazanin"/>
          <w:color w:val="111111"/>
          <w:sz w:val="28"/>
          <w:sz w:val="28"/>
          <w:szCs w:val="28"/>
          <w:rtl w:val="true"/>
          <w:lang w:bidi="fa-IR"/>
        </w:rPr>
        <w:t>وبإسناده عن الحسن بن محمد بن سماعة، عن محمد بن زیاد، عن حبیب بن المعلی الخثعمی،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اعترضت جواری المدینة فأمذیت؟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لمن یرید الشراء فلیس به بأس، وأمّا لمن لا یرید أن یشتری فإنی أکرهه</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استدل بها السید الوالد فی الفقه،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ظاهر الروایة کراهة ذلک لا حرمته</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الإشکال فی السند ففیه بعض المجاهیل، إنّ لفظ الکراهة لم یثبت کونه حقیقة شرعیة فی معنی الجواز مع المرجوحیة، بل الکراهة لغة ضد الحب</w:t>
      </w:r>
      <w:r>
        <w:rPr>
          <w:rFonts w:eastAsia="IRNazanin" w:cs="IRNazanin"/>
          <w:color w:val="111111"/>
          <w:sz w:val="28"/>
          <w:szCs w:val="28"/>
          <w:rtl w:val="true"/>
          <w:lang w:bidi="fa-IR"/>
        </w:rPr>
        <w:t>(</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واستعمالها فی ذلک المعنی اصطلاح متشرعی، وفی الآیة الکریمة بعد النهی عن الزنا والقتل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ذَلِکَ کَانَ سَیٍّئُهُ عِنْدَ رَبِّکَ مَکْرُوهاً</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الخصال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الله عز وجل کره لی ست خصال، </w:t>
      </w:r>
    </w:p>
    <w:p>
      <w:pPr>
        <w:pStyle w:val="BookText"/>
        <w:rPr/>
      </w:pPr>
      <w:r>
        <w:rPr>
          <w:rFonts w:ascii="IRNazanin" w:hAnsi="IRNazanin" w:eastAsia="IRNazanin"/>
          <w:color w:val="111111"/>
          <w:sz w:val="28"/>
          <w:sz w:val="28"/>
          <w:szCs w:val="28"/>
          <w:rtl w:val="true"/>
          <w:lang w:bidi="fa-IR"/>
        </w:rPr>
        <w:t>وکرههن للأوصیاء من ولدی وأتباعهم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العبث فی الصلاة، والرفث فی الصوم، والمن بعد الصدقة، وإتیان المسجد جنباً، والتطلع فی الدور، والضحک بین القبور</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أقل من الإجمال الموجب لسقوط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الکراهة بمعنی المبغوضیة، وهی حقیقة مشککة لها درجات، فقد تکون بحد المنع من النقیض وقد لا تکون،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الجواز مع المرجوحیة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بالاستصحاب الفتوائی أن نثبت الحقیقة الشرعیة لمعنی الکراهة فیما تعارف فیه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تکون الکراهة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الشرع، کما یشهد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أکرهه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الکراهة بین أن یکون عند الرب، کما فی الآیة</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مظهر الرب،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یمثل الشرع،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معناه الکراهة الشرعیة، لا أقل من أن نقول للإمام شخصیتان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شخصیة حقیقیة وشخصیة حقوقیة، فهل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إنی أکرهه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 شارعاً، أو باعتباره شخصاً، لا أقل من الإجمال، ومع فرضه یسقط الاستدلال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من الحقیقة الشرعیة</w:t>
      </w:r>
      <w:r>
        <w:rPr>
          <w:rFonts w:eastAsia="IRNazanin" w:cs="IRNazanin"/>
          <w:color w:val="111111"/>
          <w:sz w:val="28"/>
          <w:szCs w:val="28"/>
          <w:rtl w:val="true"/>
          <w:lang w:bidi="fa-IR"/>
        </w:rPr>
        <w:t xml:space="preserve">. </w:t>
      </w:r>
      <w:bookmarkStart w:id="179" w:name="pg6289_41858"/>
    </w:p>
    <w:p>
      <w:pPr>
        <w:pStyle w:val="BookText"/>
        <w:rPr/>
      </w:pPr>
      <w:bookmarkEnd w:id="179"/>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الکراهة اللغویة لیست حقیقة فی هذا المعنی، ولم یثبت لنا نقل الشارع اللفظ من حقیقتها اللغویة إلی هذا المعنی الجدید</w:t>
      </w:r>
      <w:r>
        <w:rPr>
          <w:rFonts w:eastAsia="IRNazanin" w:cs="IRNazanin"/>
          <w:color w:val="111111"/>
          <w:sz w:val="28"/>
          <w:szCs w:val="28"/>
          <w:rtl w:val="true"/>
          <w:lang w:bidi="fa-IR"/>
        </w:rPr>
        <w:t>.</w:t>
      </w:r>
    </w:p>
    <w:p>
      <w:pPr>
        <w:pStyle w:val="Heading6"/>
        <w:numPr>
          <w:ilvl w:val="5"/>
          <w:numId w:val="1"/>
        </w:numPr>
        <w:rPr/>
      </w:pPr>
      <w:bookmarkStart w:id="180" w:name="__RefHeading___Toc2133340_237004111"/>
      <w:bookmarkStart w:id="181" w:name="_Toc70"/>
      <w:bookmarkEnd w:id="180"/>
      <w:r>
        <w:rPr>
          <w:rtl w:val="true"/>
        </w:rPr>
        <w:t>الدلیل الثانی</w:t>
      </w:r>
      <w:r>
        <w:rPr>
          <w:rtl w:val="true"/>
        </w:rPr>
        <w:t xml:space="preserve">: </w:t>
      </w:r>
      <w:r>
        <w:rPr>
          <w:rtl w:val="true"/>
        </w:rPr>
        <w:t>روایة الجعفری</w:t>
      </w:r>
      <w:bookmarkEnd w:id="181"/>
    </w:p>
    <w:p>
      <w:pPr>
        <w:pStyle w:val="BookText"/>
        <w:rPr/>
      </w:pPr>
      <w:r>
        <w:rPr>
          <w:rFonts w:ascii="IRNazanin" w:hAnsi="IRNazanin" w:eastAsia="IRNazanin"/>
          <w:color w:val="111111"/>
          <w:sz w:val="28"/>
          <w:sz w:val="28"/>
          <w:szCs w:val="28"/>
          <w:rtl w:val="true"/>
          <w:lang w:bidi="fa-IR"/>
        </w:rPr>
        <w:t xml:space="preserve">عن الحسن بن محمد بن سماعة، عن أبی جعفر، عن الحارث، عن عمران الجعفری،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أحبُّ للرجل أن یقلّب إلا جاریة یرید شراءها</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والتقلیب إما بمعنی النظر فیثبت المطلوب، أو اللمس فتدل علی المطلوب؛ لأنّ اللمس یلازم النظر، بل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بها السید الوالد فی الفقه</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مع قطع النظر عن الإشکال السندی؛ لوجود بعض المجاهیل کعمران الجعفری، وکذا الحرث بن عمران الجعفری</w:t>
      </w:r>
      <w:r>
        <w:rPr>
          <w:rFonts w:eastAsia="IRNazanin" w:cs="IRNazanin"/>
          <w:color w:val="111111"/>
          <w:sz w:val="28"/>
          <w:szCs w:val="28"/>
          <w:rtl w:val="true"/>
          <w:lang w:bidi="fa-IR"/>
        </w:rPr>
        <w:t>.</w:t>
      </w:r>
    </w:p>
    <w:p>
      <w:pPr>
        <w:pStyle w:val="Heading6"/>
        <w:numPr>
          <w:ilvl w:val="5"/>
          <w:numId w:val="1"/>
        </w:numPr>
        <w:rPr/>
      </w:pPr>
      <w:bookmarkStart w:id="182" w:name="__RefHeading___Toc2133342_237004111"/>
      <w:bookmarkStart w:id="183" w:name="_Toc71"/>
      <w:bookmarkEnd w:id="182"/>
      <w:r>
        <w:rPr>
          <w:rtl w:val="true"/>
        </w:rPr>
        <w:t>الدلیل الثالث</w:t>
      </w:r>
      <w:r>
        <w:rPr>
          <w:rtl w:val="true"/>
        </w:rPr>
        <w:t xml:space="preserve">: </w:t>
      </w:r>
      <w:r>
        <w:rPr>
          <w:rtl w:val="true"/>
        </w:rPr>
        <w:t>موثقة زرعة</w:t>
      </w:r>
      <w:bookmarkEnd w:id="183"/>
    </w:p>
    <w:p>
      <w:pPr>
        <w:pStyle w:val="BookText"/>
        <w:rPr/>
      </w:pPr>
      <w:r>
        <w:rPr>
          <w:rFonts w:ascii="IRNazanin" w:hAnsi="IRNazanin" w:eastAsia="IRNazanin"/>
          <w:color w:val="111111"/>
          <w:sz w:val="28"/>
          <w:sz w:val="28"/>
          <w:szCs w:val="28"/>
          <w:rtl w:val="true"/>
          <w:lang w:bidi="fa-IR"/>
        </w:rPr>
        <w:t>عدة من أصحابنا، عن أحمد بن محمد بن عیسی، عن علی بن الحکم، عن زرعة بن محمد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رجل بالمدینة له جاریة نفیسة، فوقعت فی قلب رجل وأعجب بها، فشکا ذلک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لرؤیتها وکلما رأیتها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من فضله</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إشکال فیها من ناحیة السند، لکن القدر المتیقن منها الوجه، وأما </w:t>
      </w:r>
      <w:bookmarkStart w:id="184" w:name="pg6289_41859"/>
    </w:p>
    <w:p>
      <w:pPr>
        <w:pStyle w:val="BookText"/>
        <w:rPr/>
      </w:pPr>
      <w:bookmarkEnd w:id="184"/>
      <w:r>
        <w:rPr>
          <w:rFonts w:ascii="IRNazanin" w:hAnsi="IRNazanin" w:eastAsia="IRNazanin"/>
          <w:color w:val="111111"/>
          <w:sz w:val="28"/>
          <w:sz w:val="28"/>
          <w:szCs w:val="28"/>
          <w:rtl w:val="true"/>
          <w:lang w:bidi="fa-IR"/>
        </w:rPr>
        <w:t>غیره فلا دلالة فیها علی جوازه، ولا إطلاق فی الروایة؛ لأنها حکایة فعل خارجی، فلعلها کانت تستر جمیع بدنها إلاّ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التمسک بإطلاق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 لرؤیتها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للروایة لفظ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بالتعرض للجواری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التمسک بالإطلاق، ولکن حیث إنه حکایة فعل خارجی لم یمکن ذلک، کما لو قال المرجع لمقلده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هذه المرأة، فما مدی جواز النظر إلیها ولم یثبت کیفیة حجابها؟</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الدلیل یثبت المدّعی فی الجملة</w:t>
      </w:r>
      <w:r>
        <w:rPr>
          <w:rFonts w:eastAsia="IRNazanin" w:cs="IRNazanin"/>
          <w:color w:val="111111"/>
          <w:sz w:val="28"/>
          <w:szCs w:val="28"/>
          <w:rtl w:val="true"/>
          <w:lang w:bidi="fa-IR"/>
        </w:rPr>
        <w:t>.</w:t>
      </w:r>
    </w:p>
    <w:p>
      <w:pPr>
        <w:pStyle w:val="Heading6"/>
        <w:numPr>
          <w:ilvl w:val="5"/>
          <w:numId w:val="1"/>
        </w:numPr>
        <w:rPr/>
      </w:pPr>
      <w:bookmarkStart w:id="185" w:name="__RefHeading___Toc2133344_237004111"/>
      <w:bookmarkStart w:id="186" w:name="_Toc72"/>
      <w:bookmarkEnd w:id="185"/>
      <w:r>
        <w:rPr>
          <w:rtl w:val="true"/>
        </w:rPr>
        <w:t>الدلیل الرابع</w:t>
      </w:r>
      <w:r>
        <w:rPr>
          <w:rtl w:val="true"/>
        </w:rPr>
        <w:t xml:space="preserve">: </w:t>
      </w:r>
      <w:r>
        <w:rPr>
          <w:rtl w:val="true"/>
        </w:rPr>
        <w:t>عدم وجوب ستر الأمة فی الصلاة</w:t>
      </w:r>
      <w:bookmarkEnd w:id="186"/>
    </w:p>
    <w:p>
      <w:pPr>
        <w:pStyle w:val="BookText"/>
        <w:rPr/>
      </w:pPr>
      <w:r>
        <w:rPr>
          <w:rFonts w:ascii="IRNazanin" w:hAnsi="IRNazanin" w:eastAsia="IRNazanin"/>
          <w:color w:val="111111"/>
          <w:sz w:val="28"/>
          <w:sz w:val="28"/>
          <w:szCs w:val="28"/>
          <w:rtl w:val="true"/>
          <w:lang w:bidi="fa-IR"/>
        </w:rPr>
        <w:t>ما ذکره صاحب الجواهر،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قد یشعر به فی الجملة أیضاً عدم وجوب ستر رأسها فی الصلاة، فالأقوی جواز النظر لأمة الغیر</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الستر الصلاتی غیر الستر الواجب فی نفسه؛ ولذا اختلفت أحکامهما، ففی الأول یشترط ساتر خاص ویجب مطلقاً، سواء کان هنالک ناظر محترم أم لا، إلی غیر ذلک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یکون الحکم فی أحدهما دلیلاً علی الآخر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الصلاتی غیر الستر الذاتی، ففی الستر الصلاتی یشترط ساتر معین، کأن لا یکون نجساً ولا حریراً ولا مغصوباً دون الستر عن الأجنبی، فهما ستران، فلا یکون أحدهما دلیلاً علی الآخر، فالستر من حیث الصلاة غیر لازم، وفی غیر ذلک لم یتعرض له المولی</w:t>
      </w:r>
      <w:r>
        <w:rPr>
          <w:rFonts w:eastAsia="IRNazanin" w:cs="IRNazanin"/>
          <w:color w:val="111111"/>
          <w:sz w:val="28"/>
          <w:szCs w:val="28"/>
          <w:rtl w:val="true"/>
          <w:lang w:bidi="fa-IR"/>
        </w:rPr>
        <w:t xml:space="preserve">. </w:t>
      </w:r>
      <w:bookmarkStart w:id="187" w:name="pg6289_41860"/>
    </w:p>
    <w:p>
      <w:pPr>
        <w:pStyle w:val="BookText"/>
        <w:rPr/>
      </w:pPr>
      <w:bookmarkEnd w:id="187"/>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ثبت فی الأشق یثبت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قیاس، فالمولی یجیز للأمة کشف الشعر فی حال الصلاة، فهل یجوز لها کشف الشعر فی الشوارع؟ والتشدید والأشقیة ثابت فی بعض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لها التکشف فی الصلاة مع وجود الناظر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حیثی، فمن حیث الصلاتیة لا یجب أن تستر الشعر، فللصلاة حکم وللناظر حکم، وهما حیثیتان مختلفتان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حیثیة الصلاة لا یلزم ستر الشعر، وأمّا من حیثیة النظر فهو ساکت، ولا یمکننا تحمیل الحکم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عدم وجوب الستر لا یلازم جواز النظر، کما هو الحال بالنسبة إلی الوجه عند البعض</w:t>
      </w:r>
      <w:r>
        <w:rPr>
          <w:rFonts w:eastAsia="IRNazanin" w:cs="IRNazanin"/>
          <w:color w:val="111111"/>
          <w:sz w:val="28"/>
          <w:szCs w:val="28"/>
          <w:rtl w:val="true"/>
          <w:lang w:bidi="fa-IR"/>
        </w:rPr>
        <w:t>.</w:t>
      </w:r>
    </w:p>
    <w:p>
      <w:pPr>
        <w:pStyle w:val="Heading6"/>
        <w:numPr>
          <w:ilvl w:val="5"/>
          <w:numId w:val="1"/>
        </w:numPr>
        <w:rPr/>
      </w:pPr>
      <w:bookmarkStart w:id="188" w:name="__RefHeading___Toc2133346_237004111"/>
      <w:bookmarkStart w:id="189" w:name="_Toc73"/>
      <w:bookmarkEnd w:id="188"/>
      <w:r>
        <w:rPr>
          <w:rtl w:val="true"/>
        </w:rPr>
        <w:t>الدلیل الخامس</w:t>
      </w:r>
      <w:r>
        <w:rPr>
          <w:rtl w:val="true"/>
        </w:rPr>
        <w:t xml:space="preserve">: </w:t>
      </w:r>
      <w:r>
        <w:rPr>
          <w:rtl w:val="true"/>
        </w:rPr>
        <w:t>النصوص الواردة فی مملوکة الوالد</w:t>
      </w:r>
      <w:bookmarkEnd w:id="189"/>
    </w:p>
    <w:p>
      <w:pPr>
        <w:pStyle w:val="BookText"/>
        <w:rPr/>
      </w:pPr>
      <w:r>
        <w:rPr>
          <w:rFonts w:ascii="IRNazanin" w:hAnsi="IRNazanin" w:eastAsia="IRNazanin"/>
          <w:color w:val="111111"/>
          <w:sz w:val="28"/>
          <w:sz w:val="28"/>
          <w:szCs w:val="28"/>
          <w:rtl w:val="true"/>
          <w:lang w:bidi="fa-IR"/>
        </w:rPr>
        <w:t>ما ذکره صاحب الجواهر،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ظاهر النصوص الواردة فی مملوکة الوالد المفروغیة من کون الإماء یحل منهن لغیر المالک فی الجملة</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تظهر لنا دلالة هذه الروایات علی المدّعی؛ إذ إنها ناظرة إلی بیان الحکم الواقعی، وهو صحة النکاح وفساده، لا إلی بیان الحکم التکلیفی، وهو جواز النظر وعدمه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وهذه الروایات مذکورة فی الوسائل</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فی بادئ النظر لا تدل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أحمد بن محمد، عن محمد بن إسماعیل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تکون له الجاریة فیقبلها، هل تحلّ لولده؟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بشهوة؟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 شیئاً إذا قبلها بشهوة، ثم قال ابتداءً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جردها ونظر إلیها بشهوة حرمت علی أبیه وابنه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 إلی جسدها، قال إذا نظر إلی فرجها و جسدها بشهوة حرمت علیه</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تدل علی أنّ المملوکة إذا جردها الابن ونظر إلیها بشهوة حرمت علی الأب والابن، فالکلام فی حرمة النکاح وبطلانه وعدمهما، ولا تتعرض إلی حکم نظر الابن إلی أمة أبیه ونظر الأب إلی أمة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ابن أبی عمیر، عن جمیل بن دراج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الرجل ینظر إلی الجاریة یرید شراءها أتحل لابنه؟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یکون نظر إلی عورتها</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تدل علی أن النظر کان حراماً أو حلالاً، کمن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بذات البعل حرمت علیه، فلیس فی مقام بیان حلیة العمل وحرمته، بل فی مقام بیان الحکم إن اتفق وقوع العمل</w:t>
      </w:r>
      <w:r>
        <w:rPr>
          <w:rFonts w:eastAsia="IRNazanin" w:cs="IRNazanin"/>
          <w:color w:val="111111"/>
          <w:sz w:val="28"/>
          <w:szCs w:val="28"/>
          <w:rtl w:val="true"/>
          <w:lang w:bidi="fa-IR"/>
        </w:rPr>
        <w:t xml:space="preserve">. </w:t>
      </w:r>
      <w:bookmarkStart w:id="190" w:name="pg6289_41862"/>
    </w:p>
    <w:p>
      <w:pPr>
        <w:pStyle w:val="BookText"/>
        <w:rPr/>
      </w:pPr>
      <w:bookmarkEnd w:id="190"/>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جرد الرجل الجاریة ووضع یده علیها فلا تحل لابنه</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الروایات غیر ناظرة إلی جواز النظر وعدمه، بل إلی بیان الحکم عند تحقق النظر</w:t>
      </w:r>
      <w:r>
        <w:rPr>
          <w:rFonts w:eastAsia="IRNazanin" w:cs="IRNazanin"/>
          <w:color w:val="111111"/>
          <w:sz w:val="28"/>
          <w:szCs w:val="28"/>
          <w:rtl w:val="true"/>
          <w:lang w:bidi="fa-IR"/>
        </w:rPr>
        <w:t>.</w:t>
      </w:r>
    </w:p>
    <w:p>
      <w:pPr>
        <w:pStyle w:val="Heading6"/>
        <w:numPr>
          <w:ilvl w:val="5"/>
          <w:numId w:val="1"/>
        </w:numPr>
        <w:rPr/>
      </w:pPr>
      <w:bookmarkStart w:id="191" w:name="__RefHeading___Toc2133348_237004111"/>
      <w:bookmarkStart w:id="192" w:name="_Toc74"/>
      <w:bookmarkEnd w:id="191"/>
      <w:r>
        <w:rPr>
          <w:rtl w:val="true"/>
        </w:rPr>
        <w:t>الدلیل السادس</w:t>
      </w:r>
      <w:r>
        <w:rPr>
          <w:rtl w:val="true"/>
        </w:rPr>
        <w:t xml:space="preserve">: </w:t>
      </w:r>
      <w:r>
        <w:rPr>
          <w:rtl w:val="true"/>
        </w:rPr>
        <w:t>ما دلّ علی عدم وجوب تغطیة الأمة رأسها</w:t>
      </w:r>
      <w:bookmarkEnd w:id="192"/>
    </w:p>
    <w:p>
      <w:pPr>
        <w:pStyle w:val="BookText"/>
        <w:rPr/>
      </w:pPr>
      <w:r>
        <w:rPr>
          <w:rFonts w:ascii="IRNazanin" w:hAnsi="IRNazanin" w:eastAsia="IRNazanin"/>
          <w:color w:val="111111"/>
          <w:sz w:val="28"/>
          <w:sz w:val="28"/>
          <w:szCs w:val="28"/>
          <w:rtl w:val="true"/>
          <w:lang w:bidi="fa-IR"/>
        </w:rPr>
        <w:t>لکنّه بحاجة إلی مکمّل، وهو ثبوت الملازمة بین جواز الکشف وجواز النظر، کما فی مسألة جواز کشف الحرّة الوجه والیدین، حیث ذهب البعض إلی تحقق الملازمة کالسید الوالد</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أنکرها آخرون کالسید الخوئی</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تمت الملازمة، فما یدل علی عدم وجوب تغطیة الأمة رأسها یدل علی جواز النظر إلیها عرفاً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الدلیل علی عدم وجوب تغطیة الأمة رأسها فهو ما رواه فی الوسائل بسند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وعبد الله ابنی محمد بن عیسی</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الحسن بن محبوب</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العلاء</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مسلم، عن </w:t>
      </w:r>
    </w:p>
    <w:p>
      <w:pPr>
        <w:pStyle w:val="BookText"/>
        <w:rPr/>
      </w:pP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تغطی رأسها؟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علی أم الولد أن تغطی رأسها إذا لم یکن لها ولد</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فالأمة لا یجب علیها التغطیة، بالإضافة إلی الملازمة بین جواز الکشف وجواز النظر، فیجوز النظر إلی أمة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صاحب الوسائل ذکرها فی باب عدم وجوب تغطیة الأمة رأسها فی الصلاة، لکن الروایة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مقیّداً بکون النظر إلی وجهها وکفیها وشعرها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الإبهام، فهل فیه بُعد الإیجاب أو النفی؟</w:t>
      </w:r>
    </w:p>
    <w:p>
      <w:pPr>
        <w:pStyle w:val="BookText"/>
        <w:rPr/>
      </w:pPr>
      <w:r>
        <w:rPr>
          <w:rFonts w:ascii="IRNazanin" w:hAnsi="IRNazanin" w:eastAsia="IRNazanin"/>
          <w:color w:val="111111"/>
          <w:sz w:val="28"/>
          <w:sz w:val="28"/>
          <w:szCs w:val="28"/>
          <w:rtl w:val="true"/>
          <w:lang w:bidi="fa-IR"/>
        </w:rPr>
        <w:t>وفی الحکم المذکور</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الغرابة فی أذهان المتشرعة، ولم أجد من طرح هذه المسألة من الفقهاء حسب التتبع الممکن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یوجد من أفتی طبقها کان محکوماً بالإعراض، والمسألة بحاجة إلی تأمل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تمّ هذا الدلیل وسلمنا بجواز کشف الأمة والملازمة فهل یجدی فی محل البحث؟ الظاهر أنه محل إشکال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معارض بالتعلیل فی موثقة عباد، الظاهر فی </w:t>
      </w:r>
    </w:p>
    <w:p>
      <w:pPr>
        <w:pStyle w:val="BookText"/>
        <w:rPr/>
      </w:pPr>
      <w:r>
        <w:rPr>
          <w:rFonts w:ascii="IRNazanin" w:hAnsi="IRNazanin" w:eastAsia="IRNazanin"/>
          <w:color w:val="111111"/>
          <w:sz w:val="28"/>
          <w:sz w:val="28"/>
          <w:szCs w:val="28"/>
          <w:rtl w:val="true"/>
          <w:lang w:bidi="fa-IR"/>
        </w:rPr>
        <w:t xml:space="preserve">حرمة ذلک علیهن، وإذا لم تتم الدلالة المطابقیة فیهن فلا تتم الدلالة الالتزامیة؛ لأنها متفرعة علیها، فیکون ذلک تخصیصاً فی الدلیل الدال علی کونهن ممالیک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فظاهر موثقة عباد</w:t>
      </w:r>
      <w:r>
        <w:rPr>
          <w:rFonts w:eastAsia="Amiri" w:cs="Amiri" w:ascii="Amiri" w:hAnsi="Amiri"/>
          <w:color w:val="111111"/>
          <w:sz w:val="28"/>
          <w:szCs w:val="28"/>
          <w:rtl w:val="true"/>
          <w:lang w:bidi="ar-SA"/>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الکشف علیهن، فإنهنّ لا ینتهین إذا نهین،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نهیت ابنی فلم ینته،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یطیع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فالذمیة التی اعتبرت أمة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مستثناة من ذلک الحکم، فکل أمة یحق لها أن تکشف رأسها، ویجوز النظر إلیها إلا أمة الإمام التی هی الذمیة، فإذا حرم علیها الکشف فلا یجوز النظر إلیها، حیث ثبت جواز النظر بتفرع الدلالة الالتزامیة علی الدلالة المطابقیة، والمفروض أنّ الدلالة المطابقیة غیر موجودة فی نساء أهل الذمة؛ لأنه یحرم علیهن کشف رؤوسهن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معارض بالأولویة، فإنّ حرمة الأمة المسلمة أکثر من حرمة الذمیة، فکیف یجوز للمسلمة الکشف ولا یجوز للذمیة؟</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نوع من التشدید علیها، فللشارع أن یشدد علی الکفار ویسهّل علی المسلمین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هذا الدلیل أنّ کل أمة یحل لها أن تکشف شعرها ورأسها، أما إماء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یحل لهن ذلک لموثقة عباد، فنعود إلی الصغری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الذمة ممالیک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فلهنّ کلّ أحکام الممالیک إلا جواز التکشف</w:t>
      </w:r>
      <w:r>
        <w:rPr>
          <w:rFonts w:eastAsia="IRNazanin" w:cs="IRNazanin"/>
          <w:color w:val="111111"/>
          <w:sz w:val="28"/>
          <w:szCs w:val="28"/>
          <w:rtl w:val="true"/>
          <w:lang w:bidi="fa-IR"/>
        </w:rPr>
        <w:t xml:space="preserve">. </w:t>
      </w:r>
      <w:bookmarkStart w:id="193" w:name="pg6289_41865"/>
    </w:p>
    <w:p>
      <w:pPr>
        <w:pStyle w:val="Heading6"/>
        <w:numPr>
          <w:ilvl w:val="5"/>
          <w:numId w:val="1"/>
        </w:numPr>
        <w:rPr/>
      </w:pPr>
      <w:bookmarkStart w:id="194" w:name="__RefHeading___Toc2133350_237004111"/>
      <w:bookmarkStart w:id="195" w:name="_Toc75"/>
      <w:bookmarkEnd w:id="193"/>
      <w:bookmarkEnd w:id="194"/>
      <w:r>
        <w:rPr>
          <w:rtl w:val="true"/>
        </w:rPr>
        <w:t>الدلیل السابع</w:t>
      </w:r>
      <w:r>
        <w:rPr>
          <w:rtl w:val="true"/>
        </w:rPr>
        <w:t xml:space="preserve">: </w:t>
      </w:r>
      <w:r>
        <w:rPr>
          <w:rtl w:val="true"/>
        </w:rPr>
        <w:t>السیرة جاریة علی النظر إلی الإماء</w:t>
      </w:r>
      <w:bookmarkEnd w:id="195"/>
    </w:p>
    <w:p>
      <w:pPr>
        <w:pStyle w:val="BookText"/>
        <w:rPr/>
      </w:pPr>
      <w:r>
        <w:rPr>
          <w:rFonts w:ascii="IRNazanin" w:hAnsi="IRNazanin" w:eastAsia="IRNazanin"/>
          <w:color w:val="111111"/>
          <w:sz w:val="28"/>
          <w:sz w:val="28"/>
          <w:szCs w:val="28"/>
          <w:rtl w:val="true"/>
          <w:lang w:bidi="fa-IR"/>
        </w:rPr>
        <w:t>قال فی 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ویدل علی جواز النظر إلی أمة الغیر السیرة کما قالوا</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فقه الصادق ادّعی السیرة أیضاً علی جواز النظر إلی الأمة</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مقتضی السیرة المستمرة فی جمیع الأعصار والأمصار</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ولکن السیرة دلیل لبی، فیقتصر فیه علی القدر المتیقن، وهو الوجه والکفّان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هذه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المطلوب ثابت فی الجملة</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الإشکالات علی الدلیل السابع</w:t>
      </w:r>
    </w:p>
    <w:p>
      <w:pPr>
        <w:pStyle w:val="BookText"/>
        <w:rPr/>
      </w:pPr>
      <w:r>
        <w:rPr>
          <w:rFonts w:ascii="IRNazanin" w:hAnsi="IRNazanin" w:eastAsia="IRNazanin"/>
          <w:color w:val="111111"/>
          <w:sz w:val="28"/>
          <w:sz w:val="28"/>
          <w:szCs w:val="28"/>
          <w:rtl w:val="true"/>
          <w:lang w:bidi="fa-IR"/>
        </w:rPr>
        <w:t>ولکن فی أصل هذا الدلیل 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المستمسک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الاستدلال بها</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علی ثبوت کلیة جواز النظر إلی أمة الغیر، وهو غیر ظاهر</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ومراده غیر ظاهر، ولکن یحتمل أن یکون مراده أنّ الروایات الدالة علی جواز النظر إلی أمة الغیر منصرفة عن إماء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وعهدة دعوی </w:t>
      </w:r>
    </w:p>
    <w:p>
      <w:pPr>
        <w:pStyle w:val="BookText"/>
        <w:rPr/>
      </w:pPr>
      <w:r>
        <w:rPr>
          <w:rFonts w:ascii="IRNazanin" w:hAnsi="IRNazanin" w:eastAsia="IRNazanin"/>
          <w:color w:val="111111"/>
          <w:sz w:val="28"/>
          <w:sz w:val="28"/>
          <w:szCs w:val="28"/>
          <w:rtl w:val="true"/>
          <w:lang w:bidi="fa-IR"/>
        </w:rPr>
        <w:t>الانصراف علی مدعیها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المهذب من أنّه لا بدّ من حمله علی صورة بسط الید والأخذ والاستیلاء</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تقیید بلا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الروایات وردت عن الإمامین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وهما لم یکونا مبسوطی الید، فکان لا بدّ من تقییدها بعهد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الخوئی،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بدّ من حمل الصحیحة</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نوع من العنایة والتسامح؛ إذ الالتزام بمضمونها ینافی جملة من الأحکام الثابتة لهم، کالدیة إذا قتل أحدهم، فإنها تدفع إلی أقربائه، فی حین أنّه لو کان مملوکاً لما کان وجه لثبوت الدیة، بل المتعیّن هو دفع القیمة لا إلی أقربائه وإنما إلی مالکه کما هو واضح، والإرث فإنّهم یرثون بعضهم بعضاً إذا لم یکن فی الورثة مسلم یحجب الباقین، والحال أنّ المملوک لا یرث ولا یورث</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مانع من التزام التخصیص فی هذه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ذلک تخصیص الأکثر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یستلزم، وقد ذکرنا فیما مضی بعض الأمثلة، کقضیة العاقلة والنظر والعدة علی کلام سوف یأتی وغیر ذلک، فذکر استثناءین لقیام </w:t>
      </w:r>
    </w:p>
    <w:p>
      <w:pPr>
        <w:pStyle w:val="BookText"/>
        <w:rPr/>
      </w:pPr>
      <w:r>
        <w:rPr>
          <w:rFonts w:ascii="IRNazanin" w:hAnsi="IRNazanin" w:eastAsia="IRNazanin"/>
          <w:color w:val="111111"/>
          <w:sz w:val="28"/>
          <w:sz w:val="28"/>
          <w:szCs w:val="28"/>
          <w:rtl w:val="true"/>
          <w:lang w:bidi="fa-IR"/>
        </w:rPr>
        <w:t xml:space="preserve">الدلیل لا یدل علی کون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عنایة، بل هو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الروایات الصحیحة تدل علی أنهم ممالیک، فلهم کل أحکام العبید والإماء، فلو خرجت الدیة والمیراث فلا یضر ذلک بعموم العام، وانتفاء بعض الأحکام عنهم لا یدل علی نفی کونهم ممالیک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الفقهاء أعرضوا عن بعض ما تضمنته الروایات المستدل بها علی صغری هذا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فرق فیما مرّ من عدة الطلاق والوفاة بین الحرة المسلمة والذمیة علی المشهور،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یعلم قائله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الذمیة فی الطلاق کالأمة؛ لصحیحة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أعرضوا عنها وطرحوها</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ذلک لا یقدح فی الاستدلال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ثبوت بطلان الصغری لا یلازم بطلان الکبری، کما ذکر نظیره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إلی الإمام</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الإکراه علی الحلف علی الطلاق والعتاق وصدقة ما یملک</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196" w:name="pg6289_41868"/>
    </w:p>
    <w:p>
      <w:pPr>
        <w:pStyle w:val="BookText"/>
        <w:rPr/>
      </w:pPr>
      <w:bookmarkEnd w:id="196"/>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موثقة ابن بکیر صغری وکبری لا یلازم سقوط غیرها من الروایات، کصحیحة أبی بصیر وأبی ولاد</w:t>
      </w:r>
      <w:r>
        <w:rPr>
          <w:rFonts w:eastAsia="IRNazanin" w:cs="IRNazanin"/>
          <w:color w:val="111111"/>
          <w:sz w:val="28"/>
          <w:szCs w:val="28"/>
          <w:rtl w:val="true"/>
          <w:lang w:bidi="fa-IR"/>
        </w:rPr>
        <w:t>.</w:t>
      </w:r>
    </w:p>
    <w:p>
      <w:pPr>
        <w:pStyle w:val="Heading6"/>
        <w:numPr>
          <w:ilvl w:val="5"/>
          <w:numId w:val="1"/>
        </w:numPr>
        <w:rPr/>
      </w:pPr>
      <w:bookmarkStart w:id="197" w:name="__RefHeading___Toc2133352_237004111"/>
      <w:bookmarkStart w:id="198" w:name="_Toc76"/>
      <w:bookmarkEnd w:id="197"/>
      <w:r>
        <w:rPr>
          <w:rtl w:val="true"/>
        </w:rPr>
        <w:t>الدلیل الثامن</w:t>
      </w:r>
      <w:r>
        <w:rPr>
          <w:rtl w:val="true"/>
        </w:rPr>
        <w:t xml:space="preserve">: </w:t>
      </w:r>
      <w:r>
        <w:rPr>
          <w:rtl w:val="true"/>
        </w:rPr>
        <w:t>فحوی ما دلّ علی جواز النظر إلی عورة غیر المسلم</w:t>
      </w:r>
      <w:bookmarkEnd w:id="198"/>
    </w:p>
    <w:p>
      <w:pPr>
        <w:pStyle w:val="BookText"/>
        <w:rPr/>
      </w:pPr>
      <w:r>
        <w:rPr>
          <w:rFonts w:ascii="IRNazanin" w:hAnsi="IRNazanin" w:eastAsia="IRNazanin"/>
          <w:color w:val="111111"/>
          <w:sz w:val="28"/>
          <w:sz w:val="28"/>
          <w:szCs w:val="28"/>
          <w:rtl w:val="true"/>
          <w:lang w:bidi="fa-IR"/>
        </w:rPr>
        <w:t>فإذا جاز النظر إلیها جاز إلی غیرها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تقیید الحرمة بکون العورة عورة الأخ، والکافر لیس أخاً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ینظر الرجل إلی عورة أخیه</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الحمام فغض طرفه عن النظر إلی عورة أخیه آمنه الله من الحمیم یوم القیامة</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عورة المؤمن علی المؤمن حرام</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اللقب لا مفهوم له، والاقتصار علیه لعله باعتبار کونه محل الابتلاء أو غیر ذلک، فلا یدل علی الانتفاء عند الانتفاء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الروایات الرجل لا المرأة و البحث فیها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یشمل الأخت أیضاً، ولو بالأولویة، حیث لا یراد منه الذکر فحسب، بل مثله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دعاه أخوه المؤمن إلی 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فی الدائرة </w:t>
      </w:r>
    </w:p>
    <w:p>
      <w:pPr>
        <w:pStyle w:val="BookText"/>
        <w:rPr/>
      </w:pPr>
      <w:r>
        <w:rPr>
          <w:rFonts w:ascii="IRNazanin" w:hAnsi="IRNazanin" w:eastAsia="IRNazanin"/>
          <w:color w:val="111111"/>
          <w:sz w:val="28"/>
          <w:sz w:val="28"/>
          <w:szCs w:val="28"/>
          <w:rtl w:val="true"/>
          <w:lang w:bidi="fa-IR"/>
        </w:rPr>
        <w:t xml:space="preserve">الإیمانیة، ولا ظهور له فی التذکیر، وکما فی منزوحات البئر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فیه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لحکم الثعلبة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یری السید الخوئی أنّ لکل لقب مفهوماً فی الجملة</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تعرضنا لبحثه تفصیلاً فی موضع آخر، وذکرنا أنه لا مفهوم له لا مطلقاً ولا فی الجملة، إلا إذا کان له ظهور معین بقرائن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المقتضی لحرمة النظر فی نفسه، حیث لا إطلاق فیما دل علی حرمة النظر إلی عورة الغیر حتّی یشمل الکفار</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لِّلْمُؤْمِنِینَ یَغُضُّوا مِنْ أَبْصَارِهِمْ</w:t>
      </w:r>
      <w:r>
        <w:rPr>
          <w:rFonts w:eastAsia="Amiri" w:cs="Amiri" w:ascii="Amiri" w:hAnsi="Amiri"/>
          <w:color w:val="111111"/>
          <w:sz w:val="28"/>
          <w:szCs w:val="28"/>
          <w:rtl w:val="true"/>
          <w:lang w:bidi="ar-SA"/>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عام؛ ولأنّ الکفار مکلفون بالفروع، فیکونون مکلفین بالستر، والأمر بالستر یلازم عرفاً الأمر بالغض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صحیحة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ماء الحمام،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 بازار</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روایات متعددة تدل علی وجوب الستر، وما ثبت للمسلم فهو ثابت للکافر؛ لقاعدة الاشتراک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وَیَحْفَظُوا فُرُوجَهُمْ</w:t>
      </w:r>
      <w:r>
        <w:rPr>
          <w:rFonts w:eastAsia="Amiri" w:cs="Amiri" w:ascii="Amiri" w:hAnsi="Amiri"/>
          <w:color w:val="111111"/>
          <w:sz w:val="28"/>
          <w:szCs w:val="28"/>
          <w:rtl w:val="true"/>
          <w:lang w:bidi="ar-SA"/>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جمیع الاستمتاعات </w:t>
      </w:r>
    </w:p>
    <w:p>
      <w:pPr>
        <w:pStyle w:val="BookText"/>
        <w:rPr/>
      </w:pPr>
      <w:r>
        <w:rPr>
          <w:rFonts w:ascii="IRNazanin" w:hAnsi="IRNazanin" w:eastAsia="IRNazanin"/>
          <w:color w:val="111111"/>
          <w:sz w:val="28"/>
          <w:sz w:val="28"/>
          <w:szCs w:val="28"/>
          <w:rtl w:val="true"/>
          <w:lang w:bidi="fa-IR"/>
        </w:rPr>
        <w:t>الشهویة المتحققة بالنظر واللمس والزنا، فالمقتضی للحرمة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أکره النظر إلی عورة المسلم، فأما النظر إلی عورة من لیس بمسلم مثل النظر إلی عورة الحمار</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کَالأَنْعَامِ بَلْ هُمْ أَضَلُّ سَبِیلاً</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مراسیل الشیخ الصدوق لیست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فی المقدمة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قصدت إلی إیراد ما أفتی به وأحکم بصحته، وأعتقد فیه أنه حجة فیما بینی وبین ربی تقدس ذکره</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الصحة المصطلحة، بل الصحة بمعنی وجوب العمل ولو لبعض القرائن المحتفة</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واطمئنان فقیه لا یکون حجة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ابن أبی عمیر أو خبره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إبراهیم، عن أبیه، عن ابن أبی عمیر، عن غیر واحد،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النظر إلی عورة من لیس بمسلم مثل نظرک إلی عورة الحمار</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الاستدلال بهذه الروایة مبنی علی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مراسیل ابن أبی عمیر کمسانیده؛ لکونه من الثلاثة الذین لا یروون ولا یرسلون إلا عن ثقة</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تامل؛ لعدم حجیة مراسیله، وإن قلنا بالحجیة فی مسانیده، علی تفصیل مذکور فی مبحث مشایخ الثقات</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حجیة قول الثقة تشمل ما لم یعلم استناده إلی ما لا یستند إلیه؛ لمکان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أنّ ابن أبی عمیر لا یروی ولا یرسل إلا عن ثقة، وقد ثبت أنّ بعض مشایخه غیر ثقات، وهم خمسة،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من الخمسة غیر الثقات، ولا یمکن التمسک بالعام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وهنالک طریقة لدفع هذا الإشکال،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أنّ الثقة یستند إلی ما یستند إلیه وما لا یستند إلیه، فکلما ثبت أنه استند إلی ما لا یستند إلیه فلیس بحجة، ومع الشک فإطلاقات أدلة حجیة قول الثقة تشمله، فإنّ 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صدّقه ما لم یثبت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الأمر فی شهادة البینة مع احتمال استنادها إلی ما لا یستند إلیه، وإلا وجب إلغاء نصف الشهادات مع اختلاف المبانی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یعتبر فی البینة ذکر مستند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ذکرا </w:t>
      </w:r>
    </w:p>
    <w:p>
      <w:pPr>
        <w:pStyle w:val="BookText"/>
        <w:rPr/>
      </w:pPr>
      <w:r>
        <w:rPr>
          <w:rFonts w:ascii="IRNazanin" w:hAnsi="IRNazanin" w:eastAsia="IRNazanin"/>
          <w:color w:val="111111"/>
          <w:sz w:val="28"/>
          <w:sz w:val="28"/>
          <w:szCs w:val="28"/>
          <w:rtl w:val="true"/>
          <w:lang w:bidi="fa-IR"/>
        </w:rPr>
        <w:t>مستندها وعلم عدم صحته لم یحکم بالنجاسة</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الأمر فی شاهد الهلال، وقول الوکیل فی تطهیر الثوب، والمسألة مبنائیة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أنّ الروایة وصلت إلیه عن جماعة؛ لعدم صحة هذا التعبیر فیما إذا رواها واحد أو اثنان، وتلک الجماعة یُطمأن بوثاقة بعضهم علی الأقل؛ لأنّ من البعید أن یکونوا کلهم غیر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اللفظ علی الاثنین مع أنّ اجتماع ثلاثة من المشایخ علی الخطأ ونحوه أمر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احتمال ضعفهم جمیعاً ضعیف جداً بنحو لا یعتنی به العقلاء؛ إذ مشایخ ابن أبی عمیر حوالی أربعمائة رجلٍ، والضعاف منهم خمسة، والباقون ثقات، واحتمال کون مجموع الثلاثة من الخمسة الضعاف ولیس أحدهم من البقیة البالغة ثلاثمائة وخمسة وتسعین شیخاً ضعیف، وهو یساوی احتمالاً واحداً من بین خمسمائة واثنی عشر ألف احتمالٍ، وهذا المقدار لا یُعتنی به عند العقلاء، فتأمل</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یضاف إلی ذلک أنّ هذه الروایة کسابقتها مُعرضٌ عنها، کما یستکشف من إطلاق کلمات الفقهاء حرمة النظر إلی عورة الغیر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السید الوالد فی 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الروایات معرض عنها قدیماً وحدیثاً</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هجرهما مانع من جواز الاعتماد علیهما</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مهجور لدی الأصحاب، فلا یعتمد علیه</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أعثر علی مصرح بالتجویز فیه</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مشارق الشموس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یکن مخافة خلاف الإجماع لأمکن القول بکراهة النظر</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الإجماع علی الإطلاق</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کتاب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الشهرة وعدم نقل الخلاف فیه</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مصباح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إعراض الأصحاب عنهما أسقطهما عن الحجیة</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فقه الصادق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إعراض الأصحاب عنهما وإفتائهم بالمنع یوجب سقوط الخبرین عن الحجیة </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کتاب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العمل بهما من أحد والإعراض عنهما یعیّن المصیر إلی مقتضی الأدلة</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صاحب العروة ذهب إلی الحرمة،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فی الحرمة بین عورة المسلم والکافر علی الأقوی</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ووافقه علیه المحقق العراقی والمحقق النائینی والمحقق الحائری والسید أبو الحسن الإصفهانی والسید عبد الهادی الشیرازی والسید البروجردی والسید الحکیم والسید الخونساری والسید الوالد والسید الگلپایگانی والسید النجفی، وقال السید الخوئی و السید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نجد من ذهب إلی الجواز إلاّ الشیخ الکلینی والشیخ الصدوق، باعتبار ذکرهما الروایة فی کتابیهما الکاشف عن فتواهما علی طبقها، کما أشارا إلیه فی المقدمة</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صاحب الوسائل</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ولعله یظهر من الحدائق</w:t>
      </w:r>
      <w:r>
        <w:rPr>
          <w:rFonts w:eastAsia="IRNazanin" w:cs="IRNazanin"/>
          <w:color w:val="111111"/>
          <w:sz w:val="28"/>
          <w:szCs w:val="28"/>
          <w:rtl w:val="true"/>
          <w:lang w:bidi="fa-IR"/>
        </w:rPr>
        <w:t>(</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تعارض بین موافقة المتقدمین وإعراض المتأخرین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المتحقق إعراض الکل، ولم نجد من المتقدمین إلا الکلینی والصدوق</w:t>
      </w:r>
      <w:r>
        <w:rPr>
          <w:rFonts w:eastAsia="IRNazanin" w:cs="IRNazanin"/>
          <w:color w:val="111111"/>
          <w:sz w:val="28"/>
          <w:szCs w:val="28"/>
          <w:rtl w:val="true"/>
          <w:lang w:bidi="fa-IR"/>
        </w:rPr>
        <w:t xml:space="preserve">. </w:t>
      </w:r>
      <w:bookmarkStart w:id="199" w:name="pg6289_41875"/>
    </w:p>
    <w:p>
      <w:pPr>
        <w:pStyle w:val="BookText"/>
        <w:rPr/>
      </w:pPr>
      <w:bookmarkEnd w:id="199"/>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الفقهاء لم یتعرضوا لها للعنوان الثانوی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کلماتهم فی حرمة النظر إلی العورة مع عدم التقیید کافٍ، ومقتضی القاعدة أنّ الفقیه یفتی طبق القاعدة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أنّ العنوان الثانوی متحقق حتی فی النظر إلی نساء أهل الذمة، ومع ذلک أفتوا بجواز النظر إلی شعورهن ومفاتنهن</w:t>
      </w:r>
      <w:r>
        <w:rPr>
          <w:rFonts w:eastAsia="IRNazanin" w:cs="IRNazanin"/>
          <w:color w:val="111111"/>
          <w:sz w:val="28"/>
          <w:szCs w:val="28"/>
          <w:rtl w:val="true"/>
          <w:lang w:bidi="fa-IR"/>
        </w:rPr>
        <w:t>.</w:t>
      </w:r>
    </w:p>
    <w:p>
      <w:pPr>
        <w:pStyle w:val="Heading6"/>
        <w:numPr>
          <w:ilvl w:val="5"/>
          <w:numId w:val="1"/>
        </w:numPr>
        <w:rPr/>
      </w:pPr>
      <w:bookmarkStart w:id="200" w:name="__RefHeading___Toc2133354_237004111"/>
      <w:bookmarkStart w:id="201" w:name="_Toc77"/>
      <w:bookmarkEnd w:id="200"/>
      <w:r>
        <w:rPr>
          <w:rtl w:val="true"/>
        </w:rPr>
        <w:t>الدلیل التاسع</w:t>
      </w:r>
      <w:r>
        <w:rPr>
          <w:rtl w:val="true"/>
        </w:rPr>
        <w:t xml:space="preserve">: </w:t>
      </w:r>
      <w:r>
        <w:rPr>
          <w:rtl w:val="true"/>
        </w:rPr>
        <w:t>کون الکافرات فیء للمسلمین</w:t>
      </w:r>
      <w:bookmarkEnd w:id="201"/>
    </w:p>
    <w:p>
      <w:pPr>
        <w:pStyle w:val="BookText"/>
        <w:rPr/>
      </w:pPr>
      <w:r>
        <w:rPr>
          <w:rFonts w:ascii="IRNazanin" w:hAnsi="IRNazanin" w:eastAsia="IRNazanin"/>
          <w:color w:val="111111"/>
          <w:sz w:val="28"/>
          <w:sz w:val="28"/>
          <w:szCs w:val="28"/>
          <w:rtl w:val="true"/>
          <w:lang w:bidi="fa-IR"/>
        </w:rPr>
        <w:t>إنّ الکافرات فیء للمسلمین، وإن حرم علیهم بالعارض نکاحهن تبعاً لذمة الرجال، فتکون نساء أهل الذمة بمنزلة الأمة المزوجة بالعبد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کن بمنزلة الإماء؛ لأنّ أهل الذمة فیء فی الأصل للمسلمین، وإنما حرمهن التزام الرجال بشرائط الذمة فتبعهم النساء، فکان تحریمهن عارضیاً</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یقم عندنا دلیل علی کونهن ممالیک للمسلمین، فإنّ الملک لهم لا یحصل إلاّ بالاسترقاق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أشیر إلی هذا الجواب فی المستمسک وشرح العروة وفقه الصادق</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أنهم ملک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فیرث السادة ما کان ملکاً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الحی هو الأقرب، والأقرب یمنع الأبعد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ینتهی إلی الإمام 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والآخر إلی بعض السادة الموجودین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یتصلون به فقد ماتوا، والأقرب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 ذلک السید الرجائی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الأخبار أنّ المشرک ملک للمسلم، فبناءً علی تعمیمه لمطلق الکفار یشمل أهل الکتاب أیضاً</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کان یمیل إلیه السید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ویستدل علیه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الْیَهُودُ عُزَیْرٌ ابْنُ اللّهِ وَقَالَتْ النَّصَارَی الْمَسِیحُ ابْنُ اللّهِ ذَلِکَ قَوْلُهُم بِأَفْوَاهِهِمْ یُضَاهِؤُونَ قَوْلَ الَّذِینَ کَفَرُواْ مِن قَبْلُ قَاتَلَهُمُ اللّهُ أَنَّی یُؤْفَکُونَ</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المشرک یشمل أهل الکتاب شملتهم الروایة، وهی ما فی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عیسی، عن یاسین الضریر، عن حریز، عن زرارة، 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 الرجل وولده وبینه وبین عبده، ولا بین أهله ربا، إنما الربا فیما بینک وبین ما لا تملک،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والمشرکون بینی وبینهم 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ممالیک،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لست تملکهم، إنما تملکهم مع غیرک، أنت وغیرک فیهم سواء، والذی بینک وبینهم لیس من ذلک؛ لأنّ عبدک لیس مثل عبد غیرک</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علیه أمور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سنداً؛ لأن یاسین الضریر مجهول، بل کل یاسین مجهول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دلالة؛ إذ الظاهر من الروایة أنّ المراد بالملک ملک الأمر لا ملک الرقبة، فالإنسان لا یملک رقبة ابنه وأهله، فلا یعلم کون الروایة ناظرة إلی ملکیة الرقبة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أنهم ممالیک ملک الرقبة، فخروج الابن والأهل لا یستلزم رفع الید عن الظهور بالنسبة إلی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متفرع علی ما سبقه من الفرق بین من تملکه ومن لا تملکه، والمشرکون نملک أمرهم؛ لأنهم یعیشون تحت ذمتنا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مخصص بما دل علی أنّ أهل الکتاب ممالیک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تجتمع ملکیتان عرضیتان علی شیء واحد، فالکفار ممالیک للمسلمین خرج منه أهل الذمة، فهم ممالیک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منها أنّ کل الکفار ممالیک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یتعارضان فنبقی بلا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 بالملکیة الطولیة، ومورد النقض بشراء العبد، فتجتمع ملکیتان عرضیتان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 المستمسک من أنه یتوقف علی جواز النظر إلی الأمة المشترکة</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202" w:name="pg6289_41878"/>
    </w:p>
    <w:p>
      <w:pPr>
        <w:pStyle w:val="BookText"/>
        <w:rPr/>
      </w:pPr>
      <w:bookmarkEnd w:id="202"/>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یفهم بالفحوی من أدلة جواز النظر إلی أمة الغیر، فکیف بالأمة المشترکة وقد سبق ذکرها؟</w:t>
      </w:r>
    </w:p>
    <w:p>
      <w:pPr>
        <w:pStyle w:val="Heading6"/>
        <w:numPr>
          <w:ilvl w:val="5"/>
          <w:numId w:val="1"/>
        </w:numPr>
        <w:rPr/>
      </w:pPr>
      <w:bookmarkStart w:id="203" w:name="__RefHeading___Toc2133356_237004111"/>
      <w:bookmarkStart w:id="204" w:name="_Toc78"/>
      <w:bookmarkEnd w:id="203"/>
      <w:r>
        <w:rPr>
          <w:rtl w:val="true"/>
        </w:rPr>
        <w:t>الدلیل العاشر</w:t>
      </w:r>
      <w:r>
        <w:rPr>
          <w:rtl w:val="true"/>
        </w:rPr>
        <w:t xml:space="preserve">: </w:t>
      </w:r>
      <w:r>
        <w:rPr>
          <w:rtl w:val="true"/>
        </w:rPr>
        <w:t>قاعدة الإلزام</w:t>
      </w:r>
      <w:bookmarkEnd w:id="204"/>
    </w:p>
    <w:p>
      <w:pPr>
        <w:pStyle w:val="BookText"/>
        <w:rPr/>
      </w:pPr>
      <w:r>
        <w:rPr>
          <w:rFonts w:ascii="IRNazanin" w:hAnsi="IRNazanin" w:eastAsia="IRNazanin"/>
          <w:color w:val="111111"/>
          <w:sz w:val="28"/>
          <w:sz w:val="28"/>
          <w:szCs w:val="28"/>
          <w:rtl w:val="true"/>
          <w:lang w:bidi="fa-IR"/>
        </w:rPr>
        <w:t>ما استدل به السید الوالد من قاعدة الإلزام</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أرَ مَن تعرض لهذا الدلیل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ینقض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إذا جاز عندهم الزنا وتزویج الخامسة 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کل ذلک مقطوع الخروج عن القاعدة</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 التعامل یکون حسب عقیدتهم فی کل ما یجوز عندهم، وأننا ننظم موقفنا علی رأیهم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ذکر بعض الأمثلة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بلا إشهاد باطل عندهم، فلو تزوجها بلا إشهاد جاز للمؤمن أن یتزوج بزوجته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للمطلقة الیائسة أو الصغیرة عدّة عندهم، فیجوز للمطلقة المؤمنة أن تطالب زوجها المخالف بالنفقة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طلق المؤمن المخالفة الیائسة جاز له الرجوع إلیها فی أثناء العدة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یرث عندهم مع وجود الطبقة الأولی، فیحق للمؤمن أن یأخذ الإرث منهم</w:t>
      </w:r>
      <w:r>
        <w:rPr>
          <w:rFonts w:eastAsia="IRNazanin" w:cs="IRNazanin"/>
          <w:color w:val="111111"/>
          <w:sz w:val="28"/>
          <w:szCs w:val="28"/>
          <w:rtl w:val="true"/>
          <w:lang w:bidi="fa-IR"/>
        </w:rPr>
        <w:t xml:space="preserve">. </w:t>
      </w:r>
      <w:bookmarkStart w:id="205" w:name="pg6289_41879"/>
    </w:p>
    <w:p>
      <w:pPr>
        <w:pStyle w:val="BookText"/>
        <w:rPr/>
      </w:pPr>
      <w:bookmarkEnd w:id="205"/>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ترث من الأرض عندهم، فترث المؤمنة من الأرض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ذکر الفقهاء الکثیر من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وقاعدة الإلزام تشمل الکفار أیضاً، فلو جاز عندهم النظر إلیهم جاز لنا أن ننظر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خروج شیء بدلیل آخر، کاللمس والتقبیل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والمسألة بحاجة إلی تأمل أکثر</w:t>
      </w:r>
      <w:r>
        <w:rPr>
          <w:rFonts w:eastAsia="IRNazanin" w:cs="IRNazanin"/>
          <w:color w:val="111111"/>
          <w:sz w:val="28"/>
          <w:szCs w:val="28"/>
          <w:rtl w:val="true"/>
          <w:lang w:bidi="fa-IR"/>
        </w:rPr>
        <w:t>.</w:t>
      </w:r>
    </w:p>
    <w:p>
      <w:pPr>
        <w:pStyle w:val="Heading6"/>
        <w:numPr>
          <w:ilvl w:val="5"/>
          <w:numId w:val="1"/>
        </w:numPr>
        <w:rPr/>
      </w:pPr>
      <w:bookmarkStart w:id="206" w:name="__RefHeading___Toc2133358_237004111"/>
      <w:bookmarkStart w:id="207" w:name="_Toc79"/>
      <w:bookmarkEnd w:id="206"/>
      <w:r>
        <w:rPr>
          <w:rtl w:val="true"/>
        </w:rPr>
        <w:t>الدلیل الحادی عشر</w:t>
      </w:r>
      <w:r>
        <w:rPr>
          <w:rtl w:val="true"/>
        </w:rPr>
        <w:t xml:space="preserve">: </w:t>
      </w:r>
      <w:r>
        <w:rPr>
          <w:rtl w:val="true"/>
        </w:rPr>
        <w:t xml:space="preserve">تحلیل الأئمة </w:t>
      </w:r>
      <w:r>
        <w:rPr>
          <w:rtl w:val="true"/>
        </w:rPr>
        <w:t>(</w:t>
      </w:r>
      <w:r>
        <w:rPr>
          <w:rtl w:val="true"/>
        </w:rPr>
        <w:t>علیهم السلام</w:t>
      </w:r>
      <w:r>
        <w:rPr>
          <w:rtl w:val="true"/>
        </w:rPr>
        <w:t xml:space="preserve">) </w:t>
      </w:r>
      <w:r>
        <w:rPr>
          <w:rtl w:val="true"/>
        </w:rPr>
        <w:t>الکافرات للشیعة</w:t>
      </w:r>
      <w:bookmarkEnd w:id="207"/>
    </w:p>
    <w:p>
      <w:pPr>
        <w:pStyle w:val="BookText"/>
        <w:rPr/>
      </w:pPr>
      <w:r>
        <w:rPr>
          <w:rFonts w:ascii="IRNazanin" w:hAnsi="IRNazanin" w:eastAsia="IRNazanin"/>
          <w:color w:val="111111"/>
          <w:sz w:val="28"/>
          <w:sz w:val="28"/>
          <w:szCs w:val="28"/>
          <w:rtl w:val="true"/>
          <w:lang w:bidi="fa-IR"/>
        </w:rPr>
        <w:t xml:space="preserve">تحلیلهم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لشیعتهم، کذا ذکره بعضهم</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أنه لابد أن یضم إلیه ملکهم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عنه السید الروحانی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التحلیل فی مثل المقام غیر ثابت</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وجهه عدم شمول أدلة التحلیل لمحل الکلام، أو انصرافها عنه،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الفضلاء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هلک الناس فی بطونهم وفروجهم؛ لأنهم لم یؤدوا إلینا حقنا، ألا وإن شیعتنا من ذلک وآباءهم فی حل</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أمیر المؤمنین حللهم </w:t>
      </w:r>
      <w:bookmarkStart w:id="208" w:name="pg6289_41880"/>
    </w:p>
    <w:p>
      <w:pPr>
        <w:pStyle w:val="BookText"/>
        <w:rPr/>
      </w:pPr>
      <w:bookmarkEnd w:id="208"/>
      <w:r>
        <w:rPr>
          <w:rFonts w:ascii="IRNazanin" w:hAnsi="IRNazanin" w:eastAsia="IRNazanin"/>
          <w:color w:val="111111"/>
          <w:sz w:val="28"/>
          <w:sz w:val="28"/>
          <w:szCs w:val="28"/>
          <w:rtl w:val="true"/>
          <w:lang w:bidi="fa-IR"/>
        </w:rPr>
        <w:t xml:space="preserve">من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لیطیب مولدهم</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 الروایات الشریفة حلیة الأمة المشتراة ممن لا یعتقد بالخمس أو ممن لا یخمّس، وإن کان معتقداً بالخمس، أو الأمة المشتراة بمال غیر مخمس، أو حلیة الزوجة التی دفع إلیها مهر غیر مخمس، أو غیر ذلک من الاحتمالات المذکورة فی مسألة التحلیل، ولا ربط لها بالمقام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والمقام یتطلب دلالة دلیل علی أنّ کلَّ ما کان ملک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الإماء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أحلوها للشیعة</w:t>
      </w:r>
      <w:r>
        <w:rPr>
          <w:rFonts w:eastAsia="IRNazanin" w:cs="IRNazanin"/>
          <w:color w:val="111111"/>
          <w:sz w:val="28"/>
          <w:szCs w:val="28"/>
          <w:rtl w:val="true"/>
          <w:lang w:bidi="fa-IR"/>
        </w:rPr>
        <w:t>.</w:t>
      </w:r>
    </w:p>
    <w:p>
      <w:pPr>
        <w:pStyle w:val="Heading6"/>
        <w:numPr>
          <w:ilvl w:val="5"/>
          <w:numId w:val="1"/>
        </w:numPr>
        <w:rPr/>
      </w:pPr>
      <w:bookmarkStart w:id="209" w:name="__RefHeading___Toc2133360_237004111"/>
      <w:bookmarkStart w:id="210" w:name="_Toc80"/>
      <w:bookmarkEnd w:id="209"/>
      <w:r>
        <w:rPr>
          <w:rtl w:val="true"/>
        </w:rPr>
        <w:t>الدلیل الثانی عشر</w:t>
      </w:r>
      <w:r>
        <w:rPr>
          <w:rtl w:val="true"/>
        </w:rPr>
        <w:t xml:space="preserve">: </w:t>
      </w:r>
      <w:r>
        <w:rPr>
          <w:rtl w:val="true"/>
        </w:rPr>
        <w:t xml:space="preserve">رضا الأئمة </w:t>
      </w:r>
      <w:r>
        <w:rPr>
          <w:rtl w:val="true"/>
        </w:rPr>
        <w:t>(</w:t>
      </w:r>
      <w:r>
        <w:rPr>
          <w:rtl w:val="true"/>
        </w:rPr>
        <w:t>علیهم السلام</w:t>
      </w:r>
      <w:r>
        <w:rPr>
          <w:rtl w:val="true"/>
        </w:rPr>
        <w:t>)</w:t>
      </w:r>
      <w:bookmarkEnd w:id="210"/>
    </w:p>
    <w:p>
      <w:pPr>
        <w:pStyle w:val="BookText"/>
        <w:rPr/>
      </w:pPr>
      <w:r>
        <w:rPr>
          <w:rFonts w:ascii="IRNazanin" w:hAnsi="IRNazanin" w:eastAsia="IRNazanin"/>
          <w:color w:val="111111"/>
          <w:sz w:val="28"/>
          <w:sz w:val="28"/>
          <w:szCs w:val="28"/>
          <w:rtl w:val="true"/>
          <w:lang w:bidi="fa-IR"/>
        </w:rPr>
        <w:t xml:space="preserve">رضاهم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والظاهر أنه لابد أن یضم إلیه ما ضم إلی سابقه</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وأجاب عنه فی فقه الصادق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ومجرد الرضا لا یکفی فی الجواز</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یرضی بالمعصیة قطعاً، فمجرد رضاه کافٍ فی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طریق إلی إحراز رضاهم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الأدلة السابقة، بحیث یکون دلیلاً جدیداً فی عرض الأدلة السابقة</w:t>
      </w:r>
      <w:r>
        <w:rPr>
          <w:rFonts w:eastAsia="IRNazanin" w:cs="IRNazanin"/>
          <w:color w:val="111111"/>
          <w:sz w:val="28"/>
          <w:szCs w:val="28"/>
          <w:rtl w:val="true"/>
          <w:lang w:bidi="fa-IR"/>
        </w:rPr>
        <w:t>.</w:t>
      </w:r>
    </w:p>
    <w:p>
      <w:pPr>
        <w:pStyle w:val="Heading6"/>
        <w:numPr>
          <w:ilvl w:val="5"/>
          <w:numId w:val="1"/>
        </w:numPr>
        <w:rPr/>
      </w:pPr>
      <w:bookmarkStart w:id="211" w:name="__RefHeading___Toc2133362_237004111"/>
      <w:bookmarkStart w:id="212" w:name="_Toc81"/>
      <w:bookmarkEnd w:id="211"/>
      <w:r>
        <w:rPr>
          <w:rtl w:val="true"/>
        </w:rPr>
        <w:t>الدلیل الثالث عشر</w:t>
      </w:r>
      <w:r>
        <w:rPr>
          <w:rtl w:val="true"/>
        </w:rPr>
        <w:t xml:space="preserve">: </w:t>
      </w:r>
      <w:r>
        <w:rPr>
          <w:rtl w:val="true"/>
        </w:rPr>
        <w:t>ما ورد فی الجعفریات</w:t>
      </w:r>
      <w:bookmarkEnd w:id="21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ورد فی کتاب الجعفریات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لیس لنساء أهل الذمة </w:t>
      </w:r>
    </w:p>
    <w:p>
      <w:pPr>
        <w:pStyle w:val="BookText"/>
        <w:rPr/>
      </w:pPr>
      <w:r>
        <w:rPr>
          <w:rFonts w:ascii="IRNazanin" w:hAnsi="IRNazanin" w:eastAsia="IRNazanin"/>
          <w:color w:val="111111"/>
          <w:sz w:val="28"/>
          <w:sz w:val="28"/>
          <w:szCs w:val="28"/>
          <w:rtl w:val="true"/>
          <w:lang w:bidi="fa-IR"/>
        </w:rPr>
        <w:t>حرمة، لا بأس بالنظر إلیهن ما لم یتعمد</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لیس لنساء أهل الذمة حرمة، لا بأس بالنظر إلی وجوههن وشعورهن ونحورهن وبدنهن، ما لم یتعمد ذلک</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 علیه السید الرجائی مضافاً إلی الإشکال السندی أنّ الخبرین قیدا بعدم التعمد،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النظر قصدیاً، بل اتفق النظر، ولیس ذلک محل الکلام فی المقام</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أشبه ما یکون حینئذٍ بتوضیح الواضحات، وینافیه تصدیره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لنساء أهل الذمة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المشعر بالتعلیل لما تعقبه من الحکم؛ إذ نفی البأس عن النظر غیر الاختیاری لا یعلل بعدم الحرمة، بل بعدم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ظاهر الروایتین اختصاص أهل الذمة بهذا الحکم، مع أنّ نفی البأس عن النظر غیر الاختیاری مشترک بین الجمیع</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المراد بعدم التعمد إما عدم کون النظر بقصد اللذة، کما سبق بیانه فی جواب الإشکال الثالث فی المسألة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الحر العاملی والمحدث البحرانی والسید الوالد والسید الروحانی</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وإما عدم کون النظر مقصوداً بالأصالة، بل یکون المقصود بالأصالة غیره، وإن علم أنه یتفق وقوع نظره علیهن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ابن إدریس منع من النظر إلی نساء أهل الذمة،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یقوی فی نفسی ترک هذه الروایة</w:t>
      </w:r>
      <w:r>
        <w:rPr>
          <w:rFonts w:eastAsia="IRNazanin" w:cs="IRNazanin"/>
          <w:color w:val="111111"/>
          <w:sz w:val="28"/>
          <w:szCs w:val="28"/>
          <w:rtl w:val="true"/>
          <w:lang w:bidi="fa-IR"/>
        </w:rPr>
        <w:t>(</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والعدول عنها، والتمسک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لِّلْمُؤْمِنِینَ یَغُضُّوا مِنْ أَبْصَارِهِمْ</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تَمُدَّنَّ عَیْنَیْکَ إِلَی مَا مَتَّعْنَا بِهِ أَزْوَاجاً مِّنْهُمْ</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وتبعه علی ذلک العلامة فی المختلف، وأما فی باقی کتبه فهو موافق لمذهب الأصحاب علی ما ذکره فی الحدائق</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وتبعهما الفاضل الهندی فی کشف اللثام</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فلإمکان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عموم فی الآیة؛ لعدم کونها فی مقام البیان من هذه الجهة،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کون المولی فی مقام البیان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مانع من تقیید الکتاب العزیز بخبر الواحد المعتبر، کما حرر فی الأصول</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قاعدة الإلزام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وردت بها روایات متواترة علی ما ذکره السید الوالد فی القواعد الفقهیة</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تقتضی التقیید، وإن لم نقل بجواز تقیید </w:t>
      </w:r>
      <w:bookmarkStart w:id="213" w:name="pg6289_41883"/>
    </w:p>
    <w:p>
      <w:pPr>
        <w:pStyle w:val="BookText"/>
        <w:rPr/>
      </w:pPr>
      <w:bookmarkEnd w:id="213"/>
      <w:r>
        <w:rPr>
          <w:rFonts w:ascii="IRNazanin" w:hAnsi="IRNazanin" w:eastAsia="IRNazanin"/>
          <w:color w:val="111111"/>
          <w:sz w:val="28"/>
          <w:sz w:val="28"/>
          <w:szCs w:val="28"/>
          <w:rtl w:val="true"/>
          <w:lang w:bidi="fa-IR"/>
        </w:rPr>
        <w:t>الکتاب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فی التواتر تأملاً؛ لأنّ معظم روایات قاعدة الإلزام واردة فی موارد خاصة، وما یدل علی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کصحیحة محمّد بن مسلم المرویة فی الوسائل</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یبلغ درجة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قطعیة بالإجماع أو نحوه، فیکون التخصیص للعمومات والتقیید للإطلاقات بالقطع لا بالخبر الواحد</w:t>
      </w:r>
      <w:r>
        <w:rPr>
          <w:rFonts w:eastAsia="IRNazanin" w:cs="IRNazanin"/>
          <w:color w:val="111111"/>
          <w:sz w:val="28"/>
          <w:szCs w:val="28"/>
          <w:rtl w:val="true"/>
          <w:lang w:bidi="fa-IR"/>
        </w:rPr>
        <w:t>.</w:t>
      </w:r>
    </w:p>
    <w:p>
      <w:pPr>
        <w:pStyle w:val="Heading5"/>
        <w:numPr>
          <w:ilvl w:val="4"/>
          <w:numId w:val="1"/>
        </w:numPr>
        <w:rPr/>
      </w:pPr>
      <w:bookmarkStart w:id="214" w:name="__RefHeading___Toc2133364_237004111"/>
      <w:bookmarkStart w:id="215" w:name="_Toc82"/>
      <w:bookmarkEnd w:id="214"/>
      <w:r>
        <w:rPr>
          <w:rtl w:val="true"/>
        </w:rPr>
        <w:t>الفرع الثانی</w:t>
      </w:r>
      <w:r>
        <w:rPr>
          <w:rtl w:val="true"/>
        </w:rPr>
        <w:t xml:space="preserve">: </w:t>
      </w:r>
      <w:r>
        <w:rPr>
          <w:rtl w:val="true"/>
        </w:rPr>
        <w:t>فی أصل جواز النظر إلی سائر الکافرات غیر أهل الذمة</w:t>
      </w:r>
      <w:bookmarkEnd w:id="215"/>
    </w:p>
    <w:p>
      <w:pPr>
        <w:pStyle w:val="Heading6"/>
        <w:numPr>
          <w:ilvl w:val="5"/>
          <w:numId w:val="1"/>
        </w:numPr>
        <w:rPr/>
      </w:pPr>
      <w:bookmarkStart w:id="216" w:name="__RefHeading___Toc2133366_237004111"/>
      <w:bookmarkStart w:id="217" w:name="_Toc83"/>
      <w:bookmarkEnd w:id="216"/>
      <w:r>
        <w:rPr>
          <w:rtl w:val="true"/>
        </w:rPr>
        <w:t>اشارة</w:t>
      </w:r>
      <w:bookmarkEnd w:id="217"/>
    </w:p>
    <w:p>
      <w:pPr>
        <w:pStyle w:val="BookText"/>
        <w:rPr/>
      </w:pPr>
      <w:r>
        <w:rPr>
          <w:rFonts w:ascii="IRNazanin" w:hAnsi="IRNazanin" w:eastAsia="IRNazanin"/>
          <w:color w:val="111111"/>
          <w:sz w:val="28"/>
          <w:sz w:val="28"/>
          <w:szCs w:val="28"/>
          <w:rtl w:val="true"/>
          <w:lang w:bidi="fa-IR"/>
        </w:rPr>
        <w:t>والظاهر جواز النظر لأمور</w:t>
      </w:r>
      <w:r>
        <w:rPr>
          <w:rFonts w:eastAsia="IRNazanin" w:cs="IRNazanin"/>
          <w:color w:val="111111"/>
          <w:sz w:val="28"/>
          <w:szCs w:val="28"/>
          <w:rtl w:val="true"/>
          <w:lang w:bidi="fa-IR"/>
        </w:rPr>
        <w:t>:</w:t>
      </w:r>
    </w:p>
    <w:p>
      <w:pPr>
        <w:pStyle w:val="Heading6"/>
        <w:numPr>
          <w:ilvl w:val="5"/>
          <w:numId w:val="1"/>
        </w:numPr>
        <w:rPr/>
      </w:pPr>
      <w:bookmarkStart w:id="218" w:name="__RefHeading___Toc2133368_237004111"/>
      <w:bookmarkStart w:id="219" w:name="_Toc84"/>
      <w:bookmarkEnd w:id="218"/>
      <w:r>
        <w:rPr>
          <w:rtl w:val="true"/>
        </w:rPr>
        <w:t>الدلیل الأول</w:t>
      </w:r>
      <w:r>
        <w:rPr>
          <w:rtl w:val="true"/>
        </w:rPr>
        <w:t xml:space="preserve">: </w:t>
      </w:r>
      <w:r>
        <w:rPr>
          <w:rtl w:val="true"/>
        </w:rPr>
        <w:t>شمول لفظ العلوج للکافرات</w:t>
      </w:r>
      <w:bookmarkEnd w:id="219"/>
    </w:p>
    <w:p>
      <w:pPr>
        <w:pStyle w:val="BookText"/>
        <w:rPr/>
      </w:pPr>
      <w:r>
        <w:rPr>
          <w:rFonts w:ascii="IRNazanin" w:hAnsi="IRNazanin" w:eastAsia="IRNazanin"/>
          <w:color w:val="111111"/>
          <w:sz w:val="28"/>
          <w:sz w:val="28"/>
          <w:szCs w:val="28"/>
          <w:rtl w:val="true"/>
          <w:lang w:bidi="fa-IR"/>
        </w:rPr>
        <w:t xml:space="preserve">شمول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روایة الکلینی والفقیه لهن، بناءً علی إطلاقها علی مطلق الکافر، أو إلغاء الخصوصیة عرفاً، ولا یقدح فی ذلک خلو روایة العلل عنها؛ لتقدیم أصالة عدم الزیادة علی أصالة عدم النقیصة</w:t>
      </w:r>
      <w:r>
        <w:rPr>
          <w:rFonts w:eastAsia="IRNazanin" w:cs="IRNazanin"/>
          <w:color w:val="111111"/>
          <w:sz w:val="28"/>
          <w:szCs w:val="28"/>
          <w:rtl w:val="true"/>
          <w:lang w:bidi="fa-IR"/>
        </w:rPr>
        <w:t>.</w:t>
      </w:r>
    </w:p>
    <w:p>
      <w:pPr>
        <w:pStyle w:val="Heading6"/>
        <w:numPr>
          <w:ilvl w:val="5"/>
          <w:numId w:val="1"/>
        </w:numPr>
        <w:rPr/>
      </w:pPr>
      <w:bookmarkStart w:id="220" w:name="__RefHeading___Toc2133370_237004111"/>
      <w:bookmarkStart w:id="221" w:name="_Toc85"/>
      <w:bookmarkEnd w:id="220"/>
      <w:r>
        <w:rPr>
          <w:rtl w:val="true"/>
        </w:rPr>
        <w:t>الدلیل الثانی</w:t>
      </w:r>
      <w:r>
        <w:rPr>
          <w:rtl w:val="true"/>
        </w:rPr>
        <w:t xml:space="preserve">: </w:t>
      </w:r>
      <w:r>
        <w:rPr>
          <w:rtl w:val="true"/>
        </w:rPr>
        <w:t>ورود التعلیل فی موثقة عباد</w:t>
      </w:r>
      <w:bookmarkEnd w:id="221"/>
    </w:p>
    <w:p>
      <w:pPr>
        <w:pStyle w:val="BookText"/>
        <w:rPr/>
      </w:pPr>
      <w:r>
        <w:rPr>
          <w:rFonts w:ascii="IRNazanin" w:hAnsi="IRNazanin" w:eastAsia="IRNazanin"/>
          <w:color w:val="111111"/>
          <w:sz w:val="28"/>
          <w:sz w:val="28"/>
          <w:szCs w:val="28"/>
          <w:rtl w:val="true"/>
          <w:lang w:bidi="fa-IR"/>
        </w:rPr>
        <w:t>التعلیل فی موثقة عباد بن صهیب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لأنهن إذا نهین لا ینتهین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إذا نهوا لا ینتهون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العلة تعمم وتخصص</w:t>
      </w:r>
      <w:r>
        <w:rPr>
          <w:rFonts w:eastAsia="IRNazanin" w:cs="IRNazanin"/>
          <w:color w:val="111111"/>
          <w:sz w:val="28"/>
          <w:szCs w:val="28"/>
          <w:rtl w:val="true"/>
          <w:lang w:bidi="fa-IR"/>
        </w:rPr>
        <w:t>.</w:t>
      </w:r>
    </w:p>
    <w:p>
      <w:pPr>
        <w:pStyle w:val="Heading6"/>
        <w:numPr>
          <w:ilvl w:val="5"/>
          <w:numId w:val="1"/>
        </w:numPr>
        <w:rPr/>
      </w:pPr>
      <w:bookmarkStart w:id="222" w:name="__RefHeading___Toc2133372_237004111"/>
      <w:bookmarkStart w:id="223" w:name="_Toc86"/>
      <w:bookmarkEnd w:id="222"/>
      <w:r>
        <w:rPr>
          <w:rtl w:val="true"/>
        </w:rPr>
        <w:t>الدلیل الثالث</w:t>
      </w:r>
      <w:r>
        <w:rPr>
          <w:rtl w:val="true"/>
        </w:rPr>
        <w:t xml:space="preserve">: </w:t>
      </w:r>
      <w:r>
        <w:rPr>
          <w:rtl w:val="true"/>
        </w:rPr>
        <w:t>فحوی موثقة السکونی</w:t>
      </w:r>
      <w:bookmarkEnd w:id="22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فحوی ما جاء فی موثقة السکونی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حرمة لنساء أهل الذمة أن ینظر </w:t>
      </w:r>
    </w:p>
    <w:p>
      <w:pPr>
        <w:pStyle w:val="BookText"/>
        <w:rPr/>
      </w:pPr>
      <w:r>
        <w:rPr>
          <w:rFonts w:ascii="IRNazanin" w:hAnsi="IRNazanin" w:eastAsia="IRNazanin"/>
          <w:color w:val="111111"/>
          <w:sz w:val="28"/>
          <w:sz w:val="28"/>
          <w:szCs w:val="28"/>
          <w:rtl w:val="true"/>
          <w:lang w:bidi="fa-IR"/>
        </w:rPr>
        <w:t>إلی شعورهن وأیدیهن</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الموضوع فیها وإن کان هو نساء أهل الذمة، إلا أنه یستفاد منها حکم غیرهن بطریقة أولی؛ لکونهن أقل احتراماً، أو لا احترام لهن، کما ذکره السید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ذکر الذمیة فی المعتبرة</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لدفع تخیل أن لعرضهن حرمة، کما هو الحال فی أموالهن وأنفسهن، ولیس لوجود خصوصیة فیهن، وحیث إنّ الکافرات لا حرمة لهن أبداً</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جواز النظر إلیهنَّ بالأولویة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الکتاب هم أقرب الأصناف إلی المسلمین، فإنّ أموالهم وأنفسهم محترمة کمال المسلم ونفسه، فإذا لم تثبت حرمة لأعراضهم فعدم ثبوت ذلک فی سائر الکفار یکون من باب الأولی</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یستفاد کونهم ممالیک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بالأولویة من الروایات الواردة فی أهل الذمة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الأصل فی النظر الحرمة، فیقتصر علی موضع النص، والأولویة غیر محرزة، فربما یکون باعتبار أنها فی البلاد الإسلامیة، والمقصود نوع من الإذلال لتصبح مسلمة، أما غیر الذمیة فی بلادها فتبقی علی الحکم الأولی</w:t>
      </w:r>
      <w:r>
        <w:rPr>
          <w:rFonts w:eastAsia="IRNazanin" w:cs="IRNazanin"/>
          <w:color w:val="111111"/>
          <w:sz w:val="28"/>
          <w:szCs w:val="28"/>
          <w:rtl w:val="true"/>
          <w:lang w:bidi="fa-IR"/>
        </w:rPr>
        <w:t xml:space="preserve">. </w:t>
      </w:r>
      <w:bookmarkStart w:id="224" w:name="pg6289_41885"/>
    </w:p>
    <w:p>
      <w:pPr>
        <w:pStyle w:val="BookText"/>
        <w:rPr/>
      </w:pPr>
      <w:bookmarkEnd w:id="224"/>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الذمیة التی نفسها ومالها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ومن آذی ذمیاً فقد آذانی</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کثیر من الأحکام إذا لم یکن لها حرمة أن ینظر إلیها، فکیف بالکافرة؟ ولیس ذلک إذلالاً لها، وحتی لو کان إذلالاً فإن الکافر أولی بالإذلال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یکون الحکم للتسهیل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 هذه الاحتمالات وارد فی سائر الأولویات، والمعتبرة لا تتطرق إلی التسهیل، وإنما إلی عدم الحرمة، فکیف بالکافر؟</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المقصود من نفی الحرمة، والإنسان محترم بنفسه فی الإسلام؟</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الإنسان بشرط أن لا یهتک احترامه بنفسه بالکفر بالله، والخروج عن سنن الفطرة، والانحطاط عن درک الحیوان، فإنّ الحیوان یؤمن بالله سبحانه، بینما الکافر یغالط وجدانه ولا یؤمن بالله، فالذمی لا حرمة له بلحاظ النظر، والکافر بطریق أولی، بالأولویة العرفیة</w:t>
      </w:r>
      <w:r>
        <w:rPr>
          <w:rFonts w:eastAsia="IRNazanin" w:cs="IRNazanin"/>
          <w:color w:val="111111"/>
          <w:sz w:val="28"/>
          <w:szCs w:val="28"/>
          <w:rtl w:val="true"/>
          <w:lang w:bidi="fa-IR"/>
        </w:rPr>
        <w:t>.</w:t>
      </w:r>
    </w:p>
    <w:p>
      <w:pPr>
        <w:pStyle w:val="Heading6"/>
        <w:numPr>
          <w:ilvl w:val="5"/>
          <w:numId w:val="1"/>
        </w:numPr>
        <w:rPr/>
      </w:pPr>
      <w:bookmarkStart w:id="225" w:name="__RefHeading___Toc2133374_237004111"/>
      <w:bookmarkStart w:id="226" w:name="_Toc87"/>
      <w:bookmarkEnd w:id="225"/>
      <w:r>
        <w:rPr>
          <w:rtl w:val="true"/>
        </w:rPr>
        <w:t>الدلیل الرابع</w:t>
      </w:r>
      <w:r>
        <w:rPr>
          <w:rtl w:val="true"/>
        </w:rPr>
        <w:t xml:space="preserve">: </w:t>
      </w:r>
      <w:r>
        <w:rPr>
          <w:rtl w:val="true"/>
        </w:rPr>
        <w:t>قاعدة الإلزام</w:t>
      </w:r>
      <w:bookmarkEnd w:id="226"/>
    </w:p>
    <w:p>
      <w:pPr>
        <w:pStyle w:val="BookText"/>
        <w:rPr/>
      </w:pPr>
      <w:r>
        <w:rPr>
          <w:rFonts w:ascii="IRNazanin" w:hAnsi="IRNazanin" w:eastAsia="IRNazanin"/>
          <w:color w:val="111111"/>
          <w:sz w:val="28"/>
          <w:sz w:val="28"/>
          <w:szCs w:val="28"/>
          <w:rtl w:val="true"/>
          <w:lang w:bidi="fa-IR"/>
        </w:rPr>
        <w:t>علی ما مضی، فإنها تشمل الذمیة وغیرها؛ لمکان الإطلاق</w:t>
      </w:r>
      <w:r>
        <w:rPr>
          <w:rFonts w:eastAsia="IRNazanin" w:cs="IRNazanin"/>
          <w:color w:val="111111"/>
          <w:sz w:val="28"/>
          <w:szCs w:val="28"/>
          <w:rtl w:val="true"/>
          <w:lang w:bidi="fa-IR"/>
        </w:rPr>
        <w:t>.</w:t>
      </w:r>
    </w:p>
    <w:p>
      <w:pPr>
        <w:pStyle w:val="Heading6"/>
        <w:numPr>
          <w:ilvl w:val="5"/>
          <w:numId w:val="1"/>
        </w:numPr>
        <w:rPr/>
      </w:pPr>
      <w:bookmarkStart w:id="227" w:name="__RefHeading___Toc2133376_237004111"/>
      <w:bookmarkStart w:id="228" w:name="_Toc88"/>
      <w:bookmarkEnd w:id="227"/>
      <w:r>
        <w:rPr>
          <w:rtl w:val="true"/>
        </w:rPr>
        <w:t>الدلیل الخامس</w:t>
      </w:r>
      <w:r>
        <w:rPr>
          <w:rtl w:val="true"/>
        </w:rPr>
        <w:t xml:space="preserve">: </w:t>
      </w:r>
      <w:r>
        <w:rPr>
          <w:rtl w:val="true"/>
        </w:rPr>
        <w:t>الإجماع</w:t>
      </w:r>
      <w:bookmarkEnd w:id="228"/>
    </w:p>
    <w:p>
      <w:pPr>
        <w:pStyle w:val="BookText"/>
        <w:rPr/>
      </w:pPr>
      <w:r>
        <w:rPr>
          <w:rFonts w:ascii="IRNazanin" w:hAnsi="IRNazanin" w:eastAsia="IRNazanin"/>
          <w:color w:val="111111"/>
          <w:sz w:val="28"/>
          <w:sz w:val="28"/>
          <w:szCs w:val="28"/>
          <w:rtl w:val="true"/>
          <w:lang w:bidi="fa-IR"/>
        </w:rPr>
        <w:t>ذکره السید السبزواری فی المهذب</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علیه الإشکال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یرد التعرض لهذا الفرع فیما رأیناه من </w:t>
      </w:r>
    </w:p>
    <w:p>
      <w:pPr>
        <w:pStyle w:val="BookText"/>
        <w:rPr/>
      </w:pPr>
      <w:r>
        <w:rPr>
          <w:rFonts w:ascii="IRNazanin" w:hAnsi="IRNazanin" w:eastAsia="IRNazanin"/>
          <w:color w:val="111111"/>
          <w:sz w:val="28"/>
          <w:sz w:val="28"/>
          <w:szCs w:val="28"/>
          <w:rtl w:val="true"/>
          <w:lang w:bidi="fa-IR"/>
        </w:rPr>
        <w:t>کتب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یکون إجماعا مستنبطاً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قد یشکل فی الإلحاق،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 کلمات الفقهاء المتقدمین عن تجویز النظر إلی غیر أهل الذمة، مما یکشف عن إعراضهم عن عموم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فلورود کلمة أهل الکتاب فی کلمات بعض الأقدمین، وبین أهل الکتاب وأهل الذمة عموم مطلق</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عموم من وجه</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فتشمل الفتاوی أهل الکتاب من غیر أهل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والنظر إلی نساء أهل الکتاب وشعورهن لا بأس به</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بأس بالنظر إلی وجوه نساء أهل الکتاب وشعورهن</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هذا القول عمل الأصحاب، ما عدا ابن إدریس وتبعه العلامة فی المختلف</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عدم التعرض مغایر للإعراض</w:t>
      </w:r>
      <w:r>
        <w:rPr>
          <w:rFonts w:eastAsia="IRNazanin" w:cs="IRNazanin"/>
          <w:color w:val="111111"/>
          <w:sz w:val="28"/>
          <w:szCs w:val="28"/>
          <w:rtl w:val="true"/>
          <w:lang w:bidi="fa-IR"/>
        </w:rPr>
        <w:t xml:space="preserve">. </w:t>
      </w:r>
      <w:bookmarkStart w:id="229" w:name="pg6289_41887"/>
    </w:p>
    <w:p>
      <w:pPr>
        <w:pStyle w:val="BookText"/>
        <w:rPr/>
      </w:pPr>
      <w:bookmarkEnd w:id="229"/>
      <w:r>
        <w:rPr>
          <w:rFonts w:ascii="IRNazanin" w:hAnsi="IRNazanin" w:eastAsia="IRNazanin"/>
          <w:color w:val="111111"/>
          <w:sz w:val="28"/>
          <w:sz w:val="28"/>
          <w:szCs w:val="28"/>
          <w:rtl w:val="true"/>
          <w:lang w:bidi="fa-IR"/>
        </w:rPr>
        <w:t>ولعل الاقتصار علی أهل الذمة باعتبار کونهم محل الابتلاء عادة،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إعراض القدماء لو سلم معارض بعمل المتأخرین، ولئن کان القدماء أقرب إلی عهد الروایات فالمتأخرون أدق وأجمع؛ لأنّ الروایات اجتمعت عندهم بما لم تکن عند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أفتی صاحب العروة بعدم الفرق، ووافقه علیه کل من رأیت حواشیهم علی العروة وهم حوالی ثمانیة عشر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قال المحقق الحائری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والأحوط أن لا یکون النظر مقصوداً أصلیاً</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 w:name="__RefHeading___Toc2133378_237004111"/>
      <w:bookmarkStart w:id="231" w:name="_Toc89"/>
      <w:bookmarkEnd w:id="230"/>
      <w:r>
        <w:rPr>
          <w:rtl w:val="true"/>
        </w:rPr>
        <w:t>الفرع الثالث</w:t>
      </w:r>
      <w:r>
        <w:rPr>
          <w:rtl w:val="true"/>
        </w:rPr>
        <w:t xml:space="preserve">: </w:t>
      </w:r>
      <w:r>
        <w:rPr>
          <w:rtl w:val="true"/>
        </w:rPr>
        <w:t>فی حدود المنظور إلیه بلحاظ الجواز والحرمة</w:t>
      </w:r>
      <w:bookmarkEnd w:id="231"/>
    </w:p>
    <w:p>
      <w:pPr>
        <w:pStyle w:val="Heading6"/>
        <w:numPr>
          <w:ilvl w:val="5"/>
          <w:numId w:val="1"/>
        </w:numPr>
        <w:rPr/>
      </w:pPr>
      <w:bookmarkStart w:id="232" w:name="__RefHeading___Toc2133380_237004111"/>
      <w:bookmarkStart w:id="233" w:name="_Toc90"/>
      <w:bookmarkEnd w:id="232"/>
      <w:r>
        <w:rPr>
          <w:rtl w:val="true"/>
        </w:rPr>
        <w:t>اشارة</w:t>
      </w:r>
      <w:bookmarkEnd w:id="233"/>
    </w:p>
    <w:p>
      <w:pPr>
        <w:pStyle w:val="BookText"/>
        <w:rPr/>
      </w:pPr>
      <w:r>
        <w:rPr>
          <w:rFonts w:ascii="IRNazanin" w:hAnsi="IRNazanin" w:eastAsia="IRNazanin"/>
          <w:color w:val="111111"/>
          <w:sz w:val="28"/>
          <w:sz w:val="28"/>
          <w:szCs w:val="28"/>
          <w:rtl w:val="true"/>
          <w:lang w:bidi="fa-IR"/>
        </w:rPr>
        <w:t>ویوجد فی المسألة عدة احتمالات</w:t>
      </w:r>
      <w:r>
        <w:rPr>
          <w:rFonts w:eastAsia="IRNazanin" w:cs="IRNazanin"/>
          <w:color w:val="111111"/>
          <w:sz w:val="28"/>
          <w:szCs w:val="28"/>
          <w:rtl w:val="true"/>
          <w:lang w:bidi="fa-IR"/>
        </w:rPr>
        <w:t>:</w:t>
      </w:r>
    </w:p>
    <w:p>
      <w:pPr>
        <w:pStyle w:val="Heading6"/>
        <w:numPr>
          <w:ilvl w:val="5"/>
          <w:numId w:val="1"/>
        </w:numPr>
        <w:rPr/>
      </w:pPr>
      <w:bookmarkStart w:id="234" w:name="__RefHeading___Toc2133382_237004111"/>
      <w:bookmarkStart w:id="235" w:name="_Toc91"/>
      <w:bookmarkEnd w:id="234"/>
      <w:r>
        <w:rPr>
          <w:rtl w:val="true"/>
        </w:rPr>
        <w:t>الاحتمال الأول</w:t>
      </w:r>
      <w:r>
        <w:rPr>
          <w:rtl w:val="true"/>
        </w:rPr>
        <w:t xml:space="preserve">: </w:t>
      </w:r>
      <w:r>
        <w:rPr>
          <w:rtl w:val="true"/>
        </w:rPr>
        <w:t>الجواز مطلقاً</w:t>
      </w:r>
      <w:bookmarkEnd w:id="235"/>
    </w:p>
    <w:p>
      <w:pPr>
        <w:pStyle w:val="Heading6"/>
        <w:numPr>
          <w:ilvl w:val="5"/>
          <w:numId w:val="1"/>
        </w:numPr>
        <w:rPr/>
      </w:pPr>
      <w:bookmarkStart w:id="236" w:name="__RefHeading___Toc2133384_237004111"/>
      <w:bookmarkStart w:id="237" w:name="_Toc92"/>
      <w:bookmarkEnd w:id="236"/>
      <w:r>
        <w:rPr>
          <w:rtl w:val="true"/>
        </w:rPr>
        <w:t>اشارة</w:t>
      </w:r>
      <w:bookmarkEnd w:id="237"/>
    </w:p>
    <w:p>
      <w:pPr>
        <w:pStyle w:val="BookText"/>
        <w:rPr/>
      </w:pPr>
      <w:r>
        <w:rPr>
          <w:rFonts w:ascii="IRNazanin" w:hAnsi="IRNazanin" w:eastAsia="IRNazanin"/>
          <w:color w:val="111111"/>
          <w:sz w:val="28"/>
          <w:sz w:val="28"/>
          <w:szCs w:val="28"/>
          <w:rtl w:val="true"/>
          <w:lang w:bidi="fa-IR"/>
        </w:rPr>
        <w:t>یحتمل أن یقال بالجواز مطلقاً، باستثناء العورة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w:t>
      </w:r>
      <w:r>
        <w:rPr>
          <w:rFonts w:eastAsia="IRNazanin" w:cs="IRNazanin"/>
          <w:color w:val="111111"/>
          <w:sz w:val="28"/>
          <w:szCs w:val="28"/>
          <w:rtl w:val="true"/>
          <w:lang w:bidi="fa-IR"/>
        </w:rPr>
        <w:t>:</w:t>
      </w:r>
    </w:p>
    <w:p>
      <w:pPr>
        <w:pStyle w:val="Heading6"/>
        <w:numPr>
          <w:ilvl w:val="5"/>
          <w:numId w:val="1"/>
        </w:numPr>
        <w:rPr/>
      </w:pPr>
      <w:bookmarkStart w:id="238" w:name="__RefHeading___Toc2133386_237004111"/>
      <w:bookmarkStart w:id="239" w:name="_Toc93"/>
      <w:bookmarkEnd w:id="238"/>
      <w:r>
        <w:rPr>
          <w:rtl w:val="true"/>
        </w:rPr>
        <w:t>الدلیل الأول</w:t>
      </w:r>
      <w:r>
        <w:rPr>
          <w:rtl w:val="true"/>
        </w:rPr>
        <w:t xml:space="preserve">: </w:t>
      </w:r>
      <w:r>
        <w:rPr>
          <w:rtl w:val="true"/>
        </w:rPr>
        <w:t>قاعدة الإلزام</w:t>
      </w:r>
      <w:bookmarkEnd w:id="23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فی دینهم حلالاً لعاملناهم إلی الحد الذی یأذن به دینهم، أو قوانینهم</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عرفهم</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240" w:name="pg6289_41888"/>
    </w:p>
    <w:p>
      <w:pPr>
        <w:pStyle w:val="Heading6"/>
        <w:numPr>
          <w:ilvl w:val="5"/>
          <w:numId w:val="1"/>
        </w:numPr>
        <w:rPr/>
      </w:pPr>
      <w:bookmarkStart w:id="241" w:name="__RefHeading___Toc2133388_237004111"/>
      <w:bookmarkStart w:id="242" w:name="_Toc94"/>
      <w:bookmarkEnd w:id="240"/>
      <w:bookmarkEnd w:id="241"/>
      <w:r>
        <w:rPr>
          <w:rtl w:val="true"/>
        </w:rPr>
        <w:t>الدلیل الثانی</w:t>
      </w:r>
      <w:r>
        <w:rPr>
          <w:rtl w:val="true"/>
        </w:rPr>
        <w:t xml:space="preserve">: </w:t>
      </w:r>
      <w:r>
        <w:rPr>
          <w:rtl w:val="true"/>
        </w:rPr>
        <w:t>التعلیل فی موثقة عباد</w:t>
      </w:r>
      <w:bookmarkEnd w:id="242"/>
    </w:p>
    <w:p>
      <w:pPr>
        <w:pStyle w:val="BookText"/>
        <w:rPr/>
      </w:pPr>
      <w:r>
        <w:rPr>
          <w:rFonts w:ascii="IRNazanin" w:hAnsi="IRNazanin" w:eastAsia="IRNazanin"/>
          <w:color w:val="111111"/>
          <w:sz w:val="28"/>
          <w:sz w:val="28"/>
          <w:szCs w:val="28"/>
          <w:rtl w:val="true"/>
          <w:lang w:bidi="fa-IR"/>
        </w:rPr>
        <w:t>وهو التعلیل الوارد فی موثقة بن صهیب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لأنهن إذا نهین لا ینتهین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ذلک مقید بعدم الانتهاء بالنهی، وأمّا مع الانتهاء بالنهی فلا یشمله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إشکال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التعلیل مقید؛ لأنّ العلة تتضمن عقد سلب وإیجاب، فیدور مدارها الحکم وجوداً وعدماً، فهل ندور مداره أو ندور مدار الأدلة المطلقة، کقاعدة الإلزام؟ فلو خرج شعر الذمیة غفلة وهی تنتهی بالنهی، فهل یحرم النظر للتعلیل، أو یجوز النظر لسائر الأدلة المطلقة؟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یخطر بالبال الأخذ بالمطلق لا العلة؛ لأنها تبین حیثیة، والمطلقات تبین حیثیة أخری، فإنه ولو انتفی الجواز من هذه الحیثیة، لکنه یثبت من الحیثیة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سافر إلی المدینة الکذائیة،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سفره طاعة قصّر، وإن کان معصیة أتمّ، ثم قلنا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السفر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تنافی بینهما، فإنه وإن لم تتحقق تلک العلة، وانتفی المعلول لانتفائه بانتفائها، إلا أن الانتفاء حیثی،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الحیثیة ینتفی المعلول فلا ینافی ثبوت المعلول من حیثیة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ینتفی الجواز من حیثیة العلة، أما من حیثیة الإلزام فباقٍ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یبقی الجواز وإن انتهت</w:t>
      </w:r>
      <w:r>
        <w:rPr>
          <w:rFonts w:eastAsia="IRNazanin" w:cs="IRNazanin"/>
          <w:color w:val="111111"/>
          <w:sz w:val="28"/>
          <w:szCs w:val="28"/>
          <w:rtl w:val="true"/>
          <w:lang w:bidi="fa-IR"/>
        </w:rPr>
        <w:t>.</w:t>
      </w:r>
    </w:p>
    <w:p>
      <w:pPr>
        <w:pStyle w:val="Heading6"/>
        <w:numPr>
          <w:ilvl w:val="5"/>
          <w:numId w:val="1"/>
        </w:numPr>
        <w:rPr/>
      </w:pPr>
      <w:bookmarkStart w:id="243" w:name="__RefHeading___Toc2133390_237004111"/>
      <w:bookmarkStart w:id="244" w:name="_Toc95"/>
      <w:bookmarkEnd w:id="243"/>
      <w:r>
        <w:rPr>
          <w:rtl w:val="true"/>
        </w:rPr>
        <w:t>الدلیل الثالث</w:t>
      </w:r>
      <w:r>
        <w:rPr>
          <w:rtl w:val="true"/>
        </w:rPr>
        <w:t xml:space="preserve">: </w:t>
      </w:r>
      <w:r>
        <w:rPr>
          <w:rtl w:val="true"/>
        </w:rPr>
        <w:t>ما ذکره السید الخوئی</w:t>
      </w:r>
      <w:bookmarkEnd w:id="24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فی شرح العروة،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مستند الحکم فی نساء أهل </w:t>
      </w:r>
      <w:bookmarkStart w:id="245" w:name="pg6289_41889"/>
    </w:p>
    <w:p>
      <w:pPr>
        <w:pStyle w:val="BookText"/>
        <w:rPr/>
      </w:pPr>
      <w:bookmarkEnd w:id="245"/>
      <w:r>
        <w:rPr>
          <w:rFonts w:ascii="IRNazanin" w:hAnsi="IRNazanin" w:eastAsia="IRNazanin"/>
          <w:color w:val="111111"/>
          <w:sz w:val="28"/>
          <w:sz w:val="28"/>
          <w:szCs w:val="28"/>
          <w:rtl w:val="true"/>
          <w:lang w:bidi="fa-IR"/>
        </w:rPr>
        <w:t>الذمة والکفار إنما هو عدم وجود حرمة لأعراضهن، ومن هنا لا یختلف الحال بین ما جرت عادتهن علی ستره وما لم تجر</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الجواهر بعد ذکر موثقة السکونی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ظهور نفی الحرمة فی معاملتهن معاملة الدواب المملوکة</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مستندهما فی نفی الحرمة مطلقاً موثقة السکونی، وهی تدل علی نفی الحرمة مقیداً لا مطلقاً، ولم نجد دلیلاً معتبراً علی نفی الحرمة المطلق</w:t>
      </w:r>
      <w:r>
        <w:rPr>
          <w:rFonts w:eastAsia="IRNazanin" w:cs="IRNazanin"/>
          <w:color w:val="111111"/>
          <w:sz w:val="28"/>
          <w:szCs w:val="28"/>
          <w:rtl w:val="true"/>
          <w:lang w:bidi="fa-IR"/>
        </w:rPr>
        <w:t>.</w:t>
      </w:r>
    </w:p>
    <w:p>
      <w:pPr>
        <w:pStyle w:val="Heading6"/>
        <w:numPr>
          <w:ilvl w:val="5"/>
          <w:numId w:val="1"/>
        </w:numPr>
        <w:rPr/>
      </w:pPr>
      <w:bookmarkStart w:id="246" w:name="__RefHeading___Toc2133392_237004111"/>
      <w:bookmarkStart w:id="247" w:name="_Toc96"/>
      <w:bookmarkEnd w:id="246"/>
      <w:r>
        <w:rPr>
          <w:rtl w:val="true"/>
        </w:rPr>
        <w:t>الدلیل الرابع</w:t>
      </w:r>
      <w:r>
        <w:rPr>
          <w:rtl w:val="true"/>
        </w:rPr>
        <w:t xml:space="preserve">: </w:t>
      </w:r>
      <w:r>
        <w:rPr>
          <w:rtl w:val="true"/>
        </w:rPr>
        <w:t xml:space="preserve">ما ذکره السید الوالد </w:t>
      </w:r>
      <w:r>
        <w:rPr>
          <w:rtl w:val="true"/>
        </w:rPr>
        <w:t>(</w:t>
      </w:r>
      <w:r>
        <w:rPr>
          <w:rtl w:val="true"/>
        </w:rPr>
        <w:t>رحمة الله</w:t>
      </w:r>
      <w:r>
        <w:rPr>
          <w:rtl w:val="true"/>
        </w:rPr>
        <w:t>)</w:t>
      </w:r>
      <w:bookmarkEnd w:id="247"/>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ما ورد فی روایة الجعفریات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لنساء أهل الذمة حرمة، لا بأس بالنظر إلی وجوههن وشعورهن ونحورهن وأبدانهن ما لم یتعمد ذلک</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السند مخدوش، کما سبق، ولعله لذلک ذکره بعنوان المؤید لا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مجبورة بعمل بعض الفقهاء، کصاحب الجواهر</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ادعائه الضرورة علی ذلک، وکذلک السید الخوئی</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یعلم عملهم بهذه الروایة، ولعلهم استندوا إلی بقیة الأدلة، </w:t>
      </w:r>
      <w:bookmarkStart w:id="248" w:name="pg6289_41890"/>
    </w:p>
    <w:p>
      <w:pPr>
        <w:pStyle w:val="BookText"/>
        <w:rPr/>
      </w:pPr>
      <w:bookmarkEnd w:id="248"/>
      <w:r>
        <w:rPr>
          <w:rFonts w:ascii="IRNazanin" w:hAnsi="IRNazanin" w:eastAsia="IRNazanin"/>
          <w:color w:val="111111"/>
          <w:sz w:val="28"/>
          <w:sz w:val="28"/>
          <w:szCs w:val="28"/>
          <w:rtl w:val="true"/>
          <w:lang w:bidi="fa-IR"/>
        </w:rPr>
        <w:t>بالإضافة إلی أنّ عمل البعض لا یکون جابراً علی المبنی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الحرمة تتبعض، خاصة فی الصنف الواحد؟</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قد تکون تشکیکیة، فنفی مرتبة لا یعنی نفی جمیع المراتب، فقد یکون لدمه حرمة دون ماله، وکذلک فی الصنف الواحد، فقد یجوز النظر إلی الوجه دون الشعر</w:t>
      </w:r>
      <w:r>
        <w:rPr>
          <w:rFonts w:eastAsia="IRNazanin" w:cs="IRNazanin"/>
          <w:color w:val="111111"/>
          <w:sz w:val="28"/>
          <w:szCs w:val="28"/>
          <w:rtl w:val="true"/>
          <w:lang w:bidi="fa-IR"/>
        </w:rPr>
        <w:t>.</w:t>
      </w:r>
    </w:p>
    <w:p>
      <w:pPr>
        <w:pStyle w:val="Heading6"/>
        <w:numPr>
          <w:ilvl w:val="5"/>
          <w:numId w:val="1"/>
        </w:numPr>
        <w:rPr/>
      </w:pPr>
      <w:bookmarkStart w:id="249" w:name="__RefHeading___Toc2133394_237004111"/>
      <w:bookmarkStart w:id="250" w:name="_Toc97"/>
      <w:bookmarkEnd w:id="249"/>
      <w:r>
        <w:rPr>
          <w:rtl w:val="true"/>
        </w:rPr>
        <w:t>الدلیل الخامس</w:t>
      </w:r>
      <w:r>
        <w:rPr>
          <w:rtl w:val="true"/>
        </w:rPr>
        <w:t xml:space="preserve">: </w:t>
      </w:r>
      <w:r>
        <w:rPr>
          <w:rtl w:val="true"/>
        </w:rPr>
        <w:t>ما ذکره السید الروحانی</w:t>
      </w:r>
      <w:bookmarkEnd w:id="250"/>
    </w:p>
    <w:p>
      <w:pPr>
        <w:pStyle w:val="BookText"/>
        <w:rPr/>
      </w:pPr>
      <w:r>
        <w:rPr>
          <w:rFonts w:ascii="IRNazanin" w:hAnsi="IRNazanin" w:eastAsia="IRNazanin"/>
          <w:color w:val="111111"/>
          <w:sz w:val="28"/>
          <w:sz w:val="28"/>
          <w:szCs w:val="28"/>
          <w:rtl w:val="true"/>
          <w:lang w:bidi="fa-IR"/>
        </w:rPr>
        <w:t>ما ذکره السید الروحانی</w:t>
      </w:r>
      <w:r>
        <w:rPr>
          <w:rFonts w:eastAsia="IRNazanin" w:cs="IRNazanin"/>
          <w:color w:val="111111"/>
          <w:sz w:val="28"/>
          <w:szCs w:val="28"/>
          <w:rtl w:val="true"/>
          <w:lang w:bidi="fa-IR"/>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ذکر الشعور والأیدی من باب أنّ المتعارف کشفها لا لخصوصیة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إلغاء الخصوصیة متوقف علی وحدة الملاک، ولا طریق إلی إحرازها</w:t>
      </w:r>
      <w:r>
        <w:rPr>
          <w:rFonts w:eastAsia="IRNazanin" w:cs="IRNazanin"/>
          <w:color w:val="111111"/>
          <w:sz w:val="28"/>
          <w:szCs w:val="28"/>
          <w:rtl w:val="true"/>
          <w:lang w:bidi="fa-IR"/>
        </w:rPr>
        <w:t>.</w:t>
      </w:r>
    </w:p>
    <w:p>
      <w:pPr>
        <w:pStyle w:val="Heading6"/>
        <w:numPr>
          <w:ilvl w:val="5"/>
          <w:numId w:val="1"/>
        </w:numPr>
        <w:rPr/>
      </w:pPr>
      <w:bookmarkStart w:id="251" w:name="__RefHeading___Toc2133396_237004111"/>
      <w:bookmarkStart w:id="252" w:name="_Toc98"/>
      <w:bookmarkEnd w:id="251"/>
      <w:r>
        <w:rPr>
          <w:rtl w:val="true"/>
        </w:rPr>
        <w:t>الدلیل السادس</w:t>
      </w:r>
      <w:r>
        <w:rPr>
          <w:rtl w:val="true"/>
        </w:rPr>
        <w:t xml:space="preserve">: </w:t>
      </w:r>
      <w:r>
        <w:rPr>
          <w:rtl w:val="true"/>
        </w:rPr>
        <w:t>کونهن بمنزلة الإماء یقتضی العموم</w:t>
      </w:r>
      <w:bookmarkEnd w:id="252"/>
    </w:p>
    <w:p>
      <w:pPr>
        <w:pStyle w:val="BookText"/>
        <w:rPr/>
      </w:pPr>
      <w:r>
        <w:rPr>
          <w:rFonts w:ascii="IRNazanin" w:hAnsi="IRNazanin" w:eastAsia="IRNazanin"/>
          <w:color w:val="111111"/>
          <w:sz w:val="28"/>
          <w:sz w:val="28"/>
          <w:szCs w:val="28"/>
          <w:rtl w:val="true"/>
          <w:lang w:bidi="fa-IR"/>
        </w:rPr>
        <w:t>ما ذکره فی المستمسک</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دلیل علی جواز النظر إلی جمیع بدن أمة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جعلهم بمنزلة الإماء هو ترتیب الآثار والأحکام، ومنها جواز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روایة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ورد أنهن ممالیک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ممالیک المسلمین، وفی کلیهما لا دلیل علی جواز النظر مطلقاً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تمام الکلام فی الاحتمال الأول فی الفرع الثالث، وفی المسألة </w:t>
      </w:r>
      <w:bookmarkStart w:id="253" w:name="pg6289_41891"/>
    </w:p>
    <w:p>
      <w:pPr>
        <w:pStyle w:val="BookText"/>
        <w:rPr/>
      </w:pPr>
      <w:bookmarkEnd w:id="253"/>
      <w:r>
        <w:rPr>
          <w:rFonts w:ascii="IRNazanin" w:hAnsi="IRNazanin" w:eastAsia="IRNazanin"/>
          <w:color w:val="111111"/>
          <w:sz w:val="28"/>
          <w:sz w:val="28"/>
          <w:szCs w:val="28"/>
          <w:rtl w:val="true"/>
          <w:lang w:bidi="fa-IR"/>
        </w:rPr>
        <w:t>احتمالات أخر</w:t>
      </w:r>
      <w:r>
        <w:rPr>
          <w:rFonts w:eastAsia="IRNazanin" w:cs="IRNazanin"/>
          <w:color w:val="111111"/>
          <w:sz w:val="28"/>
          <w:szCs w:val="28"/>
          <w:rtl w:val="true"/>
          <w:lang w:bidi="fa-IR"/>
        </w:rPr>
        <w:t>.</w:t>
      </w:r>
    </w:p>
    <w:p>
      <w:pPr>
        <w:pStyle w:val="Heading6"/>
        <w:numPr>
          <w:ilvl w:val="5"/>
          <w:numId w:val="1"/>
        </w:numPr>
        <w:rPr/>
      </w:pPr>
      <w:bookmarkStart w:id="254" w:name="__RefHeading___Toc2133398_237004111"/>
      <w:bookmarkStart w:id="255" w:name="_Toc99"/>
      <w:bookmarkEnd w:id="254"/>
      <w:r>
        <w:rPr>
          <w:rtl w:val="true"/>
        </w:rPr>
        <w:t>الاحتمال الثانی</w:t>
      </w:r>
      <w:r>
        <w:rPr>
          <w:rtl w:val="true"/>
        </w:rPr>
        <w:t xml:space="preserve">: </w:t>
      </w:r>
      <w:r>
        <w:rPr>
          <w:rtl w:val="true"/>
        </w:rPr>
        <w:t>جواز النظر إلی ما جرت عادتهن من کشفه</w:t>
      </w:r>
      <w:bookmarkEnd w:id="255"/>
    </w:p>
    <w:p>
      <w:pPr>
        <w:pStyle w:val="BookText"/>
        <w:rPr/>
      </w:pPr>
      <w:r>
        <w:rPr>
          <w:rFonts w:ascii="IRNazanin" w:hAnsi="IRNazanin" w:eastAsia="IRNazanin"/>
          <w:color w:val="111111"/>
          <w:sz w:val="28"/>
          <w:sz w:val="28"/>
          <w:szCs w:val="28"/>
          <w:rtl w:val="true"/>
          <w:lang w:bidi="fa-IR"/>
        </w:rPr>
        <w:t>وهو ما ذکره صاحب العروة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والأحوط الاقتصار علی المقدار الذی جرت عادتهن علی عدم ستره</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فالملاک هی العادة، والظاهر أنّ المراد عادة کل فرد، فالحکم انحلالی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باعتبار التعلیل فی موثقة عباد، بناء علی الملازمة بین جریان العادة وعدم الانتهاء بالنهی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سبق التنظر فی ذلک فی الفرع الثالث من المسألة الأولی، حیث ذکرنا أنّ عدم الانتهاء بالنهی أعم من جریان العادة، وذلک یشمل جمیع البدن، مع عدم الانتهاء بالنهی،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یتضح دلیل الاحتمال المذکور</w:t>
      </w:r>
      <w:r>
        <w:rPr>
          <w:rFonts w:eastAsia="IRNazanin" w:cs="IRNazanin"/>
          <w:color w:val="111111"/>
          <w:sz w:val="28"/>
          <w:szCs w:val="28"/>
          <w:rtl w:val="true"/>
          <w:lang w:bidi="fa-IR"/>
        </w:rPr>
        <w:t>.</w:t>
      </w:r>
    </w:p>
    <w:p>
      <w:pPr>
        <w:pStyle w:val="Heading6"/>
        <w:numPr>
          <w:ilvl w:val="5"/>
          <w:numId w:val="1"/>
        </w:numPr>
        <w:rPr/>
      </w:pPr>
      <w:bookmarkStart w:id="256" w:name="__RefHeading___Toc2133400_237004111"/>
      <w:bookmarkStart w:id="257" w:name="_Toc100"/>
      <w:bookmarkEnd w:id="256"/>
      <w:r>
        <w:rPr>
          <w:rtl w:val="true"/>
        </w:rPr>
        <w:t>الاحتمال الثالث</w:t>
      </w:r>
      <w:r>
        <w:rPr>
          <w:rtl w:val="true"/>
        </w:rPr>
        <w:t xml:space="preserve">: </w:t>
      </w:r>
      <w:r>
        <w:rPr>
          <w:rtl w:val="true"/>
        </w:rPr>
        <w:t xml:space="preserve">جواز النظر إلی ما کانت عادتهن علی عدم ستره زمن النبی </w:t>
      </w:r>
      <w:r>
        <w:rPr>
          <w:rtl w:val="true"/>
        </w:rPr>
        <w:t>(</w:t>
      </w:r>
      <w:r>
        <w:rPr>
          <w:rtl w:val="true"/>
        </w:rPr>
        <w:t>صلی الله علیه و آله</w:t>
      </w:r>
      <w:r>
        <w:rPr>
          <w:rtl w:val="true"/>
        </w:rPr>
        <w:t>)</w:t>
      </w:r>
      <w:bookmarkEnd w:id="257"/>
    </w:p>
    <w:p>
      <w:pPr>
        <w:pStyle w:val="BookText"/>
        <w:rPr/>
      </w:pPr>
      <w:r>
        <w:rPr>
          <w:rFonts w:ascii="IRNazanin" w:hAnsi="IRNazanin" w:eastAsia="IRNazanin"/>
          <w:color w:val="111111"/>
          <w:sz w:val="28"/>
          <w:sz w:val="28"/>
          <w:szCs w:val="28"/>
          <w:rtl w:val="true"/>
          <w:lang w:bidi="fa-IR"/>
        </w:rPr>
        <w:t>ما ذکره السید الگلپایگانی فی حاشیته،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الأحوط الاقتصار علی ما کانت عادتهن علی عدم ستره فی زمان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استحدث فی زماننا من عدم ستر المحاسن، فالأحوط ترک النظر</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الروحانی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فالقول بجواز النظر إلی المقدار الذی جرت </w:t>
      </w:r>
    </w:p>
    <w:p>
      <w:pPr>
        <w:pStyle w:val="BookText"/>
        <w:rPr/>
      </w:pPr>
      <w:r>
        <w:rPr>
          <w:rFonts w:ascii="IRNazanin" w:hAnsi="IRNazanin" w:eastAsia="IRNazanin"/>
          <w:color w:val="111111"/>
          <w:sz w:val="28"/>
          <w:sz w:val="28"/>
          <w:szCs w:val="28"/>
          <w:rtl w:val="true"/>
          <w:lang w:bidi="fa-IR"/>
        </w:rPr>
        <w:t>عادتهن فی تلک الأزمنة علی عدم ستره قوی</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الرجائی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المتعارف فی زمان صدور الأخبار هو کشف رؤوسهن وأیدهن فقط، والأخبار ناظرة إلی ما هو المتعارف بینهن فی تلک الأزمنة، فلا وجه للتعدی</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الأصل فی القضایا أن تکون حقیقیة لا خارجیة، کما قرره الأصولیون فی الأصول</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وبنی علیه جملة من الفقهاء فی موارد متعددة من الفقه، وهی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الشعائر، حیث ذکروا أنّ الشعائر المتجددة مشمولة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وَمَن یُعَظِّمْ شَعَائِرَ اللَّهِ فَإِنَّهَا مِن تَقْوَی الْقُلُوبِ</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المتجددة، کعقد التأمین، حیث ذکروا أنها مشمولة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الثابتة لمکة والمدینة وکربلاء والکوفة، حیث ذکروا أنها تشمل ما أضیف إلیها، منهم السید تقی القمی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تری أنه یمکن حمل المکیل والموزون والمعدود فی باب الربا علی ما کان کذلک فی عهد الشارع، أو حمل ما یؤکل ویلبس وما لا یؤکل ولا یلبس فی باب السجود علی ما کان منها فی زمان الشارع؟ </w:t>
      </w:r>
      <w:bookmarkStart w:id="258" w:name="pg6289_41893"/>
    </w:p>
    <w:p>
      <w:pPr>
        <w:pStyle w:val="BookText"/>
        <w:rPr/>
      </w:pPr>
      <w:bookmarkEnd w:id="258"/>
      <w:r>
        <w:rPr>
          <w:rFonts w:ascii="IRNazanin" w:hAnsi="IRNazanin" w:eastAsia="IRNazanin"/>
          <w:color w:val="111111"/>
          <w:sz w:val="28"/>
          <w:sz w:val="28"/>
          <w:szCs w:val="28"/>
          <w:rtl w:val="true"/>
          <w:lang w:bidi="fa-IR"/>
        </w:rPr>
        <w:t>وهل یمکن أن یخصص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أنار مسجداً فله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مصادیق الإنارة التی کانت فی عهد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6"/>
        <w:numPr>
          <w:ilvl w:val="5"/>
          <w:numId w:val="1"/>
        </w:numPr>
        <w:rPr/>
      </w:pPr>
      <w:bookmarkStart w:id="259" w:name="__RefHeading___Toc2133402_237004111"/>
      <w:bookmarkStart w:id="260" w:name="_Toc101"/>
      <w:bookmarkEnd w:id="259"/>
      <w:r>
        <w:rPr>
          <w:rtl w:val="true"/>
        </w:rPr>
        <w:t>الاحتمال الرابع</w:t>
      </w:r>
      <w:r>
        <w:rPr>
          <w:rtl w:val="true"/>
        </w:rPr>
        <w:t xml:space="preserve">: </w:t>
      </w:r>
      <w:r>
        <w:rPr>
          <w:rtl w:val="true"/>
        </w:rPr>
        <w:t xml:space="preserve">ما ذکره السید الوالد </w:t>
      </w:r>
      <w:r>
        <w:rPr>
          <w:rtl w:val="true"/>
        </w:rPr>
        <w:t>(</w:t>
      </w:r>
      <w:r>
        <w:rPr>
          <w:rtl w:val="true"/>
        </w:rPr>
        <w:t>رحمة الله</w:t>
      </w:r>
      <w:r>
        <w:rPr>
          <w:rtl w:val="true"/>
        </w:rPr>
        <w:t>)</w:t>
      </w:r>
      <w:bookmarkEnd w:id="260"/>
    </w:p>
    <w:p>
      <w:pPr>
        <w:pStyle w:val="BookText"/>
        <w:rPr/>
      </w:pPr>
      <w:r>
        <w:rPr>
          <w:rFonts w:ascii="IRNazanin" w:hAnsi="IRNazanin" w:eastAsia="IRNazanin"/>
          <w:color w:val="111111"/>
          <w:sz w:val="28"/>
          <w:sz w:val="28"/>
          <w:szCs w:val="28"/>
          <w:rtl w:val="true"/>
          <w:lang w:bidi="fa-IR"/>
        </w:rPr>
        <w:t>وهو ما ذکره فی تعلیقته علی قول السید الیزدی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 الاقتصار علی المقدار الذی جرت عادتهن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فی الزمان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هذا القرن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 الوجه والکف وبعض الذراعین، وبعض الشعر و القدمین</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استظهر إطلاق جواز النظر</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البروجردی فی حاشیته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الأزمنة السابقة</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وجه التقیید انصراف الأدلة عما استحدث، ولا یخلو من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التقیید ببعض الذراعین ینافیه الإطلاق فی موثقة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وأیدیهن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التقیید ببعض الشعر ینافیه الإطلاق والعموم فیها وفی موثقة عباد بن صهیب</w:t>
      </w:r>
      <w:r>
        <w:rPr>
          <w:rFonts w:eastAsia="IRNazanin" w:cs="IRNazanin"/>
          <w:color w:val="111111"/>
          <w:sz w:val="28"/>
          <w:szCs w:val="28"/>
          <w:rtl w:val="true"/>
          <w:lang w:bidi="fa-IR"/>
        </w:rPr>
        <w:t>.</w:t>
      </w:r>
    </w:p>
    <w:p>
      <w:pPr>
        <w:pStyle w:val="Heading6"/>
        <w:numPr>
          <w:ilvl w:val="5"/>
          <w:numId w:val="1"/>
        </w:numPr>
        <w:rPr/>
      </w:pPr>
      <w:bookmarkStart w:id="261" w:name="__RefHeading___Toc2133404_237004111"/>
      <w:bookmarkStart w:id="262" w:name="_Toc102"/>
      <w:bookmarkEnd w:id="261"/>
      <w:r>
        <w:rPr>
          <w:rtl w:val="true"/>
        </w:rPr>
        <w:t>الاحتمال الخامس</w:t>
      </w:r>
      <w:r>
        <w:rPr>
          <w:rtl w:val="true"/>
        </w:rPr>
        <w:t xml:space="preserve">: </w:t>
      </w:r>
      <w:r>
        <w:rPr>
          <w:rtl w:val="true"/>
        </w:rPr>
        <w:t>لزوم الاقتصار علی خصوص الشعور والأیدی</w:t>
      </w:r>
      <w:bookmarkEnd w:id="262"/>
    </w:p>
    <w:p>
      <w:pPr>
        <w:pStyle w:val="BookText"/>
        <w:rPr/>
      </w:pPr>
      <w:r>
        <w:rPr>
          <w:rFonts w:ascii="IRNazanin" w:hAnsi="IRNazanin" w:eastAsia="IRNazanin"/>
          <w:color w:val="111111"/>
          <w:sz w:val="28"/>
          <w:sz w:val="28"/>
          <w:szCs w:val="28"/>
          <w:rtl w:val="true"/>
          <w:lang w:bidi="fa-IR"/>
        </w:rPr>
        <w:t>وذلک لموثقة السکونی، مال إلیه السید الحکیم</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إثبات الشیء لا ینفی ما عداه، وإطلاق التعلیل فی موثقة عباد وغیره من الأدلة کافٍ فی التعمیم</w:t>
      </w:r>
      <w:r>
        <w:rPr>
          <w:rFonts w:eastAsia="IRNazanin" w:cs="IRNazanin"/>
          <w:color w:val="111111"/>
          <w:sz w:val="28"/>
          <w:szCs w:val="28"/>
          <w:rtl w:val="true"/>
          <w:lang w:bidi="fa-IR"/>
        </w:rPr>
        <w:t xml:space="preserve">. </w:t>
      </w:r>
      <w:bookmarkStart w:id="263" w:name="pg6289_41894"/>
    </w:p>
    <w:p>
      <w:pPr>
        <w:pStyle w:val="BookText"/>
        <w:rPr/>
      </w:pPr>
      <w:bookmarkEnd w:id="263"/>
      <w:r>
        <w:rPr>
          <w:rFonts w:ascii="IRNazanin" w:hAnsi="IRNazanin" w:eastAsia="IRNazanin"/>
          <w:color w:val="111111"/>
          <w:sz w:val="28"/>
          <w:sz w:val="28"/>
          <w:szCs w:val="28"/>
          <w:rtl w:val="true"/>
          <w:lang w:bidi="fa-IR"/>
        </w:rPr>
        <w:t>هذا تمام الکلام فی الفرع الثالث</w:t>
      </w:r>
      <w:r>
        <w:rPr>
          <w:rFonts w:eastAsia="IRNazanin" w:cs="IRNazanin"/>
          <w:color w:val="111111"/>
          <w:sz w:val="28"/>
          <w:szCs w:val="28"/>
          <w:rtl w:val="true"/>
          <w:lang w:bidi="fa-IR"/>
        </w:rPr>
        <w:t>.</w:t>
      </w:r>
    </w:p>
    <w:p>
      <w:pPr>
        <w:pStyle w:val="Heading5"/>
        <w:numPr>
          <w:ilvl w:val="4"/>
          <w:numId w:val="1"/>
        </w:numPr>
        <w:rPr/>
      </w:pPr>
      <w:bookmarkStart w:id="264" w:name="__RefHeading___Toc2133406_237004111"/>
      <w:bookmarkStart w:id="265" w:name="_Toc103"/>
      <w:bookmarkEnd w:id="264"/>
      <w:r>
        <w:rPr>
          <w:rtl w:val="true"/>
        </w:rPr>
        <w:t>الفرع الرابع</w:t>
      </w:r>
      <w:r>
        <w:rPr>
          <w:rtl w:val="true"/>
        </w:rPr>
        <w:t xml:space="preserve">: </w:t>
      </w:r>
      <w:r>
        <w:rPr>
          <w:rtl w:val="true"/>
        </w:rPr>
        <w:t>عدم الفرق بین عدم الستر مطلقاً أو مقیداً</w:t>
      </w:r>
      <w:bookmarkEnd w:id="265"/>
    </w:p>
    <w:p>
      <w:pPr>
        <w:pStyle w:val="BookText"/>
        <w:rPr/>
      </w:pPr>
      <w:r>
        <w:rPr>
          <w:rFonts w:ascii="IRNazanin" w:hAnsi="IRNazanin" w:eastAsia="IRNazanin"/>
          <w:color w:val="111111"/>
          <w:sz w:val="28"/>
          <w:sz w:val="28"/>
          <w:szCs w:val="28"/>
          <w:rtl w:val="true"/>
          <w:lang w:bidi="fa-IR"/>
        </w:rPr>
        <w:t>الظاهر أنه لا فرق بین عدم الستر مطلقاً أو مقیداً، وقد سبق البحث فی ذلک فی المسألة الأولی</w:t>
      </w:r>
      <w:r>
        <w:rPr>
          <w:rFonts w:eastAsia="IRNazanin" w:cs="IRNazanin"/>
          <w:color w:val="111111"/>
          <w:sz w:val="28"/>
          <w:szCs w:val="28"/>
          <w:rtl w:val="true"/>
          <w:lang w:bidi="fa-IR"/>
        </w:rPr>
        <w:t>.</w:t>
      </w:r>
    </w:p>
    <w:p>
      <w:pPr>
        <w:pStyle w:val="Heading5"/>
        <w:numPr>
          <w:ilvl w:val="4"/>
          <w:numId w:val="1"/>
        </w:numPr>
        <w:rPr/>
      </w:pPr>
      <w:bookmarkStart w:id="266" w:name="__RefHeading___Toc2133408_237004111"/>
      <w:bookmarkStart w:id="267" w:name="_Toc104"/>
      <w:bookmarkEnd w:id="266"/>
      <w:r>
        <w:rPr>
          <w:rtl w:val="true"/>
        </w:rPr>
        <w:t>الفرع الخامس</w:t>
      </w:r>
      <w:r>
        <w:rPr>
          <w:rtl w:val="true"/>
        </w:rPr>
        <w:t xml:space="preserve">: </w:t>
      </w:r>
      <w:r>
        <w:rPr>
          <w:rtl w:val="true"/>
        </w:rPr>
        <w:t>فی شروط جواز النظر</w:t>
      </w:r>
      <w:bookmarkEnd w:id="267"/>
    </w:p>
    <w:p>
      <w:pPr>
        <w:pStyle w:val="Heading6"/>
        <w:numPr>
          <w:ilvl w:val="5"/>
          <w:numId w:val="1"/>
        </w:numPr>
        <w:rPr/>
      </w:pPr>
      <w:bookmarkStart w:id="268" w:name="__RefHeading___Toc2133410_237004111"/>
      <w:bookmarkStart w:id="269" w:name="_Toc105"/>
      <w:bookmarkEnd w:id="268"/>
      <w:r>
        <w:rPr>
          <w:rtl w:val="true"/>
        </w:rPr>
        <w:t>اشارة</w:t>
      </w:r>
      <w:bookmarkEnd w:id="269"/>
    </w:p>
    <w:p>
      <w:pPr>
        <w:pStyle w:val="BookText"/>
        <w:rPr/>
      </w:pPr>
      <w:r>
        <w:rPr>
          <w:rFonts w:ascii="IRNazanin" w:hAnsi="IRNazanin" w:eastAsia="IRNazanin"/>
          <w:color w:val="111111"/>
          <w:sz w:val="28"/>
          <w:sz w:val="28"/>
          <w:szCs w:val="28"/>
          <w:rtl w:val="true"/>
          <w:lang w:bidi="fa-IR"/>
        </w:rPr>
        <w:t>إنّه یشترط فی جواز النظر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خوف الافتتان</w:t>
      </w:r>
      <w:r>
        <w:rPr>
          <w:rFonts w:eastAsia="IRNazanin" w:cs="IRNazanin"/>
          <w:color w:val="111111"/>
          <w:sz w:val="28"/>
          <w:szCs w:val="28"/>
          <w:rtl w:val="true"/>
          <w:lang w:bidi="fa-IR"/>
        </w:rPr>
        <w:t>.</w:t>
      </w:r>
    </w:p>
    <w:p>
      <w:pPr>
        <w:pStyle w:val="Heading6"/>
        <w:numPr>
          <w:ilvl w:val="5"/>
          <w:numId w:val="1"/>
        </w:numPr>
        <w:rPr/>
      </w:pPr>
      <w:bookmarkStart w:id="270" w:name="__RefHeading___Toc2133412_237004111"/>
      <w:bookmarkStart w:id="271" w:name="_Toc106"/>
      <w:bookmarkEnd w:id="270"/>
      <w:r>
        <w:rPr>
          <w:rtl w:val="true"/>
        </w:rPr>
        <w:t>الشرط الأول</w:t>
      </w:r>
      <w:r>
        <w:rPr>
          <w:rtl w:val="true"/>
        </w:rPr>
        <w:t xml:space="preserve">: </w:t>
      </w:r>
      <w:r>
        <w:rPr>
          <w:rtl w:val="true"/>
        </w:rPr>
        <w:t>عدم اللذة</w:t>
      </w:r>
      <w:bookmarkEnd w:id="271"/>
    </w:p>
    <w:p>
      <w:pPr>
        <w:pStyle w:val="BookText"/>
        <w:rPr/>
      </w:pPr>
      <w:r>
        <w:rPr>
          <w:rFonts w:ascii="IRNazanin" w:hAnsi="IRNazanin" w:eastAsia="IRNazanin"/>
          <w:color w:val="111111"/>
          <w:sz w:val="28"/>
          <w:sz w:val="28"/>
          <w:szCs w:val="28"/>
          <w:rtl w:val="true"/>
          <w:lang w:bidi="fa-IR"/>
        </w:rPr>
        <w:t>وقد یستدل علیه بأدلّة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أبیه، عن عبد الله بن الفضل، عن أبیه، عن رجل،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أینظر الرجل إلی المرأة یرید تزویجها فینظر إلی شعرها و محاسنها؟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إذا لم یکن متلذذاً</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إرادة التزویج لا یجوز التلذذ، وإطلاقه کما یشمل إرادة التزویج بالمسلمة یشمل إرادة التزویج بالکافرة، فکیف یجوز التلذذ مع عدم إرادة التزویج؟</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الوالد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لوحدة المناط فی المقامین</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ضعیف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جهالة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مجبور بالفتوی،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الشیخ الأعظم من أنّ فیه الفساد المنهی عنه</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المفروض عدم خوف الوقوع فی الفساد علی ما سیأتی فی الشرط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 التلذذ فساداً فی حد نفسه لا مقدمة للفساد فهو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یستدل علی کونه فساداً بالارتکاز المتشرعی، وسیأتی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المهذب من أنه المرتکز فی أذهان المتشرعة من العوام</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 أراد بذلک القبح عند العوام، فکیف بغیرهم؟</w:t>
      </w:r>
    </w:p>
    <w:p>
      <w:pPr>
        <w:pStyle w:val="BookText"/>
        <w:rPr/>
      </w:pPr>
      <w:r>
        <w:rPr>
          <w:rFonts w:ascii="IRNazanin" w:hAnsi="IRNazanin" w:eastAsia="IRNazanin"/>
          <w:color w:val="111111"/>
          <w:sz w:val="28"/>
          <w:sz w:val="28"/>
          <w:szCs w:val="28"/>
          <w:rtl w:val="true"/>
          <w:lang w:bidi="fa-IR"/>
        </w:rPr>
        <w:t>والظاهر أنه منکر فی أذهان المتشرعة إلی حدّ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الارتکاز متحقق مع خلوه من قصد الریبة وخوف الافتتان؟</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التلذذ بمعنی التلذذ الشهوی، والارتکاز متحقق فیه، وهو غیر الریبة، فالتلذذ نوعان، فتارة یحصل من النظر إلی الورود والأنهار، وتارة تلذذ وتحریک شهوی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معلومیة الحرمة عند الأصحاب والمفروغیة منه</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وکأنه متسالم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الإجماع فی المهذب</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العمدة فی دلیله الإجماع ظاهراً، وإلا فالنص مطلق</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ثبوت الإجماع</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متحقق فی الحقیقة، ومحکی فی بعض المواضع حکایة مستفیضة</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فی ذلک</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المذکور مدرکی، و هم لا یعتبرونه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الأصول لم یعتبروه، ولکن بنوا علیه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الأدلة المجوزة عن هذه الصورة، فیکون المحکم عمومات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بانصراف النص إلی غیر ذلک</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المنساق من إذن سادات الأنام</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فی فقه الصادق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النصوص مطلقة</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الإطلاق لا ینافی الانصراف، ولعل الانصراف مسبب عن الارتکاز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الجعفریات، وفیها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یتعمد ذلک</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السند مخدوش، کما سبق</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عدم کون النظر مقصوداً بالأصالة، کما سبق احتماله</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هذا القید فی ذیل موثقة 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یتعمد ذلک</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قد سبق</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ظهور القید فی الرجوع إلی الجملة الأخیرة فقط،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ذکر ثانیاً فی جواب الدلیل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ما فی الجواهر من الاستدلال علی المدعی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إشعار النصوص، بل ظهورها، بل صریح بعضها فیه</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هذین الخبرین ونحوهما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أشکل علیه السید الروحانی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لم نعثر علی خبر یکون ظاهراً </w:t>
      </w:r>
    </w:p>
    <w:p>
      <w:pPr>
        <w:pStyle w:val="BookText"/>
        <w:rPr/>
      </w:pPr>
      <w:r>
        <w:rPr>
          <w:rFonts w:ascii="IRNazanin" w:hAnsi="IRNazanin" w:eastAsia="IRNazanin"/>
          <w:color w:val="111111"/>
          <w:sz w:val="28"/>
          <w:sz w:val="28"/>
          <w:szCs w:val="28"/>
          <w:rtl w:val="true"/>
          <w:lang w:bidi="fa-IR"/>
        </w:rPr>
        <w:t>فی ذلک فضلا عن الصراحة</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الدلیل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ذکره السید الخوئی،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وتدل علیه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لِّلْمُؤْمِنِینَ یَغُضُّوا مِنْ أَبْصَارِهِمْ</w:t>
      </w:r>
      <w:r>
        <w:rPr>
          <w:rFonts w:eastAsia="Amiri" w:cs="Amiri" w:ascii="Amiri" w:hAnsi="Amiri"/>
          <w:color w:val="111111"/>
          <w:sz w:val="28"/>
          <w:szCs w:val="28"/>
          <w:rtl w:val="true"/>
          <w:lang w:bidi="ar-SA"/>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تدل علی لزوم کف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بمعنی الانصراف عن الشیء 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فتدل علی حرمة جمیع أنواع الاستمتاع من المرأة ما عدا المملوکة والزوجة، وعلیه فإذا ثبت من الخارج جواز النظر إلی بعض أعضاء المرأة علم أن المراد من ذلک إنما هو النظر البحت لا المشوب بنوع من الاستمتاع والتلذذ</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دلیل جواز النظر مطلق، یشمل المشوب باللذة وغیر المشوب، فیتعارض الدلیلان بالعموم من وجه فیتساقطان، ویرجع إلی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عارض الکتاب یرمی به عرض الجدار، بلا فرق بین کون المعارضة بالتباین الکلی أو العموم من وجه، فتأمل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والأولی أن 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ذکره فی تفسیر الآیة الکریمة خلاف الظاهر؛ إذ الظاهر کون المراد التقلیل من النظر إذا کان الغض بمعنی النقصان، أو کف النظر إذا کان الغض بمعنی إطباق الجفن لا قطع النظر عن الاستمتاعات الجنسیة، ولم أر من المفسرین من ذکر هذا المعنی، فراجع تبیین القرآن وتقریب القرآن والتفسیر الکبیر والکشاف ومجمع البیان </w:t>
      </w:r>
    </w:p>
    <w:p>
      <w:pPr>
        <w:pStyle w:val="BookText"/>
        <w:rPr/>
      </w:pPr>
      <w:r>
        <w:rPr>
          <w:rFonts w:ascii="IRNazanin" w:hAnsi="IRNazanin" w:eastAsia="IRNazanin"/>
          <w:color w:val="111111"/>
          <w:sz w:val="28"/>
          <w:sz w:val="28"/>
          <w:szCs w:val="28"/>
          <w:rtl w:val="true"/>
          <w:lang w:bidi="fa-IR"/>
        </w:rPr>
        <w:t>والمیزان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الوالد فی تقریب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الغض النقصان،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 من صوته وبصره، أی قلل منهما ونقص، والمعنی غمض العین عما لا یحل النظر إلیه، وإنما جیء بالغض ومن لأنّ الصرف عن الحرام لا یتوقف علی الغمض، بل علی غض بعض البصر بأن لا یمد عینه نحو المحرم</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الکشاف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للتبعیض، والمراد غض البصر عما یحرم والاقتصار فیه علی ما یحل</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ویؤیده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طویل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وفرض الله علی البصر أن لا ینظر إلی ما حرم الله علیه، وأن یعرض عما نهی الله عنه مما لا یحل له وهو عمله وهو من الإیمان، فقال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لِّلْمُؤْمِنِینَ یَغُضُّوا مِنْ أَبْصَارِهِمْ وَیَحْفَظُوا فُرُوجَهُمْ</w:t>
      </w:r>
      <w:r>
        <w:rPr>
          <w:rFonts w:eastAsia="Amiri" w:cs="Amiri" w:ascii="Amiri" w:hAnsi="Amiri"/>
          <w:color w:val="111111"/>
          <w:sz w:val="28"/>
          <w:szCs w:val="28"/>
          <w:rtl w:val="true"/>
          <w:lang w:bidi="ar-SA"/>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فنهاهم أن ینظروا إلی عوراتهم، وأن ینظر المرء إلی فرج أخیه</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بینهما عموم من وجه، فإن الکف أو التقلیل نوعان، إما من اللذة أو غیر اللذة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النسبة عموم مطلق، فإن النظر بکل أنواعه إلی کل امرأة مشمول للآیة، والنظر إلی أهل الذمة أخص من مطلق النظر</w:t>
      </w:r>
      <w:r>
        <w:rPr>
          <w:rFonts w:eastAsia="IRNazanin" w:cs="IRNazanin"/>
          <w:color w:val="111111"/>
          <w:sz w:val="28"/>
          <w:szCs w:val="28"/>
          <w:rtl w:val="true"/>
          <w:lang w:bidi="fa-IR"/>
        </w:rPr>
        <w:t xml:space="preserve">. </w:t>
      </w:r>
      <w:bookmarkStart w:id="272" w:name="pg6289_41900"/>
    </w:p>
    <w:p>
      <w:pPr>
        <w:pStyle w:val="BookText"/>
        <w:rPr/>
      </w:pPr>
      <w:bookmarkEnd w:id="272"/>
      <w:r>
        <w:rPr>
          <w:rFonts w:ascii="IRNazanin" w:hAnsi="IRNazanin" w:eastAsia="IRNazanin"/>
          <w:color w:val="111111"/>
          <w:sz w:val="28"/>
          <w:sz w:val="28"/>
          <w:szCs w:val="28"/>
          <w:rtl w:val="true"/>
          <w:lang w:bidi="fa-IR"/>
        </w:rPr>
        <w:t>فمفاد الآیة حرمة کل أنواع النظر إلی کل الأجنبیات، للإطلاق المستفاد من حذف المتعلق، ومفاد الروایة جواز کل أنواع النظر بخصوص الذمیات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قال فی مبانی المنهاج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المستفاد من الحدیث</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النظر مع التلذذ والشهوة، حیث قید الجواز فی الذیل بعدم التعمد، والتقسیم قاطع للشرکة</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ثبت النهی بالدلیل الخارجی، مع أنه لم یثبت کون المراد بالتعمد ما ذکره علی ما سبق،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المحکی عن الشیخ الأعظم إنه لو وقع التلذذ فی أثناء النظر إلی وجه المسلمة لم یجب الکف إذا لم یکن النظر بقصد التلذذ</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ثبت ذلک فی النظر إلی وجه المسلمة ثبت فی النظر إلی وجه الکافرة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المختار هنالک وجوب الکف، وعدم جواز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الشرط الأول</w:t>
      </w:r>
      <w:r>
        <w:rPr>
          <w:rFonts w:eastAsia="IRNazanin" w:cs="IRNazanin"/>
          <w:color w:val="111111"/>
          <w:sz w:val="28"/>
          <w:szCs w:val="28"/>
          <w:rtl w:val="true"/>
          <w:lang w:bidi="fa-IR"/>
        </w:rPr>
        <w:t>.</w:t>
      </w:r>
    </w:p>
    <w:p>
      <w:pPr>
        <w:pStyle w:val="Heading6"/>
        <w:numPr>
          <w:ilvl w:val="5"/>
          <w:numId w:val="1"/>
        </w:numPr>
        <w:rPr/>
      </w:pPr>
      <w:bookmarkStart w:id="273" w:name="__RefHeading___Toc2133414_237004111"/>
      <w:bookmarkStart w:id="274" w:name="_Toc107"/>
      <w:bookmarkEnd w:id="273"/>
      <w:r>
        <w:rPr>
          <w:rtl w:val="true"/>
        </w:rPr>
        <w:t>الشرط الثانی</w:t>
      </w:r>
      <w:r>
        <w:rPr>
          <w:rtl w:val="true"/>
        </w:rPr>
        <w:t xml:space="preserve">: </w:t>
      </w:r>
      <w:r>
        <w:rPr>
          <w:rtl w:val="true"/>
        </w:rPr>
        <w:t>عدم خوف الوقوع فی الحرام</w:t>
      </w:r>
      <w:bookmarkEnd w:id="27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القاعدة الأولیة عدم حرمة ما یخاف معه الوقوع فی الحرام، بل عدم حرمة ما یعلم معه الوقوع فیه؛ وذلک لما تقرر فی محله من عدم حرمة مقدمة الحرام</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نعم، مقدمة الحرام محرمة عقلاً، لکن الحرمة العقلیة لا تلازم الحرمة الشرعیة، مع أنّ الحرمة العقلیة مقدمیة لا 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یمکن إثبات الحرمة الشرعیة فی المقام بتقریرین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القاعدة الأولیة تقتضی حرمة النظر إلی الأجنبیة، وقد خصصت هذه القاعدة بالأدلة الدالة علی جواز النظر إلی الکوافر، والنصوص المخصصة منصرفة إلی غیر صورة خوف الوقوع فی الحرام، فیرجع فی صورة الخوف إلی عمومات أدلة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بانصراف النص إلی غیر ذلک</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المنساق من إذن سادات الأنام</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وأجاب السید الروحانی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النصوص مطلقة</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الإطلاق لا ینافی الانصراف کما سبق،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للانصراف وعهدته علی مدعیه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وصلت النوبة إلی ادعاء الانصراف ینقطع البحث، وفی المقام القاعدة الأولیة هی الحرمة، والشارع أخرج منها فرداً، فهل یشمل حتی مع خوف الوقوع فی الحرام؟ کما تسلّمون بالانصراف مع العلم بالوقوع فی الحرام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المصداق الغالب لهذه الروایة صورة خوف الوقوع فی الحرام، </w:t>
      </w:r>
    </w:p>
    <w:p>
      <w:pPr>
        <w:pStyle w:val="BookText"/>
        <w:rPr/>
      </w:pPr>
      <w:r>
        <w:rPr>
          <w:rFonts w:ascii="IRNazanin" w:hAnsi="IRNazanin" w:eastAsia="IRNazanin"/>
          <w:color w:val="111111"/>
          <w:sz w:val="28"/>
          <w:sz w:val="28"/>
          <w:szCs w:val="28"/>
          <w:rtl w:val="true"/>
          <w:lang w:bidi="fa-IR"/>
        </w:rPr>
        <w:t>حیث تتحقق اللذة مع النظر عادة، ومعه أطلق المولی، فلا یمکن الانصراف عن المورد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بلذة حرام بنفسه، ثم إنه هل یمکن الالتزام بذلک فیما لو خاف أن یؤدی النظر إلی الفاحشة أو التقبیل أو الضم، منتهی الأمر قبول الشرط، إلا فی النظر الذی یخاف أن یؤدی إلی النظر الالتذاذی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فرض عدم انصراف النصوص المخصصة لا بد من تقیید هذه النصوص؛ وذلک 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ذکره فی المهذب</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فقه الصادق</w:t>
      </w:r>
      <w:r>
        <w:rPr>
          <w:rFonts w:eastAsia="IRNazanin" w:cs="IRNazanin"/>
          <w:color w:val="111111"/>
          <w:sz w:val="28"/>
          <w:szCs w:val="28"/>
          <w:rtl w:val="true"/>
          <w:lang w:bidi="fa-IR"/>
        </w:rPr>
        <w:t>(</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معلومیة الحرمة عند الأصحاب والمفروغیة منه</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شرح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المرتکز فی أذهان المتشرعة من العوام</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ولعله هو مراد الشیخ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حرمة النظر مع خوف الوقوع فی الحرام</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ذکره السید الخوئی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بالنسبة إلی اعتبار عدم الریبة فیمکن التمسک فیه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ابْتَغَی وَرَاء ذَلِکَ فَأُوْلَئِکَ هُمُ الْعَادُونَ</w:t>
      </w:r>
      <w:r>
        <w:rPr>
          <w:rFonts w:eastAsia="Amiri" w:cs="Amiri" w:ascii="Amiri" w:hAnsi="Amiri"/>
          <w:color w:val="111111"/>
          <w:sz w:val="28"/>
          <w:szCs w:val="28"/>
          <w:rtl w:val="true"/>
          <w:lang w:bidi="ar-SA"/>
        </w:rPr>
        <w:t>}(</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الحفظ لما کان بمعنی الاهتمام بالشیء کی لا یقع فی خلاف ما ینتظره، کان مدلول الآیة الکریمة أنه لا بد من التحفظ علی الفرج من الزنا، وحیث إنّ النظر إلیهن مع الریبة یجعل العورة فی معرض الزنا کان مشمولاً للنهی</w:t>
      </w:r>
      <w:r>
        <w:rPr>
          <w:rFonts w:eastAsia="IRNazanin" w:cs="IRNazanin"/>
          <w:color w:val="111111"/>
          <w:sz w:val="28"/>
          <w:szCs w:val="28"/>
          <w:rtl w:val="true"/>
          <w:lang w:bidi="fa-IR"/>
        </w:rPr>
        <w:t>»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الحفظ عبارة عن الصیانة، والمفروض أنه صانه عن الفعل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متجرٍّ، لکن التجری علی الشیء مغایر للتضییع؛ ولذا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یحفظ فرجه إذا لم یقع فی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ذلک یمکن أن یقال فی حفظ 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الثمرة فی أنه لو لم یحفظ الأمانة فیما ینبغی حفظها فیه، لکن اتفق عدم ضیاعها لم یکن عاصیاً لأدلة وجوب حفظ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متجرٍّ، وربما یکون عاصیاً من تلک الجهة، بناءً علی کون التجری علی المعصیة معصیة، فتأمل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إشعار النصوص، بل ظهورها، بل صریح بعضها فیه</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275" w:name="pg6289_41904"/>
    </w:p>
    <w:p>
      <w:pPr>
        <w:pStyle w:val="BookText"/>
        <w:rPr/>
      </w:pPr>
      <w:bookmarkEnd w:id="275"/>
      <w:r>
        <w:rPr>
          <w:rFonts w:ascii="IRNazanin" w:hAnsi="IRNazanin" w:eastAsia="IRNazanin"/>
          <w:color w:val="111111"/>
          <w:sz w:val="28"/>
          <w:sz w:val="28"/>
          <w:szCs w:val="28"/>
          <w:rtl w:val="true"/>
          <w:lang w:bidi="fa-IR"/>
        </w:rPr>
        <w:t>ولا یخفی عدم وضوح عبارته، وإن کان یحتمل إرادته الاستدلال بذلک علی شرطیة عدم التلذذ، ویحتمل إرادته لکلا الشرطین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نصاً یدل علی ذلک، إلا أن یستدل بالعمومات،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الزِّنَی</w:t>
      </w:r>
      <w:r>
        <w:rPr>
          <w:rFonts w:eastAsia="Amiri" w:cs="Amiri" w:ascii="Amiri" w:hAnsi="Amiri"/>
          <w:color w:val="111111"/>
          <w:sz w:val="28"/>
          <w:szCs w:val="28"/>
          <w:rtl w:val="true"/>
          <w:lang w:bidi="ar-SA"/>
        </w:rPr>
        <w:t>}(</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فالنهی عن القرب ظاهره الحرمة، فیکون الذهاب إلی بیت الفاحشة مشمولاً لهذه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 خُطُوَاتِ الشَّیْطَانِ</w:t>
      </w:r>
      <w:r>
        <w:rPr>
          <w:rFonts w:eastAsia="Amiri" w:cs="Amiri" w:ascii="Amiri" w:hAnsi="Amiri"/>
          <w:color w:val="111111"/>
          <w:sz w:val="28"/>
          <w:szCs w:val="28"/>
          <w:rtl w:val="true"/>
          <w:lang w:bidi="ar-SA"/>
        </w:rPr>
        <w:t>}(</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أَنفُسَکُمْ وَأَهْلِیکُمْ نَاراً</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الظاهر أنّ النهی فیها مقدمی؛ ولذا لا تعتبر کل مقدمة معصیة مستقلة، وإلاّ فالذنب الذی فیه ألف مقدمة کان فیه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وعقاب،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أنه وافق علی هذا الشرط کل من رأیت حواشیهم علی العروة، وهم ثمانیة عشر فقیهاً، فلم یناقشوا فیه</w:t>
      </w:r>
      <w:r>
        <w:rPr>
          <w:rFonts w:eastAsia="IRNazanin" w:cs="IRNazanin"/>
          <w:color w:val="111111"/>
          <w:sz w:val="28"/>
          <w:szCs w:val="28"/>
          <w:rtl w:val="true"/>
          <w:lang w:bidi="fa-IR"/>
        </w:rPr>
        <w:t>.</w:t>
      </w:r>
    </w:p>
    <w:p>
      <w:pPr>
        <w:pStyle w:val="Heading6"/>
        <w:numPr>
          <w:ilvl w:val="5"/>
          <w:numId w:val="1"/>
        </w:numPr>
        <w:rPr/>
      </w:pPr>
      <w:bookmarkStart w:id="276" w:name="__RefHeading___Toc2133416_237004111"/>
      <w:bookmarkStart w:id="277" w:name="_Toc108"/>
      <w:bookmarkEnd w:id="276"/>
      <w:r>
        <w:rPr>
          <w:rtl w:val="true"/>
        </w:rPr>
        <w:t>الشرط الثالث</w:t>
      </w:r>
      <w:r>
        <w:rPr>
          <w:rtl w:val="true"/>
        </w:rPr>
        <w:t xml:space="preserve">: </w:t>
      </w:r>
      <w:r>
        <w:rPr>
          <w:rtl w:val="true"/>
        </w:rPr>
        <w:t>عدم الریبة</w:t>
      </w:r>
      <w:bookmarkEnd w:id="277"/>
    </w:p>
    <w:p>
      <w:pPr>
        <w:pStyle w:val="Heading6"/>
        <w:numPr>
          <w:ilvl w:val="5"/>
          <w:numId w:val="1"/>
        </w:numPr>
        <w:rPr/>
      </w:pPr>
      <w:bookmarkStart w:id="278" w:name="__RefHeading___Toc2133418_237004111"/>
      <w:bookmarkStart w:id="279" w:name="_Toc109"/>
      <w:bookmarkEnd w:id="278"/>
      <w:r>
        <w:rPr>
          <w:rtl w:val="true"/>
        </w:rPr>
        <w:t>اشارة</w:t>
      </w:r>
      <w:bookmarkEnd w:id="279"/>
    </w:p>
    <w:p>
      <w:pPr>
        <w:pStyle w:val="BookText"/>
        <w:rPr/>
      </w:pPr>
      <w:r>
        <w:rPr>
          <w:rFonts w:ascii="IRNazanin" w:hAnsi="IRNazanin" w:eastAsia="IRNazanin"/>
          <w:color w:val="111111"/>
          <w:sz w:val="28"/>
          <w:sz w:val="28"/>
          <w:szCs w:val="28"/>
          <w:rtl w:val="true"/>
          <w:lang w:bidi="fa-IR"/>
        </w:rPr>
        <w:t>ویقع البحث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الریبة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الدلیل علی حرمة النظر بریبة</w:t>
      </w:r>
      <w:r>
        <w:rPr>
          <w:rFonts w:eastAsia="IRNazanin" w:cs="IRNazanin"/>
          <w:color w:val="111111"/>
          <w:sz w:val="28"/>
          <w:szCs w:val="28"/>
          <w:rtl w:val="true"/>
          <w:lang w:bidi="fa-IR"/>
        </w:rPr>
        <w:t xml:space="preserve">. </w:t>
      </w:r>
      <w:bookmarkStart w:id="280" w:name="pg6289_41905"/>
    </w:p>
    <w:p>
      <w:pPr>
        <w:pStyle w:val="Heading6"/>
        <w:numPr>
          <w:ilvl w:val="5"/>
          <w:numId w:val="1"/>
        </w:numPr>
        <w:rPr/>
      </w:pPr>
      <w:bookmarkStart w:id="281" w:name="__RefHeading___Toc2133420_237004111"/>
      <w:bookmarkStart w:id="282" w:name="_Toc110"/>
      <w:bookmarkEnd w:id="280"/>
      <w:bookmarkEnd w:id="281"/>
      <w:r>
        <w:rPr>
          <w:rtl w:val="true"/>
        </w:rPr>
        <w:t>المقام الأول</w:t>
      </w:r>
      <w:r>
        <w:rPr>
          <w:rtl w:val="true"/>
        </w:rPr>
        <w:t xml:space="preserve">: </w:t>
      </w:r>
      <w:r>
        <w:rPr>
          <w:rtl w:val="true"/>
        </w:rPr>
        <w:t>فی معنی الریبة</w:t>
      </w:r>
      <w:bookmarkEnd w:id="282"/>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معنی الریبة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معناها هو خوف الوقوع فی الحرام</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وأقرّهُ علیه جمیع من رأیت حواشیهم علی العروة، والسید السبزواری</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الروحانی</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أن یکون المراد بها خوف الوقوع معها فی محرم، وهو المعبر عنه بخوف الفتنة</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فی نهایة المرام</w:t>
      </w:r>
      <w:r>
        <w:rPr>
          <w:rFonts w:eastAsia="IRNazanin" w:cs="IRNazanin"/>
          <w:color w:val="111111"/>
          <w:sz w:val="28"/>
          <w:szCs w:val="28"/>
          <w:rtl w:val="true"/>
          <w:lang w:bidi="fa-IR"/>
        </w:rPr>
        <w:t>(</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وکفایة الأحکام</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 المراد من الریبة خوف الوقوع معها فی محرم، ولعله هو المعبر عنه بخوف الفتنة</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شرح اللمعة فسر الریبة بخوف الفتنة</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الباب عنوانان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النظر بلذة، وأن لا یکون بریبة،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یخاف الوقوع فی الحرام، ولا عنوان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وتدل علی الحرمة بهذا المعنی الأدلة التی مضت فی الشرط الثانی، فلیس هذا شرطاً جدیداً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یحتاج إلی تدقیق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کشف اللثام،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ما یخطر بالبال من النظر دون التلذذ به أو خوف افتتان، والفرق بینه وبین الریبة ظاهر مما عرفت؛ ولذا ذکر الثلاثة فی التذکرة</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مراده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یخطر بالبال من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لعله الظاهر منه الخواطر السیئة، کأن ینظر إلیها مخطراً بباله تقبیلها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قال السید الحکیم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والمراد مما یخطر بالبال من النظر المیل إلی الوقوع فی الحرام مع المنظور إلیه، وإن کان عالماً بعدم وقوعه</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 إذ تصور الشیء مغایر للمیل إلیه وسابق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ینفک المیل عن الخطور، وإن أمکن انفکاک الخطور عن المیل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تصور مائدة الطعام الشهی، لکن لا یمیل إلیه، فالتصور مرحلة متقدمة، والمیل إلی الشیء مرحلة متأخرة قد تعقب المرحلة الأولی وقد لا تعقبها، فیبعد تفسیر الخطور بالمیل، فقد یتحقق الخطور ولا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کلما تحقق المیل تحقق الخطور، حیث لا یمکن المیل إلی الشیء بدون تصوره، فتفسیر السید الحکیم تفسیر بالأخص</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الخطور صورة ذهنیة مجردة، فقد یشتاق وقد لا یشتاق، </w:t>
      </w:r>
      <w:bookmarkStart w:id="283" w:name="pg6289_41907"/>
    </w:p>
    <w:p>
      <w:pPr>
        <w:pStyle w:val="BookText"/>
        <w:rPr/>
      </w:pPr>
      <w:bookmarkEnd w:id="283"/>
      <w:r>
        <w:rPr>
          <w:rFonts w:ascii="IRNazanin" w:hAnsi="IRNazanin" w:eastAsia="IRNazanin"/>
          <w:color w:val="111111"/>
          <w:sz w:val="28"/>
          <w:sz w:val="28"/>
          <w:szCs w:val="28"/>
          <w:rtl w:val="true"/>
          <w:lang w:bidi="fa-IR"/>
        </w:rPr>
        <w:t>والمیل انجذاب واشتیاق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الوالد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الریبة قصد السوء،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إلی زید نظرة مریبة فی مقابل النظرة البریئة، کأن ینظر إلیها بقصد الزنا بها أو ما أشبه، وإن لم تکن لذة فعلیة</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القصد بمعنی الإجماع والإرادة، وهو متأخر عن التصور والمیل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أمکن وقوع الحرام المقصود فی الخارج کان مآل ذلک إلی الشرط الثانی، وإن لم یمکن وقوعه فی الخارج کان ذلک عبارة عن المیل لا شیئاً آخر قباله،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الاحتمال الثانی توجد ثلاثة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الخطور والمیل والقصد حسب اختلاف التعبیرات</w:t>
      </w:r>
      <w:r>
        <w:rPr>
          <w:rFonts w:eastAsia="IRNazanin" w:cs="IRNazanin"/>
          <w:color w:val="111111"/>
          <w:sz w:val="28"/>
          <w:szCs w:val="28"/>
          <w:rtl w:val="true"/>
          <w:lang w:bidi="fa-IR"/>
        </w:rPr>
        <w:t>.</w:t>
      </w:r>
    </w:p>
    <w:p>
      <w:pPr>
        <w:pStyle w:val="Heading6"/>
        <w:numPr>
          <w:ilvl w:val="5"/>
          <w:numId w:val="1"/>
        </w:numPr>
        <w:rPr/>
      </w:pPr>
      <w:bookmarkStart w:id="284" w:name="__RefHeading___Toc2133422_237004111"/>
      <w:bookmarkStart w:id="285" w:name="_Toc111"/>
      <w:bookmarkEnd w:id="284"/>
      <w:r>
        <w:rPr>
          <w:rtl w:val="true"/>
        </w:rPr>
        <w:t>المقام الثانی</w:t>
      </w:r>
      <w:r>
        <w:rPr>
          <w:rtl w:val="true"/>
        </w:rPr>
        <w:t xml:space="preserve">: </w:t>
      </w:r>
      <w:r>
        <w:rPr>
          <w:rtl w:val="true"/>
        </w:rPr>
        <w:t>فی الدلیل علی حرمة النظر بریبة</w:t>
      </w:r>
      <w:bookmarkEnd w:id="285"/>
    </w:p>
    <w:p>
      <w:pPr>
        <w:pStyle w:val="BookText"/>
        <w:rPr/>
      </w:pPr>
      <w:r>
        <w:rPr>
          <w:rFonts w:ascii="IRNazanin" w:hAnsi="IRNazanin" w:eastAsia="IRNazanin"/>
          <w:color w:val="111111"/>
          <w:sz w:val="28"/>
          <w:sz w:val="28"/>
          <w:szCs w:val="28"/>
          <w:rtl w:val="true"/>
          <w:lang w:bidi="fa-IR"/>
        </w:rPr>
        <w:t>أما علی الاحتمال الأول</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مضی</w:t>
      </w:r>
      <w:r>
        <w:rPr>
          <w:rFonts w:eastAsia="IRNazanin" w:cs="IRNazanin"/>
          <w:color w:val="111111"/>
          <w:sz w:val="28"/>
          <w:szCs w:val="28"/>
          <w:rtl w:val="true"/>
          <w:lang w:bidi="fa-IR"/>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الأدلة تدل علی الحرمة بهذا المعنی، والتی مضت فی الشرط الثانی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الاحتمال الثانی</w:t>
      </w:r>
      <w:r>
        <w:rPr>
          <w:rFonts w:eastAsia="IRNazanin" w:cs="IRNazanin"/>
          <w:color w:val="111111"/>
          <w:sz w:val="28"/>
          <w:szCs w:val="28"/>
          <w:rtl w:val="true"/>
          <w:lang w:bidi="fa-IR"/>
        </w:rPr>
        <w:t>(</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استدل السید الوالد</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الاشتراط </w:t>
      </w:r>
    </w:p>
    <w:p>
      <w:pPr>
        <w:pStyle w:val="BookText"/>
        <w:rPr/>
      </w:pPr>
      <w:r>
        <w:rPr>
          <w:rFonts w:ascii="IRNazanin" w:hAnsi="IRNazanin" w:eastAsia="IRNazanin"/>
          <w:color w:val="111111"/>
          <w:sz w:val="28"/>
          <w:sz w:val="28"/>
          <w:szCs w:val="28"/>
          <w:rtl w:val="true"/>
          <w:lang w:bidi="fa-IR"/>
        </w:rPr>
        <w:t>بالمعنی الذی ذکره،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تأمل؛ إذ أغلب مَن رأینا کلماتهم ومنهم صاحب العروة وکل المحشین لم یذکروا هذا الشرط، بل فسروهُ بالشرط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الاقتصار علی عدم التلذذ والریبة بمعنی خوف الوقوع معها فی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المتن</w:t>
      </w:r>
      <w:r>
        <w:rPr>
          <w:rFonts w:eastAsia="IRNazanin" w:cs="IRNazanin"/>
          <w:color w:val="111111"/>
          <w:sz w:val="28"/>
          <w:szCs w:val="28"/>
          <w:rtl w:val="true"/>
          <w:lang w:bidi="fa-IR"/>
        </w:rPr>
        <w:t>(</w:t>
      </w:r>
      <w:r>
        <w:rPr>
          <w:rStyle w:val="FootnoteAnchor"/>
          <w:rtl w:val="true"/>
        </w:rPr>
        <w:footnoteReference w:id="31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أجود</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بانصراف النص عن ذلک، فنصوص التجویز لا تشمل النظرة التی یقصد بها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یستدل أیضاً علی الاشتراط بکل المعانی بارتکاز المتشرعة، حیث إنّ النظر بقصد السوء أو مع المیل إلی الوقوع فی الحرام مع المنظور إلیه، أو مصحوباً بالخواطر السیئة مستنکر فی أذهان المتشرعة،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یستدل علی الاشتراط بورود کلمة عدم الریبة فی کلمات الفقهاء، مرسلین الشرطیة إرسال المسلمات، وحیث إنّ مقصود المعظم مجمل، فتکون جمیع المعانی المحتملة طرفاً للعلم الإجمالی، فیحتاط باشتراط الجمیع</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بعض المصادر التی تطرقت إلی ذکر الریبة أو اللذة والریبة معاً بدون تفسیر، وقد تلقوا شرطیتها تلقی المسلمات،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والنهایة والسرائر والشرائع والقواعد والتحریر والمختلف وإیضاح الفوائد وجامع </w:t>
      </w:r>
    </w:p>
    <w:p>
      <w:pPr>
        <w:pStyle w:val="BookText"/>
        <w:rPr/>
      </w:pP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التذکرة اشترط عدم الریبة واللذة مع أمن الفتنة</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المهذب البارع اشترط أمن الفتنة وعدم التلذذ وأن لا یکون لریبة</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فی المصادر التی ذکرناها سابقاً فسّرت الریبة بخوف الفتنة، کالروضة والمسالک ونهایة المرام وکفایة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یقال بانحلال العلم الإجمالی، حیث إنّ شرطیة عدم خوف الفتنة مسلَّم؛ لما سبق من الأدلة، ومع تنجز أحد أطراف العلم الإجمالی بمنجز سابق ینحل، فتجری فی سائر الأطراف أصالة البراءة، کما لو سقطت قطرة دم فی أحد إناءین أحدهما المعین مستصحب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الریبة فسرت من الناحیة اللغویة بالشک والتهمة</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وفسرها بعضهم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قلق النفس واضطرابها</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یعلم المراد من کلمات الفقهاء</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وتفسیر الجواهر والمسالک لا یخلو من قرب، بأن تکون النظرة محل الریب، کالخلوة بالأجنبیة، حیث إنها محل الریب والشک، فلا یبعد أن یکون مراد الفقهاء بالریبة النظرة التی یشک أنها تنتهی إلی الحرام</w:t>
      </w:r>
      <w:r>
        <w:rPr>
          <w:rFonts w:eastAsia="IRNazanin" w:cs="IRNazanin"/>
          <w:color w:val="111111"/>
          <w:sz w:val="28"/>
          <w:szCs w:val="28"/>
          <w:rtl w:val="true"/>
          <w:lang w:bidi="fa-IR"/>
        </w:rPr>
        <w:t xml:space="preserve">. </w:t>
      </w:r>
      <w:bookmarkStart w:id="286" w:name="pg6289_41910"/>
    </w:p>
    <w:p>
      <w:pPr>
        <w:pStyle w:val="BookText"/>
        <w:rPr/>
      </w:pPr>
      <w:bookmarkEnd w:id="286"/>
      <w:r>
        <w:rPr>
          <w:rFonts w:ascii="IRNazanin" w:hAnsi="IRNazanin" w:eastAsia="IRNazanin"/>
          <w:color w:val="111111"/>
          <w:sz w:val="28"/>
          <w:sz w:val="28"/>
          <w:szCs w:val="28"/>
          <w:rtl w:val="true"/>
          <w:lang w:bidi="fa-IR"/>
        </w:rPr>
        <w:t>أما النظرة المتصورة للحرام أو المائلة للحرام فلعلها بعیدة عن المعنی اللغوی للریبة، أو ذاک المعنی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ندعی الإجماع، لکن لم یعلم تحققه، أو ندعی انصراف النصوص المجوزة أو الاستنکار، فتبقی العمومات الفوقانیة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نقول بالعلم الإجمالی، لکنه منحل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القول بالاحتیاط، فتکون النظرة مشروطة بلا خطورة ولا میل ولا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ونختم بالکلمة الواردة فی کلمة التقوی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من الریبة خوف الوقوع فی الحرام مع الشخص المنظور إلیه، أو المیل النفسانی للوقوع فی محرم معه، وإن لم یخف الوقوع فیه</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مطابق لتفسیر السید الحکیم</w:t>
      </w:r>
      <w:r>
        <w:rPr>
          <w:rFonts w:eastAsia="IRNazanin" w:cs="IRNazanin"/>
          <w:color w:val="111111"/>
          <w:sz w:val="28"/>
          <w:szCs w:val="28"/>
          <w:rtl w:val="true"/>
          <w:lang w:bidi="fa-IR"/>
        </w:rPr>
        <w:t>(</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للشرط الثالث</w:t>
      </w:r>
      <w:r>
        <w:rPr>
          <w:rFonts w:eastAsia="IRNazanin" w:cs="IRNazanin"/>
          <w:color w:val="111111"/>
          <w:sz w:val="28"/>
          <w:szCs w:val="28"/>
          <w:rtl w:val="true"/>
          <w:lang w:bidi="fa-IR"/>
        </w:rPr>
        <w:t>.</w:t>
      </w:r>
    </w:p>
    <w:p>
      <w:pPr>
        <w:pStyle w:val="Heading5"/>
        <w:numPr>
          <w:ilvl w:val="4"/>
          <w:numId w:val="1"/>
        </w:numPr>
        <w:rPr/>
      </w:pPr>
      <w:bookmarkStart w:id="287" w:name="__RefHeading___Toc2133424_237004111"/>
      <w:bookmarkStart w:id="288" w:name="_Toc112"/>
      <w:bookmarkEnd w:id="287"/>
      <w:r>
        <w:rPr>
          <w:rtl w:val="true"/>
        </w:rPr>
        <w:t>الفرع السادس</w:t>
      </w:r>
      <w:r>
        <w:rPr>
          <w:rtl w:val="true"/>
        </w:rPr>
        <w:t xml:space="preserve">: </w:t>
      </w:r>
      <w:r>
        <w:rPr>
          <w:rtl w:val="true"/>
        </w:rPr>
        <w:t>فی حکم الالتذاذ غیر الشهوی</w:t>
      </w:r>
      <w:bookmarkEnd w:id="288"/>
    </w:p>
    <w:p>
      <w:pPr>
        <w:pStyle w:val="BookText"/>
        <w:rPr/>
      </w:pPr>
      <w:r>
        <w:rPr>
          <w:rFonts w:ascii="IRNazanin" w:hAnsi="IRNazanin" w:eastAsia="IRNazanin"/>
          <w:color w:val="111111"/>
          <w:sz w:val="28"/>
          <w:sz w:val="28"/>
          <w:szCs w:val="28"/>
          <w:rtl w:val="true"/>
          <w:lang w:bidi="fa-IR"/>
        </w:rPr>
        <w:t>الالتذاذ بالنظر 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الالتذاذ الشهوی، وقد مضت حرمته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الالتذاذ غیر الشهوی، نظیر الالتذاذ الحاصل عند النظر إلی الورود والأشجار والأنهار، أو النظر إلی مَن یأنس بالنظر إلیه والتحدث إلیه، وهل یحرم الثانی کما یحرم الأول؟ لم أجد للمسألة تحریراً فی کلامهم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یمکن أن یدعی العدم؛ وذلک لانصراف التلذذ الممنوع عنه فی الأدلة اللفظیة</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أصل دلالة الأدلة اللفظیة علی حرمة التلذذ أو حجیتها محل تأمل، إلا أن یدعی الانجبار فی بعضها،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ولکون التلذذ الشهوی هو القدر المتیقن من الأدلة اللبیة، کالإجماع وارتکاز المتشرعة، فیکون النظر بتلذذ غیر شهوی مشمولاً لإطلاقات أدلة جواز النظر، ولا انصراف للأدلة عن هذه الصورة کی تشملها العمومات الفوقانیة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أو یدل علیه صحیحة علی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إنی مبتلی بالنظر إلی المرأة الجمیلة، فیعجبنی النظر إلیها؟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بأس إذا عرف الله من نیتک الصدق، وإیاک والزنا، فإنه یمحق البرکة ویهلک الدین</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وإن وردت فی مسألة النظر إلی الوجه والیدین، إلا أنه یستفاد منها ومن بعض الفتاوی فی تلک المسألة بجواز النظر حکم المقام بالأولویة، ولو فی الجملة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وستأتی تتمة للکلام فی هذه الروایة فی مسألة النظر إلی الوجه والکفین، إن شاء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السید الوالد فی تلک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أراد مثل ما یحصل من النظر إلی الأوراد والأطیار الجمیلة ونحوها فذلک جائز، ولیس من التلذذ الممنوع فی المقام، وهذا هو المراد من صحیح ابن سوید، کما لا یخفی علی المتأمل</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ما فی المستمسک</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ویؤیده أیضاً أو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زرعة بن محمّد الواردة فی الجاریة النفیسة، التی وقعت فی قلب رجل وأعجب بها، 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تعرض لرؤیتها، وکلما رأیتها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من فضله</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سبق ذکرها</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نظر العاشق إلی معشوقته لا یخلو عادة عن الالتذاذ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الالتذاذ الشهوی ممنوع بالأدلة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واردة فی الأمة، وحکم الحرة مغایر لحکم الأمة، فتأمّل</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کانت أمة، فلو کانت ذمیة فهی أمة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کانت مسلمة فیستفاد حکم الأمة الکافرة بطریق أولی</w:t>
      </w:r>
      <w:r>
        <w:rPr>
          <w:rFonts w:eastAsia="IRNazanin" w:cs="IRNazanin"/>
          <w:color w:val="111111"/>
          <w:sz w:val="28"/>
          <w:szCs w:val="28"/>
          <w:rtl w:val="true"/>
          <w:lang w:bidi="fa-IR"/>
        </w:rPr>
        <w:t xml:space="preserve">. </w:t>
      </w:r>
      <w:bookmarkStart w:id="289" w:name="pg6289_41913"/>
    </w:p>
    <w:p>
      <w:pPr>
        <w:pStyle w:val="BookText"/>
        <w:rPr/>
      </w:pPr>
      <w:bookmarkEnd w:id="289"/>
      <w:r>
        <w:rPr>
          <w:rFonts w:ascii="IRNazanin" w:hAnsi="IRNazanin" w:eastAsia="IRNazanin"/>
          <w:color w:val="111111"/>
          <w:sz w:val="28"/>
          <w:sz w:val="28"/>
          <w:szCs w:val="28"/>
          <w:rtl w:val="true"/>
          <w:lang w:bidi="fa-IR"/>
        </w:rPr>
        <w:t>ثم إنه لو شک فی أنّ الالتذاذ شهوی أم لا فهل یجوز النظر أولا؟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بناءً علی جواز التمسک بالعام فی الشبهة المصداقیة للمخصص فظاهر؛ إذ مقتضی الأدلة جواز النظر خرج منه النظر بلذة شهویة، وحیث یشک فی انطباق عنوان المخصص یشمل المورد عموم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الحرمة، ففی مورد الشک یتمسک بالعموم الفوقانی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العمومات التحتانیة خصصت العمومات الفوقانیة، وقد قید العام التحتانی بأن لا یکون بلذة شهویة، فلو شک فی تحقق القید کان انطباق عموم العام التحتانی علی المورد مسلّماً، وانطباق القید غیر واضح، فیشمله عموم العام التحتانی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عدم الجواز، فلأصالة البراءة من الحرمة بعد رفع الید عن جمیع الأدلة، حیث لا یعلم أن هذا النظر مصداق لأیها؟</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یتمسک بأصل عدم کونه التذاذیاً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العدم الأزلی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ولا یخفی أنّ المقام من مزال الأقدام، فقد یکون النظر شهویاً فی الواقع، لکن الشیطان والنفس الأمارة تسولان للإنسان غیر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یکون النظر غیر الشهوی مقدمة للنظر الشهوی، فینبغی الحذر التام والأخذ بالاحتیاط، فإنه سبیل النجاة، وعلی الله التوکل وبه المستعان</w:t>
      </w:r>
      <w:r>
        <w:rPr>
          <w:rFonts w:eastAsia="IRNazanin" w:cs="IRNazanin"/>
          <w:color w:val="111111"/>
          <w:sz w:val="28"/>
          <w:szCs w:val="28"/>
          <w:rtl w:val="true"/>
          <w:lang w:bidi="fa-IR"/>
        </w:rPr>
        <w:t>.</w:t>
      </w:r>
    </w:p>
    <w:p>
      <w:pPr>
        <w:pStyle w:val="Heading5"/>
        <w:numPr>
          <w:ilvl w:val="4"/>
          <w:numId w:val="1"/>
        </w:numPr>
        <w:rPr/>
      </w:pPr>
      <w:bookmarkStart w:id="290" w:name="__RefHeading___Toc2133426_237004111"/>
      <w:bookmarkStart w:id="291" w:name="_Toc113"/>
      <w:bookmarkEnd w:id="290"/>
      <w:r>
        <w:rPr>
          <w:rtl w:val="true"/>
        </w:rPr>
        <w:t>الفرع السابع</w:t>
      </w:r>
      <w:r>
        <w:rPr>
          <w:rtl w:val="true"/>
        </w:rPr>
        <w:t xml:space="preserve">: </w:t>
      </w:r>
      <w:r>
        <w:rPr>
          <w:rtl w:val="true"/>
        </w:rPr>
        <w:t>أنواع الالتذاذ المحرم</w:t>
      </w:r>
      <w:bookmarkEnd w:id="29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والتلذذ إما فعلی غیر اختیاری، أو قصدی فعلی </w:t>
      </w:r>
      <w:bookmarkStart w:id="292" w:name="pg6289_41914"/>
    </w:p>
    <w:p>
      <w:pPr>
        <w:pStyle w:val="BookText"/>
        <w:rPr/>
      </w:pPr>
      <w:bookmarkEnd w:id="292"/>
      <w:r>
        <w:rPr>
          <w:rFonts w:ascii="IRNazanin" w:hAnsi="IRNazanin" w:eastAsia="IRNazanin"/>
          <w:color w:val="111111"/>
          <w:sz w:val="28"/>
          <w:sz w:val="28"/>
          <w:szCs w:val="28"/>
          <w:rtl w:val="true"/>
          <w:lang w:bidi="fa-IR"/>
        </w:rPr>
        <w:t>اختیاری، أو ما یحصل مع عدم التلذذ والریبة</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مراده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یحصل التلذذ بالفعل،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 زمان النظر مع عدم قصده التلذذ من النظر، بأن کان قصده رسم صورتها، إلا أنّ ذلک لا ینفک عن التلذذ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یحصل التلذذ بالفعل مع قصده التلذذ من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یحصل التلذذ فی المستقبل، لا حین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علی حرمة الجمیع بالإطلاق</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شمول الأدلة السابقة للصورتین الأولیین، وعدم اختیاریة التلذذ فی الصورة الأولی لا ینافی الاختیار؛ لأنه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ثبت فی محله أن ما بالاختیار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وجوباً أم امتناعاً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شمول أدلة التحریم لها نوع 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یتمسک بوحدة المناط أو ارتکاز المتشرعة، أو انصراف الأدلة المجوزة عن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 لا یخلو عن مناقشة؛ إذ المناط غیر معلوم، وکذا بلوغ ارتکاز القبح إلی حد التحریم، والانصراف غیر واضح، فتکون أصالة الإطلاق محکمة، فتأمّل</w:t>
      </w:r>
      <w:r>
        <w:rPr>
          <w:rFonts w:eastAsia="IRNazanin" w:cs="IRNazanin"/>
          <w:color w:val="111111"/>
          <w:sz w:val="28"/>
          <w:szCs w:val="28"/>
          <w:rtl w:val="true"/>
          <w:lang w:bidi="fa-IR"/>
        </w:rPr>
        <w:t>.</w:t>
      </w:r>
    </w:p>
    <w:p>
      <w:pPr>
        <w:pStyle w:val="Heading5"/>
        <w:numPr>
          <w:ilvl w:val="4"/>
          <w:numId w:val="1"/>
        </w:numPr>
        <w:rPr/>
      </w:pPr>
      <w:bookmarkStart w:id="293" w:name="__RefHeading___Toc2133428_237004111"/>
      <w:bookmarkStart w:id="294" w:name="_Toc114"/>
      <w:bookmarkEnd w:id="293"/>
      <w:r>
        <w:rPr>
          <w:rtl w:val="true"/>
        </w:rPr>
        <w:t>الفرع الثامن</w:t>
      </w:r>
      <w:r>
        <w:rPr>
          <w:rtl w:val="true"/>
        </w:rPr>
        <w:t xml:space="preserve">: </w:t>
      </w:r>
      <w:r>
        <w:rPr>
          <w:rtl w:val="true"/>
        </w:rPr>
        <w:t>منشأ الوقوع بالحرام بسبب النظر</w:t>
      </w:r>
      <w:bookmarkEnd w:id="29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الوقوع فی الحرام بسبب النظر تارة یکون بالعلم، وأخری بالاطمئنان، </w:t>
      </w:r>
      <w:bookmarkStart w:id="295" w:name="pg6289_41915"/>
    </w:p>
    <w:p>
      <w:pPr>
        <w:pStyle w:val="BookText"/>
        <w:rPr/>
      </w:pPr>
      <w:bookmarkEnd w:id="295"/>
      <w:r>
        <w:rPr>
          <w:rFonts w:ascii="IRNazanin" w:hAnsi="IRNazanin" w:eastAsia="IRNazanin"/>
          <w:color w:val="111111"/>
          <w:sz w:val="28"/>
          <w:sz w:val="28"/>
          <w:szCs w:val="28"/>
          <w:rtl w:val="true"/>
          <w:lang w:bidi="fa-IR"/>
        </w:rPr>
        <w:t>وثالثة بمطلق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المهذب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وظاهر إطلاقهم الشمول للجمیع</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شمول الخوف للشک، بل للوهم إذا لم یصل فی الوهن إلی درجة لا یعتنی بمثلها العقلاء، والإجماعات المنقولة وسائر الأدلة التی مضت تشمل جمیع المراتب، ولا تختص بالعلم أو الاطمئنان أو الظن</w:t>
      </w:r>
      <w:r>
        <w:rPr>
          <w:rFonts w:eastAsia="IRNazanin" w:cs="IRNazanin"/>
          <w:color w:val="111111"/>
          <w:sz w:val="28"/>
          <w:szCs w:val="28"/>
          <w:rtl w:val="true"/>
          <w:lang w:bidi="fa-IR"/>
        </w:rPr>
        <w:t>.</w:t>
      </w:r>
    </w:p>
    <w:p>
      <w:pPr>
        <w:pStyle w:val="Heading5"/>
        <w:numPr>
          <w:ilvl w:val="4"/>
          <w:numId w:val="1"/>
        </w:numPr>
        <w:rPr/>
      </w:pPr>
      <w:bookmarkStart w:id="296" w:name="__RefHeading___Toc2133430_237004111"/>
      <w:bookmarkStart w:id="297" w:name="_Toc115"/>
      <w:bookmarkEnd w:id="296"/>
      <w:r>
        <w:rPr>
          <w:rtl w:val="true"/>
        </w:rPr>
        <w:t>الفرع التاسع</w:t>
      </w:r>
      <w:r>
        <w:rPr>
          <w:rtl w:val="true"/>
        </w:rPr>
        <w:t xml:space="preserve">: </w:t>
      </w:r>
      <w:r>
        <w:rPr>
          <w:rtl w:val="true"/>
        </w:rPr>
        <w:t>فی المراد بالنهی فی قوله</w:t>
      </w:r>
      <w:r>
        <w:rPr>
          <w:rtl w:val="true"/>
        </w:rPr>
        <w:t xml:space="preserve">: </w:t>
      </w:r>
      <w:r>
        <w:rPr>
          <w:rtl w:val="true"/>
        </w:rPr>
        <w:t>إذا نهین لا ینتهین</w:t>
      </w:r>
      <w:bookmarkEnd w:id="297"/>
    </w:p>
    <w:p>
      <w:pPr>
        <w:pStyle w:val="BookText"/>
        <w:rPr/>
      </w:pPr>
      <w:r>
        <w:rPr>
          <w:rFonts w:ascii="IRNazanin" w:hAnsi="IRNazanin" w:eastAsia="IRNazanin"/>
          <w:color w:val="111111"/>
          <w:sz w:val="28"/>
          <w:sz w:val="28"/>
          <w:szCs w:val="28"/>
          <w:rtl w:val="true"/>
          <w:lang w:bidi="fa-IR"/>
        </w:rPr>
        <w:t>قال السید الرجائی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أن یکون المراد النهی بمراتبه من القول والزجر عملاً، فلو فرض إمکان النهی فی بعض بلاد المسلمین بغیر القول لم یصدق أنهن لا ینتهین إن نهین</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فلا یجوز النظر؛ لعدم تحقق العلة التی یدور مدارها الحکم وجوداً وعدماً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إذ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فی المقام ظاهر فی الزجر الإنشائی المتعلق بوجود الفعل، ولا یشمل الزجر التکوینی المتعلق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التعلیل فی موثقة عباد؛ إذ لو نهیت نساء أهل تهامة والأعراب وأهل السواد والعلوج بتمام مراتب النهی فلا شک أنّ معظمهن ینتهین بذلک، فلا بد أن یراد النهی اللفظی، فتأمّل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شک فی المراد من النهی کان مقتضی القاعدة قصر جواز النظر علی اللواتی لا ینتهین بکل مراتب النهی؛ لأنّ المخصص للأدلة الرادعة عن </w:t>
      </w:r>
      <w:bookmarkStart w:id="298" w:name="pg6289_41916"/>
    </w:p>
    <w:p>
      <w:pPr>
        <w:pStyle w:val="BookText"/>
        <w:rPr/>
      </w:pPr>
      <w:bookmarkEnd w:id="298"/>
      <w:r>
        <w:rPr>
          <w:rFonts w:ascii="IRNazanin" w:hAnsi="IRNazanin" w:eastAsia="IRNazanin"/>
          <w:color w:val="111111"/>
          <w:sz w:val="28"/>
          <w:sz w:val="28"/>
          <w:szCs w:val="28"/>
          <w:rtl w:val="true"/>
          <w:lang w:bidi="fa-IR"/>
        </w:rPr>
        <w:t>النظر منفصل، وحیث إنه مردد بین الأقل والأکثر یقتصر فی الخروج عن أصالة العموم العقلائیة، وفی التخصیص علی القدر المتیقن، وأما غیره فیظل مشمولاً للعموم الرادع</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ولکن لو فرض عدم شمول التعلیل کفت قاعدة الإلزام فی الجواز؛ لما سبق فی الفرع الثالث من أنّ العلة تبین حیثیة، وتلک المطلقات تبین حیثیة أخری، فإذا انتفت الأولی کفی وجود الثانیة، فتأمّل</w:t>
      </w:r>
      <w:r>
        <w:rPr>
          <w:rFonts w:eastAsia="IRNazanin" w:cs="IRNazanin"/>
          <w:color w:val="111111"/>
          <w:sz w:val="28"/>
          <w:szCs w:val="28"/>
          <w:rtl w:val="true"/>
          <w:lang w:bidi="fa-IR"/>
        </w:rPr>
        <w:t>.</w:t>
      </w:r>
    </w:p>
    <w:p>
      <w:pPr>
        <w:pStyle w:val="Heading5"/>
        <w:numPr>
          <w:ilvl w:val="4"/>
          <w:numId w:val="1"/>
        </w:numPr>
        <w:rPr/>
      </w:pPr>
      <w:bookmarkStart w:id="299" w:name="__RefHeading___Toc2133432_237004111"/>
      <w:bookmarkStart w:id="300" w:name="_Toc116"/>
      <w:bookmarkEnd w:id="299"/>
      <w:r>
        <w:rPr>
          <w:rtl w:val="true"/>
        </w:rPr>
        <w:t>الفرع العاشر</w:t>
      </w:r>
      <w:r>
        <w:rPr>
          <w:rtl w:val="true"/>
        </w:rPr>
        <w:t xml:space="preserve">: </w:t>
      </w:r>
      <w:r>
        <w:rPr>
          <w:rtl w:val="true"/>
        </w:rPr>
        <w:t>فی حکم النظر إلی الفرق المحکوم بکفرهم</w:t>
      </w:r>
      <w:bookmarkEnd w:id="300"/>
    </w:p>
    <w:p>
      <w:pPr>
        <w:pStyle w:val="BookText"/>
        <w:rPr/>
      </w:pPr>
      <w:r>
        <w:rPr>
          <w:rFonts w:ascii="IRNazanin" w:hAnsi="IRNazanin" w:eastAsia="IRNazanin"/>
          <w:color w:val="111111"/>
          <w:sz w:val="28"/>
          <w:sz w:val="28"/>
          <w:szCs w:val="28"/>
          <w:rtl w:val="true"/>
          <w:lang w:bidi="fa-IR"/>
        </w:rPr>
        <w:t>قال السید الوالد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یلحق بالکفار الفرق المحکوم بکفرهم من المسلمین؛ لأن الأدلة منصرفة عنهم</w:t>
      </w:r>
      <w:r>
        <w:rPr>
          <w:rFonts w:eastAsia="IRNazanin" w:cs="IRNazanin"/>
          <w:color w:val="111111"/>
          <w:sz w:val="28"/>
          <w:szCs w:val="28"/>
          <w:rtl w:val="true"/>
          <w:lang w:bidi="fa-IR"/>
        </w:rPr>
        <w:t>»(</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کالغلاة والخوارج والنواصب، فلیس لهم حکم الکفار فی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یستدل علی الجواز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التعلیل فی موثقة عباد</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کانوا لا ینتهون بالنهی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یدعی الإعراض بنحو ما تقدّم تقریره فی المسألة الأولی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الإلزام، إن کان مذهبهم الجواز؛ لشمول القاعدة للمخالف والکافر علی ما قرر فی محله</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301" w:name="pg6289_41917"/>
    </w:p>
    <w:p>
      <w:pPr>
        <w:pStyle w:val="Heading5"/>
        <w:numPr>
          <w:ilvl w:val="4"/>
          <w:numId w:val="1"/>
        </w:numPr>
        <w:rPr/>
      </w:pPr>
      <w:bookmarkStart w:id="302" w:name="__RefHeading___Toc2133434_237004111"/>
      <w:bookmarkStart w:id="303" w:name="_Toc117"/>
      <w:bookmarkEnd w:id="301"/>
      <w:bookmarkEnd w:id="302"/>
      <w:r>
        <w:rPr>
          <w:rtl w:val="true"/>
        </w:rPr>
        <w:t>الفرع الحادی عشر</w:t>
      </w:r>
      <w:r>
        <w:rPr>
          <w:rtl w:val="true"/>
        </w:rPr>
        <w:t xml:space="preserve">: </w:t>
      </w:r>
      <w:r>
        <w:rPr>
          <w:rtl w:val="true"/>
        </w:rPr>
        <w:t>فی حکم النظر إلی المرتد والمرتدة</w:t>
      </w:r>
      <w:bookmarkEnd w:id="303"/>
    </w:p>
    <w:p>
      <w:pPr>
        <w:pStyle w:val="BookText"/>
        <w:rPr/>
      </w:pPr>
      <w:r>
        <w:rPr>
          <w:rFonts w:ascii="IRNazanin" w:hAnsi="IRNazanin" w:eastAsia="IRNazanin"/>
          <w:color w:val="111111"/>
          <w:sz w:val="28"/>
          <w:sz w:val="28"/>
          <w:szCs w:val="28"/>
          <w:rtl w:val="true"/>
          <w:lang w:bidi="fa-IR"/>
        </w:rPr>
        <w:t xml:space="preserve">قال السید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یلحق المرتد والمرتدة بالکفار؛ لانصراف الأدلة عنهم</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تأمل؛ لأنّ الحکم تابع للموضوع، وقد تحقق الموضوع، وهو العلوج ونحوه، مضافاً إلی عموم التعلیل وقاعدة الإلزام</w:t>
      </w:r>
      <w:r>
        <w:rPr>
          <w:rFonts w:eastAsia="IRNazanin" w:cs="IRNazanin"/>
          <w:color w:val="111111"/>
          <w:sz w:val="28"/>
          <w:szCs w:val="28"/>
          <w:rtl w:val="true"/>
          <w:lang w:bidi="fa-IR"/>
        </w:rPr>
        <w:t>.</w:t>
      </w:r>
    </w:p>
    <w:p>
      <w:pPr>
        <w:pStyle w:val="Heading5"/>
        <w:numPr>
          <w:ilvl w:val="4"/>
          <w:numId w:val="1"/>
        </w:numPr>
        <w:rPr/>
      </w:pPr>
      <w:bookmarkStart w:id="304" w:name="__RefHeading___Toc2133436_237004111"/>
      <w:bookmarkStart w:id="305" w:name="_Toc118"/>
      <w:bookmarkEnd w:id="304"/>
      <w:r>
        <w:rPr>
          <w:rtl w:val="true"/>
        </w:rPr>
        <w:t>الفرع الثانی عشر</w:t>
      </w:r>
      <w:r>
        <w:rPr>
          <w:rtl w:val="true"/>
        </w:rPr>
        <w:t xml:space="preserve">: </w:t>
      </w:r>
      <w:r>
        <w:rPr>
          <w:rtl w:val="true"/>
        </w:rPr>
        <w:t>فی حکم نظر المسلمة للکافر</w:t>
      </w:r>
      <w:bookmarkEnd w:id="305"/>
    </w:p>
    <w:p>
      <w:pPr>
        <w:pStyle w:val="BookText"/>
        <w:rPr/>
      </w:pPr>
      <w:r>
        <w:rPr>
          <w:rFonts w:ascii="IRNazanin" w:hAnsi="IRNazanin" w:eastAsia="IRNazanin"/>
          <w:color w:val="111111"/>
          <w:sz w:val="28"/>
          <w:sz w:val="28"/>
          <w:szCs w:val="28"/>
          <w:rtl w:val="true"/>
          <w:lang w:bidi="fa-IR"/>
        </w:rPr>
        <w:t>هل یجوز للمسلمة النظر إلی الکافر بدون ریبة وتلذذ وخوف افتتان؟</w:t>
      </w:r>
    </w:p>
    <w:p>
      <w:pPr>
        <w:pStyle w:val="BookText"/>
        <w:rPr/>
      </w:pPr>
      <w:r>
        <w:rPr>
          <w:rFonts w:ascii="IRNazanin" w:hAnsi="IRNazanin" w:eastAsia="IRNazanin"/>
          <w:color w:val="111111"/>
          <w:sz w:val="28"/>
          <w:sz w:val="28"/>
          <w:szCs w:val="28"/>
          <w:rtl w:val="true"/>
          <w:lang w:bidi="fa-IR"/>
        </w:rPr>
        <w:t xml:space="preserve">قال السید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الظاهر ذلک للمناط</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لا ینبغی الإشکال فی عدم جواز النظر لعوارتهم؛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تأمل؛ إذ المناط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المناط منصوص، وهو عدم الحرمة، کما فی روایة الجعفریات المتقدمة، لکن السند مخدوش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قد یستدل علی الجواز بالأولویة؛ وذلک لتشدد الشارع فی نظر الرجل إلی المرأة أکثر من تشدده فی العکس، علی ما قرر فی مسألة النظر إلی الوجه والکفین، فإذا جاز نظر الرجل إلی الکافرة جاز نظر المرأة إلی الکافر بطریق أولی،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بعموم التعلیل وقاعدة الإلزام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الکلام هنا فیما یحرم النظر إلیه فی حد ذاته من الرجل، وأما ما </w:t>
      </w:r>
      <w:bookmarkStart w:id="306" w:name="pg6289_41918"/>
    </w:p>
    <w:p>
      <w:pPr>
        <w:pStyle w:val="BookText"/>
        <w:rPr/>
      </w:pPr>
      <w:bookmarkEnd w:id="306"/>
      <w:r>
        <w:rPr>
          <w:rFonts w:ascii="IRNazanin" w:hAnsi="IRNazanin" w:eastAsia="IRNazanin"/>
          <w:color w:val="111111"/>
          <w:sz w:val="28"/>
          <w:sz w:val="28"/>
          <w:szCs w:val="28"/>
          <w:rtl w:val="true"/>
          <w:lang w:bidi="fa-IR"/>
        </w:rPr>
        <w:t>یحلّ فلا إشکال فی المقام، کالشعر والذراع؛ لشمول دلیل الجواز للمسلم والکافر علی حد سواء، فلاحظ</w:t>
      </w:r>
      <w:r>
        <w:rPr>
          <w:rFonts w:eastAsia="IRNazanin" w:cs="IRNazanin"/>
          <w:color w:val="111111"/>
          <w:sz w:val="28"/>
          <w:szCs w:val="28"/>
          <w:rtl w:val="true"/>
          <w:lang w:bidi="fa-IR"/>
        </w:rPr>
        <w:t>.</w:t>
      </w:r>
    </w:p>
    <w:p>
      <w:pPr>
        <w:pStyle w:val="Heading5"/>
        <w:numPr>
          <w:ilvl w:val="4"/>
          <w:numId w:val="1"/>
        </w:numPr>
        <w:rPr/>
      </w:pPr>
      <w:bookmarkStart w:id="307" w:name="__RefHeading___Toc2133438_237004111"/>
      <w:bookmarkStart w:id="308" w:name="_Toc119"/>
      <w:bookmarkEnd w:id="307"/>
      <w:r>
        <w:rPr>
          <w:rtl w:val="true"/>
        </w:rPr>
        <w:t>الفرع الثالث عشر</w:t>
      </w:r>
      <w:r>
        <w:rPr>
          <w:rtl w:val="true"/>
        </w:rPr>
        <w:t xml:space="preserve">: </w:t>
      </w:r>
      <w:r>
        <w:rPr>
          <w:rtl w:val="true"/>
        </w:rPr>
        <w:t>فی حکم النظر إلی الصور التلفزیونیة والفوتوغرافیة ونحوها</w:t>
      </w:r>
      <w:bookmarkEnd w:id="308"/>
    </w:p>
    <w:p>
      <w:pPr>
        <w:pStyle w:val="Heading6"/>
        <w:numPr>
          <w:ilvl w:val="5"/>
          <w:numId w:val="1"/>
        </w:numPr>
        <w:rPr/>
      </w:pPr>
      <w:bookmarkStart w:id="309" w:name="__RefHeading___Toc2133440_237004111"/>
      <w:bookmarkStart w:id="310" w:name="_Toc120"/>
      <w:bookmarkEnd w:id="309"/>
      <w:r>
        <w:rPr>
          <w:rtl w:val="true"/>
        </w:rPr>
        <w:t>اشارة</w:t>
      </w:r>
      <w:bookmarkEnd w:id="310"/>
    </w:p>
    <w:p>
      <w:pPr>
        <w:pStyle w:val="BookText"/>
        <w:rPr/>
      </w:pPr>
      <w:r>
        <w:rPr>
          <w:rFonts w:ascii="IRNazanin" w:hAnsi="IRNazanin" w:eastAsia="IRNazanin"/>
          <w:color w:val="111111"/>
          <w:sz w:val="28"/>
          <w:sz w:val="28"/>
          <w:szCs w:val="28"/>
          <w:rtl w:val="true"/>
          <w:lang w:bidi="fa-IR"/>
        </w:rPr>
        <w:t>هل یجوز النظر إلی الصور التلفزیونیة والفوتوغرافیة فیما یحرم فیه النظر إلی نفس المرأة؟</w:t>
      </w:r>
    </w:p>
    <w:p>
      <w:pPr>
        <w:pStyle w:val="BookText"/>
        <w:rPr/>
      </w:pPr>
      <w:r>
        <w:rPr>
          <w:rFonts w:ascii="IRNazanin" w:hAnsi="IRNazanin" w:eastAsia="IRNazanin"/>
          <w:color w:val="111111"/>
          <w:sz w:val="28"/>
          <w:sz w:val="28"/>
          <w:szCs w:val="28"/>
          <w:rtl w:val="true"/>
          <w:lang w:bidi="fa-IR"/>
        </w:rPr>
        <w:t>فی المسألة أقوال</w:t>
      </w:r>
      <w:r>
        <w:rPr>
          <w:rFonts w:eastAsia="IRNazanin" w:cs="IRNazanin"/>
          <w:color w:val="111111"/>
          <w:sz w:val="28"/>
          <w:szCs w:val="28"/>
          <w:rtl w:val="true"/>
          <w:lang w:bidi="fa-IR"/>
        </w:rPr>
        <w:t>:</w:t>
      </w:r>
    </w:p>
    <w:p>
      <w:pPr>
        <w:pStyle w:val="Heading6"/>
        <w:numPr>
          <w:ilvl w:val="5"/>
          <w:numId w:val="1"/>
        </w:numPr>
        <w:rPr/>
      </w:pPr>
      <w:bookmarkStart w:id="311" w:name="__RefHeading___Toc2133442_237004111"/>
      <w:bookmarkStart w:id="312" w:name="_Toc121"/>
      <w:bookmarkEnd w:id="311"/>
      <w:r>
        <w:rPr>
          <w:rtl w:val="true"/>
        </w:rPr>
        <w:t>القول الأول</w:t>
      </w:r>
      <w:r>
        <w:rPr>
          <w:rtl w:val="true"/>
        </w:rPr>
        <w:t xml:space="preserve">: </w:t>
      </w:r>
      <w:r>
        <w:rPr>
          <w:rtl w:val="true"/>
        </w:rPr>
        <w:t>حرمة النظر إلی الصور التلفزیونیة والفوتوغرافیة</w:t>
      </w:r>
      <w:bookmarkEnd w:id="312"/>
    </w:p>
    <w:p>
      <w:pPr>
        <w:pStyle w:val="Heading6"/>
        <w:numPr>
          <w:ilvl w:val="5"/>
          <w:numId w:val="1"/>
        </w:numPr>
        <w:rPr/>
      </w:pPr>
      <w:bookmarkStart w:id="313" w:name="__RefHeading___Toc2133444_237004111"/>
      <w:bookmarkStart w:id="314" w:name="_Toc122"/>
      <w:bookmarkEnd w:id="313"/>
      <w:r>
        <w:rPr>
          <w:rtl w:val="true"/>
        </w:rPr>
        <w:t>اشارة</w:t>
      </w:r>
      <w:bookmarkEnd w:id="314"/>
    </w:p>
    <w:p>
      <w:pPr>
        <w:pStyle w:val="BookText"/>
        <w:rPr/>
      </w:pPr>
      <w:r>
        <w:rPr>
          <w:rFonts w:ascii="IRNazanin" w:hAnsi="IRNazanin" w:eastAsia="IRNazanin"/>
          <w:color w:val="111111"/>
          <w:sz w:val="28"/>
          <w:sz w:val="28"/>
          <w:szCs w:val="28"/>
          <w:rtl w:val="true"/>
          <w:lang w:bidi="fa-IR"/>
        </w:rPr>
        <w:t>قد یقال بالحرمة لأدلة</w:t>
      </w:r>
      <w:r>
        <w:rPr>
          <w:rFonts w:eastAsia="IRNazanin" w:cs="IRNazanin"/>
          <w:color w:val="111111"/>
          <w:sz w:val="28"/>
          <w:szCs w:val="28"/>
          <w:rtl w:val="true"/>
          <w:lang w:bidi="fa-IR"/>
        </w:rPr>
        <w:t>:</w:t>
      </w:r>
    </w:p>
    <w:p>
      <w:pPr>
        <w:pStyle w:val="Heading6"/>
        <w:numPr>
          <w:ilvl w:val="5"/>
          <w:numId w:val="1"/>
        </w:numPr>
        <w:rPr/>
      </w:pPr>
      <w:bookmarkStart w:id="315" w:name="__RefHeading___Toc2133446_237004111"/>
      <w:bookmarkStart w:id="316" w:name="_Toc123"/>
      <w:bookmarkEnd w:id="315"/>
      <w:r>
        <w:rPr>
          <w:rtl w:val="true"/>
        </w:rPr>
        <w:t>الدلیل الأول</w:t>
      </w:r>
      <w:r>
        <w:rPr>
          <w:rtl w:val="true"/>
        </w:rPr>
        <w:t xml:space="preserve">: </w:t>
      </w:r>
      <w:r>
        <w:rPr>
          <w:rtl w:val="true"/>
        </w:rPr>
        <w:t>آیة الغض</w:t>
      </w:r>
      <w:bookmarkEnd w:id="316"/>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الغض</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وحیث لم یذکر المتعلق، ولم یخص النظر بنفس المرأة عمَّ الحکم، فإنّ حذف المتعلق یفید العموم علی ما قرر فی محله</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الروحانی فی فقه المسائل المستحدثة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الغض لیس بمعنی ترک النظر، بل أصل الغض النقصان،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 من صلاته ومن بصره أی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اغْضُضْ مِنْ صَوْتِکَ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أنقص من جهارته</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الغض طریقی، بمعنی أنه طریق إلی ترک النظر، لا أنّ له موضوعیة فی حد ذاته بمقتضی الفهم العرفی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أیضاً،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لو سلم کون المراد ترک النظر، فحیث إنّ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وجوهاً، کونها لابتداء الغایة، وکونها مزیدة، وکونها للتبعیض، فالأظهر هو الأخیر، وعلیه فلا بد من التقدیر،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یغضوا من أبصارهم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التبعیض بلحاظ البصر لا معنی له، فلا بد وأن یکون باعتبار المبصرات</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کون التبعیض بلحاظ نفس البصر لا بلحاظ المبصرات، باعتبار أنه لا یجب الغمض، بل یکفی الخفض، وحیث حذف المتعلق أفاد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الغض عبارة عن قطع النظر عن الاستمتاعات الجنسیة، فلا ترتبط بالنظر</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 سبق بیانه</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الکریمة لیست فی مقام البیان من هذه الجهة، فلا ینعقد لها إطلاق</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لا تنشئ تحریماً عاماً، بل تنهی عن النظر إلی ما ثبتت حرمته، فلا یستفاد منها حرمة النظر إلی تلک الصور، ویقربه إلی الذهن قول الخطیب لا تستمعوا إلی المحرمات، فلا یدل علی أن سماع </w:t>
      </w:r>
      <w:bookmarkStart w:id="317" w:name="pg6289_41920"/>
    </w:p>
    <w:p>
      <w:pPr>
        <w:pStyle w:val="BookText"/>
        <w:rPr/>
      </w:pPr>
      <w:bookmarkEnd w:id="317"/>
      <w:r>
        <w:rPr>
          <w:rFonts w:ascii="IRNazanin" w:hAnsi="IRNazanin" w:eastAsia="IRNazanin"/>
          <w:color w:val="111111"/>
          <w:sz w:val="28"/>
          <w:sz w:val="28"/>
          <w:szCs w:val="28"/>
          <w:rtl w:val="true"/>
          <w:lang w:bidi="fa-IR"/>
        </w:rPr>
        <w:t>صوت المرأة محرم؛ لأنه لیس فی مقام البیان، 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لیست فی مقام إنشاء الحرمة، بل لبیان الحکم بعد الفراغ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لا یمکن استفادة أیة حرمة من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منها القدر المتیقن، حیث إنها لا تبین حکم النظر إلی الأشجار والطیور، وإنما حکم النظر إلی المرأة ولو بقرینة ما قبلها، والقدر المتیقن العورة أو نفس المرأة، وأمّا صورتها فلا</w:t>
      </w:r>
      <w:r>
        <w:rPr>
          <w:rFonts w:eastAsia="IRNazanin" w:cs="IRNazanin"/>
          <w:color w:val="111111"/>
          <w:sz w:val="28"/>
          <w:szCs w:val="28"/>
          <w:rtl w:val="true"/>
          <w:lang w:bidi="fa-IR"/>
        </w:rPr>
        <w:t>.</w:t>
      </w:r>
    </w:p>
    <w:p>
      <w:pPr>
        <w:pStyle w:val="Heading6"/>
        <w:numPr>
          <w:ilvl w:val="5"/>
          <w:numId w:val="1"/>
        </w:numPr>
        <w:rPr/>
      </w:pPr>
      <w:bookmarkStart w:id="318" w:name="__RefHeading___Toc2133448_237004111"/>
      <w:bookmarkStart w:id="319" w:name="_Toc124"/>
      <w:bookmarkEnd w:id="318"/>
      <w:r>
        <w:rPr>
          <w:rtl w:val="true"/>
        </w:rPr>
        <w:t>الدلیل الثانی</w:t>
      </w:r>
      <w:r>
        <w:rPr>
          <w:rtl w:val="true"/>
        </w:rPr>
        <w:t xml:space="preserve">: </w:t>
      </w:r>
      <w:r>
        <w:rPr>
          <w:rtl w:val="true"/>
        </w:rPr>
        <w:t>شمول الأدلة الناهیة عن النظر للمرأة للنظر إلی صورتها</w:t>
      </w:r>
      <w:bookmarkEnd w:id="319"/>
    </w:p>
    <w:p>
      <w:pPr>
        <w:pStyle w:val="BookText"/>
        <w:rPr/>
      </w:pPr>
      <w:r>
        <w:rPr>
          <w:rFonts w:ascii="IRNazanin" w:hAnsi="IRNazanin" w:eastAsia="IRNazanin"/>
          <w:color w:val="111111"/>
          <w:sz w:val="28"/>
          <w:sz w:val="28"/>
          <w:szCs w:val="28"/>
          <w:rtl w:val="true"/>
          <w:lang w:bidi="fa-IR"/>
        </w:rPr>
        <w:t>لأنّ صورة المرأة هی المرأة بنفسها، نظیر ما لو نهی المولی عبده عن النظر إلی وثیقة مکتوبة، فإنّ النظر إلی الصورة المأخوذة عنها نظر إلی الوثیقة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مسامحی، والعرف یراه مسامحة أیضاً کالعقل؛ ولذا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إلی صورتها لا إلیها، ویصح أن یقال لمن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رأیته بنفسه أم رأیت صورته؟</w:t>
      </w:r>
    </w:p>
    <w:p>
      <w:pPr>
        <w:pStyle w:val="BookText"/>
        <w:rPr/>
      </w:pPr>
      <w:r>
        <w:rPr>
          <w:rFonts w:ascii="IRNazanin" w:hAnsi="IRNazanin" w:eastAsia="IRNazanin"/>
          <w:color w:val="111111"/>
          <w:sz w:val="28"/>
          <w:sz w:val="28"/>
          <w:szCs w:val="28"/>
          <w:rtl w:val="true"/>
          <w:lang w:bidi="fa-IR"/>
        </w:rPr>
        <w:t>ولو فرض أنه إطلاق حقیقی فالدلیل منصرف عنه،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السلب علامة المجاز، فلیس النظر إلی الصورة فرداً للنظر إلی المرأة عقلاً وعرفاً؛ ولذا یصح الاعتراض علی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قرینة أنک لم تره وإنما رأیت صورته</w:t>
      </w:r>
      <w:r>
        <w:rPr>
          <w:rFonts w:eastAsia="IRNazanin" w:cs="IRNazanin"/>
          <w:color w:val="111111"/>
          <w:sz w:val="28"/>
          <w:szCs w:val="28"/>
          <w:rtl w:val="true"/>
          <w:lang w:bidi="fa-IR"/>
        </w:rPr>
        <w:t>.</w:t>
      </w:r>
    </w:p>
    <w:p>
      <w:pPr>
        <w:pStyle w:val="Heading6"/>
        <w:numPr>
          <w:ilvl w:val="5"/>
          <w:numId w:val="1"/>
        </w:numPr>
        <w:rPr/>
      </w:pPr>
      <w:bookmarkStart w:id="320" w:name="__RefHeading___Toc2133450_237004111"/>
      <w:bookmarkStart w:id="321" w:name="_Toc125"/>
      <w:bookmarkEnd w:id="320"/>
      <w:r>
        <w:rPr>
          <w:rtl w:val="true"/>
        </w:rPr>
        <w:t>الدلیل الثالث</w:t>
      </w:r>
      <w:r>
        <w:rPr>
          <w:rtl w:val="true"/>
        </w:rPr>
        <w:t xml:space="preserve">: </w:t>
      </w:r>
      <w:r>
        <w:rPr>
          <w:rtl w:val="true"/>
        </w:rPr>
        <w:t>وحدة المناط</w:t>
      </w:r>
      <w:bookmarkEnd w:id="32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بعدم الفرق بین النظر إلی المرأة وصورتها، فالنظر إلیهما سیان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قطع بالمناط، بل الفارق موجود، وهو أقربیة إمکان الوقوع فی الحرام فی حالة النظر إلی نفس المرأة من حالة النظر إلی صورتها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الأمر بالعکس، فقد ینظر إلی صورتها فی خلوته فیقع فی الحرام، وقد ینظر إلیها فلا یقع فی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ملاحظة الشرائط المتحدة، فالنظر فی حد ذاته إلی ذات المرأة أقرب إلی الحرام،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الملاک نفس الملاک فی الشرائط المتحدة، وإلا أمکن الاختلاف بین الشیئین إذا وضعا فی شرائط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التفاوت بین النظر إلی نفس الشیء والنظر إلی صورته الأدلة الدالة علی النظر فی المرآة عند الاضطرار</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لولا تفاوت الأمر بین النظر إلی نفس البدن والنظر إلی الصورة لم یکن وجه لتعین النظر فی المرآة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الفرق متحقق بین النظر إلیها وإلی صورتها؛ ولذا لم یجز النظر إلیها فی حال الاضطرار، وإنما إلی المرآة، ولو لم یکن فرق کان مخیراً بین النظر إلیها أو إلی صورتها فی المرآة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یؤید التفاوت فتوی جمع بعدم البأس بالنظر فی غیر المرآة للمحرم </w:t>
      </w:r>
    </w:p>
    <w:p>
      <w:pPr>
        <w:pStyle w:val="BookText"/>
        <w:rPr/>
      </w:pPr>
      <w:r>
        <w:rPr>
          <w:rFonts w:ascii="IRNazanin" w:hAnsi="IRNazanin" w:eastAsia="IRNazanin"/>
          <w:color w:val="111111"/>
          <w:sz w:val="28"/>
          <w:sz w:val="28"/>
          <w:szCs w:val="28"/>
          <w:rtl w:val="true"/>
          <w:lang w:bidi="fa-IR"/>
        </w:rPr>
        <w:t>مع حرمة نظره فی المرآة، مع أنّ قرب أحدهما إلی الآخر أکثر من قرب الصورة لذی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بما یحکی الوجه مثلاً من ماء وغیره من الأجسام الصقیلة</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الروحانی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ویختص هذا الحکم بالنظر فی المرآة، وأما النظر فی غیرها مما یحکی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کالماء وما شاکل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دلیل علی المنع عنه والتعدی عن المرآة إلیه بتنقیح المناط کما تری، فالمتعین الرجوع إلی الأصل، وهو یقتضی الجواز</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السید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فی الفقه بین الماء الصافی والأجسام الصیقلیة</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یحرم النظر فی المرآة، ویجوز فی جسم صیقلی یعکس کالمرآة، مع أنه لا فرق بینهما عرفاً، والنتیجة واحدة أو متقاربة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ففرق الفقهاء فیما لا یفرق فیه العرف، فکیف بالمقام؟ حیث یفرق العرف قطعاً بین النظر إلی ذات المرأة والنظر إلی صورتها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لا یمکن الحکم بالمناط</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یقرر المناط بأنّ المفاسد المترتبة علی النظر، والتی ذکرت فی الروایات الشریفة تترتب أیضاً علی النظر إلی الصورة، فالعلل مشترکة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النظرة سهم من سهام إبلیس مسموم، وکم من نظرة أورثت حسرة طویلة</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النظرة بعد النظرة تزرع فی القلب الشهوة، وکفی بها لصاحبها فتنة</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وحرم النظر إلی شعور النساء المحجوبات بالأزواج وإلی غیرهن من النساء؛ لما فیه من تهییج الرجال وما یدعو إلیه التهییج من الفساد والدخول فیما لا یحل ولا یَجمُل</w:t>
      </w:r>
      <w:r>
        <w:rPr>
          <w:rFonts w:eastAsia="IRNazanin" w:cs="IRNazanin"/>
          <w:color w:val="111111"/>
          <w:sz w:val="28"/>
          <w:szCs w:val="28"/>
          <w:rtl w:val="true"/>
          <w:lang w:bidi="fa-IR"/>
        </w:rPr>
        <w:t>(</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ما أشبه الشعور</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أول نظرة</w:t>
      </w:r>
      <w:r>
        <w:rPr>
          <w:rFonts w:eastAsia="IRNazanin" w:cs="IRNazanin"/>
          <w:color w:val="111111"/>
          <w:sz w:val="28"/>
          <w:szCs w:val="28"/>
          <w:rtl w:val="true"/>
          <w:lang w:bidi="fa-IR"/>
        </w:rPr>
        <w:t>(</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والثانیة علیک لا لک</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روایات أخری یمکن مراجعتها فی نفس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المذکورات من التهییج والدخول فیما لا یحل ونحوهما حِکَم لا علل، کما لعله الشأن فی معظم العلل المذکورة فی الروایات الشریفة، وإلا لدار الحکم مدارها وجوداً وعدماً، وجاز النظر إلی نفس المرأة إذا لم </w:t>
      </w:r>
      <w:bookmarkStart w:id="322" w:name="pg6289_41924"/>
    </w:p>
    <w:p>
      <w:pPr>
        <w:pStyle w:val="BookText"/>
        <w:rPr/>
      </w:pPr>
      <w:bookmarkEnd w:id="322"/>
      <w:r>
        <w:rPr>
          <w:rFonts w:ascii="IRNazanin" w:hAnsi="IRNazanin" w:eastAsia="IRNazanin"/>
          <w:color w:val="111111"/>
          <w:sz w:val="28"/>
          <w:sz w:val="28"/>
          <w:szCs w:val="28"/>
          <w:rtl w:val="true"/>
          <w:lang w:bidi="fa-IR"/>
        </w:rPr>
        <w:t>تترتب علیه تلک المفاسد، ومع کونها حکماً لا یثبت الحکم ولو مع ثبوتها فی النظر إلی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التعدیة من المرأة إلی الصورة متوقف علی کونها عللاً لا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یشکل هذا الجواب بأنّ التعلیل المذکور بمعنی المعرضیة لا الوقوع بالفعل، والمعرضیة حاصلة بالنظر إلی الصورة کالنظر إلی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کانت العلة التامة المعرضیة لزم جواز النظر فیما لا معرضیة فیه، کالمرأة القبیحة أو المعوقة أو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المعرضیة النوعیة لا الصنفیة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مآل ذلک کونها حکمة لا علة،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أنّ المعرضیة هی العلة التامة للحکم، إلا أنه قد سبق فی الشرط الثانی من شرائط جواز النظر أنّ المعرضیة للوقوع فی الحرام سبب للحرمة فی حد ذاتها، ولا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بین النظر إلی المرأة وصورتها، کما هو مقتضی بعض الأدلة المتقدمة، فالکلام متمحض فیما إذا لم تکن فی النظر للصورة معرضیة للوقوع فی الحرام مطلقاً، فتأمل</w:t>
      </w:r>
      <w:r>
        <w:rPr>
          <w:rFonts w:eastAsia="IRNazanin" w:cs="IRNazanin"/>
          <w:color w:val="111111"/>
          <w:sz w:val="28"/>
          <w:szCs w:val="28"/>
          <w:rtl w:val="true"/>
          <w:lang w:bidi="fa-IR"/>
        </w:rPr>
        <w:t>.</w:t>
      </w:r>
    </w:p>
    <w:p>
      <w:pPr>
        <w:pStyle w:val="Heading6"/>
        <w:numPr>
          <w:ilvl w:val="5"/>
          <w:numId w:val="1"/>
        </w:numPr>
        <w:rPr/>
      </w:pPr>
      <w:bookmarkStart w:id="323" w:name="__RefHeading___Toc2133452_237004111"/>
      <w:bookmarkStart w:id="324" w:name="_Toc126"/>
      <w:bookmarkEnd w:id="323"/>
      <w:r>
        <w:rPr>
          <w:rtl w:val="true"/>
        </w:rPr>
        <w:t>الدلیل الرابع</w:t>
      </w:r>
      <w:r>
        <w:rPr>
          <w:rtl w:val="true"/>
        </w:rPr>
        <w:t xml:space="preserve">: </w:t>
      </w:r>
      <w:r>
        <w:rPr>
          <w:rtl w:val="true"/>
        </w:rPr>
        <w:t>عدم الفرق بین النظر إلی المرأة وإلی صورتها</w:t>
      </w:r>
      <w:bookmarkEnd w:id="324"/>
    </w:p>
    <w:p>
      <w:pPr>
        <w:pStyle w:val="BookText"/>
        <w:rPr/>
      </w:pPr>
      <w:r>
        <w:rPr>
          <w:rFonts w:ascii="IRNazanin" w:hAnsi="IRNazanin" w:eastAsia="IRNazanin"/>
          <w:color w:val="111111"/>
          <w:sz w:val="28"/>
          <w:sz w:val="28"/>
          <w:szCs w:val="28"/>
          <w:rtl w:val="true"/>
          <w:lang w:bidi="fa-IR"/>
        </w:rPr>
        <w:t>الارتکاز المتشرعی علی عدم الفرق بین النظر إلی المرأة والنظر إلی صورتها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ولکن فی ثبوت ارتکاز الحرمة فی غیر ما یأتی من المستثنیات</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325" w:name="pg6289_41925"/>
    </w:p>
    <w:p>
      <w:pPr>
        <w:pStyle w:val="BookText"/>
        <w:rPr/>
      </w:pPr>
      <w:bookmarkEnd w:id="325"/>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p>
    <w:p>
      <w:pPr>
        <w:pStyle w:val="Heading6"/>
        <w:numPr>
          <w:ilvl w:val="5"/>
          <w:numId w:val="1"/>
        </w:numPr>
        <w:rPr/>
      </w:pPr>
      <w:bookmarkStart w:id="326" w:name="__RefHeading___Toc2133454_237004111"/>
      <w:bookmarkStart w:id="327" w:name="_Toc127"/>
      <w:bookmarkEnd w:id="326"/>
      <w:r>
        <w:rPr>
          <w:rtl w:val="true"/>
        </w:rPr>
        <w:t>القول الثانی</w:t>
      </w:r>
      <w:r>
        <w:rPr>
          <w:rtl w:val="true"/>
        </w:rPr>
        <w:t xml:space="preserve">: </w:t>
      </w:r>
      <w:r>
        <w:rPr>
          <w:rtl w:val="true"/>
        </w:rPr>
        <w:t>التفصیل بین المرأة المعروفة وغیرها</w:t>
      </w:r>
      <w:bookmarkEnd w:id="327"/>
    </w:p>
    <w:p>
      <w:pPr>
        <w:pStyle w:val="BookText"/>
        <w:rPr/>
      </w:pPr>
      <w:r>
        <w:rPr>
          <w:rFonts w:ascii="Amiri" w:hAnsi="Amiri" w:eastAsia="Amiri" w:cs="Amiri"/>
          <w:color w:val="111111"/>
          <w:sz w:val="28"/>
          <w:sz w:val="28"/>
          <w:szCs w:val="28"/>
          <w:rtl w:val="true"/>
          <w:lang w:bidi="ar-SA"/>
        </w:rPr>
        <w:t>وقد یقال بالتفصیل بین المرأة المعروفة عند الناظر وغیرها، فیجوز النظر فی الثانی دون الأول، استناداً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قُل لأزْوَاجِکَ وَبَنَاتِکَ وَنِسَاء الْمُؤْمِنِینَ یُدْنِینَ عَلَیْهِنَّ مِن جَلابِیبِهِنَّ ذَلِکَ أَدْنَی أَن یُعْرَفْنَ فَلا یُؤْذَیْنَ وَکَانَ اللَّهُ غَفُوراً رَّحِیماً</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الاستدلال بذلک باعتبار التعلیل، والعلة تعمم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وللآیة تفسیران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تقریب القرآن،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الآیة الکریمة وجوب إدناء الجلباب؛ لأنّ الإدناء أقرب إلی أن یعرفن بأنهن عفائف نجیبات فلا یؤذین، فإنّ عادة الفجار أن یتعرضوا للمرأة المبتذلة، أما إذا کانت متسترة عرفت بالستر والنجابة ولم یتعرض لها الفساق</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قربّت الجلباب بحیث ستر الرقبة والصدر عرفت المرأة أنها محتشمة،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تعرف بالتستر والنجابة والرزانة فلا یتعرضون لها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النساء کن یخرجن لیلاً لقضاء الحاجة من غیر امتیاز بین الأمة والحرة، وکان فی المدینة فساق یتعرضون للإماء، وربما یتعرضون للحرائر، فإذا قیل لهم یقولون حسبناها من الإماء، فأمرت الحرائر أن یخالفن الإماء بالزی لیحتشمن فلا یطمع فیهن، فقوله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أَن یُعْرَفْنَ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أقرب أن یعرفن بأنهن حرائر فلا یؤذین من جهة أهل الریبة بالتعرض لهن، بناء علی أنهن إماء</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والتفسیر الأول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المرأة المعروفة وغیرها؟</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بینهما أن الأولی قابلة للإیذاء بخلاف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لا یرتبط بالنظر، بل الحرمة لأجل الأذیة لا النظر، ثم ما ارتباطه بالنظر إلی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 التستر فهنالک ملازمة عرفیة بین وجوب التستر وحرمة النظر، ومفاد الآیة وجوب التحجب، فیتعدی بالملازمة العرفیة من وجوب التحجب إلی حرمة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العلة موجودة فی صورة المرأة المعروفة کنفس المرأة، فنتعدی من نفس المرأة إلی صورتها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کون هذه حِکَماً لا عللاً، وسوق الکلام فیه کسوقه فی سابقه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التسلیم لا نضایق عن القول بحرمة النظر، إذا کانت هنالک معرضیة للإیذاء لما سبق، وإن لم تکن معرضیة فلا إشکال فی النظر، ولا یثبت التحریم المطلق، فتأمل</w:t>
      </w:r>
      <w:r>
        <w:rPr>
          <w:rFonts w:eastAsia="IRNazanin" w:cs="IRNazanin"/>
          <w:color w:val="111111"/>
          <w:sz w:val="28"/>
          <w:szCs w:val="28"/>
          <w:rtl w:val="true"/>
          <w:lang w:bidi="fa-IR"/>
        </w:rPr>
        <w:t xml:space="preserve">. </w:t>
      </w:r>
      <w:bookmarkStart w:id="328" w:name="pg6289_41927"/>
    </w:p>
    <w:p>
      <w:pPr>
        <w:pStyle w:val="Heading6"/>
        <w:numPr>
          <w:ilvl w:val="5"/>
          <w:numId w:val="1"/>
        </w:numPr>
        <w:rPr/>
      </w:pPr>
      <w:bookmarkStart w:id="329" w:name="__RefHeading___Toc2133456_237004111"/>
      <w:bookmarkStart w:id="330" w:name="_Toc128"/>
      <w:bookmarkEnd w:id="328"/>
      <w:bookmarkEnd w:id="329"/>
      <w:r>
        <w:rPr>
          <w:rtl w:val="true"/>
        </w:rPr>
        <w:t>القول الثالث</w:t>
      </w:r>
      <w:r>
        <w:rPr>
          <w:rtl w:val="true"/>
        </w:rPr>
        <w:t xml:space="preserve">: </w:t>
      </w:r>
      <w:r>
        <w:rPr>
          <w:rtl w:val="true"/>
        </w:rPr>
        <w:t>التفصیل بین البث المباشر وغیره</w:t>
      </w:r>
      <w:bookmarkEnd w:id="330"/>
    </w:p>
    <w:p>
      <w:pPr>
        <w:pStyle w:val="BookText"/>
        <w:rPr/>
      </w:pPr>
      <w:r>
        <w:rPr>
          <w:rFonts w:ascii="IRNazanin" w:hAnsi="IRNazanin" w:eastAsia="IRNazanin"/>
          <w:color w:val="111111"/>
          <w:sz w:val="28"/>
          <w:sz w:val="28"/>
          <w:szCs w:val="28"/>
          <w:rtl w:val="true"/>
          <w:lang w:bidi="fa-IR"/>
        </w:rPr>
        <w:t>هذا وقد یقال بتفصیل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التفصیل بین الصورة المرئیة عبر البث المباشر وغیر المباشر، بعدم الجواز فی الأول والجواز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وجهه ما سیأتی إن شاء الله تعالی فی مسألة النظر فی المرآة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وزان النظر عبر البث المباشر وزان المرآة، فإنه نظر إلی الصورة لا إلی ذات المرأة، بخلاف النظر إلی المرآة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کونه مثله دقة لم یجدِ فی الحکم بالتحریم؛ لأنه یقال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إلی صورتها لا إلیها، فلا تشمله الأدلة الدالة علی حرمة النظر إلی المرأة</w:t>
      </w:r>
      <w:r>
        <w:rPr>
          <w:rFonts w:eastAsia="IRNazanin" w:cs="IRNazanin"/>
          <w:color w:val="111111"/>
          <w:sz w:val="28"/>
          <w:szCs w:val="28"/>
          <w:rtl w:val="true"/>
          <w:lang w:bidi="fa-IR"/>
        </w:rPr>
        <w:t>.</w:t>
      </w:r>
    </w:p>
    <w:p>
      <w:pPr>
        <w:pStyle w:val="Heading6"/>
        <w:numPr>
          <w:ilvl w:val="5"/>
          <w:numId w:val="1"/>
        </w:numPr>
        <w:rPr/>
      </w:pPr>
      <w:bookmarkStart w:id="331" w:name="__RefHeading___Toc2133458_237004111"/>
      <w:bookmarkStart w:id="332" w:name="_Toc129"/>
      <w:bookmarkEnd w:id="331"/>
      <w:r>
        <w:rPr>
          <w:rtl w:val="true"/>
        </w:rPr>
        <w:t>القول الرابع</w:t>
      </w:r>
      <w:r>
        <w:rPr>
          <w:rtl w:val="true"/>
        </w:rPr>
        <w:t xml:space="preserve">: </w:t>
      </w:r>
      <w:r>
        <w:rPr>
          <w:rtl w:val="true"/>
        </w:rPr>
        <w:t>جواز النظر</w:t>
      </w:r>
      <w:bookmarkEnd w:id="332"/>
    </w:p>
    <w:p>
      <w:pPr>
        <w:pStyle w:val="Heading6"/>
        <w:numPr>
          <w:ilvl w:val="5"/>
          <w:numId w:val="1"/>
        </w:numPr>
        <w:rPr/>
      </w:pPr>
      <w:bookmarkStart w:id="333" w:name="__RefHeading___Toc2133460_237004111"/>
      <w:bookmarkStart w:id="334" w:name="_Toc130"/>
      <w:bookmarkEnd w:id="333"/>
      <w:r>
        <w:rPr>
          <w:rtl w:val="true"/>
        </w:rPr>
        <w:t>اشارة</w:t>
      </w:r>
      <w:bookmarkEnd w:id="334"/>
    </w:p>
    <w:p>
      <w:pPr>
        <w:pStyle w:val="BookText"/>
        <w:rPr/>
      </w:pPr>
      <w:r>
        <w:rPr>
          <w:rFonts w:ascii="IRNazanin" w:hAnsi="IRNazanin" w:eastAsia="IRNazanin"/>
          <w:color w:val="111111"/>
          <w:sz w:val="28"/>
          <w:sz w:val="28"/>
          <w:szCs w:val="28"/>
          <w:rtl w:val="true"/>
          <w:lang w:bidi="fa-IR"/>
        </w:rPr>
        <w:t>وعلی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یتم ما ذکر من الأدلة للأقوال الثلاثة یتعین المصیر إلی القول الرابع وهو الجواز؛ لأصالة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یُتمسک للقول بالجواز بدلیل اجتهادی، وهو أخبار النظر فی المرآة إلی عورة الخنثی، ذکره فی شرح العروة</w:t>
      </w:r>
      <w:r>
        <w:rPr>
          <w:rFonts w:eastAsia="IRNazanin" w:cs="IRNazanin"/>
          <w:color w:val="111111"/>
          <w:sz w:val="28"/>
          <w:szCs w:val="28"/>
          <w:rtl w:val="true"/>
          <w:lang w:bidi="fa-IR"/>
        </w:rPr>
        <w:t>(</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أشکل علیه بضعف الخبر</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النظر فی ذلک المقام ضرورة عرفیة، باعتبار توقف معرفة الحق علیه، فلا یتعدی الحکم إلی ما لا ضرورة فیه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وبتقریر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الحکم بالنظر عبر المرآة من باب الإرشاد إلی </w:t>
      </w:r>
    </w:p>
    <w:p>
      <w:pPr>
        <w:pStyle w:val="BookText"/>
        <w:rPr/>
      </w:pPr>
      <w:r>
        <w:rPr>
          <w:rFonts w:ascii="IRNazanin" w:hAnsi="IRNazanin" w:eastAsia="IRNazanin"/>
          <w:color w:val="111111"/>
          <w:sz w:val="28"/>
          <w:sz w:val="28"/>
          <w:szCs w:val="28"/>
          <w:rtl w:val="true"/>
          <w:lang w:bidi="fa-IR"/>
        </w:rPr>
        <w:t>الطریق المحلل کان ذلک دلیلاً علی المدعی، وإن کان من باب الإرشاد إلی أخف المحذورین فی صورة الاضطرار لم یصح الاستدلال به فی المقام، وحیث إنه لم یبین الوجه فی الأمر بالنظر عبر المرآة کان مجملاً، فلاً تنهض الروایة المزبورة لا للقول بالجواز ولا للقول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الإشکال المذکور إنما یتم فی روایة الشیخ المفید، وأما فی روایة یحیی بن أکثم فالظاهر أنه غیر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روایة الشیخ المفید فهی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لما ادعی الشخص ما ادعاه من الفرجین، أمر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عدلین من المسلمین أن یحضرا بیتاً خالیاً، وأحضر الشخص معهما، وأمر بنصب مرآتین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مقابلة لفرج الشخص، والأخری مقابلة للمرآة الأخری، وأمر الشخص بالکشف عن عورته فی مقابلة المرآة، حیث لا یراه العدلان، وأمر العدلین بالنظر فی المرآة المقابلة لها، فلما تحقق العدلان صحة ما ادعاه الشخص من الفرجین</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روایة یحیی بن أکثم فهی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یحیی بن أکثم سأله فی المسائل التی سأله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الخنثی وقول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تورث الخنثی من المبال، من ینظر إلیه إذا بال وشهادة الجارّ إلی نفسه لا تقبل، مع أنه عسی أن یکون امرأة وقد نظر إلیها الرجال، أو یکون رجلاً وقد نظر إلیه النساء وهذا مما لا یحل؟ فأجاب أبو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یورث من المبال فهو کما قال، وینظر قوم عدول یأخذ کل </w:t>
      </w:r>
    </w:p>
    <w:p>
      <w:pPr>
        <w:pStyle w:val="BookText"/>
        <w:rPr/>
      </w:pPr>
      <w:r>
        <w:rPr>
          <w:rFonts w:ascii="IRNazanin" w:hAnsi="IRNazanin" w:eastAsia="IRNazanin"/>
          <w:color w:val="111111"/>
          <w:sz w:val="28"/>
          <w:sz w:val="28"/>
          <w:szCs w:val="28"/>
          <w:rtl w:val="true"/>
          <w:lang w:bidi="fa-IR"/>
        </w:rPr>
        <w:t>واحد منهم مرآة ویقوم الخنثی خلفهم عریانة، فینظرون فی المرایا فیرون شبحاً فیحکمون علیه</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فتدل أو تشعر بجواز النظر فی المرآة، وإلا لم یجب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إشکال یحیی بن أکثم؛ لأنه یشکل کیف جوز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وهو محرّم؟</w:t>
      </w:r>
    </w:p>
    <w:p>
      <w:pPr>
        <w:pStyle w:val="BookText"/>
        <w:rPr/>
      </w:pPr>
      <w:r>
        <w:rPr>
          <w:rFonts w:ascii="IRNazanin" w:hAnsi="IRNazanin" w:eastAsia="IRNazanin"/>
          <w:color w:val="111111"/>
          <w:sz w:val="28"/>
          <w:sz w:val="28"/>
          <w:szCs w:val="28"/>
          <w:rtl w:val="true"/>
          <w:lang w:bidi="fa-IR"/>
        </w:rPr>
        <w:t xml:space="preserve">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یأمر بالنظر إلی العورة مباشرة، وإنما أمر بالنظر فی المرایا، ولو کان ذلک حراماً لأجابه بکونه ضرورة، والضرورات تبیح المحظورات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بنظر محلل لا محرم، فاندفع إشکال یحیی بن أکثم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سند الروایتین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روایة المفید فهی مرسلة،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بعض أهل النقل</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روایة یحیی، فسندها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محمّد، عن محمد بن سعید الآذربایجانی، وعن محمد بن یحیی، عن عبد الله بن جعفر، عن الحسن بن علی بن کیسان جمیعاً عن موسی بن محمد أخی أبی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الطریقین إشکال، فإنّ محمد بن سعید الآذربایجانی مجهول، وکذلک الحسن بن علی بن کیسان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الجواب قد یکون إقناعیاً، فیحیی بن أکثم کان یتصور حرمة النظر إلی الموضع حتی فی مثل هذه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الجواب إقناعیاً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مورد الروایة إما ضرورة أو إرشاد إلی طریق محلل، وحمل الروایة علی مورد الضرورة خلاف الأصل، فإنّ الضرورة من العناوین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الروایة من موارد الضرورة، حیث یراد معرفة الحق، فإنّ المسألة مشکلة، ولا یعلم متعلق الحق المالی، فإنّ الخنثی إن کانت أنثی ورثت أقل مما لو کانت ذکراً، ففی هذه الحالة یجیز المولی النظر، ولا یعلم وجه الجواز، فلا یمکن القول بجواز النظر إلی عورة الخنثی فی الحالة العادیة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والأصل المذکور قاعدة عقلائیة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شرعیة حتی یتمسک بإطلاقها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مثل المقام غیر 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وللتقریب إلی الذهن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سئل الفقیه عن جواز نظر الطبیب إلی المرأة، فأجاب بالنظر فی المرآة لم یدل ذلک علی جواز النظر فی المرآة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بأن المورد من موارد الضرورة؛ لإمکان جریان قاعدة العدل والإنصاف</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العدل قاعدة عقلائیة وشرعیة لو قبلناها، وهی مؤخرة عن بقیة القواعد، فالقاعدة تجری إذا لم یکن طریق آخر، والشارع جعل </w:t>
      </w:r>
      <w:bookmarkStart w:id="335" w:name="pg6289_41931"/>
    </w:p>
    <w:p>
      <w:pPr>
        <w:pStyle w:val="BookText"/>
        <w:rPr/>
      </w:pPr>
      <w:bookmarkEnd w:id="335"/>
      <w:r>
        <w:rPr>
          <w:rFonts w:ascii="Amiri" w:hAnsi="Amiri" w:eastAsia="Amiri" w:cs="Amiri"/>
          <w:color w:val="111111"/>
          <w:sz w:val="28"/>
          <w:sz w:val="28"/>
          <w:szCs w:val="28"/>
          <w:rtl w:val="true"/>
          <w:lang w:bidi="ar-SA"/>
        </w:rPr>
        <w:t>طریقاً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المتحقق فی المقام الجهل بالموضوع لا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نوع من الضرورة، حیث لا یعلم کیفیة إیصال الحق إلی صاحبه، وقد یکون هنالک تنازع ومرافعة</w:t>
      </w:r>
      <w:r>
        <w:rPr>
          <w:rFonts w:eastAsia="IRNazanin" w:cs="IRNazanin"/>
          <w:color w:val="111111"/>
          <w:sz w:val="28"/>
          <w:szCs w:val="28"/>
          <w:rtl w:val="true"/>
          <w:lang w:bidi="fa-IR"/>
        </w:rPr>
        <w:t>.</w:t>
      </w:r>
    </w:p>
    <w:p>
      <w:pPr>
        <w:pStyle w:val="Heading6"/>
        <w:numPr>
          <w:ilvl w:val="5"/>
          <w:numId w:val="1"/>
        </w:numPr>
        <w:rPr/>
      </w:pPr>
      <w:bookmarkStart w:id="336" w:name="__RefHeading___Toc2133462_237004111"/>
      <w:bookmarkStart w:id="337" w:name="_Toc131"/>
      <w:bookmarkEnd w:id="336"/>
      <w:r>
        <w:rPr>
          <w:rtl w:val="true"/>
        </w:rPr>
        <w:t>صور استثناءات الحکم بجواز النظر</w:t>
      </w:r>
      <w:bookmarkEnd w:id="337"/>
    </w:p>
    <w:p>
      <w:pPr>
        <w:pStyle w:val="Heading6"/>
        <w:numPr>
          <w:ilvl w:val="5"/>
          <w:numId w:val="1"/>
        </w:numPr>
        <w:rPr/>
      </w:pPr>
      <w:bookmarkStart w:id="338" w:name="__RefHeading___Toc2133464_237004111"/>
      <w:bookmarkStart w:id="339" w:name="_Toc132"/>
      <w:bookmarkEnd w:id="338"/>
      <w:r>
        <w:rPr>
          <w:rtl w:val="true"/>
        </w:rPr>
        <w:t>اشارة</w:t>
      </w:r>
      <w:bookmarkEnd w:id="339"/>
    </w:p>
    <w:p>
      <w:pPr>
        <w:pStyle w:val="BookText"/>
        <w:rPr/>
      </w:pPr>
      <w:r>
        <w:rPr>
          <w:rFonts w:ascii="IRNazanin" w:hAnsi="IRNazanin" w:eastAsia="IRNazanin"/>
          <w:color w:val="111111"/>
          <w:sz w:val="28"/>
          <w:sz w:val="28"/>
          <w:szCs w:val="28"/>
          <w:rtl w:val="true"/>
          <w:lang w:bidi="fa-IR"/>
        </w:rPr>
        <w:t>ثم إنه تستثنی من الحکم بجواز النظر صور ثلاث</w:t>
      </w:r>
      <w:r>
        <w:rPr>
          <w:rFonts w:eastAsia="IRNazanin" w:cs="IRNazanin"/>
          <w:color w:val="111111"/>
          <w:sz w:val="28"/>
          <w:szCs w:val="28"/>
          <w:rtl w:val="true"/>
          <w:lang w:bidi="fa-IR"/>
        </w:rPr>
        <w:t>:</w:t>
      </w:r>
    </w:p>
    <w:p>
      <w:pPr>
        <w:pStyle w:val="Heading6"/>
        <w:numPr>
          <w:ilvl w:val="5"/>
          <w:numId w:val="1"/>
        </w:numPr>
        <w:rPr/>
      </w:pPr>
      <w:bookmarkStart w:id="340" w:name="__RefHeading___Toc2133466_237004111"/>
      <w:bookmarkStart w:id="341" w:name="_Toc133"/>
      <w:bookmarkEnd w:id="340"/>
      <w:r>
        <w:rPr>
          <w:rtl w:val="true"/>
        </w:rPr>
        <w:t>الصورة الأولی</w:t>
      </w:r>
      <w:r>
        <w:rPr>
          <w:rtl w:val="true"/>
        </w:rPr>
        <w:t xml:space="preserve">: </w:t>
      </w:r>
      <w:r>
        <w:rPr>
          <w:rtl w:val="true"/>
        </w:rPr>
        <w:t>النظر فی المرآة ونحوها</w:t>
      </w:r>
      <w:bookmarkEnd w:id="341"/>
    </w:p>
    <w:p>
      <w:pPr>
        <w:pStyle w:val="BookText"/>
        <w:rPr/>
      </w:pPr>
      <w:r>
        <w:rPr>
          <w:rFonts w:ascii="IRNazanin" w:hAnsi="IRNazanin" w:eastAsia="IRNazanin"/>
          <w:color w:val="111111"/>
          <w:sz w:val="28"/>
          <w:sz w:val="28"/>
          <w:szCs w:val="28"/>
          <w:rtl w:val="true"/>
          <w:lang w:bidi="fa-IR"/>
        </w:rPr>
        <w:t>قال صاحب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حرمة النظر إلی ما یحرم النظر إلیه فی المرآة والماء الصافی، مع التلذذ</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ووافقه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العراقی والمحقق النائینی والمحقق الحائری والسید البروجردی والسید أبو الحسن الإصفهانی والسید الخونساری والسید عبد الهادی الشیرازی والسید الحکیم والسید الوالد والسید الخوئی والسید القمی والسید الگلپایگانی رحمهم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ویدلُّ علی الحرمة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النظر فی المرآة نظر إلی المرأة نفسها، منتهی الأمر أنه نظر بواسطة الشعاع المنکسر لا المستقیم، فالشعاع تارة مستقیم من البدن إلی العین، وتارة منکسر، فتشمله الأدلة الدالة علی حرمة النظر إلی المرأة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وأشکل فی ذلک بأنّ النظر غیر واقع علی شخص الأجنبیة، بل علی صورتها المنطبعة فی المرآة أو غیرها من الأجسام الشفافة، ولا دلیل علی </w:t>
      </w:r>
    </w:p>
    <w:p>
      <w:pPr>
        <w:pStyle w:val="BookText"/>
        <w:rPr/>
      </w:pPr>
      <w:r>
        <w:rPr>
          <w:rFonts w:ascii="IRNazanin" w:hAnsi="IRNazanin" w:eastAsia="IRNazanin"/>
          <w:color w:val="111111"/>
          <w:sz w:val="28"/>
          <w:sz w:val="28"/>
          <w:szCs w:val="28"/>
          <w:rtl w:val="true"/>
          <w:lang w:bidi="fa-IR"/>
        </w:rPr>
        <w:t>حرمة مثل هذا النظر، بعد أن کانت الرؤیة فیها علی سبیل الانطباع لا الانکسار</w:t>
      </w:r>
      <w:r>
        <w:rPr>
          <w:rFonts w:eastAsia="IRNazanin" w:cs="IRNazanin"/>
          <w:color w:val="111111"/>
          <w:sz w:val="28"/>
          <w:szCs w:val="28"/>
          <w:rtl w:val="true"/>
          <w:lang w:bidi="fa-IR"/>
        </w:rPr>
        <w:t>(</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أقل من الاحتمال الموجب لجریان أصالة البراءة فی المقام، وقد نسب بعض ما ذکر إلی المحقق النراقی فی المستند</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وأجیب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بالمناقشة فی المبنی؛ إذ النور ینکسر فی المرآة، فیقع النظر علی شخص الأجنبیة، لا أن صورتها تنطبع فیها فیقع النظر علی الصورة، ولذلک شواهد ومؤیدات مذکورة فی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المرآة لا تکفی إلاّ لصورة شخص واحد فیقف أمامها ثلاثة أشخاص فیری من أمامها نفسه، ومن عن یمنیها یری صورة من فی الجانب الأیسر، ومن علی یسارها یری صورة من فی الجانب الأیمن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فیدل هذا علی أنه لیس انطباعاً، حیث إنّ المرآة غیر قابلة لثلاث صور منطبعة، ولو فرض انطباع الصور الثلاث لزم مسح إحداها الأخری أو اختلاطها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التسلیم</w:t>
      </w:r>
      <w:r>
        <w:rPr>
          <w:rFonts w:eastAsia="IRNazanin" w:cs="IRNazanin"/>
          <w:color w:val="111111"/>
          <w:sz w:val="28"/>
          <w:szCs w:val="28"/>
          <w:rtl w:val="true"/>
          <w:lang w:bidi="fa-IR"/>
        </w:rPr>
        <w:t>(</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الانطباع والانکسار من الأبحاث الدقیقة البعیدة عن أذهان العرف، وهم لا یرتابون أنّ الناظر إلی المرأة فی المرآة الحاکیة لها ناظر إلیها حقیقة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لا یرتاب العرف فی أنّ الناظر إلی وجهه عبر المرآة ناظر إلی </w:t>
      </w:r>
    </w:p>
    <w:p>
      <w:pPr>
        <w:pStyle w:val="BookText"/>
        <w:rPr/>
      </w:pPr>
      <w:r>
        <w:rPr>
          <w:rFonts w:ascii="IRNazanin" w:hAnsi="IRNazanin" w:eastAsia="IRNazanin"/>
          <w:color w:val="111111"/>
          <w:sz w:val="28"/>
          <w:sz w:val="28"/>
          <w:szCs w:val="28"/>
          <w:rtl w:val="true"/>
          <w:lang w:bidi="fa-IR"/>
        </w:rPr>
        <w:t>وجهه حقیقة، لا إلی الصورة المنطبعة عن وجهه فی المرآة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الأدلة الناهیة عن النظر تشمل النظر إلی المرأة عبر المرآة عرفاً، فإنه نظر إلیها عرفاً، وإن کان نظراً إلی صورتها المنطبعة 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دعوی انصراف الأدلة عن النظر فی المرآة لانصراف النظر إلی الشائع المتعارف وهی الرؤیة بلا واسطة شیء، کما عن المستند</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الانصراف بدوی، وغلبة الوجود لا تقدح فی إطلاق المطلقات، إلا إذا استلزمت تحول وجهة اللفظ عن الطبیعة إلی حصة خاصة منها، ولیس ذلک حاصلاً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الوالد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الانصراف ممنوع</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السبزواری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من الانصرافات البدویة التی لا یعتنی بها</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المستمسک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لو سلم فالظاهر من الأدلة عدم الخصوصیة لغیر الفرض، وأن موضوع الحکم هو الإحساس الخاص، وإلا جاز النظر بالآلة النظارة، ولا یمکن الالتزام به</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فرق بین أن ینظر إلیها مباشرة أو ینظر إلیها فی المرآة، فإنّ الإحساس </w:t>
      </w:r>
    </w:p>
    <w:p>
      <w:pPr>
        <w:pStyle w:val="BookText"/>
        <w:rPr/>
      </w:pPr>
      <w:r>
        <w:rPr>
          <w:rFonts w:ascii="IRNazanin" w:hAnsi="IRNazanin" w:eastAsia="IRNazanin"/>
          <w:color w:val="111111"/>
          <w:sz w:val="28"/>
          <w:sz w:val="28"/>
          <w:szCs w:val="28"/>
          <w:rtl w:val="true"/>
          <w:lang w:bidi="fa-IR"/>
        </w:rPr>
        <w:t>والانطباع الخاص مشترک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المستفاد من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بقرینة الفهم العرفی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المنع عن الإحساس الخاص</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کمنع الدولة النظر إلی مواقع الجیش، فلا فرق فیه بین النظر المباشر أو عبر المرآة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یقرر المناط بأنّ المفاسد المترتبة علی النظر بلا واسطة، والتی ذکرت فی الآیة الشریفة</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تترتب أیضاً علی النظر بواسطة المرآة، وسوق الکلام فی ذلک یعلم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الکلام فی دلالتها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الارتکاز المتشرعی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أنه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أشکل فی المستمسک فی النظر فی الماء الصافی من جهة عدم تمامیة حکایته</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الموضوع النظر لا تمام الحکایة فی النظر؛ وإلا لأشکل الأمر فی إطلاقه حرمة النظر فی المرآة، مع أنها قد لا تکون تامة الحکایة</w:t>
      </w:r>
      <w:r>
        <w:rPr>
          <w:rFonts w:eastAsia="IRNazanin" w:cs="IRNazanin"/>
          <w:color w:val="111111"/>
          <w:sz w:val="28"/>
          <w:szCs w:val="28"/>
          <w:rtl w:val="true"/>
          <w:lang w:bidi="fa-IR"/>
        </w:rPr>
        <w:t>(</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42" w:name="pg6289_41935"/>
    </w:p>
    <w:p>
      <w:pPr>
        <w:pStyle w:val="BookText"/>
        <w:rPr/>
      </w:pPr>
      <w:bookmarkEnd w:id="342"/>
      <w:r>
        <w:rPr>
          <w:rFonts w:ascii="IRNazanin" w:hAnsi="IRNazanin" w:eastAsia="IRNazanin"/>
          <w:color w:val="111111"/>
          <w:sz w:val="28"/>
          <w:sz w:val="28"/>
          <w:szCs w:val="28"/>
          <w:rtl w:val="true"/>
          <w:lang w:bidi="fa-IR"/>
        </w:rPr>
        <w:t>إلا أن یرید الانصراف،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النظر من وراء الزجاجة والنظارة والمجهر المتعارف؛ لأنه نظر عرفاً، بل دقة، فتشمله الأدلة الدالة علی حرمة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الاستثناء الأول</w:t>
      </w:r>
      <w:r>
        <w:rPr>
          <w:rFonts w:eastAsia="IRNazanin" w:cs="IRNazanin"/>
          <w:color w:val="111111"/>
          <w:sz w:val="28"/>
          <w:szCs w:val="28"/>
          <w:rtl w:val="true"/>
          <w:lang w:bidi="fa-IR"/>
        </w:rPr>
        <w:t>.</w:t>
      </w:r>
    </w:p>
    <w:p>
      <w:pPr>
        <w:pStyle w:val="Heading6"/>
        <w:numPr>
          <w:ilvl w:val="5"/>
          <w:numId w:val="1"/>
        </w:numPr>
        <w:rPr/>
      </w:pPr>
      <w:bookmarkStart w:id="343" w:name="__RefHeading___Toc2133468_237004111"/>
      <w:bookmarkStart w:id="344" w:name="_Toc134"/>
      <w:bookmarkEnd w:id="343"/>
      <w:r>
        <w:rPr>
          <w:rtl w:val="true"/>
        </w:rPr>
        <w:t>الصورة الثانیة</w:t>
      </w:r>
      <w:r>
        <w:rPr>
          <w:rtl w:val="true"/>
        </w:rPr>
        <w:t xml:space="preserve">: </w:t>
      </w:r>
      <w:r>
        <w:rPr>
          <w:rtl w:val="true"/>
        </w:rPr>
        <w:t>النظر للصور الخلاعیة</w:t>
      </w:r>
      <w:bookmarkEnd w:id="344"/>
    </w:p>
    <w:p>
      <w:pPr>
        <w:pStyle w:val="BookText"/>
        <w:rPr/>
      </w:pPr>
      <w:r>
        <w:rPr>
          <w:rFonts w:ascii="IRNazanin" w:hAnsi="IRNazanin" w:eastAsia="IRNazanin"/>
          <w:color w:val="111111"/>
          <w:sz w:val="28"/>
          <w:sz w:val="28"/>
          <w:szCs w:val="28"/>
          <w:rtl w:val="true"/>
          <w:lang w:bidi="fa-IR"/>
        </w:rPr>
        <w:t>فإنه منکر فی أذهان المتشرعة؛ وذلک بمقدار ما یساعده الإنکار فی أذهانهم، وإلا فلا وجود لهذه الکلمة فی الروایات حتی ندور مدارها</w:t>
      </w:r>
      <w:r>
        <w:rPr>
          <w:rFonts w:eastAsia="IRNazanin" w:cs="IRNazanin"/>
          <w:color w:val="111111"/>
          <w:sz w:val="28"/>
          <w:szCs w:val="28"/>
          <w:rtl w:val="true"/>
          <w:lang w:bidi="fa-IR"/>
        </w:rPr>
        <w:t>.</w:t>
      </w:r>
    </w:p>
    <w:p>
      <w:pPr>
        <w:pStyle w:val="Heading6"/>
        <w:numPr>
          <w:ilvl w:val="5"/>
          <w:numId w:val="1"/>
        </w:numPr>
        <w:rPr/>
      </w:pPr>
      <w:bookmarkStart w:id="345" w:name="__RefHeading___Toc2133470_237004111"/>
      <w:bookmarkStart w:id="346" w:name="_Toc135"/>
      <w:bookmarkEnd w:id="345"/>
      <w:r>
        <w:rPr>
          <w:rtl w:val="true"/>
        </w:rPr>
        <w:t>الصورة الثالثة</w:t>
      </w:r>
      <w:r>
        <w:rPr>
          <w:rtl w:val="true"/>
        </w:rPr>
        <w:t xml:space="preserve">: </w:t>
      </w:r>
      <w:r>
        <w:rPr>
          <w:rtl w:val="true"/>
        </w:rPr>
        <w:t>النظر إلی الصورة عند مقارنته للمحرمات</w:t>
      </w:r>
      <w:bookmarkEnd w:id="346"/>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الصورة عند مقارنته للمحرمات، کالالتذاذ الشهوی وخوف الوقوع فی الفتنة ونحوهما؛ وذلک لما سبق من الأدلة التی یعم بعضها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یخفی أنّ النظر إلی الصور والأفلام مدخل خطیر من مداخل الشیطان،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 خُطُوَاتِ الشَّیْطَانِ</w:t>
      </w:r>
      <w:r>
        <w:rPr>
          <w:rFonts w:eastAsia="Amiri" w:cs="Amiri" w:ascii="Amiri" w:hAnsi="Amiri"/>
          <w:color w:val="111111"/>
          <w:sz w:val="28"/>
          <w:szCs w:val="28"/>
          <w:rtl w:val="true"/>
          <w:lang w:bidi="ar-SA"/>
        </w:rPr>
        <w:t>}(</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فینبغی الاحتیاط التام فی المقام، والله تعالی هو العالم والعاصم</w:t>
      </w:r>
      <w:r>
        <w:rPr>
          <w:rFonts w:eastAsia="IRNazanin" w:cs="IRNazanin"/>
          <w:color w:val="111111"/>
          <w:sz w:val="28"/>
          <w:szCs w:val="28"/>
          <w:rtl w:val="true"/>
          <w:lang w:bidi="fa-IR"/>
        </w:rPr>
        <w:t>.</w:t>
      </w:r>
    </w:p>
    <w:p>
      <w:pPr>
        <w:pStyle w:val="Heading6"/>
        <w:numPr>
          <w:ilvl w:val="5"/>
          <w:numId w:val="1"/>
        </w:numPr>
        <w:rPr/>
      </w:pPr>
      <w:bookmarkStart w:id="347" w:name="__RefHeading___Toc2133472_237004111"/>
      <w:bookmarkStart w:id="348" w:name="_Toc136"/>
      <w:bookmarkEnd w:id="347"/>
      <w:r>
        <w:rPr>
          <w:rtl w:val="true"/>
        </w:rPr>
        <w:t>استفتاءات تتعلق بالمقام</w:t>
      </w:r>
      <w:bookmarkEnd w:id="348"/>
    </w:p>
    <w:p>
      <w:pPr>
        <w:pStyle w:val="BookText"/>
        <w:rPr/>
      </w:pPr>
      <w:r>
        <w:rPr>
          <w:rFonts w:ascii="IRNazanin" w:hAnsi="IRNazanin" w:eastAsia="IRNazanin"/>
          <w:color w:val="111111"/>
          <w:sz w:val="28"/>
          <w:sz w:val="28"/>
          <w:szCs w:val="28"/>
          <w:rtl w:val="true"/>
          <w:lang w:bidi="fa-IR"/>
        </w:rPr>
        <w:t>استفتاءات تتعلق بالمقام</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لا بأس بذکر بعض الفتاوی المتعلقة بالمقام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کتاب الاستفتاءات للوالد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النظر إلی شاشة التلفزیون فی حال مجیء صور نساء مسلمات لکن لا یرتدن الحجاب؟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نظر المرأة إلی صورة الرجل فی التلفاز إذا کان أغلب بدنه مکشوفاً، کما لو کان فی حلبة المصارعة أو ملعب الکرة أو غیر ذلک؟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تزوج بامرأة فهل یجوز أن ینظر للصور التی التقطتها لنفسها قبل الزواج؟</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وإن کان لا ینبغی ترک الاحتیاط</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الصور حال زوجیتها لزوج آخر، وهی الآن زوجته فهل یجوز له أن ینظر للصور التی التقطتها وهی فی حبالة الزوج الأول؟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کالسابق</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طلقها فهل یجوز أن ینظر لصورها حال کونها زوجته؟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الوالد فی المسائل المتجددة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التصاویر الجنسیة الموجبة للفتنة وإثارة الحرام لا تجوز، وإن لم تکن تصاویر واقعیة، بل کانت خیالیة، أما الواقعیة منها فلها جهة حرمة ثانیة أیضاً؛ لحرمة النظر إلی النساء وعورات الرجال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فی کلا الأمرین واضح، من غیر فرق بین التصویر الفتوغرافی أو التلفزیون أو الفیدیو أو 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صراط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یجوز النظر مطلقاً إلی النساء العاریات والرجال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أی ساتر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العورة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 والدبر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التلفزیون والمجلات بدون ریبة وتلذذ؟</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النظر إلی الخلاعیات منها</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منیة السائل</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إرشاد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للمرأة أن تشاهد مسابقات السباحة للرجال علی شاشة التلفزیون؟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لها تعمد النظر</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صراط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النظر إلی أفلام یعرض فیها کیفیة الاتصال الجنسی وکیفیة تکون الجنین وکیفیة الولادة عند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الخلاعیات التی لا یجوز النظر إلیها إذا کان مثیراً للشهوة</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تغیر رأیه هنا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النظر إلی أفلام التلفزیون الغیر</w:t>
      </w:r>
      <w:r>
        <w:rPr>
          <w:rFonts w:eastAsia="IRNazanin" w:cs="IRNazanin"/>
          <w:color w:val="111111"/>
          <w:sz w:val="28"/>
          <w:szCs w:val="28"/>
          <w:rtl w:val="true"/>
          <w:lang w:bidi="fa-IR"/>
        </w:rPr>
        <w:t>(</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خلاعیة، ولکنها تحتوی علی قصص عاطفیة وحب وغرام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النظر إلی صور الکتابیات العاریات أو شبه العاریات فی التلفزیون وشبهه لإشباع غریزة حب الاطلاع والاستئناس مع عدم الاطمئنان بحصول اللذة الجنسیة؟</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النظر الالتذاذی إلی الکتابیات، وأما النظر إلی التلفزیون وغیره فإن کانت المرأة معروفة عند الناظر فالنظر إلی التلفزیون کالنظر إلی جسمها خارجاً، وأما إذا لم تکن معروفة عنده فلا بأس به، وإن کان الأحوط ترکه مطلقاً</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إرشاد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إلی الصور الخلاعیة والأفلام الجنسیة بدون شهوة هل هو جائز؟</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لأنّ رؤیة هذه الأفلام لا تنفنک غالباً عن إثارة الفتنة وفساد الأخلاق، وکذا الصور المذکورة إذا کانت رؤیته معرضاً لها</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بحثان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المطالب المتقدمة</w:t>
      </w:r>
      <w:r>
        <w:rPr>
          <w:rFonts w:eastAsia="Amiri" w:cs="Amiri" w:ascii="Amiri" w:hAnsi="Amiri"/>
          <w:color w:val="111111"/>
          <w:sz w:val="28"/>
          <w:szCs w:val="28"/>
          <w:rtl w:val="true"/>
          <w:lang w:bidi="ar-SA"/>
        </w:rPr>
        <w:t xml:space="preserve">. </w:t>
      </w:r>
      <w:bookmarkStart w:id="349" w:name="pg6289_41939"/>
    </w:p>
    <w:p>
      <w:pPr>
        <w:pStyle w:val="BookText"/>
        <w:rPr/>
      </w:pPr>
      <w:bookmarkEnd w:id="349"/>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ما یکون النظر إلی هذه الأفلام والصور مقارنة للمحرمات، ولا أقل من الالتذاذ الشهوی، إلاّ أن یکون الإنسان جداراً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العم السید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سأله شخص عن الذهاب إلی الأسواق فیقع نظره علی النساء، فهل حلال أو حرام،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یسلب نورانیة الباطن، فحتی لو فرض أنّ شیئاً منها محلل، ولکن فی القلب نور وبهذه النظرات یسلب النور، فیعود القلب ظلمانیاً؛ لذا حینما یقرأ دعاء کمیل لا یتأثر ولا یبکی؛ لأنّ ما سمعه وشاهده یشکل حجاباً، حتی لو لم تقارن محرماً ولم تنته إلی محرم فرضاً</w:t>
      </w:r>
      <w:r>
        <w:rPr>
          <w:rFonts w:eastAsia="IRNazanin" w:cs="IRNazanin"/>
          <w:color w:val="111111"/>
          <w:sz w:val="28"/>
          <w:szCs w:val="28"/>
          <w:rtl w:val="true"/>
          <w:lang w:bidi="fa-IR"/>
        </w:rPr>
        <w:t>.</w:t>
      </w:r>
    </w:p>
    <w:p>
      <w:pPr>
        <w:pStyle w:val="Heading5"/>
        <w:numPr>
          <w:ilvl w:val="4"/>
          <w:numId w:val="1"/>
        </w:numPr>
        <w:rPr/>
      </w:pPr>
      <w:bookmarkStart w:id="350" w:name="__RefHeading___Toc2133474_237004111"/>
      <w:bookmarkStart w:id="351" w:name="_Toc137"/>
      <w:bookmarkEnd w:id="350"/>
      <w:r>
        <w:rPr>
          <w:rtl w:val="true"/>
        </w:rPr>
        <w:t>الفرع الرابع عشر</w:t>
      </w:r>
      <w:r>
        <w:rPr>
          <w:rtl w:val="true"/>
        </w:rPr>
        <w:t xml:space="preserve">: </w:t>
      </w:r>
      <w:r>
        <w:rPr>
          <w:rtl w:val="true"/>
        </w:rPr>
        <w:t>فی حکم لمس الکافرة</w:t>
      </w:r>
      <w:bookmarkEnd w:id="351"/>
    </w:p>
    <w:p>
      <w:pPr>
        <w:pStyle w:val="BookText"/>
        <w:rPr/>
      </w:pPr>
      <w:r>
        <w:rPr>
          <w:rFonts w:ascii="IRNazanin" w:hAnsi="IRNazanin" w:eastAsia="IRNazanin"/>
          <w:color w:val="111111"/>
          <w:sz w:val="28"/>
          <w:sz w:val="28"/>
          <w:szCs w:val="28"/>
          <w:rtl w:val="true"/>
          <w:lang w:bidi="fa-IR"/>
        </w:rPr>
        <w:t>الظاهر أنه لا یجوز اللمس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قال السید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یبعد أن یکون اللمس الذی لیس فیه تلذذ وریبة وفتنة کالنظر بالنسبة إلی الأمة والکافرة، وإن لم أرَ من تعرض له</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المستند فی ذلک عموم التعلیل فی موثقة 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بأنهن إذا نهین لا ینتهین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فالعلة عامة تشمل المقام أیضاً، أو قاعدة الإلزام، وهذان مخصصان لأدلة حرمة اللمس، کما کانا مخصصین لأدلة حرمة النظر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نظر؛ لارتکاز الحرمة فی الأذهان، ولأنه لو کان جائزاً لم یبقَ تحت الستار وبان؛ ولإطلاق فتاوی الفقهاء بالحرمة الکاشف عن إعراضهم عن إطلاقی الدلیلین المزبورین للمقام، والأمر بحاجة إلی تأمل أکثر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الارتکاز لأجل التلذذ والریبة والفتنة، ومع عدمها فلا ارتکاز، کلمس عجوز لعجوزة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یمکن الالتزام بذلک فی التقبیل، کأن یقبل العجوز العجوزة بلا تلذذ وریبة؟ کلا، ولیس ذلک إلا للارتکاز المتحقق فی المقام مطلقاً، ویشهد لذلک إنکارهم لمَن یقوم باللمس</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الفقهاء عندما تناولوا مسألة اللمس أفتوا بحرمته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هذه الأدلة بمرأی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یستثنوا ذلک، بینما فی مسألة النظر استثنوا الکتابیة</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6289_41942"/>
      <w:bookmarkStart w:id="353" w:name="pg6289_41942"/>
      <w:bookmarkEnd w:id="353"/>
    </w:p>
    <w:p>
      <w:pPr>
        <w:pStyle w:val="Heading2"/>
        <w:numPr>
          <w:ilvl w:val="1"/>
          <w:numId w:val="1"/>
        </w:numPr>
        <w:rPr/>
      </w:pPr>
      <w:bookmarkStart w:id="354" w:name="pg6289_41942"/>
      <w:bookmarkStart w:id="355" w:name="__RefHeading___Toc2133476_237004111"/>
      <w:bookmarkStart w:id="356" w:name="_Toc138"/>
      <w:bookmarkEnd w:id="354"/>
      <w:bookmarkEnd w:id="355"/>
      <w:r>
        <w:rPr>
          <w:rtl w:val="true"/>
        </w:rPr>
        <w:t>المسألة الثالثة</w:t>
      </w:r>
      <w:r>
        <w:rPr>
          <w:rtl w:val="true"/>
        </w:rPr>
        <w:t xml:space="preserve">: </w:t>
      </w:r>
      <w:r>
        <w:rPr>
          <w:rtl w:val="true"/>
        </w:rPr>
        <w:t>النظر إلی الوجه والکفین من المسلمات</w:t>
      </w:r>
      <w:bookmarkEnd w:id="35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7" w:name="__RefHeading___Toc2133478_237004111"/>
      <w:bookmarkStart w:id="358" w:name="_Toc139"/>
      <w:bookmarkEnd w:id="357"/>
      <w:r>
        <w:rPr>
          <w:rtl w:val="true"/>
        </w:rPr>
        <w:t>اشارة</w:t>
      </w:r>
      <w:bookmarkEnd w:id="35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9" w:name="pg6289_41944"/>
      <w:bookmarkStart w:id="360" w:name="pg6289_41944"/>
      <w:bookmarkEnd w:id="360"/>
    </w:p>
    <w:p>
      <w:pPr>
        <w:pStyle w:val="Heading3"/>
        <w:numPr>
          <w:ilvl w:val="2"/>
          <w:numId w:val="1"/>
        </w:numPr>
        <w:rPr/>
      </w:pPr>
      <w:bookmarkStart w:id="361" w:name="pg6289_41944"/>
      <w:bookmarkStart w:id="362" w:name="__RefHeading___Toc2133480_237004111"/>
      <w:bookmarkStart w:id="363" w:name="_Toc140"/>
      <w:bookmarkEnd w:id="361"/>
      <w:bookmarkEnd w:id="362"/>
      <w:r>
        <w:rPr>
          <w:rtl w:val="true"/>
        </w:rPr>
        <w:t>المسألة الثالثة</w:t>
      </w:r>
      <w:r>
        <w:rPr>
          <w:rtl w:val="true"/>
        </w:rPr>
        <w:t xml:space="preserve">: </w:t>
      </w:r>
      <w:r>
        <w:rPr>
          <w:rtl w:val="true"/>
        </w:rPr>
        <w:t>النظر إلی الوجه والکفین من المسلمات</w:t>
      </w:r>
      <w:bookmarkEnd w:id="363"/>
    </w:p>
    <w:p>
      <w:pPr>
        <w:pStyle w:val="Heading4"/>
        <w:numPr>
          <w:ilvl w:val="3"/>
          <w:numId w:val="1"/>
        </w:numPr>
        <w:rPr/>
      </w:pPr>
      <w:bookmarkStart w:id="364" w:name="__RefHeading___Toc2133482_237004111"/>
      <w:bookmarkStart w:id="365" w:name="_Toc141"/>
      <w:bookmarkEnd w:id="364"/>
      <w:r>
        <w:rPr>
          <w:rtl w:val="true"/>
        </w:rPr>
        <w:t>اشارة</w:t>
      </w:r>
      <w:bookmarkEnd w:id="365"/>
    </w:p>
    <w:p>
      <w:pPr>
        <w:pStyle w:val="BookText"/>
        <w:rPr/>
      </w:pPr>
      <w:r>
        <w:rPr>
          <w:rFonts w:ascii="IRNazanin" w:hAnsi="IRNazanin" w:eastAsia="IRNazanin"/>
          <w:color w:val="111111"/>
          <w:sz w:val="28"/>
          <w:sz w:val="28"/>
          <w:szCs w:val="28"/>
          <w:rtl w:val="true"/>
          <w:lang w:bidi="fa-IR"/>
        </w:rPr>
        <w:t>وقد اختلفت الأنظار فی حکم النظر إلی الوجه والکفین للمسلمات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المسألة مورد الخلاف بینهم، حتی إنه قد یتفق الخلاف من فقیه واحد یختار فی أحکام الستر فی الصلاة الجواز، وفی المقام المنع أو بالعکس</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الظاهر عدم التخالف فی بعض الکلمات؛ إذ المبحوث فی المقام حرمة النظر، والمبحوث فی ذلک المقام وجوب الستر، ولا تنافی بین اختیار عدم وجوب الستر وحرمة النظر،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ظهر من بعض المحشین من نسبة التناقض إلی صاحب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أفتی فی المجلد الأول من العروة بعدم وجوب الستر</w:t>
      </w:r>
      <w:r>
        <w:rPr>
          <w:rFonts w:eastAsia="IRNazanin" w:cs="IRNazanin"/>
          <w:color w:val="111111"/>
          <w:sz w:val="28"/>
          <w:szCs w:val="28"/>
          <w:rtl w:val="true"/>
          <w:lang w:bidi="fa-IR"/>
        </w:rPr>
        <w:t>(</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بینما أفتی فی المجلد الثانی بحرمة النظر احتیاطا</w:t>
      </w:r>
      <w:r>
        <w:rPr>
          <w:rFonts w:eastAsia="IRNazanin" w:cs="IRNazanin"/>
          <w:color w:val="111111"/>
          <w:sz w:val="28"/>
          <w:szCs w:val="28"/>
          <w:rtl w:val="true"/>
          <w:lang w:bidi="fa-IR"/>
        </w:rPr>
        <w:t>(</w:t>
      </w:r>
      <w:r>
        <w:rPr>
          <w:rStyle w:val="FootnoteAnchor"/>
          <w:rtl w:val="true"/>
        </w:rPr>
        <w:footnoteReference w:id="39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تام؛ لإمکان الجمع بین جواز الکشف وحرمة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المنافاة بینهما محققة فیما لو کان ذلک بمرأی ومنظر الناس</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منافاة، کما هو الحال فی جواز کشف الرجل لصدره مثلاً، ومع ذلک لا یجوز للمرأة أن تنظر إلیه علی بعض المبانی</w:t>
      </w:r>
      <w:r>
        <w:rPr>
          <w:rFonts w:eastAsia="IRNazanin" w:cs="IRNazanin"/>
          <w:color w:val="111111"/>
          <w:sz w:val="28"/>
          <w:szCs w:val="28"/>
          <w:rtl w:val="true"/>
          <w:lang w:bidi="fa-IR"/>
        </w:rPr>
        <w:t xml:space="preserve">. </w:t>
      </w:r>
      <w:bookmarkStart w:id="366" w:name="pg6289_41945"/>
    </w:p>
    <w:p>
      <w:pPr>
        <w:pStyle w:val="Heading4"/>
        <w:numPr>
          <w:ilvl w:val="3"/>
          <w:numId w:val="1"/>
        </w:numPr>
        <w:rPr/>
      </w:pPr>
      <w:bookmarkStart w:id="367" w:name="__RefHeading___Toc2133484_237004111"/>
      <w:bookmarkStart w:id="368" w:name="_Toc142"/>
      <w:bookmarkEnd w:id="366"/>
      <w:bookmarkEnd w:id="367"/>
      <w:r>
        <w:rPr>
          <w:rtl w:val="true"/>
        </w:rPr>
        <w:t>الأقوال فی المسألة الثالثة</w:t>
      </w:r>
      <w:bookmarkEnd w:id="368"/>
    </w:p>
    <w:p>
      <w:pPr>
        <w:pStyle w:val="Heading5"/>
        <w:numPr>
          <w:ilvl w:val="4"/>
          <w:numId w:val="1"/>
        </w:numPr>
        <w:rPr/>
      </w:pPr>
      <w:bookmarkStart w:id="369" w:name="__RefHeading___Toc2133486_237004111"/>
      <w:bookmarkStart w:id="370" w:name="_Toc143"/>
      <w:bookmarkEnd w:id="369"/>
      <w:r>
        <w:rPr>
          <w:rtl w:val="true"/>
        </w:rPr>
        <w:t>اشارة</w:t>
      </w:r>
      <w:bookmarkEnd w:id="370"/>
    </w:p>
    <w:p>
      <w:pPr>
        <w:pStyle w:val="BookText"/>
        <w:rPr/>
      </w:pPr>
      <w:r>
        <w:rPr>
          <w:rFonts w:ascii="IRNazanin" w:hAnsi="IRNazanin" w:eastAsia="IRNazanin"/>
          <w:color w:val="111111"/>
          <w:sz w:val="28"/>
          <w:sz w:val="28"/>
          <w:szCs w:val="28"/>
          <w:rtl w:val="true"/>
          <w:lang w:bidi="fa-IR"/>
        </w:rPr>
        <w:t>وعلی کلٍ فالأقوال فی المسألة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النظرة الأولی والثانیة</w:t>
      </w:r>
      <w:r>
        <w:rPr>
          <w:rFonts w:eastAsia="IRNazanin" w:cs="IRNazanin"/>
          <w:color w:val="111111"/>
          <w:sz w:val="28"/>
          <w:szCs w:val="28"/>
          <w:rtl w:val="true"/>
          <w:lang w:bidi="fa-IR"/>
        </w:rPr>
        <w:t>.</w:t>
      </w:r>
    </w:p>
    <w:p>
      <w:pPr>
        <w:pStyle w:val="Heading5"/>
        <w:numPr>
          <w:ilvl w:val="4"/>
          <w:numId w:val="1"/>
        </w:numPr>
        <w:rPr/>
      </w:pPr>
      <w:bookmarkStart w:id="371" w:name="__RefHeading___Toc2133488_237004111"/>
      <w:bookmarkStart w:id="372" w:name="_Toc144"/>
      <w:bookmarkEnd w:id="371"/>
      <w:r>
        <w:rPr>
          <w:rtl w:val="true"/>
        </w:rPr>
        <w:t>القول الأول</w:t>
      </w:r>
      <w:r>
        <w:rPr>
          <w:rtl w:val="true"/>
        </w:rPr>
        <w:t xml:space="preserve">: </w:t>
      </w:r>
      <w:r>
        <w:rPr>
          <w:rtl w:val="true"/>
        </w:rPr>
        <w:t>جواز النظر مطلقاً</w:t>
      </w:r>
      <w:bookmarkEnd w:id="372"/>
    </w:p>
    <w:p>
      <w:pPr>
        <w:pStyle w:val="Heading6"/>
        <w:numPr>
          <w:ilvl w:val="5"/>
          <w:numId w:val="1"/>
        </w:numPr>
        <w:rPr/>
      </w:pPr>
      <w:bookmarkStart w:id="373" w:name="__RefHeading___Toc2133490_237004111"/>
      <w:bookmarkStart w:id="374" w:name="_Toc145"/>
      <w:bookmarkEnd w:id="373"/>
      <w:r>
        <w:rPr>
          <w:rtl w:val="true"/>
        </w:rPr>
        <w:t>اشارة</w:t>
      </w:r>
      <w:bookmarkEnd w:id="374"/>
    </w:p>
    <w:p>
      <w:pPr>
        <w:pStyle w:val="BookText"/>
        <w:rPr/>
      </w:pPr>
      <w:r>
        <w:rPr>
          <w:rFonts w:ascii="IRNazanin" w:hAnsi="IRNazanin" w:eastAsia="IRNazanin"/>
          <w:color w:val="111111"/>
          <w:sz w:val="28"/>
          <w:sz w:val="28"/>
          <w:szCs w:val="28"/>
          <w:rtl w:val="true"/>
          <w:lang w:bidi="fa-IR"/>
        </w:rPr>
        <w:t>ونسب هذا القول إلی الشیخ فی النهایة والتبیان والتهذیب والاستبصار، وإلی الشیخ الکلینی فی الکافی، وإلی جماعة من المتأخرین، منهم المحقق السبزواری فی الکفایة والفیض الکاشانی فی المفاتیح</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واختار هذا القول المحدث البحرانی والمحقق النراقی والشیخ الأعظم، ذکر ذلک المستمسک</w:t>
      </w:r>
      <w:r>
        <w:rPr>
          <w:rFonts w:eastAsia="IRNazanin" w:cs="IRNazanin"/>
          <w:color w:val="111111"/>
          <w:sz w:val="28"/>
          <w:szCs w:val="28"/>
          <w:rtl w:val="true"/>
          <w:lang w:bidi="fa-IR"/>
        </w:rPr>
        <w:t>(</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وورد فی بعض الکتب أنّ الشیخ الأعظم مصرّ علیه</w:t>
      </w:r>
      <w:r>
        <w:rPr>
          <w:rFonts w:eastAsia="IRNazanin" w:cs="IRNazanin"/>
          <w:color w:val="111111"/>
          <w:sz w:val="28"/>
          <w:szCs w:val="28"/>
          <w:rtl w:val="true"/>
          <w:lang w:bidi="fa-IR"/>
        </w:rPr>
        <w:t>.</w:t>
      </w:r>
    </w:p>
    <w:p>
      <w:pPr>
        <w:pStyle w:val="Heading6"/>
        <w:numPr>
          <w:ilvl w:val="5"/>
          <w:numId w:val="1"/>
        </w:numPr>
        <w:rPr/>
      </w:pPr>
      <w:bookmarkStart w:id="375" w:name="__RefHeading___Toc2133492_237004111"/>
      <w:bookmarkStart w:id="376" w:name="_Toc146"/>
      <w:bookmarkEnd w:id="375"/>
      <w:r>
        <w:rPr>
          <w:rtl w:val="true"/>
        </w:rPr>
        <w:t>أدلة القول الأول</w:t>
      </w:r>
      <w:bookmarkEnd w:id="376"/>
    </w:p>
    <w:p>
      <w:pPr>
        <w:pStyle w:val="Heading6"/>
        <w:numPr>
          <w:ilvl w:val="5"/>
          <w:numId w:val="1"/>
        </w:numPr>
        <w:rPr/>
      </w:pPr>
      <w:bookmarkStart w:id="377" w:name="__RefHeading___Toc2133494_237004111"/>
      <w:bookmarkStart w:id="378" w:name="_Toc147"/>
      <w:bookmarkEnd w:id="377"/>
      <w:r>
        <w:rPr>
          <w:rtl w:val="true"/>
        </w:rPr>
        <w:t>اشارة</w:t>
      </w:r>
      <w:bookmarkEnd w:id="378"/>
    </w:p>
    <w:p>
      <w:pPr>
        <w:pStyle w:val="BookText"/>
        <w:rPr/>
      </w:pPr>
      <w:r>
        <w:rPr>
          <w:rFonts w:ascii="IRNazanin" w:hAnsi="IRNazanin" w:eastAsia="IRNazanin"/>
          <w:color w:val="111111"/>
          <w:sz w:val="28"/>
          <w:sz w:val="28"/>
          <w:szCs w:val="28"/>
          <w:rtl w:val="true"/>
          <w:lang w:bidi="fa-IR"/>
        </w:rPr>
        <w:t>واستدل علی هذا القول بالکتاب العزیز والسنة الشریفة وسیرة المتشرعة وأصالة البراءة وغیرها من الأدلة، ونذکر فیما یلی الأدلة تباعاً إن شاء الله تعالی</w:t>
      </w:r>
      <w:r>
        <w:rPr>
          <w:rFonts w:eastAsia="IRNazanin" w:cs="IRNazanin"/>
          <w:color w:val="111111"/>
          <w:sz w:val="28"/>
          <w:szCs w:val="28"/>
          <w:rtl w:val="true"/>
          <w:lang w:bidi="fa-IR"/>
        </w:rPr>
        <w:t>.</w:t>
      </w:r>
    </w:p>
    <w:p>
      <w:pPr>
        <w:pStyle w:val="Heading6"/>
        <w:numPr>
          <w:ilvl w:val="5"/>
          <w:numId w:val="1"/>
        </w:numPr>
        <w:rPr/>
      </w:pPr>
      <w:bookmarkStart w:id="379" w:name="__RefHeading___Toc2133496_237004111"/>
      <w:bookmarkStart w:id="380" w:name="_Toc148"/>
      <w:bookmarkEnd w:id="379"/>
      <w:r>
        <w:rPr>
          <w:rtl w:val="true"/>
        </w:rPr>
        <w:t>الدلیل الأول</w:t>
      </w:r>
      <w:r>
        <w:rPr>
          <w:rtl w:val="true"/>
        </w:rPr>
        <w:t xml:space="preserve">: </w:t>
      </w:r>
      <w:r>
        <w:rPr>
          <w:rtl w:val="true"/>
        </w:rPr>
        <w:t>قوله تعالی</w:t>
      </w:r>
      <w:r>
        <w:rPr>
          <w:rtl w:val="true"/>
        </w:rPr>
        <w:t>{</w:t>
      </w:r>
      <w:r>
        <w:rPr>
          <w:rtl w:val="true"/>
        </w:rPr>
        <w:t>وَلا یُبْدِینَ زِینَتَهُنَّ إِلا مَا ظَهَرَ مِنْهَا</w:t>
      </w:r>
      <w:r>
        <w:rPr>
          <w:rtl w:val="true"/>
        </w:rPr>
        <w:t>}</w:t>
      </w:r>
      <w:bookmarkEnd w:id="380"/>
    </w:p>
    <w:p>
      <w:pPr>
        <w:pStyle w:val="Heading6"/>
        <w:numPr>
          <w:ilvl w:val="5"/>
          <w:numId w:val="1"/>
        </w:numPr>
        <w:rPr/>
      </w:pPr>
      <w:bookmarkStart w:id="381" w:name="__RefHeading___Toc2133498_237004111"/>
      <w:bookmarkStart w:id="382" w:name="_Toc149"/>
      <w:bookmarkEnd w:id="381"/>
      <w:r>
        <w:rPr>
          <w:rtl w:val="true"/>
        </w:rPr>
        <w:t>اشارة</w:t>
      </w:r>
      <w:bookmarkEnd w:id="38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یُبْدِینَ زِینَتَهُنَّ إِلا مَا ظَهَرَ مِنْهَا</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383" w:name="pg6289_41946"/>
    </w:p>
    <w:p>
      <w:pPr>
        <w:pStyle w:val="Heading6"/>
        <w:numPr>
          <w:ilvl w:val="5"/>
          <w:numId w:val="1"/>
        </w:numPr>
        <w:rPr/>
      </w:pPr>
      <w:bookmarkStart w:id="384" w:name="__RefHeading___Toc2133500_237004111"/>
      <w:bookmarkStart w:id="385" w:name="_Toc150"/>
      <w:bookmarkEnd w:id="383"/>
      <w:bookmarkEnd w:id="384"/>
      <w:r>
        <w:rPr>
          <w:rtl w:val="true"/>
        </w:rPr>
        <w:t>معنی الزینة</w:t>
      </w:r>
      <w:bookmarkEnd w:id="385"/>
    </w:p>
    <w:p>
      <w:pPr>
        <w:pStyle w:val="BookText"/>
        <w:rPr/>
      </w:pPr>
      <w:r>
        <w:rPr>
          <w:rFonts w:ascii="IRNazanin" w:hAnsi="IRNazanin" w:eastAsia="IRNazanin"/>
          <w:color w:val="111111"/>
          <w:sz w:val="28"/>
          <w:sz w:val="28"/>
          <w:szCs w:val="28"/>
          <w:rtl w:val="true"/>
          <w:lang w:bidi="fa-IR"/>
        </w:rPr>
        <w:t>والمراد من الزینة إما أدوات الزینة، وهی التی یعبر عنها بالزینة العرضیة، کالخاتم، أو موضع أدوات الزینة، وهی التی یعبر عنها بالزینة الذاتیة، کالوجه، أوکلتاهما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ویظهر من بعض الروایات الشریفة إرادة المعنی الأول، کما فی موثقة زرارة</w:t>
      </w:r>
      <w:r>
        <w:rPr>
          <w:rFonts w:eastAsia="IRNazanin" w:cs="IRNazanin"/>
          <w:color w:val="111111"/>
          <w:sz w:val="28"/>
          <w:szCs w:val="28"/>
          <w:rtl w:val="true"/>
          <w:lang w:bidi="fa-IR"/>
        </w:rPr>
        <w:t>(</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ویظهر من بعضها إرادة المعنی الثانی، کما فی صحیحة الفضیل</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إرادة کلا المعنیین من الآیة الکریمة، إما باعتبار استعمال اللفظ فی المعنیین بناءً علی جوازه کما هو المختار، أو باعتبار إرادة الجامع لهما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المقصود فی المقام الاستدلال بالآیة الکریمة بنفسها، لا بضمیمة الروایات الشریفة، لیری أنّ القرآن الکریم بنفسه یدل علی الجواز أو لا؟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حال، إن کان المراد المعنی الأول یقرر الاستدلال بثبوت الملازمة بین جواز الإبداء لها، وجواز إبداء محلها؛ إذ لا یمکن عادة ظهور الزینة بدون ظهور محلها</w:t>
      </w:r>
      <w:r>
        <w:rPr>
          <w:rFonts w:eastAsia="IRNazanin" w:cs="IRNazanin"/>
          <w:color w:val="111111"/>
          <w:sz w:val="28"/>
          <w:szCs w:val="28"/>
          <w:rtl w:val="true"/>
          <w:lang w:bidi="fa-IR"/>
        </w:rPr>
        <w:t xml:space="preserve">. </w:t>
      </w:r>
      <w:bookmarkStart w:id="386" w:name="pg6289_41947"/>
    </w:p>
    <w:p>
      <w:pPr>
        <w:pStyle w:val="BookText"/>
        <w:rPr/>
      </w:pPr>
      <w:bookmarkEnd w:id="386"/>
      <w:r>
        <w:rPr>
          <w:rFonts w:ascii="IRNazanin" w:hAnsi="IRNazanin" w:eastAsia="IRNazanin"/>
          <w:color w:val="111111"/>
          <w:sz w:val="28"/>
          <w:sz w:val="28"/>
          <w:szCs w:val="28"/>
          <w:rtl w:val="true"/>
          <w:lang w:bidi="fa-IR"/>
        </w:rPr>
        <w:t>وإن کان المراد الثانی فالأمر أوضح، ومنه یظهر الکلام فی الاحتمال الثالث</w:t>
      </w:r>
      <w:r>
        <w:rPr>
          <w:rFonts w:eastAsia="IRNazanin" w:cs="IRNazanin"/>
          <w:color w:val="111111"/>
          <w:sz w:val="28"/>
          <w:szCs w:val="28"/>
          <w:rtl w:val="true"/>
          <w:lang w:bidi="fa-IR"/>
        </w:rPr>
        <w:t>.</w:t>
      </w:r>
    </w:p>
    <w:p>
      <w:pPr>
        <w:pStyle w:val="Heading6"/>
        <w:numPr>
          <w:ilvl w:val="5"/>
          <w:numId w:val="1"/>
        </w:numPr>
        <w:rPr/>
      </w:pPr>
      <w:bookmarkStart w:id="387" w:name="__RefHeading___Toc2133502_237004111"/>
      <w:bookmarkStart w:id="388" w:name="_Toc151"/>
      <w:bookmarkEnd w:id="387"/>
      <w:r>
        <w:rPr>
          <w:rtl w:val="true"/>
        </w:rPr>
        <w:t>الإشکالات علی الدلیل الأول</w:t>
      </w:r>
      <w:bookmarkEnd w:id="388"/>
    </w:p>
    <w:p>
      <w:pPr>
        <w:pStyle w:val="Heading6"/>
        <w:numPr>
          <w:ilvl w:val="5"/>
          <w:numId w:val="1"/>
        </w:numPr>
        <w:rPr/>
      </w:pPr>
      <w:bookmarkStart w:id="389" w:name="__RefHeading___Toc2133504_237004111"/>
      <w:bookmarkStart w:id="390" w:name="_Toc152"/>
      <w:bookmarkEnd w:id="389"/>
      <w:r>
        <w:rPr>
          <w:rtl w:val="true"/>
        </w:rPr>
        <w:t>اشارة</w:t>
      </w:r>
      <w:bookmarkEnd w:id="390"/>
    </w:p>
    <w:p>
      <w:pPr>
        <w:pStyle w:val="BookText"/>
        <w:rPr/>
      </w:pPr>
      <w:r>
        <w:rPr>
          <w:rFonts w:ascii="IRNazanin" w:hAnsi="IRNazanin" w:eastAsia="IRNazanin"/>
          <w:color w:val="111111"/>
          <w:sz w:val="28"/>
          <w:sz w:val="28"/>
          <w:szCs w:val="28"/>
          <w:rtl w:val="true"/>
          <w:lang w:bidi="fa-IR"/>
        </w:rPr>
        <w:t>وفی المقام إشکالات</w:t>
      </w:r>
      <w:r>
        <w:rPr>
          <w:rFonts w:eastAsia="IRNazanin" w:cs="IRNazanin"/>
          <w:color w:val="111111"/>
          <w:sz w:val="28"/>
          <w:szCs w:val="28"/>
          <w:rtl w:val="true"/>
          <w:lang w:bidi="fa-IR"/>
        </w:rPr>
        <w:t>:</w:t>
      </w:r>
    </w:p>
    <w:p>
      <w:pPr>
        <w:pStyle w:val="Heading6"/>
        <w:numPr>
          <w:ilvl w:val="5"/>
          <w:numId w:val="1"/>
        </w:numPr>
        <w:rPr/>
      </w:pPr>
      <w:bookmarkStart w:id="391" w:name="__RefHeading___Toc2133506_237004111"/>
      <w:bookmarkStart w:id="392" w:name="_Toc153"/>
      <w:bookmarkEnd w:id="391"/>
      <w:r>
        <w:rPr>
          <w:rtl w:val="true"/>
        </w:rPr>
        <w:t>الإشکال الأول</w:t>
      </w:r>
      <w:r>
        <w:rPr>
          <w:rtl w:val="true"/>
        </w:rPr>
        <w:t xml:space="preserve">: </w:t>
      </w:r>
      <w:r>
        <w:rPr>
          <w:rtl w:val="true"/>
        </w:rPr>
        <w:t>عدم الملازمة بین جواز الإبداء وجواز النظر</w:t>
      </w:r>
      <w:bookmarkEnd w:id="392"/>
    </w:p>
    <w:p>
      <w:pPr>
        <w:pStyle w:val="BookText"/>
        <w:rPr/>
      </w:pPr>
      <w:r>
        <w:rPr>
          <w:rFonts w:ascii="IRNazanin" w:hAnsi="IRNazanin" w:eastAsia="IRNazanin"/>
          <w:color w:val="111111"/>
          <w:sz w:val="28"/>
          <w:sz w:val="28"/>
          <w:szCs w:val="28"/>
          <w:rtl w:val="true"/>
          <w:lang w:bidi="fa-IR"/>
        </w:rPr>
        <w:t>إنّ جواز الإبداء لا یلازم جواز النظر؛ إذ لا ملازمة بینهما، فإنّ الإبداء بمعنی الإظهار فی مقابل الستر، وجواز الإظهار لا یلازم جواز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متعدیاً باللام کان بمعنی الإراءة، وجواز إراءة شیء لشخص یلازم جواز نظره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الروحانی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من الممکن أن یرفع الشارع الأقدس وجوب الستر علیها بالنسبة إلی الوجه والکفین، للعسر والحرج أو لغیر ذلک، بخلاف سائر البدن، وإن وجب علی الناظر الغض، کما عساه یقال فی بدن الرجل بالنسبة إلی المرأة</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نظر؛ إذ جواز الإبداء لا یلازم جواز النظر عقلاً، لکن یلازمه عرفاً، خاصة مع کون المسألة محل الابتلاء کثیراً، بل تتکرر کل یوم ملایین المرات، ومقتضی الطبع والجبلة أن ینظر الرجال إلی المرأة المکشوفة الوجه والکفین، فکان اللازم الردع، فعدم الردع دلیل تجویز الشارع النظر، ویتضح ذلک بملاحظة قانون وضعی یشرع جواز إبداء النساء لوجوههن، دون أن یحظر علی الرجال النظر إلیهن، فإنه دلیل الجواز عرفاً</w:t>
      </w:r>
      <w:r>
        <w:rPr>
          <w:rFonts w:eastAsia="IRNazanin" w:cs="IRNazanin"/>
          <w:color w:val="111111"/>
          <w:sz w:val="28"/>
          <w:szCs w:val="28"/>
          <w:rtl w:val="true"/>
          <w:lang w:bidi="fa-IR"/>
        </w:rPr>
        <w:t xml:space="preserve">. </w:t>
      </w:r>
      <w:bookmarkStart w:id="393" w:name="pg6289_41948"/>
    </w:p>
    <w:p>
      <w:pPr>
        <w:pStyle w:val="BookText"/>
        <w:rPr/>
      </w:pPr>
      <w:bookmarkEnd w:id="393"/>
      <w:r>
        <w:rPr>
          <w:rFonts w:ascii="IRNazanin" w:hAnsi="IRNazanin" w:eastAsia="IRNazanin"/>
          <w:color w:val="111111"/>
          <w:sz w:val="28"/>
          <w:sz w:val="28"/>
          <w:szCs w:val="28"/>
          <w:rtl w:val="true"/>
          <w:lang w:bidi="fa-IR"/>
        </w:rPr>
        <w:t xml:space="preserve">قال السید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یخفی، حیث إنه تلازم بین کشف الوجه والید وبین النظر، ذکر کثیر من الفقهاء أدلة البابین جوازاً أو منعاً فی مسألة واحدة، فلیس ذلک من باب الخلط بین المسألتین کما توهم</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العم السید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أنه لا تلازم بین الاثنین، وأنّ الخلط متحقق</w:t>
      </w:r>
      <w:r>
        <w:rPr>
          <w:rFonts w:eastAsia="IRNazanin" w:cs="IRNazanin"/>
          <w:color w:val="111111"/>
          <w:sz w:val="28"/>
          <w:szCs w:val="28"/>
          <w:rtl w:val="true"/>
          <w:lang w:bidi="fa-IR"/>
        </w:rPr>
        <w:t>.</w:t>
      </w:r>
    </w:p>
    <w:p>
      <w:pPr>
        <w:pStyle w:val="Heading6"/>
        <w:numPr>
          <w:ilvl w:val="5"/>
          <w:numId w:val="1"/>
        </w:numPr>
        <w:rPr/>
      </w:pPr>
      <w:bookmarkStart w:id="394" w:name="__RefHeading___Toc2133508_237004111"/>
      <w:bookmarkStart w:id="395" w:name="_Toc154"/>
      <w:bookmarkEnd w:id="394"/>
      <w:r>
        <w:rPr>
          <w:rtl w:val="true"/>
        </w:rPr>
        <w:t>الإشکال الثانی</w:t>
      </w:r>
      <w:r>
        <w:rPr>
          <w:rtl w:val="true"/>
        </w:rPr>
        <w:t xml:space="preserve">: </w:t>
      </w:r>
      <w:r>
        <w:rPr>
          <w:rtl w:val="true"/>
        </w:rPr>
        <w:t>المراد الظهور الاتفاقی</w:t>
      </w:r>
      <w:bookmarkEnd w:id="395"/>
    </w:p>
    <w:p>
      <w:pPr>
        <w:pStyle w:val="BookText"/>
        <w:rPr/>
      </w:pPr>
      <w:r>
        <w:rPr>
          <w:rFonts w:ascii="IRNazanin" w:hAnsi="IRNazanin" w:eastAsia="IRNazanin"/>
          <w:color w:val="111111"/>
          <w:sz w:val="28"/>
          <w:sz w:val="28"/>
          <w:szCs w:val="28"/>
          <w:rtl w:val="true"/>
          <w:lang w:bidi="fa-IR"/>
        </w:rPr>
        <w:t>إنّ المراد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الاتفاقی لا الإظهار الاختیاری، فیکون معنی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علیهن إبداء زینتهن عن عمد وقصد، وأمّا ما ظهر بغیر تعمد واختیار فلا بأس به، کما لو هبت ریح مثلاً فظهر وجه المرأة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 هذا المعنی ذهب السید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التبیین</w:t>
      </w:r>
      <w:r>
        <w:rPr>
          <w:rFonts w:eastAsia="IRNazanin" w:cs="IRNazanin"/>
          <w:color w:val="111111"/>
          <w:sz w:val="28"/>
          <w:szCs w:val="28"/>
          <w:rtl w:val="true"/>
          <w:lang w:bidi="fa-IR"/>
        </w:rPr>
        <w:t>(</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والتقریب</w:t>
      </w:r>
      <w:r>
        <w:rPr>
          <w:rFonts w:eastAsia="IRNazanin" w:cs="IRNazanin"/>
          <w:color w:val="111111"/>
          <w:sz w:val="28"/>
          <w:szCs w:val="28"/>
          <w:rtl w:val="true"/>
          <w:lang w:bidi="fa-IR"/>
        </w:rPr>
        <w:t>(</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أقل من احتمال ذلک، وإذا جاء الاحتمال بطل الاستدلال، ومفاد الاستثناء تأکید تعمیم الحرمة لکل أنواع الإظهار،کما هو الشأن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قَدْ سَلَفَ</w:t>
      </w:r>
      <w:r>
        <w:rPr>
          <w:rFonts w:eastAsia="IRNazanin" w:cs="IRNazanin"/>
          <w:color w:val="111111"/>
          <w:sz w:val="28"/>
          <w:szCs w:val="28"/>
          <w:rtl w:val="true"/>
          <w:lang w:bidi="fa-IR"/>
        </w:rPr>
        <w:t>}(</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إنه لیس المراد بیان عدم الإشکال فیما مضی مما کان فی عهد الجاهلیة؛ لأنّ الماضی لا یتعلق به التکلیف، فلا یکون محل النهی، بل المراد تأکید الحرمة فی الحال،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لهذا النکاح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لا یخل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أظهرت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فظهوره إنما هو فی الظهور الاتفاقی غیر الاختیاری، 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مجمل مردد بین المعنیین، فلا یصح الاستدلال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نظر؛ إذ علیه یکون الاستثناء منقطعاً؛ لعدم تعلق التکلیف بما هو خارج عن الاختیار، فیکون استثناؤه من متعلق التکلیف استثناءً منقطعاً، وهو خلاف الظاهر، وکثرة الاستثناء المنقطع فی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عَدُوٌّ لِّی إِلا رَبَّ الْعَالَمِینَ</w:t>
      </w:r>
      <w:r>
        <w:rPr>
          <w:rFonts w:eastAsia="Amiri" w:cs="Amiri" w:ascii="Amiri" w:hAnsi="Amiri"/>
          <w:color w:val="111111"/>
          <w:sz w:val="28"/>
          <w:szCs w:val="28"/>
          <w:rtl w:val="true"/>
          <w:lang w:bidi="ar-SA"/>
        </w:rPr>
        <w:t>}(</w:t>
      </w:r>
      <w:r>
        <w:rPr>
          <w:rStyle w:val="FootnoteAnchor"/>
          <w:rtl w:val="true"/>
        </w:rPr>
        <w:footnoteReference w:id="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تَنکِحُواْ مَا نَکَحَ آبَاؤُکُم مِّنَ النِّسَاء إِلاَّ مَا قَدْ سَلَفَ</w:t>
      </w:r>
      <w:r>
        <w:rPr>
          <w:rFonts w:eastAsia="Amiri" w:cs="Amiri" w:ascii="Amiri" w:hAnsi="Amiri"/>
          <w:color w:val="111111"/>
          <w:sz w:val="28"/>
          <w:szCs w:val="28"/>
          <w:rtl w:val="true"/>
          <w:lang w:bidi="ar-SA"/>
        </w:rPr>
        <w:t>} (</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یَذُوقُونَ فِیهَا الْمَوْتَ إِلا الْمَوْتَةَ الأُولَی</w:t>
      </w:r>
      <w:r>
        <w:rPr>
          <w:rFonts w:eastAsia="Amiri" w:cs="Amiri" w:ascii="Amiri" w:hAnsi="Amiri"/>
          <w:color w:val="111111"/>
          <w:sz w:val="28"/>
          <w:szCs w:val="28"/>
          <w:rtl w:val="true"/>
          <w:lang w:bidi="ar-SA"/>
        </w:rPr>
        <w:t>}(</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 مِّنکُمْ</w:t>
      </w:r>
      <w:r>
        <w:rPr>
          <w:rFonts w:eastAsia="Amiri" w:cs="Amiri" w:ascii="Amiri" w:hAnsi="Amiri"/>
          <w:color w:val="111111"/>
          <w:sz w:val="28"/>
          <w:szCs w:val="28"/>
          <w:rtl w:val="true"/>
          <w:lang w:bidi="ar-SA"/>
        </w:rPr>
        <w:t>}(</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کما أشار إلیه السید الرجائی حفظه الله</w:t>
      </w:r>
      <w:r>
        <w:rPr>
          <w:rFonts w:eastAsia="IRNazanin" w:cs="IRNazanin"/>
          <w:color w:val="111111"/>
          <w:sz w:val="28"/>
          <w:szCs w:val="28"/>
          <w:rtl w:val="true"/>
          <w:lang w:bidi="fa-IR"/>
        </w:rPr>
        <w:t>(</w:t>
      </w:r>
      <w:r>
        <w:rPr>
          <w:rStyle w:val="FootnoteAnchor"/>
          <w:rtl w:val="true"/>
        </w:rPr>
        <w:footnoteReference w:id="40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تقدح فی ظهور أداة الاستثناء فی الاتصال، کما أن کثرة استعمال صیغة الأمر فی الندب لا تقدح فی ظهورها فی الوجوب</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یستلزم ذلک التعارض بین الظاهرین، فالظهور العرفی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الظهور لا الإظهار، فیستلزم ذلک الاستثناء المنقطع، وهو </w:t>
      </w:r>
      <w:bookmarkStart w:id="396" w:name="pg6289_41950"/>
    </w:p>
    <w:p>
      <w:pPr>
        <w:pStyle w:val="BookText"/>
        <w:rPr/>
      </w:pPr>
      <w:bookmarkEnd w:id="396"/>
      <w:r>
        <w:rPr>
          <w:rFonts w:ascii="IRNazanin" w:hAnsi="IRNazanin" w:eastAsia="IRNazanin"/>
          <w:color w:val="111111"/>
          <w:sz w:val="28"/>
          <w:sz w:val="28"/>
          <w:szCs w:val="28"/>
          <w:rtl w:val="true"/>
          <w:lang w:bidi="fa-IR"/>
        </w:rPr>
        <w:t>خلاف الظاهر، فما وجه تقدیم أحدهما ؟</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إن شاء الله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الأشیاء التی طبعها الأولی طبع الظهور، کالکف والوجه، خاصة الفلاحات والبائعات وما أشبه، حیث طبیعة العمل والحیاة تقتضی ظهورهما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تکون المرأة فی البیت ولا کلام فیه، وتارة تکون فی المجتمع وترید أن تتحفظ کاملاً، کالنساء المجللات المحتشمات اللاتی یتکلفن ویغطین الوجه والکف، وهذا جید ومطلوب ومحبوب واحتیاط، لکن عندما تکون فلاحة أو بائعة فالطبیعة الأولیة للتعامل مع الحیاة تقتضی ظهور هذا المقدار من الوجه والکفین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سألت أحد الشیبة عن کیفیة ستر المرأة الفلاحة والقرویة قبل سبعین سنة فی کربلاء والنجف، فأجاب کان یظهر بعض الوجه والکف، ولم ینهَ عن ذلک العلماء، ولو لم یکن الأمر کذلک من قبل لبان حیث یظهر وقت تغیر الحال</w:t>
      </w:r>
      <w:r>
        <w:rPr>
          <w:rFonts w:eastAsia="IRNazanin" w:cs="IRNazanin"/>
          <w:color w:val="111111"/>
          <w:sz w:val="28"/>
          <w:szCs w:val="28"/>
          <w:rtl w:val="true"/>
          <w:lang w:bidi="fa-IR"/>
        </w:rPr>
        <w:t>.</w:t>
      </w:r>
    </w:p>
    <w:p>
      <w:pPr>
        <w:pStyle w:val="Heading6"/>
        <w:numPr>
          <w:ilvl w:val="5"/>
          <w:numId w:val="1"/>
        </w:numPr>
        <w:rPr/>
      </w:pPr>
      <w:bookmarkStart w:id="397" w:name="__RefHeading___Toc2133510_237004111"/>
      <w:bookmarkStart w:id="398" w:name="_Toc155"/>
      <w:bookmarkEnd w:id="397"/>
      <w:r>
        <w:rPr>
          <w:rtl w:val="true"/>
        </w:rPr>
        <w:t>الإشکال الثالث</w:t>
      </w:r>
      <w:r>
        <w:rPr>
          <w:rtl w:val="true"/>
        </w:rPr>
        <w:t xml:space="preserve">: </w:t>
      </w:r>
      <w:r>
        <w:rPr>
          <w:rtl w:val="true"/>
        </w:rPr>
        <w:t>التخصیص</w:t>
      </w:r>
      <w:bookmarkEnd w:id="398"/>
    </w:p>
    <w:p>
      <w:pPr>
        <w:pStyle w:val="BookText"/>
        <w:rPr/>
      </w:pPr>
      <w:r>
        <w:rPr>
          <w:rFonts w:ascii="Amiri" w:hAnsi="Amiri" w:eastAsia="Amiri" w:cs="Amiri"/>
          <w:color w:val="111111"/>
          <w:sz w:val="28"/>
          <w:sz w:val="28"/>
          <w:szCs w:val="28"/>
          <w:rtl w:val="true"/>
          <w:lang w:bidi="ar-SA"/>
        </w:rPr>
        <w:t>إن هذه الجملة من الآیة الکریمة مخصصة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یُبْدِینَ زِینَتَهُنَّ إِلا لِبُعُولَتِهِنَّ</w:t>
      </w:r>
      <w:r>
        <w:rPr>
          <w:rFonts w:eastAsia="Amiri" w:cs="Amiri" w:ascii="Amiri" w:hAnsi="Amiri"/>
          <w:color w:val="111111"/>
          <w:sz w:val="28"/>
          <w:szCs w:val="28"/>
          <w:rtl w:val="true"/>
          <w:lang w:bidi="ar-SA"/>
        </w:rPr>
        <w:t>} (</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بالزینة الظاهرة ما یظهر بعد ضرب الخمار علی جیوبهن، وهی الوجه والکفان والقدمان والثیاب، فالمراد أن لا یبدین الزینة إلا للمذکورین فی الآیة الکریمة،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بعولتهن و</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لبعولتهن حکم خاص معلوم من الخارج، ومقتضی ذلک أنه لا </w:t>
      </w:r>
    </w:p>
    <w:p>
      <w:pPr>
        <w:pStyle w:val="BookText"/>
        <w:rPr/>
      </w:pPr>
      <w:r>
        <w:rPr>
          <w:rFonts w:ascii="IRNazanin" w:hAnsi="IRNazanin" w:eastAsia="IRNazanin"/>
          <w:color w:val="111111"/>
          <w:sz w:val="28"/>
          <w:sz w:val="28"/>
          <w:szCs w:val="28"/>
          <w:rtl w:val="true"/>
          <w:lang w:bidi="fa-IR"/>
        </w:rPr>
        <w:t xml:space="preserve">یجوز لهن إبداء وجوههن للأجنبی، ولا یجوز إبداء صدورهن وظهورهن وغیرهما مما لا یدخل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للمحارم والأجانب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ذلک تکون الآیة لغواً، حیث یُکتفی بحکم البعولة، وأمّا غیره فلا یحق إبداء أی شیء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أراد جواز إبداء الزینة الظاهرة للمحارم، فإنّ المولی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بالإجمال لا یحق الإبداء إلا للزینة الظاهرة،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الزینة الظاهرة لا تبدینها إلا للمحارم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مقطع من الآیة یبین قیداً، فیضم أحدهما إلی الآخر،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المحارم، فتدل الآیة علی عدم جواز کشف الوجه والکفین للأجنبی، وإذا حرم الإبداء حرم النظر للملازمة بینهما، وهو ضد المطلوب، کما قال بذلک السید الخوئی</w:t>
      </w:r>
      <w:r>
        <w:rPr>
          <w:rFonts w:eastAsia="IRNazanin" w:cs="IRNazanin"/>
          <w:color w:val="111111"/>
          <w:sz w:val="28"/>
          <w:szCs w:val="28"/>
          <w:rtl w:val="true"/>
          <w:lang w:bidi="fa-IR"/>
        </w:rPr>
        <w:t>(</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بتقریر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إذ جملة الاستثناء تنحل إلی عقد سلب وعقد إیجاب، فالمستفاد من الجملتین المذکورتین فی الآیة الکریمة ثلاثة 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إبداء الزینة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إبداء الزینة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إبداء الزینة للمحارم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إنه لا تنافی بین الحکمین الأخیرین عرفاً، ولا قرینة خارجیة علی تقیید أحدهما بالآخر، وحیث إنّ حذف المتعلق یفید العموم یکون الحکم </w:t>
      </w:r>
      <w:bookmarkStart w:id="399" w:name="pg6289_41952"/>
    </w:p>
    <w:p>
      <w:pPr>
        <w:pStyle w:val="BookText"/>
        <w:rPr/>
      </w:pPr>
      <w:bookmarkEnd w:id="399"/>
      <w:r>
        <w:rPr>
          <w:rFonts w:ascii="IRNazanin" w:hAnsi="IRNazanin" w:eastAsia="IRNazanin"/>
          <w:color w:val="111111"/>
          <w:sz w:val="28"/>
          <w:sz w:val="28"/>
          <w:szCs w:val="28"/>
          <w:rtl w:val="true"/>
          <w:lang w:bidi="fa-IR"/>
        </w:rPr>
        <w:t>الثانی، المستفاد من الجملة الأولی جواز إبداء الزینة الظاهرة لجمیع الناس، ویکون الحکم الثالث المستفاد من الجملة الثانیة جواز إبداء جمیع أنواع الزینة للمحارم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إبداء الزینة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یخصصه بأحدٍ کان حذف المتعلق مفیداً للعموم، فیکون المفاد جواز إبداء الزینة الظاهرة لجمیع الناس،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إبداء الزینة للمحارم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یقید الزینة بقید، فیکون المفاد جواز إبداء جمیع أنواع الزینة للمحارم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العورة المستفاد حکمها بالأدلة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تنافی بین الجملتین حتی یقید أحدهما بالآخر، 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بالفهم العرفی لا تنافی بینهما</w:t>
      </w:r>
      <w:r>
        <w:rPr>
          <w:rFonts w:eastAsia="IRNazanin" w:cs="IRNazanin"/>
          <w:color w:val="111111"/>
          <w:sz w:val="28"/>
          <w:szCs w:val="28"/>
          <w:rtl w:val="true"/>
          <w:lang w:bidi="fa-IR"/>
        </w:rPr>
        <w:t>.</w:t>
      </w:r>
    </w:p>
    <w:p>
      <w:pPr>
        <w:pStyle w:val="Heading6"/>
        <w:numPr>
          <w:ilvl w:val="5"/>
          <w:numId w:val="1"/>
        </w:numPr>
        <w:rPr/>
      </w:pPr>
      <w:bookmarkStart w:id="400" w:name="__RefHeading___Toc2133512_237004111"/>
      <w:bookmarkStart w:id="401" w:name="_Toc156"/>
      <w:bookmarkEnd w:id="400"/>
      <w:r>
        <w:rPr>
          <w:rtl w:val="true"/>
        </w:rPr>
        <w:t>الإشکال الرابع</w:t>
      </w:r>
      <w:r>
        <w:rPr>
          <w:rtl w:val="true"/>
        </w:rPr>
        <w:t xml:space="preserve">: </w:t>
      </w:r>
      <w:r>
        <w:rPr>
          <w:rtl w:val="true"/>
        </w:rPr>
        <w:t>اختلاف الروایات المفسرة للزینة</w:t>
      </w:r>
      <w:bookmarkEnd w:id="401"/>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عرفت کافٍ فی عدم الوثوق، ضرورة اختلافه اختلافاً لا یرجی جمعه</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یشیر بذلک إلی اختلاف الروایات الواردة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الزینة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بعضها تفسیرها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الخاتم والمسکة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القلب</w:t>
      </w:r>
      <w:r>
        <w:rPr>
          <w:rFonts w:eastAsia="IRNazanin" w:cs="IRNazanin"/>
          <w:color w:val="111111"/>
          <w:sz w:val="28"/>
          <w:szCs w:val="28"/>
          <w:rtl w:val="true"/>
          <w:lang w:bidi="fa-IR"/>
        </w:rPr>
        <w:t>(</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روایة أبی بصیر</w:t>
      </w:r>
      <w:r>
        <w:rPr>
          <w:rFonts w:eastAsia="IRNazanin" w:cs="IRNazanin"/>
          <w:color w:val="111111"/>
          <w:sz w:val="28"/>
          <w:szCs w:val="28"/>
          <w:rtl w:val="true"/>
          <w:lang w:bidi="fa-IR"/>
        </w:rPr>
        <w:t>(</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بعضها تفسیرها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الکحل والخاتم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روایة </w:t>
      </w:r>
    </w:p>
    <w:p>
      <w:p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بعضها تفسیرها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الثیاب والکحل والخاتم وخضاب الکف والسوار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روایة أبی الجارود</w:t>
      </w:r>
      <w:r>
        <w:rPr>
          <w:rFonts w:eastAsia="IRNazanin" w:cs="IRNazanin"/>
          <w:color w:val="111111"/>
          <w:sz w:val="28"/>
          <w:szCs w:val="28"/>
          <w:rtl w:val="true"/>
          <w:lang w:bidi="fa-IR"/>
        </w:rPr>
        <w:t>(</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بعضها تفسیرها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والذراعین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روایة مکارم الأخلاق</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یعلم المراد منها؛ لاختلاف الروایات فی تفسیرها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منافاة بینها عرفاً؛ إذ یحمل کل منها علی بیان بعض المصادیق، ولعل السر فی ذلک أنه لا تعارض بین منطوق کل واحد من هذه الأخبار مع منطوق البعض الآخر، بل التعارض بین منطوق کلٍّ ومفهوم الآخر الدال علی الحصر، وحیث إنّ دلالة المفهوم بالظهور ودلالة المنطوق بالصراحة یرفع الید عن ظهور کل منها بصراحة المنطوق فی کل منها،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یخصص مفهوم کلٍّ بمنطوق الآخر، والنتیجة جواز الجمیع</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ونظیر ذلک ما ذکره جملة من الفقهاء فی الروایات الواردة فی تفسیر الفسوق المحرم فی حالة الإحرام؛ إذ ورد فی صحیح معاویة بن عمار تفسیره بالکذب والسباب</w:t>
      </w:r>
      <w:r>
        <w:rPr>
          <w:rFonts w:eastAsia="IRNazanin" w:cs="IRNazanin"/>
          <w:color w:val="111111"/>
          <w:sz w:val="28"/>
          <w:szCs w:val="28"/>
          <w:rtl w:val="true"/>
          <w:lang w:bidi="fa-IR"/>
        </w:rPr>
        <w:t>(</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وورد فی صحیح علی بن جعفر تفسیره بالکذب والمفاخرة</w:t>
      </w:r>
      <w:r>
        <w:rPr>
          <w:rFonts w:eastAsia="IRNazanin" w:cs="IRNazanin"/>
          <w:color w:val="111111"/>
          <w:sz w:val="28"/>
          <w:szCs w:val="28"/>
          <w:rtl w:val="true"/>
          <w:lang w:bidi="fa-IR"/>
        </w:rPr>
        <w:t>(</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یرفع الید عن ظهور مفهوم کل بصراحة منطوق الآخر </w:t>
      </w:r>
      <w:bookmarkStart w:id="402" w:name="pg6289_41954"/>
    </w:p>
    <w:p>
      <w:pPr>
        <w:pStyle w:val="BookText"/>
        <w:rPr/>
      </w:pPr>
      <w:bookmarkEnd w:id="402"/>
      <w:r>
        <w:rPr>
          <w:rFonts w:ascii="IRNazanin" w:hAnsi="IRNazanin" w:eastAsia="IRNazanin"/>
          <w:color w:val="111111"/>
          <w:sz w:val="28"/>
          <w:sz w:val="28"/>
          <w:szCs w:val="28"/>
          <w:rtl w:val="true"/>
          <w:lang w:bidi="fa-IR"/>
        </w:rPr>
        <w:t>والحکم بحرمة الجمیع، أو یقال بالتخصیص علی نحو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ضعف جملة من الروایات الواردة فی تفسیر الآیة الکریمة، کما أشار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أنّ الکلام فعلاً فی دلالة الآیة الکریمة فی حد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ثبوت المفهوم تتعارض الروایات لتعارض المفهومین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النفی الکلی للمفهومین إضافی لا حقیقی حتی یتعارضا، وقد خرج منه ما خرج</w:t>
      </w:r>
      <w:r>
        <w:rPr>
          <w:rFonts w:eastAsia="IRNazanin" w:cs="IRNazanin"/>
          <w:color w:val="111111"/>
          <w:sz w:val="28"/>
          <w:szCs w:val="28"/>
          <w:rtl w:val="true"/>
          <w:lang w:bidi="fa-IR"/>
        </w:rPr>
        <w:t>.</w:t>
      </w:r>
    </w:p>
    <w:p>
      <w:pPr>
        <w:pStyle w:val="Heading6"/>
        <w:numPr>
          <w:ilvl w:val="5"/>
          <w:numId w:val="1"/>
        </w:numPr>
        <w:rPr/>
      </w:pPr>
      <w:bookmarkStart w:id="403" w:name="__RefHeading___Toc2133514_237004111"/>
      <w:bookmarkStart w:id="404" w:name="_Toc157"/>
      <w:bookmarkEnd w:id="403"/>
      <w:r>
        <w:rPr>
          <w:rtl w:val="true"/>
        </w:rPr>
        <w:t>الإشکال الخامس</w:t>
      </w:r>
      <w:r>
        <w:rPr>
          <w:rtl w:val="true"/>
        </w:rPr>
        <w:t xml:space="preserve">: </w:t>
      </w:r>
      <w:r>
        <w:rPr>
          <w:rtl w:val="true"/>
        </w:rPr>
        <w:t>المراد بالزینة الثیاب</w:t>
      </w:r>
      <w:bookmarkEnd w:id="404"/>
    </w:p>
    <w:p>
      <w:pPr>
        <w:pStyle w:val="BookText"/>
        <w:rPr/>
      </w:pPr>
      <w:r>
        <w:rPr>
          <w:rFonts w:ascii="IRNazanin" w:hAnsi="IRNazanin" w:eastAsia="IRNazanin"/>
          <w:color w:val="111111"/>
          <w:sz w:val="28"/>
          <w:sz w:val="28"/>
          <w:szCs w:val="28"/>
          <w:rtl w:val="true"/>
          <w:lang w:bidi="fa-IR"/>
        </w:rPr>
        <w:t>إنه محمول علی زینة الثیاب، کما حکی عن ابن مسعود</w:t>
      </w:r>
      <w:r>
        <w:rPr>
          <w:rFonts w:eastAsia="IRNazanin" w:cs="IRNazanin"/>
          <w:color w:val="111111"/>
          <w:sz w:val="28"/>
          <w:szCs w:val="28"/>
          <w:rtl w:val="true"/>
          <w:lang w:bidi="fa-IR"/>
        </w:rPr>
        <w:t>(</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یبعد إرادة الثیاب الظاهرة منه</w:t>
      </w:r>
      <w:r>
        <w:rPr>
          <w:rFonts w:eastAsia="IRNazanin" w:cs="IRNazanin"/>
          <w:color w:val="111111"/>
          <w:sz w:val="28"/>
          <w:szCs w:val="28"/>
          <w:rtl w:val="true"/>
          <w:lang w:bidi="fa-IR"/>
        </w:rPr>
        <w:t>»(</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السید الروحانی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الزینة الظاهرة فسرت بتفاسیر، منها ما عن ابن مسعود من تفسیرها بالثیاب، ومنها غیر ذلک</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 یرید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أنه خلاف الظاهر فی نفسه</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نظر؛ إذ تشخیص ظهور ما ظهر موقوف علی معرفة کیفیة حجاب </w:t>
      </w:r>
    </w:p>
    <w:p>
      <w:pPr>
        <w:pStyle w:val="BookText"/>
        <w:rPr/>
      </w:pPr>
      <w:r>
        <w:rPr>
          <w:rFonts w:ascii="IRNazanin" w:hAnsi="IRNazanin" w:eastAsia="IRNazanin"/>
          <w:color w:val="111111"/>
          <w:sz w:val="28"/>
          <w:sz w:val="28"/>
          <w:szCs w:val="28"/>
          <w:rtl w:val="true"/>
          <w:lang w:bidi="fa-IR"/>
        </w:rPr>
        <w:t>النساء آنذاک، وهی غیر معلومة، فلا طریق إلی معرفة المراد بما ظهر،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جرت العادة والجبلة علی ظهوره، والأصل فیه الظهور، کما فی الکشاف</w:t>
      </w:r>
      <w:r>
        <w:rPr>
          <w:rFonts w:eastAsia="IRNazanin" w:cs="IRNazanin"/>
          <w:color w:val="111111"/>
          <w:sz w:val="28"/>
          <w:szCs w:val="28"/>
          <w:rtl w:val="true"/>
          <w:lang w:bidi="fa-IR"/>
        </w:rPr>
        <w:t>(</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کانت العادة الجاریة کشف الوجه والکفین کانا من المراد، وإن کانت العادة سترهما کان المراد الثیاب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المستمسک تأمل من جهة ثانیة،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حتی لو فرض عدم شمول الزینة الظاهرة للثیاب إلا أنّ التفسیر الصحیح یجعله مشمولاً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الآیة فی حدّ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العلم بکیفیة الحجاب لابد من التمسک بظهور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فإنّ الأحکام مجعولة علی نهج القضایا الحقیقیة دائماً، والمقام من مصداقه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هنا خارجیة لا حقیقیة، وإلا فإنّ النساء الغربیات یخرجن ذراعهن الیوم، فهل یمکن القول بشمول الآیة لهن؟</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بالمجتمع الإسلامی المتدین، فإنّ الخطاب للمؤمنات،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المتدینات، ولو فرض شمول الآیة لغیرهن أمکن القول بعدم شمول الحکم لهن للدلیل الخاص</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القضیة لا تختص بالمجتمع الإسلامی، وعلی فرضه فإنّ المراد من المؤمنات اللاتی یؤمن بالله، والآن نجد الکثیر منهن یکشفن شعورهن، فلا یعقل أن یوکل المولی القضیة إلی الحقیقیة، فهل یعقل أن یراد بها کل </w:t>
      </w:r>
    </w:p>
    <w:p>
      <w:pPr>
        <w:pStyle w:val="BookText"/>
        <w:rPr/>
      </w:pPr>
      <w:r>
        <w:rPr>
          <w:rFonts w:ascii="IRNazanin" w:hAnsi="IRNazanin" w:eastAsia="IRNazanin"/>
          <w:color w:val="111111"/>
          <w:sz w:val="28"/>
          <w:sz w:val="28"/>
          <w:szCs w:val="28"/>
          <w:rtl w:val="true"/>
          <w:lang w:bidi="fa-IR"/>
        </w:rPr>
        <w:t>ما ظهر بطبعه فی أی وقت؟</w:t>
      </w:r>
    </w:p>
    <w:p>
      <w:pPr>
        <w:pStyle w:val="BookText"/>
        <w:rPr/>
      </w:pPr>
      <w:r>
        <w:rPr>
          <w:rFonts w:ascii="IRNazanin" w:hAnsi="IRNazanin" w:eastAsia="IRNazanin"/>
          <w:color w:val="111111"/>
          <w:sz w:val="28"/>
          <w:sz w:val="28"/>
          <w:szCs w:val="28"/>
          <w:rtl w:val="true"/>
          <w:lang w:bidi="fa-IR"/>
        </w:rPr>
        <w:t>هذا، ولکن قد یدعی إمکان تحصیل العلم الخارجی بعدم ستر النساء وجوههن وأکفهن آنذاک، خاصة فی القری والبوادی، فتکون من الزینة الظاهرة بطبعها فیشملها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السیرة فی جمیع الأعصار والأمصار علی عدم معاملة الوجه والکفین فی المرأة معاملة العورة</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السیرة فی هذه الموارد</w:t>
      </w:r>
      <w:r>
        <w:rPr>
          <w:rFonts w:eastAsia="IRNazanin" w:cs="IRNazanin"/>
          <w:color w:val="111111"/>
          <w:sz w:val="28"/>
          <w:szCs w:val="28"/>
          <w:rtl w:val="true"/>
          <w:lang w:bidi="fa-IR"/>
        </w:rPr>
        <w:t>(</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قائمة علی العکس</w:t>
      </w:r>
      <w:r>
        <w:rPr>
          <w:rFonts w:eastAsia="IRNazanin" w:cs="IRNazanin"/>
          <w:color w:val="111111"/>
          <w:sz w:val="28"/>
          <w:szCs w:val="28"/>
          <w:rtl w:val="true"/>
          <w:lang w:bidi="fa-IR"/>
        </w:rPr>
        <w:t>(</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نضایق من تحققها بالنسبة إلی النساء المجللات فی البلدان الکبار، وأمّا علی سبیل العموم فکلا، فهی</w:t>
      </w:r>
      <w:r>
        <w:rPr>
          <w:rFonts w:eastAsia="IRNazanin" w:cs="IRNazanin"/>
          <w:color w:val="111111"/>
          <w:sz w:val="28"/>
          <w:szCs w:val="28"/>
          <w:rtl w:val="true"/>
          <w:lang w:bidi="fa-IR"/>
        </w:rPr>
        <w:t>(</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مختصة بطائفة من النساء فی بعض البلاد</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بالإضافة إلی أنه لو کان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کانت المتدینات یتحجبن ویسترن الوجه والکفین، ثم تبدل إلی غیره فجأة أو تدریجاً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 فی التاریخ</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المستمسک أیضاً</w:t>
      </w:r>
      <w:r>
        <w:rPr>
          <w:rFonts w:eastAsia="IRNazanin" w:cs="IRNazanin"/>
          <w:color w:val="111111"/>
          <w:sz w:val="28"/>
          <w:szCs w:val="28"/>
          <w:rtl w:val="true"/>
          <w:lang w:bidi="fa-IR"/>
        </w:rPr>
        <w:t>(</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لقرینة السیاق مع قوله </w:t>
      </w:r>
      <w:bookmarkStart w:id="405" w:name="pg6289_41957"/>
    </w:p>
    <w:p>
      <w:pPr>
        <w:pStyle w:val="BookText"/>
        <w:rPr/>
      </w:pPr>
      <w:bookmarkEnd w:id="405"/>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وَلْیَضْرِبْنَ بِخُمُرِهِنَّ عَلَی جُیُوبِهِنَّ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المخالفة غیر ظاهرة، بل بین الجملتین کمال الملاءمة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المعنی</w:t>
      </w:r>
      <w:r>
        <w:rPr>
          <w:rFonts w:eastAsia="IRNazanin" w:cs="IRNazanin"/>
          <w:color w:val="111111"/>
          <w:sz w:val="28"/>
          <w:szCs w:val="28"/>
          <w:rtl w:val="true"/>
          <w:lang w:bidi="fa-IR"/>
        </w:rPr>
        <w:t>(</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للروایات المفسرة للآیة الکریمة، لکن الکلام فعلاً فیما یستفاد من الآیة الکریمة فی حد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نستظهر أنّ الآیة بحد ذاتها تدل علی جواز کشف الوجه والکفین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معنی للاستفادة من الآیة بحد ذاتها، فإنّ القرآن له مفسر، وإلاّ فهو عبارة أخری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بالآیة والروایة</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معرفة مفاد الآیة فی حد ذاتها، فلو ادُعی دلالتها علی جواز کشف الوجه والکفین فلا بد من معرفة الدلالة، وهذا ینفع فی البحوث الاحتجاجیة</w:t>
      </w:r>
      <w:r>
        <w:rPr>
          <w:rFonts w:eastAsia="IRNazanin" w:cs="IRNazanin"/>
          <w:color w:val="111111"/>
          <w:sz w:val="28"/>
          <w:szCs w:val="28"/>
          <w:rtl w:val="true"/>
          <w:lang w:bidi="fa-IR"/>
        </w:rPr>
        <w:t>.</w:t>
      </w:r>
    </w:p>
    <w:p>
      <w:pPr>
        <w:pStyle w:val="Heading6"/>
        <w:numPr>
          <w:ilvl w:val="5"/>
          <w:numId w:val="1"/>
        </w:numPr>
        <w:rPr/>
      </w:pPr>
      <w:bookmarkStart w:id="406" w:name="__RefHeading___Toc2133516_237004111"/>
      <w:bookmarkStart w:id="407" w:name="_Toc158"/>
      <w:bookmarkEnd w:id="406"/>
      <w:r>
        <w:rPr>
          <w:rtl w:val="true"/>
        </w:rPr>
        <w:t>الدلیل الثانی</w:t>
      </w:r>
      <w:r>
        <w:rPr>
          <w:rtl w:val="true"/>
        </w:rPr>
        <w:t xml:space="preserve">: </w:t>
      </w:r>
      <w:r>
        <w:rPr>
          <w:rtl w:val="true"/>
        </w:rPr>
        <w:t>قوله تعالی</w:t>
      </w:r>
      <w:r>
        <w:rPr>
          <w:rtl w:val="true"/>
        </w:rPr>
        <w:t>: {</w:t>
      </w:r>
      <w:r>
        <w:rPr>
          <w:rtl w:val="true"/>
        </w:rPr>
        <w:t>وَلْیَضْرِبْنَ بِخُمُرِهِنَّ عَلَی جُیُوبِهِنَّ</w:t>
      </w:r>
      <w:r>
        <w:rPr>
          <w:rtl w:val="true"/>
        </w:rPr>
        <w:t>}</w:t>
      </w:r>
      <w:bookmarkEnd w:id="407"/>
    </w:p>
    <w:p>
      <w:pPr>
        <w:pStyle w:val="BookText"/>
        <w:rPr/>
      </w:pPr>
      <w:r>
        <w:rPr>
          <w:rFonts w:ascii="Amiri" w:hAnsi="Amiri" w:eastAsia="Amiri" w:cs="Amiri"/>
          <w:color w:val="111111"/>
          <w:sz w:val="28"/>
          <w:sz w:val="28"/>
          <w:szCs w:val="28"/>
          <w:rtl w:val="true"/>
          <w:lang w:bidi="ar-SA"/>
        </w:rPr>
        <w:t>الدلیل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وَلْیَضْرِبْنَ بِخُمُرِهِنَّ عَلَی جُیُوبِهِنَّ</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 تخصیص الجیوب بوجوب الستر یدل علی عدم وجوب ستر الوجه، وإلا کان أولی بالذکر من الجیب؛ لأنّ الخمار یستر الجیب غالباً ولا یستر الوجه</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408" w:name="pg6289_41958"/>
    </w:p>
    <w:p>
      <w:pPr>
        <w:pStyle w:val="BookText"/>
        <w:rPr/>
      </w:pPr>
      <w:bookmarkEnd w:id="408"/>
      <w:r>
        <w:rPr>
          <w:rFonts w:ascii="IRNazanin" w:hAnsi="IRNazanin" w:eastAsia="IRNazanin"/>
          <w:color w:val="111111"/>
          <w:sz w:val="28"/>
          <w:sz w:val="28"/>
          <w:szCs w:val="28"/>
          <w:rtl w:val="true"/>
          <w:lang w:bidi="fa-IR"/>
        </w:rPr>
        <w:t>وفیه نظر؛ لأنّ اللقب لا مفهوم له، ولعل وجه تخصیص الجیوب بالذکر ما ذکره الکشاف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جیوبهن واسعة تبدو منها نحورهن وصدورهن وما حوالیها، وکن یسدلن الخمر من ورائهن فتبقی مکشوفة، فأمرن بأن یسدلنها من قدامهن حتی یغطینها</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السید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 الجواز بنحو ما فی المستمسک وأضاف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قماش معمول إلی الآن یلف حول الرأس دون الوجه</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یصنع الخمار للوجه، فلا أولویة لذکره، بل لا معنی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تغطیة الوجه بالخمار من الفوق والتحت، فلا یبدو إلا العین، کما یمکن ثقب الخمار للرؤیة، کما یمکن أن یکون شفافاً، وقد قال فی المصباح المنیر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الخمار ثوب تغطی به المرأة رأسها</w:t>
      </w:r>
      <w:r>
        <w:rPr>
          <w:rFonts w:eastAsia="IRNazanin" w:cs="IRNazanin"/>
          <w:color w:val="111111"/>
          <w:sz w:val="28"/>
          <w:szCs w:val="28"/>
          <w:rtl w:val="true"/>
          <w:lang w:bidi="fa-IR"/>
        </w:rPr>
        <w:t>»(</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والرأس یشمل الوجه أیضاً، کما أنّ من المتعارف عند بعض النساء ستر الوجه بالخمار، وعلی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کیفیة الخمار فی ذلک الوقت، هل إنه کان یغطی الوجه أم لا؟</w:t>
      </w:r>
    </w:p>
    <w:p>
      <w:pPr>
        <w:pStyle w:val="Heading6"/>
        <w:numPr>
          <w:ilvl w:val="5"/>
          <w:numId w:val="1"/>
        </w:numPr>
        <w:rPr/>
      </w:pPr>
      <w:bookmarkStart w:id="409" w:name="__RefHeading___Toc2133518_237004111"/>
      <w:bookmarkStart w:id="410" w:name="_Toc159"/>
      <w:bookmarkEnd w:id="409"/>
      <w:r>
        <w:rPr>
          <w:rtl w:val="true"/>
        </w:rPr>
        <w:t>الدلیل الثالث</w:t>
      </w:r>
      <w:r>
        <w:rPr>
          <w:rtl w:val="true"/>
        </w:rPr>
        <w:t xml:space="preserve">: </w:t>
      </w:r>
      <w:r>
        <w:rPr>
          <w:rtl w:val="true"/>
        </w:rPr>
        <w:t>روایة زرارة</w:t>
      </w:r>
      <w:bookmarkEnd w:id="410"/>
    </w:p>
    <w:p>
      <w:pPr>
        <w:pStyle w:val="Heading6"/>
        <w:numPr>
          <w:ilvl w:val="5"/>
          <w:numId w:val="1"/>
        </w:numPr>
        <w:rPr/>
      </w:pPr>
      <w:bookmarkStart w:id="411" w:name="__RefHeading___Toc2133520_237004111"/>
      <w:bookmarkStart w:id="412" w:name="_Toc160"/>
      <w:bookmarkEnd w:id="411"/>
      <w:r>
        <w:rPr>
          <w:rtl w:val="true"/>
        </w:rPr>
        <w:t>اشارة</w:t>
      </w:r>
      <w:bookmarkEnd w:id="41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بن عیسی، عن محمد بن خالد والحسین بن سعید، عن القاسم بن عروة، عن عبد الله بن بکیر، عن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الزینة الظاهرة الکحل </w:t>
      </w:r>
      <w:bookmarkStart w:id="413" w:name="pg6289_41959"/>
    </w:p>
    <w:p>
      <w:pPr>
        <w:pStyle w:val="BookText"/>
        <w:rPr/>
      </w:pPr>
      <w:bookmarkEnd w:id="413"/>
      <w:r>
        <w:rPr>
          <w:rFonts w:ascii="IRNazanin" w:hAnsi="IRNazanin" w:eastAsia="IRNazanin"/>
          <w:color w:val="111111"/>
          <w:sz w:val="28"/>
          <w:sz w:val="28"/>
          <w:szCs w:val="28"/>
          <w:rtl w:val="true"/>
          <w:lang w:bidi="fa-IR"/>
        </w:rPr>
        <w:t>والخاتم</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مضی تقریب الاستدلال</w:t>
      </w:r>
      <w:r>
        <w:rPr>
          <w:rFonts w:eastAsia="IRNazanin" w:cs="IRNazanin"/>
          <w:color w:val="111111"/>
          <w:sz w:val="28"/>
          <w:szCs w:val="28"/>
          <w:rtl w:val="true"/>
          <w:lang w:bidi="fa-IR"/>
        </w:rPr>
        <w:t>.</w:t>
      </w:r>
    </w:p>
    <w:p>
      <w:pPr>
        <w:pStyle w:val="Heading6"/>
        <w:numPr>
          <w:ilvl w:val="5"/>
          <w:numId w:val="1"/>
        </w:numPr>
        <w:rPr/>
      </w:pPr>
      <w:bookmarkStart w:id="414" w:name="__RefHeading___Toc2133522_237004111"/>
      <w:bookmarkStart w:id="415" w:name="_Toc161"/>
      <w:bookmarkEnd w:id="414"/>
      <w:r>
        <w:rPr>
          <w:rtl w:val="true"/>
        </w:rPr>
        <w:t>الإشکالات علی الدلیل الثالث</w:t>
      </w:r>
      <w:bookmarkEnd w:id="415"/>
    </w:p>
    <w:p>
      <w:pPr>
        <w:pStyle w:val="Heading6"/>
        <w:numPr>
          <w:ilvl w:val="5"/>
          <w:numId w:val="1"/>
        </w:numPr>
        <w:rPr/>
      </w:pPr>
      <w:bookmarkStart w:id="416" w:name="__RefHeading___Toc2133524_237004111"/>
      <w:bookmarkStart w:id="417" w:name="_Toc162"/>
      <w:bookmarkEnd w:id="416"/>
      <w:r>
        <w:rPr>
          <w:rtl w:val="true"/>
        </w:rPr>
        <w:t>اشارة</w:t>
      </w:r>
      <w:bookmarkEnd w:id="417"/>
    </w:p>
    <w:p>
      <w:pPr>
        <w:pStyle w:val="BookText"/>
        <w:rPr/>
      </w:pPr>
      <w:r>
        <w:rPr>
          <w:rFonts w:ascii="IRNazanin" w:hAnsi="IRNazanin" w:eastAsia="IRNazanin"/>
          <w:color w:val="111111"/>
          <w:sz w:val="28"/>
          <w:sz w:val="28"/>
          <w:szCs w:val="28"/>
          <w:rtl w:val="true"/>
          <w:lang w:bidi="fa-IR"/>
        </w:rPr>
        <w:t>وفی الاستدلال بهذه الروایة إشکالات</w:t>
      </w:r>
      <w:r>
        <w:rPr>
          <w:rFonts w:eastAsia="IRNazanin" w:cs="IRNazanin"/>
          <w:color w:val="111111"/>
          <w:sz w:val="28"/>
          <w:szCs w:val="28"/>
          <w:rtl w:val="true"/>
          <w:lang w:bidi="fa-IR"/>
        </w:rPr>
        <w:t>:</w:t>
      </w:r>
    </w:p>
    <w:p>
      <w:pPr>
        <w:pStyle w:val="Heading6"/>
        <w:numPr>
          <w:ilvl w:val="5"/>
          <w:numId w:val="1"/>
        </w:numPr>
        <w:rPr/>
      </w:pPr>
      <w:bookmarkStart w:id="418" w:name="__RefHeading___Toc2133526_237004111"/>
      <w:bookmarkStart w:id="419" w:name="_Toc163"/>
      <w:bookmarkEnd w:id="418"/>
      <w:r>
        <w:rPr>
          <w:rtl w:val="true"/>
        </w:rPr>
        <w:t>الإشکال الأول</w:t>
      </w:r>
      <w:r>
        <w:rPr>
          <w:rtl w:val="true"/>
        </w:rPr>
        <w:t xml:space="preserve">: </w:t>
      </w:r>
      <w:r>
        <w:rPr>
          <w:rtl w:val="true"/>
        </w:rPr>
        <w:t>الإشکال السندی</w:t>
      </w:r>
      <w:bookmarkEnd w:id="419"/>
    </w:p>
    <w:p>
      <w:pPr>
        <w:pStyle w:val="BookText"/>
        <w:rPr/>
      </w:pPr>
      <w:r>
        <w:rPr>
          <w:rFonts w:ascii="IRNazanin" w:hAnsi="IRNazanin" w:eastAsia="IRNazanin"/>
          <w:color w:val="111111"/>
          <w:sz w:val="28"/>
          <w:sz w:val="28"/>
          <w:szCs w:val="28"/>
          <w:rtl w:val="true"/>
          <w:lang w:bidi="fa-IR"/>
        </w:rPr>
        <w:t>إذ ورد فی سنده القاسم بن عروة ولم یذکر له توثیق</w:t>
      </w:r>
      <w:r>
        <w:rPr>
          <w:rFonts w:eastAsia="IRNazanin" w:cs="IRNazanin"/>
          <w:color w:val="111111"/>
          <w:sz w:val="28"/>
          <w:szCs w:val="28"/>
          <w:rtl w:val="true"/>
          <w:lang w:bidi="fa-IR"/>
        </w:rPr>
        <w:t>(</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وصرح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المرآة بأنّ الخبر مجهول</w:t>
      </w:r>
      <w:r>
        <w:rPr>
          <w:rFonts w:eastAsia="IRNazanin" w:cs="IRNazanin"/>
          <w:color w:val="111111"/>
          <w:sz w:val="28"/>
          <w:szCs w:val="28"/>
          <w:rtl w:val="true"/>
          <w:lang w:bidi="fa-IR"/>
        </w:rPr>
        <w:t>(</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وتبعه السید الروحانی</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یمکن دفع الإشکال بطرق ثلاثة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مشایخ الثقات، حیث روی عنه کل من ابن أبی عمیر والبزنطی، وقد ذکر فی محله أن مشایخ الثلاثة ثقات، وهو بحث مبنائی، وقد اعتمد علی هذا الطریق الشیخ الأعظم فی کتاب الصلاة فی روایة أخری</w:t>
      </w:r>
      <w:r>
        <w:rPr>
          <w:rFonts w:eastAsia="IRNazanin" w:cs="IRNazanin"/>
          <w:color w:val="111111"/>
          <w:sz w:val="28"/>
          <w:szCs w:val="28"/>
          <w:rtl w:val="true"/>
          <w:lang w:bidi="fa-IR"/>
        </w:rPr>
        <w:t>(</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 لهذا وصف فی المختلف هذه الروایة بالصحة</w:t>
      </w:r>
      <w:r>
        <w:rPr>
          <w:rFonts w:eastAsia="IRNazanin" w:cs="IRNazanin"/>
          <w:color w:val="111111"/>
          <w:sz w:val="28"/>
          <w:szCs w:val="28"/>
          <w:rtl w:val="true"/>
          <w:lang w:bidi="fa-IR"/>
        </w:rPr>
        <w:t>»(</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فمع أن قاسم بن عروة فی السند إلا أن العلامة قال بصحتها</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صحح حدیثه السید الحکیم فی المواقیت</w:t>
      </w:r>
      <w:r>
        <w:rPr>
          <w:rFonts w:eastAsia="IRNazanin" w:cs="IRNazanin"/>
          <w:color w:val="111111"/>
          <w:sz w:val="28"/>
          <w:szCs w:val="28"/>
          <w:rtl w:val="true"/>
          <w:lang w:bidi="fa-IR"/>
        </w:rPr>
        <w:t>(</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عبر السید الخوئی عنها بالموثقة</w:t>
      </w:r>
      <w:r>
        <w:rPr>
          <w:rFonts w:eastAsia="IRNazanin" w:cs="IRNazanin"/>
          <w:color w:val="111111"/>
          <w:sz w:val="28"/>
          <w:szCs w:val="28"/>
          <w:rtl w:val="true"/>
          <w:lang w:bidi="fa-IR"/>
        </w:rPr>
        <w:t>(</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ذکر فی موضع آخر أنه لم تثبت وثاقته</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إکثار الشیخ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عنه فی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روایة الکلینی عن شخص یکشف عن اعتماده علیه، وکثرة روایته عنه تکشف عن کون القرینة داخلیة لا خارجیة، وقد مضی توضیحه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وجدته فی الکافی عن القاسم بن عروة کالآتی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حدیثین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أحادیث، وفی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أحادیث، وفی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حدیثین، وفی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أحادیث، وفی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أحادیث، وفی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أحادیث، وفی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حدیثین، فالمجموع واحد وأربعون حدیثاً، وأکثر هذه الروایات متعلقة بالأحکام الشرعیة</w:t>
      </w:r>
      <w:r>
        <w:rPr>
          <w:rFonts w:eastAsia="IRNazanin" w:cs="IRNazanin"/>
          <w:color w:val="111111"/>
          <w:sz w:val="28"/>
          <w:szCs w:val="28"/>
          <w:rtl w:val="true"/>
          <w:lang w:bidi="fa-IR"/>
        </w:rPr>
        <w:t>(</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العلم بأنّ قسماً قلیلاً منها مکرر، وکما أنّ هنالک حدیثین حول فضائل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وفی الفقیه أیضاً له روایات، فی الجزء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واحدة، وفی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واحدة، وفی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یحتوی علی ستة عشر ألف حدیث، فلا یعتبر ما ذکر إکثاراً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الاعتماد علیه بهذا المقدار یکشف عن کون قرینة وثاقته داخلیة، کما فی مثال المعالم</w:t>
      </w:r>
      <w:r>
        <w:rPr>
          <w:rFonts w:eastAsia="IRNazanin" w:cs="IRNazanin"/>
          <w:color w:val="111111"/>
          <w:sz w:val="28"/>
          <w:szCs w:val="28"/>
          <w:rtl w:val="true"/>
          <w:lang w:bidi="fa-IR"/>
        </w:rPr>
        <w:t>(</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موت ابن الملک، وقد مثلنا سابقاً فیما لو اعتمد المرجع علی مخبر عشر مرات مثلاً، فهو کثیر فی الاعتماد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المستند علی نحو العموم، لا خصوص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 ضعف بعض تلک الأخبار سنداً لا یخرجها عن الحجیة عندنا، سیما مع انجبارها باشتهار الجواز ولو فی الجملة،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یعلم استنادهم إلی خصوص هذه الروایة أو الروایات، کی تنجبر بعمل المشهور، ولعل مستندهم غیرها،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فهنالک روایات صحیحة وصریحة فی الحکم المذکور، أو لأنهم تمسکوا بأصالة الجواز، فلا دلیل علی جبر الروایة بمجرد مطابقة الشهرة الفتوائیة لمفادها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بعض الأمارات قد تؤید وثاقته أو حسنه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ابن داود أنّ الکشی ذکر أنه ممدوح</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420" w:name="pg6289_41962"/>
    </w:p>
    <w:p>
      <w:pPr>
        <w:pStyle w:val="BookText"/>
        <w:rPr/>
      </w:pPr>
      <w:bookmarkEnd w:id="420"/>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نسب إلی العلامة تصحیحه حدیثاً فی سنده القاسم بن عروة</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کثیر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الشیخ المفید إیاه فی کتابه المسائل الصاغانیة</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ذکرت هذه القرائن الأربعة الأخیرة فی المعجم، وإن ناقش فی جمیعها</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تمام الکلام فی الإشکال الأول</w:t>
      </w:r>
      <w:r>
        <w:rPr>
          <w:rFonts w:eastAsia="IRNazanin" w:cs="IRNazanin"/>
          <w:color w:val="111111"/>
          <w:sz w:val="28"/>
          <w:szCs w:val="28"/>
          <w:rtl w:val="true"/>
          <w:lang w:bidi="fa-IR"/>
        </w:rPr>
        <w:t>.</w:t>
      </w:r>
    </w:p>
    <w:p>
      <w:pPr>
        <w:pStyle w:val="Heading6"/>
        <w:numPr>
          <w:ilvl w:val="5"/>
          <w:numId w:val="1"/>
        </w:numPr>
        <w:rPr/>
      </w:pPr>
      <w:bookmarkStart w:id="421" w:name="__RefHeading___Toc2133528_237004111"/>
      <w:bookmarkStart w:id="422" w:name="_Toc164"/>
      <w:bookmarkEnd w:id="421"/>
      <w:r>
        <w:rPr>
          <w:rtl w:val="true"/>
        </w:rPr>
        <w:t>الإشکال الثانی</w:t>
      </w:r>
      <w:r>
        <w:rPr>
          <w:rtl w:val="true"/>
        </w:rPr>
        <w:t xml:space="preserve">: </w:t>
      </w:r>
      <w:r>
        <w:rPr>
          <w:rtl w:val="true"/>
        </w:rPr>
        <w:t>اختلاف الروایات المفسرة للزینة</w:t>
      </w:r>
      <w:bookmarkEnd w:id="422"/>
    </w:p>
    <w:p>
      <w:pPr>
        <w:pStyle w:val="BookText"/>
        <w:rPr/>
      </w:pPr>
      <w:r>
        <w:rPr>
          <w:rFonts w:ascii="IRNazanin" w:hAnsi="IRNazanin" w:eastAsia="IRNazanin"/>
          <w:color w:val="111111"/>
          <w:sz w:val="28"/>
          <w:sz w:val="28"/>
          <w:szCs w:val="28"/>
          <w:rtl w:val="true"/>
          <w:lang w:bidi="fa-IR"/>
        </w:rPr>
        <w:t>وهو ما ذکره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اختلاف الروایات المفسرة للزینة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مضی الکلام فی ذلک</w:t>
      </w:r>
      <w:r>
        <w:rPr>
          <w:rFonts w:eastAsia="IRNazanin" w:cs="IRNazanin"/>
          <w:color w:val="111111"/>
          <w:sz w:val="28"/>
          <w:szCs w:val="28"/>
          <w:rtl w:val="true"/>
          <w:lang w:bidi="fa-IR"/>
        </w:rPr>
        <w:t>.</w:t>
      </w:r>
    </w:p>
    <w:p>
      <w:pPr>
        <w:pStyle w:val="Heading6"/>
        <w:numPr>
          <w:ilvl w:val="5"/>
          <w:numId w:val="1"/>
        </w:numPr>
        <w:rPr/>
      </w:pPr>
      <w:bookmarkStart w:id="423" w:name="__RefHeading___Toc2133530_237004111"/>
      <w:bookmarkStart w:id="424" w:name="_Toc165"/>
      <w:bookmarkEnd w:id="423"/>
      <w:r>
        <w:rPr>
          <w:rtl w:val="true"/>
        </w:rPr>
        <w:t>الإشکال الثالث</w:t>
      </w:r>
      <w:r>
        <w:rPr>
          <w:rtl w:val="true"/>
        </w:rPr>
        <w:t xml:space="preserve">: </w:t>
      </w:r>
      <w:r>
        <w:rPr>
          <w:rtl w:val="true"/>
        </w:rPr>
        <w:t>إنه لا ملازمة بین جواز الإبداء وجواز النظر</w:t>
      </w:r>
      <w:bookmarkEnd w:id="424"/>
    </w:p>
    <w:p>
      <w:pPr>
        <w:pStyle w:val="BookText"/>
        <w:rPr/>
      </w:pPr>
      <w:r>
        <w:rPr>
          <w:rFonts w:ascii="IRNazanin" w:hAnsi="IRNazanin" w:eastAsia="IRNazanin"/>
          <w:color w:val="111111"/>
          <w:sz w:val="28"/>
          <w:sz w:val="28"/>
          <w:szCs w:val="28"/>
          <w:rtl w:val="true"/>
          <w:lang w:bidi="fa-IR"/>
        </w:rPr>
        <w:t>وقد مرّ الکلام فی ذلک</w:t>
      </w:r>
      <w:r>
        <w:rPr>
          <w:rFonts w:eastAsia="IRNazanin" w:cs="IRNazanin"/>
          <w:color w:val="111111"/>
          <w:sz w:val="28"/>
          <w:szCs w:val="28"/>
          <w:rtl w:val="true"/>
          <w:lang w:bidi="fa-IR"/>
        </w:rPr>
        <w:t>.</w:t>
      </w:r>
    </w:p>
    <w:p>
      <w:pPr>
        <w:pStyle w:val="Heading6"/>
        <w:numPr>
          <w:ilvl w:val="5"/>
          <w:numId w:val="1"/>
        </w:numPr>
        <w:rPr/>
      </w:pPr>
      <w:bookmarkStart w:id="425" w:name="__RefHeading___Toc2133532_237004111"/>
      <w:bookmarkStart w:id="426" w:name="_Toc166"/>
      <w:bookmarkEnd w:id="425"/>
      <w:r>
        <w:rPr>
          <w:rtl w:val="true"/>
        </w:rPr>
        <w:t>الإشکال الرابع</w:t>
      </w:r>
      <w:r>
        <w:rPr>
          <w:rtl w:val="true"/>
        </w:rPr>
        <w:t xml:space="preserve">: </w:t>
      </w:r>
      <w:r>
        <w:rPr>
          <w:rtl w:val="true"/>
        </w:rPr>
        <w:t>تقیید جملة إلا ما ظهر بالبعولة</w:t>
      </w:r>
      <w:bookmarkEnd w:id="426"/>
    </w:p>
    <w:p>
      <w:pPr>
        <w:pStyle w:val="BookText"/>
        <w:rPr/>
      </w:pP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مقیدة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معارضة بها، وحیث إنّ هذه الروایة تفسیر لتلک الجملة فهی لا تجدی فی الاستدلال علی جواز الإظهار للأجانب شیئاً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مضی البحث فی ذلک</w:t>
      </w:r>
      <w:r>
        <w:rPr>
          <w:rFonts w:eastAsia="IRNazanin" w:cs="IRNazanin"/>
          <w:color w:val="111111"/>
          <w:sz w:val="28"/>
          <w:szCs w:val="28"/>
          <w:rtl w:val="true"/>
          <w:lang w:bidi="fa-IR"/>
        </w:rPr>
        <w:t xml:space="preserve">. </w:t>
      </w:r>
      <w:bookmarkStart w:id="427" w:name="pg6289_41963"/>
    </w:p>
    <w:p>
      <w:pPr>
        <w:pStyle w:val="Heading6"/>
        <w:numPr>
          <w:ilvl w:val="5"/>
          <w:numId w:val="1"/>
        </w:numPr>
        <w:rPr/>
      </w:pPr>
      <w:bookmarkStart w:id="428" w:name="__RefHeading___Toc2133534_237004111"/>
      <w:bookmarkStart w:id="429" w:name="_Toc167"/>
      <w:bookmarkEnd w:id="427"/>
      <w:bookmarkEnd w:id="428"/>
      <w:r>
        <w:rPr>
          <w:rtl w:val="true"/>
        </w:rPr>
        <w:t>الإشکال الخامس والسادس</w:t>
      </w:r>
      <w:r>
        <w:rPr>
          <w:rtl w:val="true"/>
        </w:rPr>
        <w:t xml:space="preserve">: </w:t>
      </w:r>
      <w:r>
        <w:rPr>
          <w:rtl w:val="true"/>
        </w:rPr>
        <w:t>ما فی المهذب</w:t>
      </w:r>
      <w:bookmarkEnd w:id="429"/>
    </w:p>
    <w:p>
      <w:pPr>
        <w:pStyle w:val="BookText"/>
        <w:rPr/>
      </w:pPr>
      <w:r>
        <w:rPr>
          <w:rFonts w:ascii="IRNazanin" w:hAnsi="IRNazanin" w:eastAsia="IRNazanin"/>
          <w:color w:val="111111"/>
          <w:sz w:val="28"/>
          <w:sz w:val="28"/>
          <w:szCs w:val="28"/>
          <w:rtl w:val="true"/>
          <w:lang w:bidi="fa-IR"/>
        </w:rPr>
        <w:t>وهو ما ذکره فی المهذب،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صحة أن یکون المراد من مثل هذه الأخبار عدم وجوب التحفظ علیهن لکونه موجبا للضیق والحرج، وحکم الظهور الاتفاقی لا الإظهار العمدی الاختیاری، فإنه بعید عن مذاق الشرع المجد علی تحفظهن، والستر علیهن مهما أمکنه ذلک، بل ذلک بعید عن مذاق المتشرعین والمتشرعات</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لذلک وجهاً آخر، وهو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إمکان أن یراد بها أیضاً عدم وجوب التحفظ علیهنّ لهذه المواضع عند احتمال وجود الأجنبی؛ لکونه عسراً وحرجاً، مع إمکان حملها علی الظهور الاتفاقی لا تعمد الإظهار للأجانب لمواضع الزینة الظاهرة، فإنّه بعید جداً عن مذاق الشرع والمتشرعة</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ومراده أنّ علی المرأة أن تتحفظ فی ذراعها وسائر أنحاء بدنها إن احتملت وجود الأجنبی، أما بالنسبة إلی الوجه والکفین فحینما لا تعلم وجوده جاز أن تخرجهما، فإن اتفق وجوده سترتهما فوراً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نظر؛ إذ الحمل علی عدم وجوب التحفظ علیهن خلاف ظاهر الآیة الکریمة؛ لکون الجملة استثناء من عدم جواز الإبداء، فیکون مفادها جواز الإبداء، ولیست استثناء من وجوب التحفظ کی یکون مفادها عدم وجوب التحفظ علی ما ظهر منها، وشمول النهی فی المستثنی منه للإبداء المسبب عن عدم التحفظ لا یقدح فیما ذکر؛ لکون مفاده حینئذٍ حرمة جمیع أنواع </w:t>
      </w:r>
    </w:p>
    <w:p>
      <w:pPr>
        <w:pStyle w:val="BookText"/>
        <w:rPr/>
      </w:pPr>
      <w:r>
        <w:rPr>
          <w:rFonts w:ascii="IRNazanin" w:hAnsi="IRNazanin" w:eastAsia="IRNazanin"/>
          <w:color w:val="111111"/>
          <w:sz w:val="28"/>
          <w:sz w:val="28"/>
          <w:szCs w:val="28"/>
          <w:rtl w:val="true"/>
          <w:lang w:bidi="fa-IR"/>
        </w:rPr>
        <w:t>الإبداء، فیکون مفاد المستثنی جواز جمیع أنواع الإبداء، لا خصوص الإبداء المسبب عن عدم التحفظ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تنهی عن الإبداء، فیکون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إبداء ما ظهر، ولم تأمر الآیة بوجوب التحفظ إلا ما ظهر، حتی یقال بعدم وجوب التحفظ فی ما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حملها علی الظهور الاتفاقی فهو خلاف ظاهر الخبر</w:t>
      </w:r>
      <w:r>
        <w:rPr>
          <w:rFonts w:eastAsia="IRNazanin" w:cs="IRNazanin"/>
          <w:color w:val="111111"/>
          <w:sz w:val="28"/>
          <w:szCs w:val="28"/>
          <w:rtl w:val="true"/>
          <w:lang w:bidi="fa-IR"/>
        </w:rPr>
        <w:t>(</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ظاهر اسم الفاعل فی مثل المقام الظهور المستقر لا الظهور الاتفاقی غیر المستقر،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کون مرجع الإشکال إلی ظهور الآیة الکریمة فی الظهور الاتفاقی، فتحمل الروایة المفسرة لها علی ذلک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مضی التأمل فی ظهور الآیة الکریمة فی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إرادة الشارع التحفظ علیهن فهو مسلم، إلا أنّ صرف وجود المقتضی لا یکفی فی وجود المقتضی، ما لم تجتمع جمیع الشرائط وترتفع جمیع الموانع، ولعل هناک فی المقام شرطاً غیر متوفر، أو مانعاً یمنع من تأثیر ذلک المقتضی فی المنع، ولعله لذا جوز الشارع للمرأة کشف الوجه فی حالة الإحرام مع وجود المقتضی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القضایا الشرعیة لیست تکوینیة، فلإثبات الحکم الشرعی یکفی الظهور والعموم، فلا ضرورة للقول بتحقق احتمال عدم الشرط أو وجود المانع</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المقتضی موجوداً والمانع مفقوداً والشرط متوفراً قطعنا </w:t>
      </w:r>
      <w:bookmarkStart w:id="430" w:name="pg6289_41965"/>
    </w:p>
    <w:p>
      <w:pPr>
        <w:pStyle w:val="BookText"/>
        <w:rPr/>
      </w:pPr>
      <w:bookmarkEnd w:id="430"/>
      <w:r>
        <w:rPr>
          <w:rFonts w:ascii="IRNazanin" w:hAnsi="IRNazanin" w:eastAsia="IRNazanin"/>
          <w:color w:val="111111"/>
          <w:sz w:val="28"/>
          <w:sz w:val="28"/>
          <w:szCs w:val="28"/>
          <w:rtl w:val="true"/>
          <w:lang w:bidi="fa-IR"/>
        </w:rPr>
        <w:t>بوجود المعلول؛ لأنها تمثل العلة التامة، فلنفی وجود المعلول یکفی احتمال عدم وجود الشرط، أو احتمال وجود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بالإضافة إلی أنّ الجعل الشرعی أمر تکوینی وإن کان المجعول أمراً اعتباریاً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الشارع یرید التحفظ، لکن لعل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کالحرج أو ارتداد بعضهن عن الدین أو ما أشبه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رفع تأثیر المقتضی فی 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وجود المقتضی فقد تحققت العلة التامة؛ لإمکان الحکم بارتفاع الموانع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قاعدة المقتضی والمانع وهی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ذکر السید الرجائی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الاستثناء المنقطع</w:t>
      </w:r>
      <w:r>
        <w:rPr>
          <w:rFonts w:eastAsia="IRNazanin" w:cs="IRNazanin"/>
          <w:color w:val="111111"/>
          <w:sz w:val="28"/>
          <w:szCs w:val="28"/>
          <w:rtl w:val="true"/>
          <w:lang w:bidi="fa-IR"/>
        </w:rPr>
        <w:t>»(</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أراد إثبات الإجمال فی الآیة؛ لعدم دلالتها علی کون الاستثناء متصلاً أو منقطعاً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نظر؛ لظهور الخبر فی الظهور المستقر، ولا یصلح المجمل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کالاستثناء فی الآیة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لصرف الظاهر عن ظهوره،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ثبت الإجمال فی الآیة فلا إجمال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ظهور الروایة یرفع الإجمال عن الآیة</w:t>
      </w:r>
      <w:r>
        <w:rPr>
          <w:rFonts w:eastAsia="IRNazanin" w:cs="IRNazanin"/>
          <w:color w:val="111111"/>
          <w:sz w:val="28"/>
          <w:szCs w:val="28"/>
          <w:rtl w:val="true"/>
          <w:lang w:bidi="fa-IR"/>
        </w:rPr>
        <w:t>.</w:t>
      </w:r>
    </w:p>
    <w:p>
      <w:pPr>
        <w:pStyle w:val="Heading6"/>
        <w:numPr>
          <w:ilvl w:val="5"/>
          <w:numId w:val="1"/>
        </w:numPr>
        <w:rPr/>
      </w:pPr>
      <w:bookmarkStart w:id="431" w:name="__RefHeading___Toc2133536_237004111"/>
      <w:bookmarkStart w:id="432" w:name="_Toc168"/>
      <w:bookmarkEnd w:id="431"/>
      <w:r>
        <w:rPr>
          <w:rtl w:val="true"/>
        </w:rPr>
        <w:t>الإشکال السابع</w:t>
      </w:r>
      <w:r>
        <w:rPr>
          <w:rtl w:val="true"/>
        </w:rPr>
        <w:t xml:space="preserve">: </w:t>
      </w:r>
      <w:r>
        <w:rPr>
          <w:rtl w:val="true"/>
        </w:rPr>
        <w:t>النظر إلی الکحل والخاتم أعم من النظر إلی الوجه والکفین</w:t>
      </w:r>
      <w:bookmarkEnd w:id="43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ما ذکره السید الروحانی،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جواز النظر إلی الکحل والخاتم ولو إلی مواضعهما أعم من النظر إلی الوجه والکفین</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bookmarkStart w:id="433" w:name="pg6289_41966"/>
    </w:p>
    <w:p>
      <w:pPr>
        <w:pStyle w:val="BookText"/>
        <w:rPr/>
      </w:pPr>
      <w:bookmarkEnd w:id="433"/>
      <w:r>
        <w:rPr>
          <w:rFonts w:ascii="IRNazanin" w:hAnsi="IRNazanin" w:eastAsia="IRNazanin"/>
          <w:color w:val="111111"/>
          <w:sz w:val="28"/>
          <w:sz w:val="28"/>
          <w:szCs w:val="28"/>
          <w:rtl w:val="true"/>
          <w:lang w:bidi="fa-IR"/>
        </w:rPr>
        <w:t>وقال السید الرجائی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ودعوی إلغاء خصوصیة الکحل والخاتم والتعدی إلی مطلق الوجه والکفین أو کونهما کنایة عن الوجه والکفین غیر مسموعة؛ لأنّ المرأة ربما تحتاج إلی إظهارهما بخصوصهما، من دون حاجة إلی إظهار غیرهما، کما إذا أرادت الخروج، فإنه یکفیها أن لا تستر عینها حتی تری طریقها، وتخرج إحدی أصابعها التی فیها خاتم أو جمیع أصابعها فقط</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الخبر من أدلة حرمة إظهار الوجه والکفین؛ لأنه فی مقام بیان تحدید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الکحل والخاتم فقط، فیقتصر فی الجواز علیهما، أو مع مواضعهما الملازم کشفهما لکشفها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یجاب بعدم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الظاهر أنّ فهم الخصوصیة خلاف فهم جمهور الفقهاء</w:t>
      </w:r>
      <w:r>
        <w:rPr>
          <w:rFonts w:eastAsia="IRNazanin" w:cs="IRNazanin"/>
          <w:color w:val="111111"/>
          <w:sz w:val="28"/>
          <w:szCs w:val="28"/>
          <w:rtl w:val="true"/>
          <w:lang w:bidi="fa-IR"/>
        </w:rPr>
        <w:t>.</w:t>
      </w:r>
    </w:p>
    <w:p>
      <w:pPr>
        <w:pStyle w:val="Heading6"/>
        <w:numPr>
          <w:ilvl w:val="5"/>
          <w:numId w:val="1"/>
        </w:numPr>
        <w:rPr/>
      </w:pPr>
      <w:bookmarkStart w:id="434" w:name="__RefHeading___Toc2133538_237004111"/>
      <w:bookmarkStart w:id="435" w:name="_Toc169"/>
      <w:bookmarkEnd w:id="434"/>
      <w:r>
        <w:rPr>
          <w:rtl w:val="true"/>
        </w:rPr>
        <w:t>الدلیل الرابع</w:t>
      </w:r>
      <w:r>
        <w:rPr>
          <w:rtl w:val="true"/>
        </w:rPr>
        <w:t xml:space="preserve">: </w:t>
      </w:r>
      <w:r>
        <w:rPr>
          <w:rtl w:val="true"/>
        </w:rPr>
        <w:t>روایة أبی بصیر</w:t>
      </w:r>
      <w:bookmarkEnd w:id="435"/>
    </w:p>
    <w:p>
      <w:pPr>
        <w:pStyle w:val="Heading6"/>
        <w:numPr>
          <w:ilvl w:val="5"/>
          <w:numId w:val="1"/>
        </w:numPr>
        <w:rPr/>
      </w:pPr>
      <w:bookmarkStart w:id="436" w:name="__RefHeading___Toc2133540_237004111"/>
      <w:bookmarkStart w:id="437" w:name="_Toc170"/>
      <w:bookmarkEnd w:id="436"/>
      <w:r>
        <w:rPr>
          <w:rtl w:val="true"/>
        </w:rPr>
        <w:t>اشارة</w:t>
      </w:r>
      <w:bookmarkEnd w:id="437"/>
    </w:p>
    <w:p>
      <w:pPr>
        <w:pStyle w:val="BookText"/>
        <w:rPr/>
      </w:pPr>
      <w:r>
        <w:rPr>
          <w:rFonts w:ascii="Amiri" w:hAnsi="Amiri" w:eastAsia="Amiri" w:cs="Amiri"/>
          <w:color w:val="111111"/>
          <w:sz w:val="28"/>
          <w:sz w:val="28"/>
          <w:szCs w:val="28"/>
          <w:rtl w:val="true"/>
          <w:lang w:bidi="ar-SA"/>
        </w:rPr>
        <w:t>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أحمد بن إسحاق، عن سعدان بن مسلم، عن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یُبْدِینَ زِینَتَهُنَّ 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والمسکة وهی القلب</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8" w:name="__RefHeading___Toc2133542_237004111"/>
      <w:bookmarkStart w:id="439" w:name="_Toc171"/>
      <w:bookmarkEnd w:id="438"/>
      <w:r>
        <w:rPr>
          <w:rtl w:val="true"/>
        </w:rPr>
        <w:t>الإشکالات علی الدلیل الرابع</w:t>
      </w:r>
      <w:bookmarkEnd w:id="439"/>
    </w:p>
    <w:p>
      <w:pPr>
        <w:pStyle w:val="Heading6"/>
        <w:numPr>
          <w:ilvl w:val="5"/>
          <w:numId w:val="1"/>
        </w:numPr>
        <w:rPr/>
      </w:pPr>
      <w:bookmarkStart w:id="440" w:name="__RefHeading___Toc2133544_237004111"/>
      <w:bookmarkStart w:id="441" w:name="_Toc172"/>
      <w:bookmarkEnd w:id="440"/>
      <w:r>
        <w:rPr>
          <w:rtl w:val="true"/>
        </w:rPr>
        <w:t>اشارة</w:t>
      </w:r>
      <w:bookmarkEnd w:id="44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ویرد علی الاستدلال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إشکالات</w:t>
      </w:r>
      <w:r>
        <w:rPr>
          <w:rFonts w:eastAsia="IRNazanin" w:cs="IRNazanin"/>
          <w:color w:val="111111"/>
          <w:sz w:val="28"/>
          <w:szCs w:val="28"/>
          <w:rtl w:val="true"/>
          <w:lang w:bidi="fa-IR"/>
        </w:rPr>
        <w:t xml:space="preserve">: </w:t>
      </w:r>
      <w:bookmarkStart w:id="442" w:name="pg6289_41967"/>
    </w:p>
    <w:p>
      <w:pPr>
        <w:pStyle w:val="Heading6"/>
        <w:numPr>
          <w:ilvl w:val="5"/>
          <w:numId w:val="1"/>
        </w:numPr>
        <w:rPr/>
      </w:pPr>
      <w:bookmarkStart w:id="443" w:name="__RefHeading___Toc2133546_237004111"/>
      <w:bookmarkStart w:id="444" w:name="_Toc173"/>
      <w:bookmarkEnd w:id="442"/>
      <w:bookmarkEnd w:id="443"/>
      <w:r>
        <w:rPr>
          <w:rtl w:val="true"/>
        </w:rPr>
        <w:t>الإشکال الأول</w:t>
      </w:r>
      <w:r>
        <w:rPr>
          <w:rtl w:val="true"/>
        </w:rPr>
        <w:t xml:space="preserve">: </w:t>
      </w:r>
      <w:r>
        <w:rPr>
          <w:rtl w:val="true"/>
        </w:rPr>
        <w:t>جهالة سعدان بن مسلم</w:t>
      </w:r>
      <w:bookmarkEnd w:id="444"/>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جهالة سعدان بن مسلم</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لم یوثق فی کتب الرجال، وقال المجلسی عن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دفع هذا الإشکال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وروده فی کامل الزیارات فی زیارات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شرح العروة</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المبنی نظر، مع أنه عدل عنه، وتفصیل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وروده فی تفسیر القمی</w:t>
      </w:r>
      <w:r>
        <w:rPr>
          <w:rFonts w:eastAsia="IRNazanin" w:cs="IRNazanin"/>
          <w:color w:val="111111"/>
          <w:sz w:val="28"/>
          <w:szCs w:val="28"/>
          <w:rtl w:val="true"/>
          <w:lang w:bidi="fa-IR"/>
        </w:rPr>
        <w:t>(</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ولعله لذا عبر عن هذه الروایة فی شرح العروة بالمعتبرة</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والمبنی غیر 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القمیین والأعاظم عنه، وفی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روایة کثیر من الأجلاء عنه توجب اعتبار حدیثه</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المبنی نظر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صفوان عنه، کما ذکره الشیخ الطوسی فی رجاله</w:t>
      </w:r>
      <w:r>
        <w:rPr>
          <w:rFonts w:eastAsia="IRNazanin" w:cs="IRNazanin"/>
          <w:color w:val="111111"/>
          <w:sz w:val="28"/>
          <w:szCs w:val="28"/>
          <w:rtl w:val="true"/>
          <w:lang w:bidi="fa-IR"/>
        </w:rPr>
        <w:t>(</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أحد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مرضی عندنا، فیثبت اعتباره بهذا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روایة الکلینی عنه فی الکافی، ففی المجلد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روایات، وفی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روایات، وفی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روایات، وفی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روایات، وفی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روایات، وفی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روایات، وفی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روایات، وفی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واحدة، فالمجموع ثلاث وثلاثون روایة،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بن مسلم، وأمّا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ففی الکافی روی عنه أکثر من عشرین روایة، وقد جزم فی المعجم</w:t>
      </w:r>
      <w:r>
        <w:rPr>
          <w:rFonts w:eastAsia="IRNazanin" w:cs="IRNazanin"/>
          <w:color w:val="111111"/>
          <w:sz w:val="28"/>
          <w:szCs w:val="28"/>
          <w:rtl w:val="true"/>
          <w:lang w:bidi="fa-IR"/>
        </w:rPr>
        <w:t>(</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تم ذلک کان المجموع خمسین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مضی أنّ إکثار الکلینی طریق 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قال السید الرجائی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السند سعدان بن مسلم، وهو غیر موثق فی کتب الرجال، بل عن موضع من الوجیزة أنه ضعیف</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ثبت ذلک تعارض الجرح والتوثیق</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أجده فیها، والمذکور فیها برقم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مجهول</w:t>
      </w:r>
      <w:r>
        <w:rPr>
          <w:rFonts w:eastAsia="IRNazanin" w:cs="IRNazanin"/>
          <w:color w:val="111111"/>
          <w:sz w:val="28"/>
          <w:szCs w:val="28"/>
          <w:rtl w:val="true"/>
          <w:lang w:bidi="fa-IR"/>
        </w:rPr>
        <w:t>(</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w:t>
      </w:r>
      <w:bookmarkStart w:id="445" w:name="pg6289_41969"/>
    </w:p>
    <w:p>
      <w:pPr>
        <w:pStyle w:val="BookText"/>
        <w:rPr/>
      </w:pPr>
      <w:bookmarkEnd w:id="445"/>
      <w:r>
        <w:rPr>
          <w:rFonts w:ascii="IRNazanin" w:hAnsi="IRNazanin" w:eastAsia="IRNazanin"/>
          <w:color w:val="111111"/>
          <w:sz w:val="28"/>
          <w:sz w:val="28"/>
          <w:szCs w:val="28"/>
          <w:rtl w:val="true"/>
          <w:lang w:bidi="fa-IR"/>
        </w:rPr>
        <w:t>التعلیق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وحکم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بحسنه عند ذکر طریق الصدوق إلیه بعد القول بجهالته عند المشهور</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أدلة التوثیق أقوی من تضعیف المجلسی لو ثبت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القرائن تدل علی الوثاقة علی العموم، وتضعیف المجلسی خاص، فیتقدم الخاص علی العام، ویکون استثناءً من التوثیق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إکثار الکلینی دلیل علی توثیقه علی المبنی، وهو متقدم ومعاصر، فیحصل التعارض بینهما، ویتقدم الأقوی</w:t>
      </w:r>
      <w:r>
        <w:rPr>
          <w:rFonts w:eastAsia="IRNazanin" w:cs="IRNazanin"/>
          <w:color w:val="111111"/>
          <w:sz w:val="28"/>
          <w:szCs w:val="28"/>
          <w:rtl w:val="true"/>
          <w:lang w:bidi="fa-IR"/>
        </w:rPr>
        <w:t>.</w:t>
      </w:r>
    </w:p>
    <w:p>
      <w:pPr>
        <w:pStyle w:val="Heading6"/>
        <w:numPr>
          <w:ilvl w:val="5"/>
          <w:numId w:val="1"/>
        </w:numPr>
        <w:rPr/>
      </w:pPr>
      <w:bookmarkStart w:id="446" w:name="__RefHeading___Toc2133548_237004111"/>
      <w:bookmarkStart w:id="447" w:name="_Toc174"/>
      <w:bookmarkEnd w:id="446"/>
      <w:r>
        <w:rPr>
          <w:rtl w:val="true"/>
        </w:rPr>
        <w:t>الإشکال الثانی</w:t>
      </w:r>
      <w:r>
        <w:rPr>
          <w:rtl w:val="true"/>
        </w:rPr>
        <w:t xml:space="preserve">: </w:t>
      </w:r>
      <w:r>
        <w:rPr>
          <w:rtl w:val="true"/>
        </w:rPr>
        <w:t>الدلیل مختص بالید فلا یشمل الوجه</w:t>
      </w:r>
      <w:bookmarkEnd w:id="447"/>
    </w:p>
    <w:p>
      <w:pPr>
        <w:pStyle w:val="BookText"/>
        <w:rPr/>
      </w:pPr>
      <w:r>
        <w:rPr>
          <w:rFonts w:ascii="IRNazanin" w:hAnsi="IRNazanin" w:eastAsia="IRNazanin"/>
          <w:color w:val="111111"/>
          <w:sz w:val="28"/>
          <w:sz w:val="28"/>
          <w:szCs w:val="28"/>
          <w:rtl w:val="true"/>
          <w:lang w:bidi="fa-IR"/>
        </w:rPr>
        <w:t>ما ذکره السید الروحانی،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مختص بالید، ولا یکون متعرضاً للوجه</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یجاب بعدم القول بالفصل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یجاب أیضاً بالأولویة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تأمل؛ لعدم معرفتنا بالملاکات، بل الأولویة معکوسة؛ لأنّ الوجه أکثر فتنة من الکفین</w:t>
      </w:r>
      <w:r>
        <w:rPr>
          <w:rFonts w:eastAsia="IRNazanin" w:cs="IRNazanin"/>
          <w:color w:val="111111"/>
          <w:sz w:val="28"/>
          <w:szCs w:val="28"/>
          <w:rtl w:val="true"/>
          <w:lang w:bidi="fa-IR"/>
        </w:rPr>
        <w:t>.</w:t>
      </w:r>
    </w:p>
    <w:p>
      <w:pPr>
        <w:pStyle w:val="Heading6"/>
        <w:numPr>
          <w:ilvl w:val="5"/>
          <w:numId w:val="1"/>
        </w:numPr>
        <w:rPr/>
      </w:pPr>
      <w:bookmarkStart w:id="448" w:name="__RefHeading___Toc2133550_237004111"/>
      <w:bookmarkStart w:id="449" w:name="_Toc175"/>
      <w:bookmarkEnd w:id="448"/>
      <w:r>
        <w:rPr>
          <w:rtl w:val="true"/>
        </w:rPr>
        <w:t>الإشکال الثالث</w:t>
      </w:r>
      <w:r>
        <w:rPr>
          <w:rtl w:val="true"/>
        </w:rPr>
        <w:t xml:space="preserve">: </w:t>
      </w:r>
      <w:r>
        <w:rPr>
          <w:rtl w:val="true"/>
        </w:rPr>
        <w:t>إنه مخالف للإجماع</w:t>
      </w:r>
      <w:bookmarkEnd w:id="44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السید الروحانی أیضاً،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لو دل علی الجواز لدل علی جواز النظر إلی موضع السوار، وهو ما فوق الکف، وهو لا یجوز بالإجماع</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bookmarkStart w:id="450" w:name="pg6289_41970"/>
    </w:p>
    <w:p>
      <w:pPr>
        <w:pStyle w:val="BookText"/>
        <w:rPr/>
      </w:pPr>
      <w:bookmarkEnd w:id="450"/>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یخصص بالأدلة الخارجیة بما کان فی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السوار فی الکف لا فوقه، فإن الکف إلی الزندین، وقد دلت الروایة علی جواز النظر إلی السوار، فتدل علی جواز النظر إلی الکف بالملازمة العرفیة، وأمّا ما فوق الکف فهو خارج بالأدلة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سقوط بعض الروایة لا یوجب الوهن فی باقیها، فالمسکة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ساقطة بالدلیل الخارجی، فیبقی الخاتم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النراقی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واشتمال بعض تلک علی ما لا یجوز النظر إلیه إجماعاً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کالقدمین وموضع السوار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قادح؛ إذ خروج بعض خبر بدلیل لا یوهن فی غیره</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وتفصیل الکلام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الدلیل الرابع</w:t>
      </w:r>
      <w:r>
        <w:rPr>
          <w:rFonts w:eastAsia="IRNazanin" w:cs="IRNazanin"/>
          <w:color w:val="111111"/>
          <w:sz w:val="28"/>
          <w:szCs w:val="28"/>
          <w:rtl w:val="true"/>
          <w:lang w:bidi="fa-IR"/>
        </w:rPr>
        <w:t>.</w:t>
      </w:r>
    </w:p>
    <w:p>
      <w:pPr>
        <w:pStyle w:val="Heading6"/>
        <w:numPr>
          <w:ilvl w:val="5"/>
          <w:numId w:val="1"/>
        </w:numPr>
        <w:rPr/>
      </w:pPr>
      <w:bookmarkStart w:id="451" w:name="__RefHeading___Toc2133552_237004111"/>
      <w:bookmarkStart w:id="452" w:name="_Toc176"/>
      <w:bookmarkEnd w:id="451"/>
      <w:r>
        <w:rPr>
          <w:rtl w:val="true"/>
        </w:rPr>
        <w:t>الدلیل الخامس</w:t>
      </w:r>
      <w:r>
        <w:rPr>
          <w:rtl w:val="true"/>
        </w:rPr>
        <w:t xml:space="preserve">: </w:t>
      </w:r>
      <w:r>
        <w:rPr>
          <w:rtl w:val="true"/>
        </w:rPr>
        <w:t>روایة مروک بن عبید</w:t>
      </w:r>
      <w:bookmarkEnd w:id="452"/>
    </w:p>
    <w:p>
      <w:pPr>
        <w:pStyle w:val="Heading6"/>
        <w:numPr>
          <w:ilvl w:val="5"/>
          <w:numId w:val="1"/>
        </w:numPr>
        <w:rPr/>
      </w:pPr>
      <w:bookmarkStart w:id="453" w:name="__RefHeading___Toc2133554_237004111"/>
      <w:bookmarkStart w:id="454" w:name="_Toc177"/>
      <w:bookmarkEnd w:id="453"/>
      <w:r>
        <w:rPr>
          <w:rtl w:val="true"/>
        </w:rPr>
        <w:t>اشارة</w:t>
      </w:r>
      <w:bookmarkEnd w:id="454"/>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مروک بن عبید، عن بعض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یحل للرجل أن یری من المرأة إذا لم یکن محرماً؟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والکفان والقدمان</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5" w:name="__RefHeading___Toc2133556_237004111"/>
      <w:bookmarkStart w:id="456" w:name="_Toc178"/>
      <w:bookmarkEnd w:id="455"/>
      <w:r>
        <w:rPr>
          <w:rtl w:val="true"/>
        </w:rPr>
        <w:t>الإشکالات علی الدلیل الخامس</w:t>
      </w:r>
      <w:bookmarkEnd w:id="456"/>
    </w:p>
    <w:p>
      <w:pPr>
        <w:pStyle w:val="Heading6"/>
        <w:numPr>
          <w:ilvl w:val="5"/>
          <w:numId w:val="1"/>
        </w:numPr>
        <w:rPr/>
      </w:pPr>
      <w:bookmarkStart w:id="457" w:name="__RefHeading___Toc2133558_237004111"/>
      <w:bookmarkStart w:id="458" w:name="_Toc179"/>
      <w:bookmarkEnd w:id="457"/>
      <w:r>
        <w:rPr>
          <w:rtl w:val="true"/>
        </w:rPr>
        <w:t>اشارة</w:t>
      </w:r>
      <w:bookmarkEnd w:id="45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bookmarkStart w:id="459" w:name="pg6289_41971"/>
    </w:p>
    <w:p>
      <w:pPr>
        <w:pStyle w:val="Heading6"/>
        <w:numPr>
          <w:ilvl w:val="5"/>
          <w:numId w:val="1"/>
        </w:numPr>
        <w:rPr/>
      </w:pPr>
      <w:bookmarkStart w:id="460" w:name="__RefHeading___Toc2133560_237004111"/>
      <w:bookmarkStart w:id="461" w:name="_Toc180"/>
      <w:bookmarkEnd w:id="459"/>
      <w:bookmarkEnd w:id="460"/>
      <w:r>
        <w:rPr>
          <w:rtl w:val="true"/>
        </w:rPr>
        <w:t>الإشکال الأول</w:t>
      </w:r>
      <w:r>
        <w:rPr>
          <w:rtl w:val="true"/>
        </w:rPr>
        <w:t xml:space="preserve">: </w:t>
      </w:r>
      <w:r>
        <w:rPr>
          <w:rtl w:val="true"/>
        </w:rPr>
        <w:t>الروایة مرسلة</w:t>
      </w:r>
      <w:bookmarkEnd w:id="461"/>
    </w:p>
    <w:p>
      <w:pPr>
        <w:pStyle w:val="BookText"/>
        <w:rPr/>
      </w:pPr>
      <w:r>
        <w:rPr>
          <w:rFonts w:ascii="IRNazanin" w:hAnsi="IRNazanin" w:eastAsia="IRNazanin"/>
          <w:color w:val="111111"/>
          <w:sz w:val="28"/>
          <w:sz w:val="28"/>
          <w:szCs w:val="28"/>
          <w:rtl w:val="true"/>
          <w:lang w:bidi="fa-IR"/>
        </w:rPr>
        <w:t>إنّ الروایة مرسلة وإن کانت فی الکافی،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فی الکافی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قال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إرساله ربما لا یهم؛ لأنّ فی سنده أحمد بن محمد بن عیسی، الذی أخرج البرقی من قم؛ لأنه یعتمد الضعفاء ویروی المراسیل</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 لأنه یحتمل کون العلة الإکثار من ذلک، ولعل ذلک إشارة إلی قسم خاص من المراسیل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ینقل الشخص روایة مرسلة واحدة، لکن لا یکثر النقل ولا یکون دأبه ذلک، کما هو الحال بالنسبة إلی بعض من یطمئن بسرعة فینقل بکثرة، ولعل البرقی کان کذلک فلذا اُخرج، و یؤیده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یدل علی التجدد والاستمرار، فلا یمنع ذلک من نقل مرسلة واحدة؛ لقوة مضمونها، أو لعدم مخالفتها لشیء، وهذا خلاف مَن دأبه کذلک، فالقدح کثرة الروایة لا الروایة مرة واحدة</w:t>
      </w:r>
      <w:r>
        <w:rPr>
          <w:rFonts w:eastAsia="IRNazanin" w:cs="IRNazanin"/>
          <w:color w:val="111111"/>
          <w:sz w:val="28"/>
          <w:szCs w:val="28"/>
          <w:rtl w:val="true"/>
          <w:lang w:bidi="fa-IR"/>
        </w:rPr>
        <w:t>.</w:t>
      </w:r>
    </w:p>
    <w:p>
      <w:pPr>
        <w:pStyle w:val="Heading6"/>
        <w:numPr>
          <w:ilvl w:val="5"/>
          <w:numId w:val="1"/>
        </w:numPr>
        <w:rPr/>
      </w:pPr>
      <w:bookmarkStart w:id="462" w:name="__RefHeading___Toc2133562_237004111"/>
      <w:bookmarkStart w:id="463" w:name="_Toc181"/>
      <w:bookmarkEnd w:id="462"/>
      <w:r>
        <w:rPr>
          <w:rtl w:val="true"/>
        </w:rPr>
        <w:t>الإشکال الثانی</w:t>
      </w:r>
      <w:r>
        <w:rPr>
          <w:rtl w:val="true"/>
        </w:rPr>
        <w:t xml:space="preserve">: </w:t>
      </w:r>
      <w:r>
        <w:rPr>
          <w:rtl w:val="true"/>
        </w:rPr>
        <w:t>اشتمال الروایة علی جواز النظر إلی القدمین</w:t>
      </w:r>
      <w:bookmarkEnd w:id="463"/>
    </w:p>
    <w:p>
      <w:pPr>
        <w:pStyle w:val="BookText"/>
        <w:rPr/>
      </w:pPr>
      <w:r>
        <w:rPr>
          <w:rFonts w:ascii="IRNazanin" w:hAnsi="IRNazanin" w:eastAsia="IRNazanin"/>
          <w:color w:val="111111"/>
          <w:sz w:val="28"/>
          <w:sz w:val="28"/>
          <w:szCs w:val="28"/>
          <w:rtl w:val="true"/>
          <w:lang w:bidi="fa-IR"/>
        </w:rPr>
        <w:t>ما ذکره السید الروحانی،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مشتمل علی جواز النظر إلی القدمین ولا قائل به</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ما تقدم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ولکن قال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تضمنت زیادة القدمین، مع أن ظاهر </w:t>
      </w:r>
      <w:bookmarkStart w:id="464" w:name="pg6289_41972"/>
    </w:p>
    <w:p>
      <w:pPr>
        <w:pStyle w:val="BookText"/>
        <w:rPr/>
      </w:pPr>
      <w:bookmarkEnd w:id="464"/>
      <w:r>
        <w:rPr>
          <w:rFonts w:ascii="IRNazanin" w:hAnsi="IRNazanin" w:eastAsia="IRNazanin"/>
          <w:color w:val="111111"/>
          <w:sz w:val="28"/>
          <w:sz w:val="28"/>
          <w:szCs w:val="28"/>
          <w:rtl w:val="true"/>
          <w:lang w:bidi="fa-IR"/>
        </w:rPr>
        <w:t>کلامهم تخصیص الاستثناء بالوجه والکفین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کما تری صریحة فی استثنائه أیضاً، ویؤیده ما صرحوا به فی کتاب الصلاة، حیث إنّ المشهور بینهم أن بدن المرأة کله عورة، ما خلا الوجه والکفین والقدمین فلم یوجبوا ستره فی الصلاة، وهو أظهر ظاهر فی تجویزهم النظر إلی هذه الثلاثة المذکورة</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 إذ الستر الصلاتی غیر الستر الواجب فی حد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رأیت من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الوالد، حیث جوز عدم ستر القدمین</w:t>
      </w:r>
      <w:r>
        <w:rPr>
          <w:rFonts w:eastAsia="IRNazanin" w:cs="IRNazanin"/>
          <w:color w:val="111111"/>
          <w:sz w:val="28"/>
          <w:szCs w:val="28"/>
          <w:rtl w:val="true"/>
          <w:lang w:bidi="fa-IR"/>
        </w:rPr>
        <w:t>(</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اعتمد الکلینی علی الروایة، ومال إلیه صاحب الحدائق، ومقتضی الاعتبار أیضاً ذلک؛ لأن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الفلاحات والقرویات وما أشبه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یلبسن الجورب، وقد بحثت شخصیاً قبل سنوات حینما کنت فی الحج فلم أرَ أصحاب المحلات والأسواق مَن یعرف الجورب، مما یدل علی ذلک، لکن الأمر مشکل وبحاجة إلی بحث مفصل</w:t>
      </w:r>
      <w:r>
        <w:rPr>
          <w:rFonts w:eastAsia="IRNazanin" w:cs="IRNazanin"/>
          <w:color w:val="111111"/>
          <w:sz w:val="28"/>
          <w:szCs w:val="28"/>
          <w:rtl w:val="true"/>
          <w:lang w:bidi="fa-IR"/>
        </w:rPr>
        <w:t>.</w:t>
      </w:r>
    </w:p>
    <w:p>
      <w:pPr>
        <w:pStyle w:val="Heading6"/>
        <w:numPr>
          <w:ilvl w:val="5"/>
          <w:numId w:val="1"/>
        </w:numPr>
        <w:rPr/>
      </w:pPr>
      <w:bookmarkStart w:id="465" w:name="__RefHeading___Toc2133564_237004111"/>
      <w:bookmarkStart w:id="466" w:name="_Toc182"/>
      <w:bookmarkEnd w:id="465"/>
      <w:r>
        <w:rPr>
          <w:rtl w:val="true"/>
        </w:rPr>
        <w:t>الإشکال الثالث</w:t>
      </w:r>
      <w:r>
        <w:rPr>
          <w:rtl w:val="true"/>
        </w:rPr>
        <w:t xml:space="preserve">: </w:t>
      </w:r>
      <w:r>
        <w:rPr>
          <w:rtl w:val="true"/>
        </w:rPr>
        <w:t>الروایة محتملة للنظر الاتفاقی</w:t>
      </w:r>
      <w:bookmarkEnd w:id="46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فی الجواهر فی بعض أخبار الباب، من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محتمل لإرادة النظر الاتفاقی الذی یکون مقدماته اختیاریة، علی معنی أنه لا یجب علی الرجل الغض باحتمال وقوع نظره علی وجه أجنبیة وکفیها أو مظنته للعسر والحرج وإن وجب علیه ذلک بالنسبة إلی باقی بدنها</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467" w:name="pg6289_41973"/>
    </w:p>
    <w:p>
      <w:pPr>
        <w:pStyle w:val="BookText"/>
        <w:rPr/>
      </w:pPr>
      <w:bookmarkEnd w:id="467"/>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احتمل الرجل وقوع نظره علی وجه المرأة وکفیها جاز له النظر، بخلاف غیرهما کالذراع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تفسیر جواز الرؤیة بعدم وجوب التحفظ خلاف الظاهر</w:t>
      </w:r>
      <w:r>
        <w:rPr>
          <w:rFonts w:eastAsia="IRNazanin" w:cs="IRNazanin"/>
          <w:color w:val="111111"/>
          <w:sz w:val="28"/>
          <w:szCs w:val="28"/>
          <w:rtl w:val="true"/>
          <w:lang w:bidi="fa-IR"/>
        </w:rPr>
        <w:t>.</w:t>
      </w:r>
    </w:p>
    <w:p>
      <w:pPr>
        <w:pStyle w:val="Heading6"/>
        <w:numPr>
          <w:ilvl w:val="5"/>
          <w:numId w:val="1"/>
        </w:numPr>
        <w:rPr/>
      </w:pPr>
      <w:bookmarkStart w:id="468" w:name="__RefHeading___Toc2133566_237004111"/>
      <w:bookmarkStart w:id="469" w:name="_Toc183"/>
      <w:bookmarkEnd w:id="468"/>
      <w:r>
        <w:rPr>
          <w:rtl w:val="true"/>
        </w:rPr>
        <w:t>الإشکال الرابع</w:t>
      </w:r>
      <w:r>
        <w:rPr>
          <w:rtl w:val="true"/>
        </w:rPr>
        <w:t xml:space="preserve">: </w:t>
      </w:r>
      <w:r>
        <w:rPr>
          <w:rtl w:val="true"/>
        </w:rPr>
        <w:t>الروایة لبیان الحلیة فی الجملة</w:t>
      </w:r>
      <w:bookmarkEnd w:id="469"/>
    </w:p>
    <w:p>
      <w:pPr>
        <w:pStyle w:val="BookText"/>
        <w:rPr/>
      </w:pPr>
      <w:r>
        <w:rPr>
          <w:rFonts w:ascii="IRNazanin" w:hAnsi="IRNazanin" w:eastAsia="IRNazanin"/>
          <w:color w:val="111111"/>
          <w:sz w:val="28"/>
          <w:sz w:val="28"/>
          <w:szCs w:val="28"/>
          <w:rtl w:val="true"/>
          <w:lang w:bidi="fa-IR"/>
        </w:rPr>
        <w:t>ما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یحتمل أیضاً إرادة بیان حلیة ذلک فی الجملة، ولو للقواعد من النساء، أو لغیر أولی الإربة من الرجال ولغیر ذلک</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تقیید للمطلق بدون دلیل ظاهر</w:t>
      </w:r>
      <w:r>
        <w:rPr>
          <w:rFonts w:eastAsia="IRNazanin" w:cs="IRNazanin"/>
          <w:color w:val="111111"/>
          <w:sz w:val="28"/>
          <w:szCs w:val="28"/>
          <w:rtl w:val="true"/>
          <w:lang w:bidi="fa-IR"/>
        </w:rPr>
        <w:t>.</w:t>
      </w:r>
    </w:p>
    <w:p>
      <w:pPr>
        <w:pStyle w:val="Heading6"/>
        <w:numPr>
          <w:ilvl w:val="5"/>
          <w:numId w:val="1"/>
        </w:numPr>
        <w:rPr/>
      </w:pPr>
      <w:bookmarkStart w:id="470" w:name="__RefHeading___Toc2133568_237004111"/>
      <w:bookmarkStart w:id="471" w:name="_Toc184"/>
      <w:bookmarkEnd w:id="470"/>
      <w:r>
        <w:rPr>
          <w:rtl w:val="true"/>
        </w:rPr>
        <w:t>الدلیل السادس</w:t>
      </w:r>
      <w:r>
        <w:rPr>
          <w:rtl w:val="true"/>
        </w:rPr>
        <w:t xml:space="preserve">: </w:t>
      </w:r>
      <w:r>
        <w:rPr>
          <w:rtl w:val="true"/>
        </w:rPr>
        <w:t>روایة مسعدة بن زیاد</w:t>
      </w:r>
      <w:bookmarkEnd w:id="471"/>
    </w:p>
    <w:p>
      <w:pPr>
        <w:pStyle w:val="Heading6"/>
        <w:numPr>
          <w:ilvl w:val="5"/>
          <w:numId w:val="1"/>
        </w:numPr>
        <w:rPr/>
      </w:pPr>
      <w:bookmarkStart w:id="472" w:name="__RefHeading___Toc2133570_237004111"/>
      <w:bookmarkStart w:id="473" w:name="_Toc185"/>
      <w:bookmarkEnd w:id="472"/>
      <w:r>
        <w:rPr>
          <w:rtl w:val="true"/>
        </w:rPr>
        <w:t>اشارة</w:t>
      </w:r>
      <w:bookmarkEnd w:id="473"/>
    </w:p>
    <w:p>
      <w:pPr>
        <w:pStyle w:val="BookText"/>
        <w:rPr/>
      </w:pPr>
      <w:r>
        <w:rPr>
          <w:rFonts w:ascii="IRNazanin" w:hAnsi="IRNazanin" w:eastAsia="IRNazanin"/>
          <w:color w:val="111111"/>
          <w:sz w:val="28"/>
          <w:sz w:val="28"/>
          <w:szCs w:val="28"/>
          <w:rtl w:val="true"/>
          <w:lang w:bidi="fa-IR"/>
        </w:rPr>
        <w:t>وهی کما ینقلها الشیخ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فی قرب الإسناد، عن هارون بن مسلم، عن مسعدة بن زیاد،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جعفراً وسئل عما تظهر المرأة من زینتها،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والکفین</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وعبر عنها بالصحیحة کل من صاحب الجواهر والسید الوالد والسید السبزواری والسید الروحانی</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عبر عنها السید الخوئی بالموثقة</w:t>
      </w:r>
      <w:r>
        <w:rPr>
          <w:rFonts w:eastAsia="IRNazanin" w:cs="IRNazanin"/>
          <w:color w:val="111111"/>
          <w:sz w:val="28"/>
          <w:szCs w:val="28"/>
          <w:rtl w:val="true"/>
          <w:lang w:bidi="fa-IR"/>
        </w:rPr>
        <w:t>(</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یظهر له وجه</w:t>
      </w:r>
      <w:r>
        <w:rPr>
          <w:rFonts w:eastAsia="IRNazanin" w:cs="IRNazanin"/>
          <w:color w:val="111111"/>
          <w:sz w:val="28"/>
          <w:szCs w:val="28"/>
          <w:rtl w:val="true"/>
          <w:lang w:bidi="fa-IR"/>
        </w:rPr>
        <w:t>.</w:t>
      </w:r>
    </w:p>
    <w:p>
      <w:pPr>
        <w:pStyle w:val="Heading6"/>
        <w:numPr>
          <w:ilvl w:val="5"/>
          <w:numId w:val="1"/>
        </w:numPr>
        <w:rPr/>
      </w:pPr>
      <w:bookmarkStart w:id="474" w:name="__RefHeading___Toc2133572_237004111"/>
      <w:bookmarkStart w:id="475" w:name="_Toc186"/>
      <w:bookmarkEnd w:id="474"/>
      <w:r>
        <w:rPr>
          <w:rtl w:val="true"/>
        </w:rPr>
        <w:t>الإشکالات علی الدلیل السادس</w:t>
      </w:r>
      <w:bookmarkEnd w:id="475"/>
    </w:p>
    <w:p>
      <w:pPr>
        <w:pStyle w:val="Heading6"/>
        <w:numPr>
          <w:ilvl w:val="5"/>
          <w:numId w:val="1"/>
        </w:numPr>
        <w:rPr/>
      </w:pPr>
      <w:bookmarkStart w:id="476" w:name="__RefHeading___Toc2133574_237004111"/>
      <w:bookmarkStart w:id="477" w:name="_Toc187"/>
      <w:bookmarkEnd w:id="476"/>
      <w:r>
        <w:rPr>
          <w:rtl w:val="true"/>
        </w:rPr>
        <w:t>اشارة</w:t>
      </w:r>
      <w:bookmarkEnd w:id="47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ویرد علی الاستدلال بهذه الروایة إشکالات، مضافاً إلی بعض </w:t>
      </w:r>
      <w:bookmarkStart w:id="478" w:name="pg6289_41974"/>
    </w:p>
    <w:p>
      <w:pPr>
        <w:pStyle w:val="BookText"/>
        <w:rPr/>
      </w:pPr>
      <w:bookmarkEnd w:id="478"/>
      <w:r>
        <w:rPr>
          <w:rFonts w:ascii="IRNazanin" w:hAnsi="IRNazanin" w:eastAsia="IRNazanin"/>
          <w:color w:val="111111"/>
          <w:sz w:val="28"/>
          <w:sz w:val="28"/>
          <w:szCs w:val="28"/>
          <w:rtl w:val="true"/>
          <w:lang w:bidi="fa-IR"/>
        </w:rPr>
        <w:t>الإشکالات المتقدمة، کإشکال الملازمة</w:t>
      </w:r>
      <w:r>
        <w:rPr>
          <w:rFonts w:eastAsia="IRNazanin" w:cs="IRNazanin"/>
          <w:color w:val="111111"/>
          <w:sz w:val="28"/>
          <w:szCs w:val="28"/>
          <w:rtl w:val="true"/>
          <w:lang w:bidi="fa-IR"/>
        </w:rPr>
        <w:t>:</w:t>
      </w:r>
    </w:p>
    <w:p>
      <w:pPr>
        <w:pStyle w:val="Heading6"/>
        <w:numPr>
          <w:ilvl w:val="5"/>
          <w:numId w:val="1"/>
        </w:numPr>
        <w:rPr/>
      </w:pPr>
      <w:bookmarkStart w:id="479" w:name="__RefHeading___Toc2133576_237004111"/>
      <w:bookmarkStart w:id="480" w:name="_Toc188"/>
      <w:bookmarkEnd w:id="479"/>
      <w:r>
        <w:rPr>
          <w:rtl w:val="true"/>
        </w:rPr>
        <w:t>الإشکال الأول</w:t>
      </w:r>
      <w:r>
        <w:rPr>
          <w:rtl w:val="true"/>
        </w:rPr>
        <w:t xml:space="preserve">: </w:t>
      </w:r>
      <w:r>
        <w:rPr>
          <w:rtl w:val="true"/>
        </w:rPr>
        <w:t>الإشکال السندی</w:t>
      </w:r>
      <w:bookmarkEnd w:id="480"/>
    </w:p>
    <w:p>
      <w:pPr>
        <w:pStyle w:val="BookText"/>
        <w:rPr/>
      </w:pPr>
      <w:r>
        <w:rPr>
          <w:rFonts w:ascii="IRNazanin" w:hAnsi="IRNazanin" w:eastAsia="IRNazanin"/>
          <w:color w:val="111111"/>
          <w:sz w:val="28"/>
          <w:sz w:val="28"/>
          <w:szCs w:val="28"/>
          <w:rtl w:val="true"/>
          <w:lang w:bidi="fa-IR"/>
        </w:rPr>
        <w:t>وهو إشکال مهم؛ لأنه یسقط مئات الروایات عن الحجیة والاعتبار، وقد ذکره السید الرجائی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یثبت أنّ قرب الإسناد الموجود هو قرب الإسناد الذی للحمیری، فإنه قد عد من کتبه قرب الإسناد، لکن لا طریق لنا إلی أنّ هذا الموجود هو ذاک، وأمّا دعوی أنّ لصاحب الوسائل طریقاً إلی الکتاب ففیها أنّ الذی یظهر منه فی فوائد الوسائل أنه ثبت عنده أنّ الکتب التی روی عنها هی لأربابها بالقرائن، فالکتاب المذکور عنده کالمعلوم کونه للحمیری، ولم یصل إلیه الکتاب بالمناولة إلی أن ینتهی إلی الحمیری</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 إذ إخبار الثقة یحمل علی الحس عند الدوران بینه وبین الحدس، وبمثل هذا الجواب یجاب عن إشکال احتمال الحدس فی توثیقات الرجالیین لمَن لم یعاصروهم، کما أنّ به یجاب عن إشکال احتمال الحدس فی شهادة البینة والعدل والثقة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الحس قائم بأن وصل إلیه الکتاب یداً بید، أو مناولة من شیخ إلی شیخ، أو قراءة علی شیخ، أو سماعاً من شیخ، أو کون القرائن القائمة حسیة أو قریبة من الحس</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قال صاحب 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بیان بعض الطرق التی نروی بها الکتب المذکورة عن مؤلفیها</w:t>
      </w:r>
      <w:r>
        <w:rPr>
          <w:rFonts w:eastAsia="IRNazanin" w:cs="IRNazanin"/>
          <w:color w:val="111111"/>
          <w:sz w:val="28"/>
          <w:szCs w:val="28"/>
          <w:rtl w:val="true"/>
          <w:lang w:bidi="fa-IR"/>
        </w:rPr>
        <w:t>(</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ذکرنا ذلک تیمناً وتبرکاً، باتصال السلسلة </w:t>
      </w:r>
      <w:bookmarkStart w:id="481" w:name="pg6289_41975"/>
    </w:p>
    <w:p>
      <w:pPr>
        <w:pStyle w:val="BookText"/>
        <w:rPr/>
      </w:pPr>
      <w:bookmarkEnd w:id="481"/>
      <w:r>
        <w:rPr>
          <w:rFonts w:ascii="IRNazanin" w:hAnsi="IRNazanin" w:eastAsia="IRNazanin"/>
          <w:color w:val="111111"/>
          <w:sz w:val="28"/>
          <w:sz w:val="28"/>
          <w:szCs w:val="28"/>
          <w:rtl w:val="true"/>
          <w:lang w:bidi="fa-IR"/>
        </w:rPr>
        <w:t xml:space="preserve">بأصحاب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لتوقف العمل علیه؛ لتواتر تلک الکتب وقیام القرائن علی صحتها وثبوتها، کما یأتی إن شاء الله تعالی</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ذکر الکتب المعتمدة التی نقلت منها أحادیث هذا الکتاب، وشهد بصحتها مؤلفوها وغیرهم وقامت القرائن علی ثبوتها، وتواترت عن مؤلفیها، أو علمت صحة نسبتها إلیهم بحیث لم یبق فیها شک ولا ریب</w:t>
      </w:r>
      <w:r>
        <w:rPr>
          <w:rFonts w:eastAsia="IRNazanin" w:cs="IRNazanin"/>
          <w:color w:val="111111"/>
          <w:sz w:val="28"/>
          <w:szCs w:val="28"/>
          <w:rtl w:val="true"/>
          <w:lang w:bidi="fa-IR"/>
        </w:rPr>
        <w:t>»(</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وذکر کتاب قرب الإسناد تحت رقم </w:t>
      </w:r>
      <w:r>
        <w:rPr>
          <w:rFonts w:eastAsia="IRNazanin" w:cs="IRNazanin"/>
          <w:color w:val="111111"/>
          <w:sz w:val="28"/>
          <w:szCs w:val="28"/>
          <w:lang w:bidi="fa-IR"/>
        </w:rPr>
        <w:t>26</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حدس الخبیر إذا لم یثبت خطؤه حجة، کما هو الحال فی حدس المقومین،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والفقهاء عادة یعتمدون علی قرب الإسناد فی کتبهم الفقهیة، ومنها ما نقلناه عن الجواهر وشرح العروة والفقه والمهذب وفقه الصادق</w:t>
      </w:r>
      <w:r>
        <w:rPr>
          <w:rFonts w:eastAsia="IRNazanin" w:cs="IRNazanin"/>
          <w:color w:val="111111"/>
          <w:sz w:val="28"/>
          <w:szCs w:val="28"/>
          <w:rtl w:val="true"/>
          <w:lang w:bidi="fa-IR"/>
        </w:rPr>
        <w:t>.</w:t>
      </w:r>
    </w:p>
    <w:p>
      <w:pPr>
        <w:pStyle w:val="Heading6"/>
        <w:numPr>
          <w:ilvl w:val="5"/>
          <w:numId w:val="1"/>
        </w:numPr>
        <w:rPr/>
      </w:pPr>
      <w:bookmarkStart w:id="482" w:name="__RefHeading___Toc2133578_237004111"/>
      <w:bookmarkStart w:id="483" w:name="_Toc189"/>
      <w:bookmarkEnd w:id="482"/>
      <w:r>
        <w:rPr>
          <w:rtl w:val="true"/>
        </w:rPr>
        <w:t>الإشکال الثانی</w:t>
      </w:r>
      <w:r>
        <w:rPr>
          <w:rtl w:val="true"/>
        </w:rPr>
        <w:t xml:space="preserve">: </w:t>
      </w:r>
      <w:r>
        <w:rPr>
          <w:rtl w:val="true"/>
        </w:rPr>
        <w:t>الروایة مضطربة المتن</w:t>
      </w:r>
      <w:bookmarkEnd w:id="483"/>
    </w:p>
    <w:p>
      <w:pPr>
        <w:pStyle w:val="BookText"/>
        <w:rPr/>
      </w:pPr>
      <w:r>
        <w:rPr>
          <w:rFonts w:ascii="IRNazanin" w:hAnsi="IRNazanin" w:eastAsia="IRNazanin"/>
          <w:color w:val="111111"/>
          <w:sz w:val="28"/>
          <w:sz w:val="28"/>
          <w:szCs w:val="28"/>
          <w:rtl w:val="true"/>
          <w:lang w:bidi="fa-IR"/>
        </w:rPr>
        <w:t>وهو ما ذکره السید الرجائی أیضاً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الاضطراب فی متن الروایة</w:t>
      </w:r>
      <w:r>
        <w:rPr>
          <w:rFonts w:eastAsia="IRNazanin" w:cs="IRNazanin"/>
          <w:color w:val="111111"/>
          <w:sz w:val="28"/>
          <w:szCs w:val="28"/>
          <w:rtl w:val="true"/>
          <w:lang w:bidi="fa-IR"/>
        </w:rPr>
        <w:t>»(</w:t>
      </w:r>
      <w:r>
        <w:rPr>
          <w:rStyle w:val="FootnoteAnchor"/>
          <w:rtl w:val="true"/>
        </w:rPr>
        <w:footnoteReference w:id="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إشکال یسقط کل الروایات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وکتاب قرب الإسناد من الأصول المعتبرة المشهورة، وکتبناه من نسخة قدیمة مأخوذة من خط الشیخ محمد بن إدریس، وکان علیها صورة خطه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الذی نقلته منه کان فیه لحن صریح وکلام </w:t>
      </w:r>
    </w:p>
    <w:p>
      <w:pPr>
        <w:pStyle w:val="BookText"/>
        <w:rPr/>
      </w:pPr>
      <w:r>
        <w:rPr>
          <w:rFonts w:ascii="IRNazanin" w:hAnsi="IRNazanin" w:eastAsia="IRNazanin"/>
          <w:color w:val="111111"/>
          <w:sz w:val="28"/>
          <w:sz w:val="28"/>
          <w:szCs w:val="28"/>
          <w:rtl w:val="true"/>
          <w:lang w:bidi="fa-IR"/>
        </w:rPr>
        <w:t>مضطرب، فصورته علی ما وجدته خوفاً من التغییر والتبدیل، فالناظر فیه یمهد العذر فقد بینت عذری فیه</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یجاب عن هذا الإشکال بنظیر ما ذکره الشیخ الأعظم فی غیر المقام فی الجواب عن شبهة قادحیة التحریف علی القول به فی حجیة ظواهر الکتاب، حیث 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وقوع التحریف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من التمسک بالظواهر؛ لعدم العلم الإجمالی باختلال الظواهر بذلک، مع أنه لو علم لکان من قبیل الشبهة الغیر المحصورة</w:t>
      </w:r>
      <w:r>
        <w:rPr>
          <w:rFonts w:eastAsia="IRNazanin" w:cs="IRNazanin"/>
          <w:color w:val="111111"/>
          <w:sz w:val="28"/>
          <w:szCs w:val="28"/>
          <w:rtl w:val="true"/>
          <w:lang w:bidi="fa-IR"/>
        </w:rPr>
        <w:t>(</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لو کان من قبیل الشبهة المحصورة أمکن القول بعدم قدحه؛ لاحتمال کون الظاهر المصروف عن ظاهره من الظواهر الغیر المتعلقة</w:t>
      </w:r>
      <w:r>
        <w:rPr>
          <w:rFonts w:eastAsia="IRNazanin" w:cs="IRNazanin"/>
          <w:color w:val="111111"/>
          <w:sz w:val="28"/>
          <w:szCs w:val="28"/>
          <w:rtl w:val="true"/>
          <w:lang w:bidi="fa-IR"/>
        </w:rPr>
        <w:t>(</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بالأحکام الشرعیة العملیة</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 ثلاثة أجوبة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التحریف نوعان، فقد یخل بالظواهر وقد لا یخل، ولا علم بأن اللحن والتحریف الواقع هل أخل بها أم لا؟ والعلم الإجمالی أنما یکون مؤثراً إذا ترتب علیه الأثر علی کل تقدیر، أما إذا ترتب علیه الأثر علی تقدیر دون تقدیر فلا أثر له؛ لاحتمال کون التحریف من النوع الذی لا یوجب اختلال الظاهر به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حصول العلم بأنه من التحریفات المخلة بالظاهر، لکنه </w:t>
      </w:r>
    </w:p>
    <w:p>
      <w:pPr>
        <w:pStyle w:val="BookText"/>
        <w:rPr/>
      </w:pPr>
      <w:r>
        <w:rPr>
          <w:rFonts w:ascii="IRNazanin" w:hAnsi="IRNazanin" w:eastAsia="IRNazanin"/>
          <w:color w:val="111111"/>
          <w:sz w:val="28"/>
          <w:sz w:val="28"/>
          <w:szCs w:val="28"/>
          <w:rtl w:val="true"/>
          <w:lang w:bidi="fa-IR"/>
        </w:rPr>
        <w:t>شبهة غیر 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أنه شبهة محصورة احتمل أنه لیس فی آیات الأحکام، بل فی آیات العقائد مثلاً، أو قصص التاریخ أو ذم شخص، فلا یکون له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الأجوبة الثلاثة یمکن تطبیقها علی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فیما ذکره الشیخ من الأجوبة الثلاثة نظر؛ فلا ینفع لا فی ذلک المقام، ولا فی هذا المقام؛ إذ احتمال وقوع التحریف فی القرائن المتصلة فیما هو محل الابتلاء مع احتمال الکثرة یمنع عن انعقاد أصل الظهور عند العقلاء، فإنّ انعقاد الظهور موقوف علی ثبوت عدم وجود قرینة متصلة فیما هو محل الابتلاء، أو قلته بنحو لا یعتنی به العقلاء، ولم یثبت ذلک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التحریف ینفی الحجیة لا الظهور، کالروایة العامیة، حیث لا إشکال فی ظهورها، وإنما الإشکال فی 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التحریف الحاصل إما فی منفصل أو متصل، فمع احتمال وقوع التحریف فی القرائن المتصلة فیما هو محل الابتلاء لا ینعقد الظهور أصلاً؛ لأنّ انعقاد الظهور عند العقلاء موقوف علی ثبوت عدم وجود قرینة متصلة، ومع وجود هذا الاحتمال لم ینعقد الظهور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کان التحریف فیما هو محل الابتلاء قلیلاً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کواحد فی عشرة آلاف مما لا یعتنی به العقلاء</w:t>
      </w:r>
      <w:r>
        <w:rPr>
          <w:rFonts w:eastAsia="IRNazanin" w:cs="IRNazanin"/>
          <w:color w:val="111111"/>
          <w:sz w:val="28"/>
          <w:szCs w:val="28"/>
          <w:rtl w:val="true"/>
          <w:lang w:bidi="fa-IR"/>
        </w:rPr>
        <w:t>(</w:t>
      </w:r>
      <w:r>
        <w:rPr>
          <w:rStyle w:val="FootnoteAnchor"/>
          <w:rtl w:val="true"/>
        </w:rPr>
        <w:footnoteReference w:id="50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یضر، أما مع احتمال الکثیر فی </w:t>
      </w:r>
    </w:p>
    <w:p>
      <w:pPr>
        <w:pStyle w:val="BookText"/>
        <w:rPr/>
      </w:pPr>
      <w:r>
        <w:rPr>
          <w:rFonts w:ascii="IRNazanin" w:hAnsi="IRNazanin" w:eastAsia="IRNazanin"/>
          <w:color w:val="111111"/>
          <w:sz w:val="28"/>
          <w:sz w:val="28"/>
          <w:szCs w:val="28"/>
          <w:rtl w:val="true"/>
          <w:lang w:bidi="fa-IR"/>
        </w:rPr>
        <w:t>الکثیر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لم یعلم حدود الاضطراب وکمیة الروایات المضطربة، وهل هی فی روایات الأحکام أو الأدعیة أو فی مقدمة الکتاب؛ لأنّ عبارة ابن إدریس مجملة، ومثله یسلب الحجیة عن الکتاب؟</w:t>
      </w:r>
    </w:p>
    <w:p>
      <w:pPr>
        <w:pStyle w:val="BookText"/>
        <w:rPr/>
      </w:pPr>
      <w:r>
        <w:rPr>
          <w:rFonts w:ascii="IRNazanin" w:hAnsi="IRNazanin" w:eastAsia="IRNazanin"/>
          <w:color w:val="111111"/>
          <w:sz w:val="28"/>
          <w:sz w:val="28"/>
          <w:szCs w:val="28"/>
          <w:rtl w:val="true"/>
          <w:lang w:bidi="fa-IR"/>
        </w:rPr>
        <w:t>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وقوع الاضطراب فی النسخة التی وصلت إلی المجلسی لا یلازم وقوع الاضطراب فی النسخة التی وصلت إلی صاحب الوسائل، فلصاحب الوسائل طریق لا یمر إلی المجلسی ولا إلی ابن إدریس، وقد ذکر طریقه فی خاتمة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تتمة تتعلّق بمعنی اللحن والاضطراب</w:t>
      </w:r>
    </w:p>
    <w:p>
      <w:pPr>
        <w:pStyle w:val="BookText"/>
        <w:rPr/>
      </w:pPr>
      <w:r>
        <w:rPr>
          <w:rFonts w:ascii="IRNazanin" w:hAnsi="IRNazanin" w:eastAsia="IRNazanin"/>
          <w:color w:val="111111"/>
          <w:sz w:val="28"/>
          <w:sz w:val="28"/>
          <w:szCs w:val="28"/>
          <w:rtl w:val="true"/>
          <w:lang w:bidi="fa-IR"/>
        </w:rPr>
        <w:t>فقد ورد فی تلک العبارة المذکورة فی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فیه لحن صریح وکلام مضطرب</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واللحن کما فی بعض المعاجم اللغویة بمعنی الخطأ فی الإعراب والبناء</w:t>
      </w:r>
      <w:r>
        <w:rPr>
          <w:rFonts w:eastAsia="IRNazanin" w:cs="IRNazanin"/>
          <w:color w:val="111111"/>
          <w:sz w:val="28"/>
          <w:szCs w:val="28"/>
          <w:rtl w:val="true"/>
          <w:lang w:bidi="fa-IR"/>
        </w:rPr>
        <w:t>(</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کرفع المنصوب مثلاً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الاضطراب، فقد فسر فی بعض الکتب الدرائیة باختلاف الراوی أو الرواة فی المتن أو الإسناد</w:t>
      </w:r>
      <w:r>
        <w:rPr>
          <w:rFonts w:eastAsia="IRNazanin" w:cs="IRNazanin"/>
          <w:color w:val="111111"/>
          <w:sz w:val="28"/>
          <w:szCs w:val="28"/>
          <w:rtl w:val="true"/>
          <w:lang w:bidi="fa-IR"/>
        </w:rPr>
        <w:t>(</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فیروی مرة بوجه وأخری علی وجه مخالف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فالاضطراب فی السند کأن یروی مرة عن الشخص بلا واسطة، وأخری مع الواسطة</w:t>
      </w:r>
      <w:r>
        <w:rPr>
          <w:rFonts w:eastAsia="IRNazanin" w:cs="IRNazanin"/>
          <w:color w:val="111111"/>
          <w:sz w:val="28"/>
          <w:szCs w:val="28"/>
          <w:rtl w:val="true"/>
          <w:lang w:bidi="fa-IR"/>
        </w:rPr>
        <w:t xml:space="preserve">. </w:t>
      </w:r>
      <w:bookmarkStart w:id="484" w:name="pg6289_41979"/>
    </w:p>
    <w:p>
      <w:pPr>
        <w:pStyle w:val="BookText"/>
        <w:rPr/>
      </w:pPr>
      <w:bookmarkEnd w:id="484"/>
      <w:r>
        <w:rPr>
          <w:rFonts w:ascii="IRNazanin" w:hAnsi="IRNazanin" w:eastAsia="IRNazanin"/>
          <w:color w:val="111111"/>
          <w:sz w:val="28"/>
          <w:sz w:val="28"/>
          <w:szCs w:val="28"/>
          <w:rtl w:val="true"/>
          <w:lang w:bidi="fa-IR"/>
        </w:rPr>
        <w:t>والاضطراب فی المتن کأن یروی تارة أنه یعتبر ما یخرج من الجانب الأیمن حیضاً عند الاشتباه بالقرحة، وأخری أنه یعتبر ما یخرج من الجانب الأیسر حیضاً، وحیث إنّ اللحن والاضطراب یمکن أن یؤدیا إلی اختلاف المعنی أو الحکم، فالاعتماد علی ما ثبت فیه الخطأ والاضطراب لا یخلو من إشکال</w:t>
      </w:r>
      <w:r>
        <w:rPr>
          <w:rFonts w:eastAsia="IRNazanin" w:cs="IRNazanin"/>
          <w:color w:val="111111"/>
          <w:sz w:val="28"/>
          <w:szCs w:val="28"/>
          <w:rtl w:val="true"/>
          <w:lang w:bidi="fa-IR"/>
        </w:rPr>
        <w:t>.</w:t>
      </w:r>
    </w:p>
    <w:p>
      <w:pPr>
        <w:pStyle w:val="Heading6"/>
        <w:numPr>
          <w:ilvl w:val="5"/>
          <w:numId w:val="1"/>
        </w:numPr>
        <w:rPr/>
      </w:pPr>
      <w:bookmarkStart w:id="485" w:name="__RefHeading___Toc2133580_237004111"/>
      <w:bookmarkStart w:id="486" w:name="_Toc190"/>
      <w:bookmarkEnd w:id="485"/>
      <w:r>
        <w:rPr>
          <w:rtl w:val="true"/>
        </w:rPr>
        <w:t>الإشکال الثالث</w:t>
      </w:r>
      <w:r>
        <w:rPr>
          <w:rtl w:val="true"/>
        </w:rPr>
        <w:t xml:space="preserve">: </w:t>
      </w:r>
      <w:r>
        <w:rPr>
          <w:rtl w:val="true"/>
        </w:rPr>
        <w:t>احتمال کون السؤال عما تظهره المرأة للمحارم</w:t>
      </w:r>
      <w:bookmarkEnd w:id="486"/>
    </w:p>
    <w:p>
      <w:pPr>
        <w:pStyle w:val="BookText"/>
        <w:rPr/>
      </w:pPr>
      <w:r>
        <w:rPr>
          <w:rFonts w:ascii="IRNazanin" w:hAnsi="IRNazanin" w:eastAsia="IRNazanin"/>
          <w:color w:val="111111"/>
          <w:sz w:val="28"/>
          <w:sz w:val="28"/>
          <w:szCs w:val="28"/>
          <w:rtl w:val="true"/>
          <w:lang w:bidi="fa-IR"/>
        </w:rPr>
        <w:t xml:space="preserve">ما ذکره أیضاً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السؤال عما تُظهره للمحارم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إنّ مسعدة یحکی سؤالاً سأله رجل الإمام، وهذا السؤال لو لم یکن ظاهراً فیما تُظهره المرأة من الزینة للمحارم فلا أقل من إجماله</w:t>
      </w:r>
      <w:r>
        <w:rPr>
          <w:rFonts w:eastAsia="IRNazanin" w:cs="IRNazanin"/>
          <w:color w:val="111111"/>
          <w:sz w:val="28"/>
          <w:szCs w:val="28"/>
          <w:rtl w:val="true"/>
          <w:lang w:bidi="fa-IR"/>
        </w:rPr>
        <w:t>»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حذف المتعلق یفید العموم، فلو أراد السؤال عما تظهره المرأة لمحارمها لقید ذلک، فعدم التقیید یدل علی أنّ الإظهار للکل</w:t>
      </w:r>
      <w:r>
        <w:rPr>
          <w:rFonts w:eastAsia="IRNazanin" w:cs="IRNazanin"/>
          <w:color w:val="111111"/>
          <w:sz w:val="28"/>
          <w:szCs w:val="28"/>
          <w:rtl w:val="true"/>
          <w:lang w:bidi="fa-IR"/>
        </w:rPr>
        <w:t>.</w:t>
      </w:r>
    </w:p>
    <w:p>
      <w:pPr>
        <w:pStyle w:val="Heading6"/>
        <w:numPr>
          <w:ilvl w:val="5"/>
          <w:numId w:val="1"/>
        </w:numPr>
        <w:rPr/>
      </w:pPr>
      <w:bookmarkStart w:id="487" w:name="__RefHeading___Toc2133582_237004111"/>
      <w:bookmarkStart w:id="488" w:name="_Toc191"/>
      <w:bookmarkEnd w:id="487"/>
      <w:r>
        <w:rPr>
          <w:rtl w:val="true"/>
        </w:rPr>
        <w:t>الإشکال الرابع</w:t>
      </w:r>
      <w:r>
        <w:rPr>
          <w:rtl w:val="true"/>
        </w:rPr>
        <w:t xml:space="preserve">: </w:t>
      </w:r>
      <w:r>
        <w:rPr>
          <w:rtl w:val="true"/>
        </w:rPr>
        <w:t>الروایة معارضة بغیرها</w:t>
      </w:r>
      <w:bookmarkEnd w:id="488"/>
    </w:p>
    <w:p>
      <w:pPr>
        <w:pStyle w:val="BookText"/>
        <w:rPr/>
      </w:pPr>
      <w:r>
        <w:rPr>
          <w:rFonts w:ascii="IRNazanin" w:hAnsi="IRNazanin" w:eastAsia="IRNazanin"/>
          <w:color w:val="111111"/>
          <w:sz w:val="28"/>
          <w:sz w:val="28"/>
          <w:szCs w:val="28"/>
          <w:rtl w:val="true"/>
          <w:lang w:bidi="fa-IR"/>
        </w:rPr>
        <w:t>وهو ما ذکره أیضاً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سلّم ظهوره فی جواز إظهارها الوجه والکفین للأجانب، لعارضه خبر أبی بصیر وخبر زرارة، وخبر أبی الجارود</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 لأنه لا معارضة عرفاً؛ إذ یحمل کل منها علی بیان بعض المصادیق، وقد سبق بیان ذلک فی جواب الإشکال الرابع علی الدلیل الأول، فراجع</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تعارض؛ لأنّ السؤال عن تفسیر الزینة فی الآیة، والسؤال </w:t>
      </w:r>
      <w:bookmarkStart w:id="489" w:name="pg6289_41980"/>
    </w:p>
    <w:p>
      <w:pPr>
        <w:pStyle w:val="BookText"/>
        <w:rPr/>
      </w:pPr>
      <w:bookmarkEnd w:id="489"/>
      <w:r>
        <w:rPr>
          <w:rFonts w:ascii="IRNazanin" w:hAnsi="IRNazanin" w:eastAsia="IRNazanin"/>
          <w:color w:val="111111"/>
          <w:sz w:val="28"/>
          <w:sz w:val="28"/>
          <w:szCs w:val="28"/>
          <w:rtl w:val="true"/>
          <w:lang w:bidi="fa-IR"/>
        </w:rPr>
        <w:t>الآخر عما تظهره المرأة، فلا معارضة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الدال علی جواز إظهار الکحل والخاتم یدل علی عدم جواز إظهار الوجه والکفین؛ لأنه فی مقام التحدید، والدلیل الآخر یجوز إظهار الوجه والکفین، فتحصل المعارضة، فما ذکرناه من بیان بعض المصادیق هو الجواب، وقد مضی الوجه الفنی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إمکان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موضوع تلک الأخبار الزینة العرضیة، وموضوع هذا الخبر الزینة الذاتیة، کما أشار إلیه بنفسه</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0" w:name="__RefHeading___Toc2133584_237004111"/>
      <w:bookmarkStart w:id="491" w:name="_Toc192"/>
      <w:bookmarkEnd w:id="490"/>
      <w:r>
        <w:rPr>
          <w:rtl w:val="true"/>
        </w:rPr>
        <w:t>الدلیل السابع</w:t>
      </w:r>
      <w:r>
        <w:rPr>
          <w:rtl w:val="true"/>
        </w:rPr>
        <w:t xml:space="preserve">: </w:t>
      </w:r>
      <w:r>
        <w:rPr>
          <w:rtl w:val="true"/>
        </w:rPr>
        <w:t>صحیحة الفضیل</w:t>
      </w:r>
      <w:bookmarkEnd w:id="491"/>
    </w:p>
    <w:p>
      <w:pPr>
        <w:pStyle w:val="Heading6"/>
        <w:numPr>
          <w:ilvl w:val="5"/>
          <w:numId w:val="1"/>
        </w:numPr>
        <w:rPr/>
      </w:pPr>
      <w:bookmarkStart w:id="492" w:name="__RefHeading___Toc2133586_237004111"/>
      <w:bookmarkStart w:id="493" w:name="_Toc193"/>
      <w:bookmarkEnd w:id="492"/>
      <w:r>
        <w:rPr>
          <w:rtl w:val="true"/>
        </w:rPr>
        <w:t>اشارة</w:t>
      </w:r>
      <w:bookmarkEnd w:id="493"/>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محمد بن عیسی، عن ابن محبوب، عن جمیل بن دراج، عن الفضیل بن یسار،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الذراعین من المرأة، هما من الزینة التی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یُبْدِینَ زِینَتَهُنَّ إِلا لِبُعُولَتِهِنَّ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وما دون الخمار من الزینة وما دون السوارین</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أسفل، وأمّا احتمال کون دون بمعنی تحت،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یستره الخمار والسواران، أو کونه بمعنی القرب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المقاییس</w:t>
      </w:r>
      <w:r>
        <w:rPr>
          <w:rFonts w:eastAsia="IRNazanin" w:cs="IRNazanin"/>
          <w:color w:val="111111"/>
          <w:sz w:val="28"/>
          <w:szCs w:val="28"/>
          <w:rtl w:val="true"/>
          <w:lang w:bidi="fa-IR"/>
        </w:rPr>
        <w:t>(</w:t>
      </w:r>
      <w:r>
        <w:rPr>
          <w:rStyle w:val="FootnoteAnchor"/>
          <w:rtl w:val="true"/>
        </w:rPr>
        <w:footnoteReference w:id="50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فمعنی دون الخمار ما قرب من الخمار، وهو الوجه والعنق </w:t>
      </w:r>
    </w:p>
    <w:p>
      <w:pPr>
        <w:pStyle w:val="BookText"/>
        <w:rPr/>
      </w:pPr>
      <w:r>
        <w:rPr>
          <w:rFonts w:ascii="IRNazanin" w:hAnsi="IRNazanin" w:eastAsia="IRNazanin"/>
          <w:color w:val="111111"/>
          <w:sz w:val="28"/>
          <w:sz w:val="28"/>
          <w:szCs w:val="28"/>
          <w:rtl w:val="true"/>
          <w:lang w:bidi="fa-IR"/>
        </w:rPr>
        <w:t>وبعض شعر مقدم الرأس، ومعنی ما دون السوارین ما قرب منهما من الذراع والکف، أو کونه بمعنی غیر،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أن یعطی ولد دون ولد، فمعنی الروایة الشریفة أن غیر الخمار وغیر السوارین مما تتزین به المرأة من الزینة، لا یجوز إبداؤها إلا للمحارم، فکل ذلک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الاحتمالات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بمعنی تحت، یعنی ما تحت الخمار،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یغطیه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بمعنی القرب،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قرب من الخمار والسوارین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بمعنی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بمعنی أسفل مقابل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الأخیر خلاف الظاهر، بل ربما خلاف المعنی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التفصیل قاطع للشرکة، فما فوق الخمار والسوارین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والکفین لا بأس بإبدائهما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ظاهرة علی خروج الوجه والکفین عن الزینة التی یحرم إبداؤها</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وظاهره أن ما یستره الخمار هو الرأس والرقبة والوجه خارج عنه، وأنّ الکف فوق السوار لا دونه، فیکونان خارجین عن الزینة</w:t>
      </w:r>
      <w:r>
        <w:rPr>
          <w:rFonts w:eastAsia="IRNazanin" w:cs="IRNazanin"/>
          <w:color w:val="111111"/>
          <w:sz w:val="28"/>
          <w:szCs w:val="28"/>
          <w:rtl w:val="true"/>
          <w:lang w:bidi="fa-IR"/>
        </w:rPr>
        <w:t>»(</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ونحوه ما فی الفقه</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bookmarkStart w:id="494" w:name="pg6289_41982"/>
    </w:p>
    <w:p>
      <w:pPr>
        <w:pStyle w:val="Heading6"/>
        <w:numPr>
          <w:ilvl w:val="5"/>
          <w:numId w:val="1"/>
        </w:numPr>
        <w:rPr/>
      </w:pPr>
      <w:bookmarkStart w:id="495" w:name="__RefHeading___Toc2133588_237004111"/>
      <w:bookmarkStart w:id="496" w:name="_Toc194"/>
      <w:bookmarkEnd w:id="494"/>
      <w:bookmarkEnd w:id="495"/>
      <w:r>
        <w:rPr>
          <w:rtl w:val="true"/>
        </w:rPr>
        <w:t>الإشکالات علی الدلیل السابع</w:t>
      </w:r>
      <w:r>
        <w:rPr>
          <w:rtl w:val="true"/>
        </w:rPr>
        <w:t>:</w:t>
      </w:r>
      <w:bookmarkEnd w:id="496"/>
    </w:p>
    <w:p>
      <w:pPr>
        <w:pStyle w:val="Heading6"/>
        <w:numPr>
          <w:ilvl w:val="5"/>
          <w:numId w:val="1"/>
        </w:numPr>
        <w:rPr/>
      </w:pPr>
      <w:bookmarkStart w:id="497" w:name="__RefHeading___Toc2133590_237004111"/>
      <w:bookmarkStart w:id="498" w:name="_Toc195"/>
      <w:bookmarkEnd w:id="497"/>
      <w:r>
        <w:rPr>
          <w:rtl w:val="true"/>
        </w:rPr>
        <w:t>اشارة</w:t>
      </w:r>
      <w:bookmarkEnd w:id="498"/>
    </w:p>
    <w:p>
      <w:pPr>
        <w:pStyle w:val="BookText"/>
        <w:rPr/>
      </w:pPr>
      <w:r>
        <w:rPr>
          <w:rFonts w:ascii="IRNazanin" w:hAnsi="IRNazanin" w:eastAsia="IRNazanin"/>
          <w:color w:val="111111"/>
          <w:sz w:val="28"/>
          <w:sz w:val="28"/>
          <w:szCs w:val="28"/>
          <w:rtl w:val="true"/>
          <w:lang w:bidi="fa-IR"/>
        </w:rPr>
        <w:t>ویرد علی هذا الدلیل إشکالات، مضافاً إلی بعض ما تقدم</w:t>
      </w:r>
      <w:r>
        <w:rPr>
          <w:rFonts w:eastAsia="IRNazanin" w:cs="IRNazanin"/>
          <w:color w:val="111111"/>
          <w:sz w:val="28"/>
          <w:szCs w:val="28"/>
          <w:rtl w:val="true"/>
          <w:lang w:bidi="fa-IR"/>
        </w:rPr>
        <w:t>.</w:t>
      </w:r>
    </w:p>
    <w:p>
      <w:pPr>
        <w:pStyle w:val="Heading6"/>
        <w:numPr>
          <w:ilvl w:val="5"/>
          <w:numId w:val="1"/>
        </w:numPr>
        <w:rPr/>
      </w:pPr>
      <w:bookmarkStart w:id="499" w:name="__RefHeading___Toc2133592_237004111"/>
      <w:bookmarkStart w:id="500" w:name="_Toc196"/>
      <w:bookmarkEnd w:id="499"/>
      <w:r>
        <w:rPr>
          <w:rtl w:val="true"/>
        </w:rPr>
        <w:t>الإشکال الأول</w:t>
      </w:r>
      <w:r>
        <w:rPr>
          <w:rtl w:val="true"/>
        </w:rPr>
        <w:t xml:space="preserve">: </w:t>
      </w:r>
      <w:r>
        <w:rPr>
          <w:rtl w:val="true"/>
        </w:rPr>
        <w:t>إثبات الشیء لا ینفی ما عداه</w:t>
      </w:r>
      <w:bookmarkEnd w:id="500"/>
    </w:p>
    <w:p>
      <w:pPr>
        <w:pStyle w:val="BookText"/>
        <w:rPr/>
      </w:pPr>
      <w:r>
        <w:rPr>
          <w:rFonts w:ascii="IRNazanin" w:hAnsi="IRNazanin" w:eastAsia="IRNazanin"/>
          <w:color w:val="111111"/>
          <w:sz w:val="28"/>
          <w:sz w:val="28"/>
          <w:szCs w:val="28"/>
          <w:rtl w:val="true"/>
          <w:lang w:bidi="fa-IR"/>
        </w:rPr>
        <w:t>ما ذکره السید الروحانی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الصحیح سؤالاً وجواباً ناظر إلی العقد الإیجابی، ولا نظر له إلی العقد السلبی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إثبات الشیء لا ینفی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نظر؛ لأنّ ظاهره التفصیل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تقدم قاطع للشرکة</w:t>
      </w:r>
      <w:r>
        <w:rPr>
          <w:rFonts w:eastAsia="IRNazanin" w:cs="IRNazanin"/>
          <w:color w:val="111111"/>
          <w:sz w:val="28"/>
          <w:szCs w:val="28"/>
          <w:rtl w:val="true"/>
          <w:lang w:bidi="fa-IR"/>
        </w:rPr>
        <w:t>.</w:t>
      </w:r>
    </w:p>
    <w:p>
      <w:pPr>
        <w:pStyle w:val="Heading6"/>
        <w:numPr>
          <w:ilvl w:val="5"/>
          <w:numId w:val="1"/>
        </w:numPr>
        <w:rPr/>
      </w:pPr>
      <w:bookmarkStart w:id="501" w:name="__RefHeading___Toc2133594_237004111"/>
      <w:bookmarkStart w:id="502" w:name="_Toc197"/>
      <w:bookmarkEnd w:id="501"/>
      <w:r>
        <w:rPr>
          <w:rtl w:val="true"/>
        </w:rPr>
        <w:t>الإشکال الثانی</w:t>
      </w:r>
      <w:r>
        <w:rPr>
          <w:rtl w:val="true"/>
        </w:rPr>
        <w:t xml:space="preserve">: </w:t>
      </w:r>
      <w:r>
        <w:rPr>
          <w:rtl w:val="true"/>
        </w:rPr>
        <w:t>احتمال کون السؤال عن الزینة السائغ إبداؤها للمحارم</w:t>
      </w:r>
      <w:bookmarkEnd w:id="502"/>
    </w:p>
    <w:p>
      <w:pPr>
        <w:pStyle w:val="BookText"/>
        <w:rPr/>
      </w:pPr>
      <w:r>
        <w:rPr>
          <w:rFonts w:ascii="IRNazanin" w:hAnsi="IRNazanin" w:eastAsia="IRNazanin"/>
          <w:color w:val="111111"/>
          <w:sz w:val="28"/>
          <w:sz w:val="28"/>
          <w:szCs w:val="28"/>
          <w:rtl w:val="true"/>
          <w:lang w:bidi="fa-IR"/>
        </w:rPr>
        <w:t>وهو ما ذکره السید الرجائی،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سؤال هذا الراوی الجلیل عن إبداء الذراعین للأجانب، بل کان یعلم جواز إبداء المرأة وجهها وکفیها للمحارم، لکن لم یدرِ جواز إبداء الذراعین للمحارم، فسأل عنهما، وهو غیر مستبعد، فقد کان جواز إبدائها الشعر للمحارم غیر واضح</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وحاصل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المحتمل أن یکون سؤال الراوی عن الزینة السائغ إبداؤها للمحارم، لا عن الزینة المحرم إبداؤها للأجانب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نفسر سؤال فضیل بتفسیرین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السؤال عن عقد المستثنی منه،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یُبْدینَ زینَتَهُنَّ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جواز إبداء الوجه والکفین مسلّماً عنده، فیسأل عن جواز إبداء الذراعین أیضاً؟ فیجاب بالعدم، وأنّ الذراعین وما دون الخمار وما </w:t>
      </w:r>
      <w:bookmarkStart w:id="503" w:name="pg6289_41983"/>
    </w:p>
    <w:p>
      <w:pPr>
        <w:pStyle w:val="BookText"/>
        <w:rPr/>
      </w:pPr>
      <w:bookmarkEnd w:id="503"/>
      <w:r>
        <w:rPr>
          <w:rFonts w:ascii="IRNazanin" w:hAnsi="IRNazanin" w:eastAsia="IRNazanin"/>
          <w:color w:val="111111"/>
          <w:sz w:val="28"/>
          <w:sz w:val="28"/>
          <w:szCs w:val="28"/>
          <w:rtl w:val="true"/>
          <w:lang w:bidi="fa-IR"/>
        </w:rPr>
        <w:t>دون السوارین من الزینة المحرمة، فیتم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المحتمل أن یکون السؤال عن عقد المستثنی،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لِبُعُولَتِهِنَّ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فالسائل یعلم أن الوجه والکفین من الزینة الجائز إظهارها للمحارم، فیسأل عن حکم الذراعین للمحارم، فیجاب بأنّ الذراعین وما دون الخمار، کقلیل من الصدر والعنق، وما دون السوارین،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الذراع إلی الکتف مثلاً من الزینة الجائز إبداؤها للمحارم، فیکون توسعة فی دائرة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إمّا ظاهرة فیما ذکر أو لا أقل من الاحتمال المبطل للاستدلال، فلا ترتبط بإبداء الزینة للأجانب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کون السؤال عن الزینة الملفوظة فی المستثنی منه، لا عن الزینة المقدرة فی المستثنی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للعهد الذکری أو الذهنی، إمّا إشارة إلی زینتهن الموجودة فی المستثنی منه، وهی ملفوظة وظاهرة، وإمّا إشارة إلی زینتهن غیر الملفوظة المقدرة فی المستثنی، والظاهر من الروایة أن السؤال عن الزینة المحرمة المذکورة فی المستثنی منه، لا الزینة المحللة المقدرة فی المستثنی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فالإشکال مع دقته غیر عرفی، فإنّ العرف لا یفهم هذا المعنی؛ ولذا لم یخطر علی بال أحد من الفقهاء الذین تعرضوا للمسألة</w:t>
      </w:r>
      <w:r>
        <w:rPr>
          <w:rFonts w:eastAsia="IRNazanin" w:cs="IRNazanin"/>
          <w:color w:val="111111"/>
          <w:sz w:val="28"/>
          <w:szCs w:val="28"/>
          <w:rtl w:val="true"/>
          <w:lang w:bidi="fa-IR"/>
        </w:rPr>
        <w:t>.</w:t>
      </w:r>
    </w:p>
    <w:p>
      <w:pPr>
        <w:pStyle w:val="Heading6"/>
        <w:numPr>
          <w:ilvl w:val="5"/>
          <w:numId w:val="1"/>
        </w:numPr>
        <w:rPr/>
      </w:pPr>
      <w:bookmarkStart w:id="504" w:name="__RefHeading___Toc2133596_237004111"/>
      <w:bookmarkStart w:id="505" w:name="_Toc198"/>
      <w:bookmarkEnd w:id="504"/>
      <w:r>
        <w:rPr>
          <w:rtl w:val="true"/>
        </w:rPr>
        <w:t>الإشکال الثالث</w:t>
      </w:r>
      <w:r>
        <w:rPr>
          <w:rtl w:val="true"/>
        </w:rPr>
        <w:t xml:space="preserve">: </w:t>
      </w:r>
      <w:r>
        <w:rPr>
          <w:rtl w:val="true"/>
        </w:rPr>
        <w:t>ظهور صحیحة الفضیل فی الحرمة لا الجواز</w:t>
      </w:r>
      <w:bookmarkEnd w:id="50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ما ذکره السید الخوئی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أن الصحیحة فی الحرمة أظهر من الجواز، فإن الظاهر أن المراد بما دون الخمار هو ما یعم الوجه أیضاً؛ </w:t>
      </w:r>
    </w:p>
    <w:p>
      <w:pPr>
        <w:pStyle w:val="BookText"/>
        <w:rPr/>
      </w:pPr>
      <w:r>
        <w:rPr>
          <w:rFonts w:ascii="IRNazanin" w:hAnsi="IRNazanin" w:eastAsia="IRNazanin"/>
          <w:color w:val="111111"/>
          <w:sz w:val="28"/>
          <w:sz w:val="28"/>
          <w:szCs w:val="28"/>
          <w:rtl w:val="true"/>
          <w:lang w:bidi="fa-IR"/>
        </w:rPr>
        <w:t xml:space="preserve">لأنه مما یکون علی الرأس، فیکون الوجه مما هو دونه لا محالة، ولا مبرر لملاحظة الخمار من أسفله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ما یکون علی الذقن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دونه هو الرقبة خاصة، بل ما دونه الوجه فما 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الظاهر، بل الواضح أن المراد بما دون السوارین هو ما یکون دونهما إلی أطراف الأصابع، وحمل ذلک علی الفاصلة الیسیرة بینهما وبین الکف، بحیث یکون الکف خارجاً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دون السوارین، لا یخلو عن تعسف</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ذکره من شمول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دون الخمار للوجه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نظر؛ إذ الوجه دون جزء الخمار لا دون الخمار، ودونه هو الصدر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الخمار هو المجموع الذی یلف علی الرأس، فیکون دونه الصدر مثلاً، وأمّا الوجه فهو دون أعلی الخمار، کما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الثوب یعنی ما ینتهی عنده الثوب، فلو کان فی الصدر فتحة لم یطلق علیه دون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دلالة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دون الخمار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علی جواز کشف الوجه موقوفة علی معرفة وضع الحجاب آنذاک، فإن فرض جریان العادة علی ستر النساء وجوههن لم یکن فی الروایة الشریفة دلالة علی جواز کشف الوجه، إلا أن یضم إلی ذلک العلم الخارجی بعدم ستر النساء وجوههن، کما مرّت الإشارة إلی ذلک فی الإشکال الخامس علی الدلیل الأول، فلا یکون دلیلاً لما ذهب إلیه ولا دلیلاً علیه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ذکره من ظهور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دون السوارین فیما یکون دونهما </w:t>
      </w:r>
      <w:bookmarkStart w:id="506" w:name="pg6289_41985"/>
    </w:p>
    <w:p>
      <w:pPr>
        <w:pStyle w:val="BookText"/>
        <w:rPr/>
      </w:pPr>
      <w:bookmarkEnd w:id="506"/>
      <w:r>
        <w:rPr>
          <w:rFonts w:ascii="IRNazanin" w:hAnsi="IRNazanin" w:eastAsia="IRNazanin"/>
          <w:color w:val="111111"/>
          <w:sz w:val="28"/>
          <w:sz w:val="28"/>
          <w:szCs w:val="28"/>
          <w:rtl w:val="true"/>
          <w:lang w:bidi="fa-IR"/>
        </w:rPr>
        <w:t>إلی أطراف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تام؛ إذ الکف دون السوار عرفاً، وما یکون فوقه هو الذراع، فالاستدلال بهذه الروایة علی جواز کشف الکف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سألت جمعاً عن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فأجابوا جمیعاً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أرَ من یقول الذراع، فما استظهره جمع من أن دون السوارین بمعنی الذراع</w:t>
      </w:r>
      <w:r>
        <w:rPr>
          <w:rFonts w:eastAsia="IRNazanin" w:cs="IRNazanin"/>
          <w:color w:val="111111"/>
          <w:sz w:val="28"/>
          <w:szCs w:val="28"/>
          <w:rtl w:val="true"/>
          <w:lang w:bidi="fa-IR"/>
        </w:rPr>
        <w:t>(</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لا یدل علی ما رامه من حرمة إظهار الکفین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مطلق؛ إذ یشمل الکف وقسماً مما فوقه؛ لعدم ملاصقة السوار عادة للکف، والمطلق قابل للتقیید بالأدلة الدالة علی جواز إظهار الکفین،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لو سلم إباؤه عن التقیید بما فوق الکف فهو قابل للجمع بینه وبین الأدلة المجوزة بالحمل علی الکراهة، لکن یبقی ظهورها فی حد ذاتها فی حرمة کشف الکفین</w:t>
      </w:r>
      <w:r>
        <w:rPr>
          <w:rFonts w:eastAsia="IRNazanin" w:cs="IRNazanin"/>
          <w:color w:val="111111"/>
          <w:sz w:val="28"/>
          <w:szCs w:val="28"/>
          <w:rtl w:val="true"/>
          <w:lang w:bidi="fa-IR"/>
        </w:rPr>
        <w:t>.</w:t>
      </w:r>
    </w:p>
    <w:p>
      <w:pPr>
        <w:pStyle w:val="Heading6"/>
        <w:numPr>
          <w:ilvl w:val="5"/>
          <w:numId w:val="1"/>
        </w:numPr>
        <w:rPr/>
      </w:pPr>
      <w:bookmarkStart w:id="507" w:name="__RefHeading___Toc2133598_237004111"/>
      <w:bookmarkStart w:id="508" w:name="_Toc199"/>
      <w:bookmarkEnd w:id="507"/>
      <w:r>
        <w:rPr>
          <w:rtl w:val="true"/>
        </w:rPr>
        <w:t>الدلیل الثامن</w:t>
      </w:r>
      <w:r>
        <w:rPr>
          <w:rtl w:val="true"/>
        </w:rPr>
        <w:t xml:space="preserve">: </w:t>
      </w:r>
      <w:r>
        <w:rPr>
          <w:rtl w:val="true"/>
        </w:rPr>
        <w:t>صحیحة علی بن سوید</w:t>
      </w:r>
      <w:bookmarkEnd w:id="508"/>
    </w:p>
    <w:p>
      <w:pPr>
        <w:pStyle w:val="Heading6"/>
        <w:numPr>
          <w:ilvl w:val="5"/>
          <w:numId w:val="1"/>
        </w:numPr>
        <w:rPr/>
      </w:pPr>
      <w:bookmarkStart w:id="509" w:name="__RefHeading___Toc2133600_237004111"/>
      <w:bookmarkStart w:id="510" w:name="_Toc200"/>
      <w:bookmarkEnd w:id="509"/>
      <w:r>
        <w:rPr>
          <w:rtl w:val="true"/>
        </w:rPr>
        <w:t>اشارة</w:t>
      </w:r>
      <w:bookmarkEnd w:id="51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علی بن الحکم، عن علی بن سوید،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إنی مبتلی بالنظر إلی المرأة الجمیلة، فیعجبنی النظر إلیها،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بأس إذا عرف الله من نیتک الصدق، وإیاک والزنا، فإنه یمحق البرکة، ویهلک الدین</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bookmarkStart w:id="511" w:name="pg6289_41986"/>
    </w:p>
    <w:p>
      <w:pPr>
        <w:pStyle w:val="BookText"/>
        <w:rPr/>
      </w:pPr>
      <w:bookmarkEnd w:id="511"/>
      <w:r>
        <w:rPr>
          <w:rFonts w:ascii="IRNazanin" w:hAnsi="IRNazanin" w:eastAsia="IRNazanin"/>
          <w:color w:val="111111"/>
          <w:sz w:val="28"/>
          <w:sz w:val="28"/>
          <w:szCs w:val="28"/>
          <w:rtl w:val="true"/>
          <w:lang w:bidi="fa-IR"/>
        </w:rPr>
        <w:t>وهی عمدة ما استند إلیه الشیخ الأعظم فی القول بالجواز</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2" w:name="__RefHeading___Toc2133602_237004111"/>
      <w:bookmarkStart w:id="513" w:name="_Toc201"/>
      <w:bookmarkEnd w:id="512"/>
      <w:r>
        <w:rPr>
          <w:rtl w:val="true"/>
        </w:rPr>
        <w:t>الإشکالات علی الدلیل الثامن</w:t>
      </w:r>
      <w:bookmarkEnd w:id="513"/>
    </w:p>
    <w:p>
      <w:pPr>
        <w:pStyle w:val="Heading6"/>
        <w:numPr>
          <w:ilvl w:val="5"/>
          <w:numId w:val="1"/>
        </w:numPr>
        <w:rPr/>
      </w:pPr>
      <w:bookmarkStart w:id="514" w:name="__RefHeading___Toc2133604_237004111"/>
      <w:bookmarkStart w:id="515" w:name="_Toc202"/>
      <w:bookmarkEnd w:id="514"/>
      <w:r>
        <w:rPr>
          <w:rtl w:val="true"/>
        </w:rPr>
        <w:t>اشارة</w:t>
      </w:r>
      <w:bookmarkEnd w:id="515"/>
    </w:p>
    <w:p>
      <w:pPr>
        <w:pStyle w:val="BookText"/>
        <w:rPr/>
      </w:pPr>
      <w:r>
        <w:rPr>
          <w:rFonts w:ascii="IRNazanin" w:hAnsi="IRNazanin" w:eastAsia="IRNazanin"/>
          <w:color w:val="111111"/>
          <w:sz w:val="28"/>
          <w:sz w:val="28"/>
          <w:szCs w:val="28"/>
          <w:rtl w:val="true"/>
          <w:lang w:bidi="fa-IR"/>
        </w:rPr>
        <w:t>ویرد علی الاستدلال بذلک إشکالات</w:t>
      </w:r>
      <w:r>
        <w:rPr>
          <w:rFonts w:eastAsia="IRNazanin" w:cs="IRNazanin"/>
          <w:color w:val="111111"/>
          <w:sz w:val="28"/>
          <w:szCs w:val="28"/>
          <w:rtl w:val="true"/>
          <w:lang w:bidi="fa-IR"/>
        </w:rPr>
        <w:t>:</w:t>
      </w:r>
    </w:p>
    <w:p>
      <w:pPr>
        <w:pStyle w:val="Heading6"/>
        <w:numPr>
          <w:ilvl w:val="5"/>
          <w:numId w:val="1"/>
        </w:numPr>
        <w:rPr/>
      </w:pPr>
      <w:bookmarkStart w:id="516" w:name="__RefHeading___Toc2133606_237004111"/>
      <w:bookmarkStart w:id="517" w:name="_Toc203"/>
      <w:bookmarkEnd w:id="516"/>
      <w:r>
        <w:rPr>
          <w:rtl w:val="true"/>
        </w:rPr>
        <w:t>الإشکال الأوّل</w:t>
      </w:r>
      <w:r>
        <w:rPr>
          <w:rtl w:val="true"/>
        </w:rPr>
        <w:t xml:space="preserve">: </w:t>
      </w:r>
      <w:r>
        <w:rPr>
          <w:rtl w:val="true"/>
        </w:rPr>
        <w:t>ظهور الصحیحة فی النظر الاتفاقی</w:t>
      </w:r>
      <w:bookmarkEnd w:id="517"/>
    </w:p>
    <w:p>
      <w:pPr>
        <w:pStyle w:val="BookText"/>
        <w:rPr/>
      </w:pPr>
      <w:r>
        <w:rPr>
          <w:rFonts w:ascii="IRNazanin" w:hAnsi="IRNazanin" w:eastAsia="IRNazanin"/>
          <w:color w:val="111111"/>
          <w:sz w:val="28"/>
          <w:sz w:val="28"/>
          <w:szCs w:val="28"/>
          <w:rtl w:val="true"/>
          <w:lang w:bidi="fa-IR"/>
        </w:rPr>
        <w:t>ما ذکره السید الخوئی من أن هذه الصحیحة دالة علی جواز النظر إلیها حتی مع قصده التلذذ من الأوّل، کما یظهر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فیعجبنی النظر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ممّا لا یمکن الالتزام به، ولم یقل به أحد منا، فلا بد من حملها علی اقتضاء عمله لذلک، ووقوع النظر من دون قصد أو تعمد</w:t>
      </w:r>
      <w:r>
        <w:rPr>
          <w:rFonts w:eastAsia="IRNazanin" w:cs="IRNazanin"/>
          <w:color w:val="111111"/>
          <w:sz w:val="28"/>
          <w:szCs w:val="28"/>
          <w:rtl w:val="true"/>
          <w:lang w:bidi="fa-IR"/>
        </w:rPr>
        <w:t>(</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الاتفاقی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وصحیح ابن سوید محمول علی إرادة إنی مبتلی باتفاق وقوع النظر إلی الامرأة الجمیلة، وأنه یحصل له بعد ذلک لذة، فأجابه بنفی البأس إذا عرف الله من نیتک الصدق، وأنک غیر متعمد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 المراد الرخصة له فی النظر إلی الامرأة الجمیلة التی یعجبه النظر إلیها، الذی یمکن دعوی الضرورة علی عدم جوازه، والضرورة علی عدم وقوع ذلک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الذی من عادته الحث والترغیب فی عدم ذلک</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حمل الروایة علی إرادة النظر الاتفاقی، وأنه یحصل له بعد ذلک لذة، 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بنفی البأس إذا عرف الله من نیتک الصدق، وأنک غیر </w:t>
      </w:r>
    </w:p>
    <w:p>
      <w:pPr>
        <w:pStyle w:val="BookText"/>
        <w:rPr/>
      </w:pPr>
      <w:r>
        <w:rPr>
          <w:rFonts w:ascii="IRNazanin" w:hAnsi="IRNazanin" w:eastAsia="IRNazanin"/>
          <w:color w:val="111111"/>
          <w:sz w:val="28"/>
          <w:sz w:val="28"/>
          <w:szCs w:val="28"/>
          <w:rtl w:val="true"/>
          <w:lang w:bidi="fa-IR"/>
        </w:rPr>
        <w:t>متعمد لذلک، ثم حذره عن الزنا،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النظر الذی یخاف منه ذلک، أو أن المراد إیاک وزنا العین،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النظر للتلذذ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ودعوی عدم صلاحیة النظر الاتفاقی لأن یکون موضوعاً لحکم شرعی ولو الإباحة یدفعها منع ذلک باعتبار مقدماته</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مضی توضیحه بأن النظر الاتفاقی یمکن أن یکون موضوعاً لحکم شرعی، باعتبار اختیاریة 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 فی الحمل علی النظر الاتفاقی ما فی المهذب</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نظر؛ إذ الإعجاب أعم من التلذذ الشهوی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الأمر تقیید الإطلاق بعدم کون الإعجاب شهویاً بالأدلة الثمانیة التی مضت فی الفرع الخامس من المسألة الثانیة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عثرنا علی کلام للسید الخوئی یخالف ما ذهب إلیه،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ابتلاءه بالنظر إلی النساء من جهة اقتضاء شغله ذلک، ککونه بزّازاً أو صائغاً ونحوهما، ممن یتّجر فی حاجیات النسوان، فیبتلی بمواجهتهنّ فی مقام البیع والشراء، فسأل عما قد یتطرقه عند النظر من الإعجاب بهن والتمتع بجمالهن، علی ما هو مقتضی الطبع البشری من التذاذه من النظر إلی کل شیء جمیل، سواء کان إنساناً أم حیواناً أم جماداً، کمجسمة جمیلة، أم تصویر حسن ونحو ذلک،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البأس إذا عرف الله من نیّته الصدق،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نظره نظراً ساذجاً والإعجاب الذی یدخله ناشئاً عن </w:t>
      </w:r>
    </w:p>
    <w:p>
      <w:pPr>
        <w:pStyle w:val="BookText"/>
        <w:rPr/>
      </w:pPr>
      <w:r>
        <w:rPr>
          <w:rFonts w:ascii="IRNazanin" w:hAnsi="IRNazanin" w:eastAsia="IRNazanin"/>
          <w:color w:val="111111"/>
          <w:sz w:val="28"/>
          <w:sz w:val="28"/>
          <w:szCs w:val="28"/>
          <w:rtl w:val="true"/>
          <w:lang w:bidi="fa-IR"/>
        </w:rPr>
        <w:t>الفطرة البشریة المقتضیة للالتذاذ بکلّ شیء بدیع دون الإعجاب والالتذاذ المنبعثین عن القوة الشهویة، والمنبعثین عن الغریزة الجنسیة التی هی من سنخ نظر الزوج إلی زوجته؛ إذ من الواضح عدم الملازمة بین هذین النوعین من النظر، فقد یلتذ الإنسان من النظر إلی وجه ولده الجمیل، من دون أن یخطر بباله انبعاث هذه اللذة عن الشهوة والغریزة الجنسیة، وکذا غیر ولده من الأمثلة المتقدمة، فهذا التفکیک متحقق حتی فی النظر إلی المرأة الجمیلة الأجنبیة،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ففصّل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الجواب بین هذین النوعین، وخصّ الجواز بالنوع الأوّل الذی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 الله من نیتک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 والزنا، فانّ التحذیر عن الوقوع فی الزنا قرینة قطعیة علی أنّ المراد من النظر المنفی عنه البأس ما کان من النوع الأوّل المأمون عن الزنا، دون الثانی الذی هو معرض للافتتان ویؤدی إلی الزنا غالباً</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ذکر فی مبانی المنهاج دلالة الروایة بالصراحة علی جواز النظر مع التلذذ والشهوة، وأشکل علی دعوی شرح العروة القطع بخلاف مفاد الروایة بأن عهدته علیه، فإنّ الأحکام الشرعیة أمرها بید الشارع، ولا مجال لإعمال النظر فیها</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أن الإعجاب أعم من التلذذ الشهوی، والمطلق قابل للتقیید، </w:t>
      </w:r>
      <w:bookmarkStart w:id="518" w:name="pg6289_41989"/>
    </w:p>
    <w:p>
      <w:pPr>
        <w:pStyle w:val="BookText"/>
        <w:rPr/>
      </w:pPr>
      <w:bookmarkEnd w:id="518"/>
      <w:r>
        <w:rPr>
          <w:rFonts w:ascii="IRNazanin" w:hAnsi="IRNazanin" w:eastAsia="IRNazanin"/>
          <w:color w:val="111111"/>
          <w:sz w:val="28"/>
          <w:sz w:val="28"/>
          <w:szCs w:val="28"/>
          <w:rtl w:val="true"/>
          <w:lang w:bidi="fa-IR"/>
        </w:rPr>
        <w:t>وقد سبق ذکر الأدلة الدالة علی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العکس،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النظر بشهوة ولکن لا یصل إلی الزنا، فیجوز مطلق النظر مع عدم التعدی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الإطلاق قید بالأدلة الثمانیة، فالکلام أن الإعجاب لا یساوی الالتذاذ الشهوی، فقد یری شیخاً نورانیاً فینظر إلیه بلذة وإعجاب، وکالنظر إلی الوردة أو نظر الأب إلی ولده الجمیل، بخلاف نظر الفاسق الفاجر إلی ذلک الولد</w:t>
      </w:r>
      <w:r>
        <w:rPr>
          <w:rFonts w:eastAsia="IRNazanin" w:cs="IRNazanin"/>
          <w:color w:val="111111"/>
          <w:sz w:val="28"/>
          <w:szCs w:val="28"/>
          <w:rtl w:val="true"/>
          <w:lang w:bidi="fa-IR"/>
        </w:rPr>
        <w:t>.</w:t>
      </w:r>
    </w:p>
    <w:p>
      <w:pPr>
        <w:pStyle w:val="Heading6"/>
        <w:numPr>
          <w:ilvl w:val="5"/>
          <w:numId w:val="1"/>
        </w:numPr>
        <w:rPr/>
      </w:pPr>
      <w:bookmarkStart w:id="519" w:name="__RefHeading___Toc2133608_237004111"/>
      <w:bookmarkStart w:id="520" w:name="_Toc204"/>
      <w:bookmarkEnd w:id="519"/>
      <w:r>
        <w:rPr>
          <w:rtl w:val="true"/>
        </w:rPr>
        <w:t>الإشکال الثانی</w:t>
      </w:r>
      <w:r>
        <w:rPr>
          <w:rtl w:val="true"/>
        </w:rPr>
        <w:t xml:space="preserve">: </w:t>
      </w:r>
      <w:r>
        <w:rPr>
          <w:rtl w:val="true"/>
        </w:rPr>
        <w:t>شمول الروایة للشعر</w:t>
      </w:r>
      <w:bookmarkEnd w:id="520"/>
    </w:p>
    <w:p>
      <w:pPr>
        <w:pStyle w:val="BookText"/>
        <w:rPr/>
      </w:pPr>
      <w:r>
        <w:rPr>
          <w:rFonts w:ascii="IRNazanin" w:hAnsi="IRNazanin" w:eastAsia="IRNazanin"/>
          <w:color w:val="111111"/>
          <w:sz w:val="28"/>
          <w:sz w:val="28"/>
          <w:szCs w:val="28"/>
          <w:rtl w:val="true"/>
          <w:lang w:bidi="fa-IR"/>
        </w:rPr>
        <w:t>وهو ما ذکره السید الخوئی أیضاً،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أنها غیر مختصة بالوجه والیدین، فتشمل الشعر أیضاً، وهو مقطوع البطلان</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 إذ الإطلاق قابل للتقیید بالأدلة الخارجیة، مع أنه لا إطلاق له؛ لأنه حکایة فعل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التفکیک بین السؤال والجواب فیکون الجواب مطلقاً،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بالنظر إلی المرأة الجمیلة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الجواب یدور حول سؤال السائل،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فیما سألت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السؤال یحتوی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بالنظر إلی المرأة الجمیلة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معنی لتعلق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بالأول، فلا بد أن یتعلق بالثانی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إطلاق فی النظر المذکور فی السؤال، فهو مبتلی بشیء ما، فقد یکون ذلک بالنظر إلی وجهها، فیکون الجواب خاصاً بحدود السؤال</w:t>
      </w:r>
      <w:r>
        <w:rPr>
          <w:rFonts w:eastAsia="IRNazanin" w:cs="IRNazanin"/>
          <w:color w:val="111111"/>
          <w:sz w:val="28"/>
          <w:szCs w:val="28"/>
          <w:rtl w:val="true"/>
          <w:lang w:bidi="fa-IR"/>
        </w:rPr>
        <w:t xml:space="preserve">. </w:t>
      </w:r>
      <w:bookmarkStart w:id="521" w:name="pg6289_41990"/>
    </w:p>
    <w:p>
      <w:pPr>
        <w:pStyle w:val="BookText"/>
        <w:rPr/>
      </w:pPr>
      <w:bookmarkEnd w:id="521"/>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المراد النظر إلی الجسم من وراء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یطلق علی ذلک النظر إلی المرأة، بل إلی ثیابها، بالإضافة إلی أنه عرف بأنها جمیلة، فلا بد أن یکون النظر إلی مقدار من وجهها مثلاً</w:t>
      </w:r>
      <w:r>
        <w:rPr>
          <w:rFonts w:eastAsia="IRNazanin" w:cs="IRNazanin"/>
          <w:color w:val="111111"/>
          <w:sz w:val="28"/>
          <w:szCs w:val="28"/>
          <w:rtl w:val="true"/>
          <w:lang w:bidi="fa-IR"/>
        </w:rPr>
        <w:t>.</w:t>
      </w:r>
    </w:p>
    <w:p>
      <w:pPr>
        <w:pStyle w:val="Heading6"/>
        <w:numPr>
          <w:ilvl w:val="5"/>
          <w:numId w:val="1"/>
        </w:numPr>
        <w:rPr/>
      </w:pPr>
      <w:bookmarkStart w:id="522" w:name="__RefHeading___Toc2133610_237004111"/>
      <w:bookmarkStart w:id="523" w:name="_Toc205"/>
      <w:bookmarkEnd w:id="522"/>
      <w:r>
        <w:rPr>
          <w:rtl w:val="true"/>
        </w:rPr>
        <w:t>الإشکال الثالث</w:t>
      </w:r>
      <w:r>
        <w:rPr>
          <w:rtl w:val="true"/>
        </w:rPr>
        <w:t xml:space="preserve">: </w:t>
      </w:r>
      <w:r>
        <w:rPr>
          <w:rtl w:val="true"/>
        </w:rPr>
        <w:t>جلالة ابن سوید تمنعه من النظر العمدی</w:t>
      </w:r>
      <w:bookmarkEnd w:id="523"/>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ومما یؤید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حملها علی عدم التعمد والقصد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البعید جداً أن یفعل علی بن سوید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جلالة قدره وعظم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قاصداً متلذذاً، ثم ینقله بکل صراحة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الابتلاء تارة یکون ابتلاءً نفسانیاً من جهة غلبة النفس الأمارة وقاهریة القوة الشهویة، فیجد نفسه مبتلی بالبخوع للمیولات النفسانیة، وأخری یکون ابتلاءً عملیاً،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اقتضاء شغله لذلک مثلاً، کما أنّ الإعجاب قد یکون إعجاباً شهویاً، وقد یکون إعجاباً غیر شهوی، وقد أشار إلی ذلک فی شرح العروة</w:t>
      </w:r>
      <w:r>
        <w:rPr>
          <w:rFonts w:eastAsia="IRNazanin" w:cs="IRNazanin"/>
          <w:color w:val="111111"/>
          <w:sz w:val="28"/>
          <w:szCs w:val="28"/>
          <w:rtl w:val="true"/>
          <w:lang w:bidi="fa-IR"/>
        </w:rPr>
        <w:t>(</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الابتلاء العملی والإعجاب غیر الشهوی لا ینافی جلالة القدر وعظم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علی بن سوید کسلمان المحمدی، حتی ینافی ذلک عظم شأنه؟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هنالک روایات تدل علی جلالة شأنه، وأنّ له من آل </w:t>
      </w:r>
      <w:bookmarkStart w:id="524" w:name="pg6289_41991"/>
    </w:p>
    <w:p>
      <w:pPr>
        <w:pStyle w:val="BookText"/>
        <w:rPr/>
      </w:pPr>
      <w:bookmarkEnd w:id="524"/>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خاصة، وقد نقلها الکشی</w:t>
      </w:r>
      <w:r>
        <w:rPr>
          <w:rFonts w:eastAsia="IRNazanin" w:cs="IRNazanin"/>
          <w:color w:val="111111"/>
          <w:sz w:val="28"/>
          <w:szCs w:val="28"/>
          <w:rtl w:val="true"/>
          <w:lang w:bidi="fa-IR"/>
        </w:rPr>
        <w:t>(</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علی الحائری فی منتهی المقال ووثقها</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5" w:name="__RefHeading___Toc2133612_237004111"/>
      <w:bookmarkStart w:id="526" w:name="_Toc206"/>
      <w:bookmarkEnd w:id="525"/>
      <w:r>
        <w:rPr>
          <w:rtl w:val="true"/>
        </w:rPr>
        <w:t>الإشکال الرابع</w:t>
      </w:r>
      <w:r>
        <w:rPr>
          <w:rtl w:val="true"/>
        </w:rPr>
        <w:t xml:space="preserve">: </w:t>
      </w:r>
      <w:r>
        <w:rPr>
          <w:rtl w:val="true"/>
        </w:rPr>
        <w:t>الروایة ظاهرة فی صورة الاضطرار للنظر</w:t>
      </w:r>
      <w:bookmarkEnd w:id="526"/>
    </w:p>
    <w:p>
      <w:pPr>
        <w:pStyle w:val="BookText"/>
        <w:rPr/>
      </w:pPr>
      <w:r>
        <w:rPr>
          <w:rFonts w:ascii="IRNazanin" w:hAnsi="IRNazanin" w:eastAsia="IRNazanin"/>
          <w:color w:val="111111"/>
          <w:sz w:val="28"/>
          <w:sz w:val="28"/>
          <w:szCs w:val="28"/>
          <w:rtl w:val="true"/>
          <w:lang w:bidi="fa-IR"/>
        </w:rPr>
        <w:t>إنّ ظاهر الروایة السؤال عن صورة الاضطرار إلی النظر،کاقتضاء شغله لذلک، کما فی الطبیب ونحوه، ولیس الکلام فی الاضطرار، ولا إطلاق لکلمة مبتلی؛ لأنه حکایة فعل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النراقی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الظاهر من الابتلاء الاضطرار إلیه وعدم إمکان التحرز</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 التعبیر بالابتلاء هو الاضطرار، وکأن الوجه فی السؤال ما یدخله بعد النظر المعبر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فیعجبنی</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فرض عدم الظهور فلا أقل من تطرق الاحتمال، وهو مسقط للاستدلال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اضطرار إلی النظر؛ لإمکان تبدیل العمل، وأدلة الاضطرار لا تشمل الاضطرار الذی یکون بالاختیار؛ وذلک بکون مقدماته اختیاریة، ولم یستفصل فی الجواب عن إمکان التغییر وعدمه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أدلته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الاضطرار العرفی لا العقلی، کما أشار </w:t>
      </w:r>
    </w:p>
    <w:p>
      <w:pPr>
        <w:pStyle w:val="BookText"/>
        <w:rPr/>
      </w:pPr>
      <w:r>
        <w:rPr>
          <w:rFonts w:ascii="IRNazanin" w:hAnsi="IRNazanin" w:eastAsia="IRNazanin"/>
          <w:color w:val="111111"/>
          <w:sz w:val="28"/>
          <w:sz w:val="28"/>
          <w:szCs w:val="28"/>
          <w:rtl w:val="true"/>
          <w:lang w:bidi="fa-IR"/>
        </w:rPr>
        <w:t xml:space="preserve">إلیه السید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الألفاظ تحمل علی المعانی العرفیة، إلا مع قیام الدلیل علی الخلاف، وتبدیل العمل أمر متعسر عادة، فیکون المکلف مضطراً للاستمرار فیه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حکم الاضطرار یتعدی إلی الطرف الآخر الذی یتقوم به رفع الاضطرار، وحیث إنّ الناس مضطرون إلی مراجعة أرباب الصنائع والمهن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یتعدی حکم الجواز إلیهم، وإن لم یکونوا بأنفسهم مضطرین إلی العمل؛ إذ لا یمکن للشارع أن یجوز الفعل للمضطر ویحرمه علی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إمکان اضطرار الراوی إلی عمله عقلاً، وعدم إمکان تبدیله إیاه، وحیث إنّ الروایة تتضمن حکایة قضیة خارجیة لا یکون لها إطلاق،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وهی تعمّم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یحتمل کونه قیداً لا علة،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لتخصیص الحکم بمَن له عمل، بل یشمل الماشی فی الأسواق من دون سبب، وإن أبیت إلاّ عن التخصیص فیمکن جعل الحکم علی موضوع المبتلی، فیجوز النظر لمَن کان مبتلی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حکایة فعل خارجی، ولا یعلم حدود الابتلاء ووجهه، والحکم خاص لموضوع خاص، حیث لم یقل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للمبتلی بالنظر إلی النساء أن ینظر إلیهن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یقال بالإطلاق، فکما أن السؤال لا إطلاق </w:t>
      </w:r>
      <w:bookmarkStart w:id="527" w:name="pg6289_41993"/>
    </w:p>
    <w:p>
      <w:pPr>
        <w:pStyle w:val="BookText"/>
        <w:rPr/>
      </w:pPr>
      <w:bookmarkEnd w:id="527"/>
      <w:r>
        <w:rPr>
          <w:rFonts w:ascii="IRNazanin" w:hAnsi="IRNazanin" w:eastAsia="IRNazanin"/>
          <w:color w:val="111111"/>
          <w:sz w:val="28"/>
          <w:sz w:val="28"/>
          <w:szCs w:val="28"/>
          <w:rtl w:val="true"/>
          <w:lang w:bidi="fa-IR"/>
        </w:rPr>
        <w:t>فیه کذلک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الجواهر والسید الخوئی والسید السبزواری حملوا الروایة علی النظر الاتفاقی، والمحقق النراقی حملها علی الاضطرار، وأمّا السید الوالد فقد ارتضی دلالتها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تم الإشکال الرابع فالروایة ساقطة عن الاستدلال، وأمّا مع القول بالإطلاق فهی تدلّ علی الجواز، ولقلنا بما قال به الشیخ</w:t>
      </w:r>
      <w:r>
        <w:rPr>
          <w:rFonts w:eastAsia="IRNazanin" w:cs="IRNazanin"/>
          <w:color w:val="111111"/>
          <w:sz w:val="28"/>
          <w:szCs w:val="28"/>
          <w:rtl w:val="true"/>
          <w:lang w:bidi="fa-IR"/>
        </w:rPr>
        <w:t>.</w:t>
      </w:r>
    </w:p>
    <w:p>
      <w:pPr>
        <w:pStyle w:val="Heading6"/>
        <w:numPr>
          <w:ilvl w:val="5"/>
          <w:numId w:val="1"/>
        </w:numPr>
        <w:rPr/>
      </w:pPr>
      <w:bookmarkStart w:id="528" w:name="__RefHeading___Toc2133614_237004111"/>
      <w:bookmarkStart w:id="529" w:name="_Toc207"/>
      <w:bookmarkEnd w:id="528"/>
      <w:r>
        <w:rPr>
          <w:rtl w:val="true"/>
        </w:rPr>
        <w:t>الدلیل التاسع</w:t>
      </w:r>
      <w:r>
        <w:rPr>
          <w:rtl w:val="true"/>
        </w:rPr>
        <w:t xml:space="preserve">: </w:t>
      </w:r>
      <w:r>
        <w:rPr>
          <w:rtl w:val="true"/>
        </w:rPr>
        <w:t>موثقة زرعة</w:t>
      </w:r>
      <w:bookmarkEnd w:id="529"/>
    </w:p>
    <w:p>
      <w:pPr>
        <w:pStyle w:val="BookText"/>
        <w:rPr/>
      </w:pPr>
      <w:r>
        <w:rPr>
          <w:rFonts w:ascii="IRNazanin" w:hAnsi="IRNazanin" w:eastAsia="IRNazanin"/>
          <w:color w:val="111111"/>
          <w:sz w:val="28"/>
          <w:sz w:val="28"/>
          <w:szCs w:val="28"/>
          <w:rtl w:val="true"/>
          <w:lang w:bidi="fa-IR"/>
        </w:rPr>
        <w:t>ما استدل به فی مبانی المنهاج</w:t>
      </w:r>
      <w:r>
        <w:rPr>
          <w:rFonts w:eastAsia="IRNazanin" w:cs="IRNazanin"/>
          <w:color w:val="111111"/>
          <w:sz w:val="28"/>
          <w:szCs w:val="28"/>
          <w:rtl w:val="true"/>
          <w:lang w:bidi="fa-IR"/>
        </w:rPr>
        <w:t>(</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محمد بن عیسی، عن علی بن الحکم، عن زرعة بن محمد</w:t>
      </w:r>
      <w:r>
        <w:rPr>
          <w:rFonts w:eastAsia="IRNazanin" w:cs="IRNazanin"/>
          <w:color w:val="111111"/>
          <w:sz w:val="28"/>
          <w:szCs w:val="28"/>
          <w:rtl w:val="true"/>
          <w:lang w:bidi="fa-IR"/>
        </w:rPr>
        <w:t>(</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رجل بالمدینة له جاریة نفیسة فوقعت فی قلب رجل وأعجب بها، فشکا ذلک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لرؤیتها، وکلما رأیتها فقل أسال الله من فضله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فعل ذلک فعرض لسید الجاریة سفر وأراد أن یودعها عند ذلک الرجل فأبی فباعه إیاها</w:t>
      </w:r>
      <w:r>
        <w:rPr>
          <w:rFonts w:eastAsia="IRNazanin" w:cs="IRNazanin"/>
          <w:color w:val="111111"/>
          <w:sz w:val="28"/>
          <w:szCs w:val="28"/>
          <w:rtl w:val="true"/>
          <w:lang w:bidi="fa-IR"/>
        </w:rPr>
        <w:t>»(</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الحدیث فیه تفصیل مرّ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هذه الروایة تدل بالصراحة علی جواز النظر إلی الأجنبیة</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نظر؛ إذ الأمة فی الروایة موضوع حکم ثبت للغیر،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یجوز النظر إلیها، لا موضوع لحکم ثابت لها، فلا تقاس بها الحرة، خاصة مع العلم </w:t>
      </w:r>
      <w:bookmarkStart w:id="530" w:name="pg6289_41994"/>
    </w:p>
    <w:p>
      <w:pPr>
        <w:pStyle w:val="BookText"/>
        <w:rPr/>
      </w:pPr>
      <w:bookmarkEnd w:id="530"/>
      <w:r>
        <w:rPr>
          <w:rFonts w:ascii="IRNazanin" w:hAnsi="IRNazanin" w:eastAsia="IRNazanin"/>
          <w:color w:val="111111"/>
          <w:sz w:val="28"/>
          <w:sz w:val="28"/>
          <w:szCs w:val="28"/>
          <w:rtl w:val="true"/>
          <w:lang w:bidi="fa-IR"/>
        </w:rPr>
        <w:t>باختلاف کثیر من أحکام الحرة والأمة فی الشرع، وعلیه فلا مسرح لقاعدة الاشتراک فی التکالیف فی المقام، فما نحن فیه نظیر ما لو قال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یجوز تحلیلها للغیر، فهل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الزوجة یجوز أیضاً تحلیلها بقاعدة الاشتراک؟ وکذا لو قال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یجوز للرجال الصلاة خلفه، فهل یستفاد منه أن المرأة یجوز للرجال الصلاة خلفها؟</w:t>
      </w:r>
    </w:p>
    <w:p>
      <w:pPr>
        <w:pStyle w:val="BookText"/>
        <w:rPr/>
      </w:pPr>
      <w:r>
        <w:rPr>
          <w:rFonts w:ascii="IRNazanin" w:hAnsi="IRNazanin" w:eastAsia="IRNazanin"/>
          <w:color w:val="111111"/>
          <w:sz w:val="28"/>
          <w:sz w:val="28"/>
          <w:szCs w:val="28"/>
          <w:rtl w:val="true"/>
          <w:lang w:bidi="fa-IR"/>
        </w:rPr>
        <w:t>فإنّ مفاد الاشتراک فی التکلیف ثبوت الحکم لبقیة المکلفین إذا ثبت لمکلف واحد، أما لو کان شیء موضوعاً لحکم متعلق بالآخرین، بأن ثبت الحکم للآخرین فلا یمکن تعدیة الحکم إلی موضوع آخر، کالأمة التی هی موضوع لجواز النظر للآخرین، فلا یمکن تعدیة الحکم إلی الحرة التی هی موضوع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الجواب باحتمال کون النظر إلی هیکلها من وراء الحجاب لا الوجه فبعید، إذ الرؤیة اُسندت إلی نفس الأمة لا إلی ثیابها، خاصة مع دلالة القرائن علی کشف الإماء لوجوههن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تدل علی الجواز حتی مع التلذذ والشهوة، والعرف ببابک</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یعدو الإطلاق، وهو قابل للتقیید بالأدلة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أرَ مَن استدل بهذه الروایة، وقد تفرد بها السید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واعتمد علیه</w:t>
      </w:r>
      <w:r>
        <w:rPr>
          <w:rFonts w:eastAsia="IRNazanin" w:cs="IRNazanin"/>
          <w:color w:val="111111"/>
          <w:sz w:val="28"/>
          <w:szCs w:val="28"/>
          <w:rtl w:val="true"/>
          <w:lang w:bidi="fa-IR"/>
        </w:rPr>
        <w:t>.</w:t>
      </w:r>
    </w:p>
    <w:p>
      <w:pPr>
        <w:pStyle w:val="Heading6"/>
        <w:numPr>
          <w:ilvl w:val="5"/>
          <w:numId w:val="1"/>
        </w:numPr>
        <w:rPr/>
      </w:pPr>
      <w:bookmarkStart w:id="531" w:name="__RefHeading___Toc2133616_237004111"/>
      <w:bookmarkStart w:id="532" w:name="_Toc208"/>
      <w:bookmarkEnd w:id="531"/>
      <w:r>
        <w:rPr>
          <w:rtl w:val="true"/>
        </w:rPr>
        <w:t>الدلیل العاشر</w:t>
      </w:r>
      <w:r>
        <w:rPr>
          <w:rtl w:val="true"/>
        </w:rPr>
        <w:t xml:space="preserve">: </w:t>
      </w:r>
      <w:r>
        <w:rPr>
          <w:rtl w:val="true"/>
        </w:rPr>
        <w:t>روایة أبی الجارود</w:t>
      </w:r>
      <w:bookmarkEnd w:id="532"/>
    </w:p>
    <w:p>
      <w:pPr>
        <w:pStyle w:val="Heading6"/>
        <w:numPr>
          <w:ilvl w:val="5"/>
          <w:numId w:val="1"/>
        </w:numPr>
        <w:rPr/>
      </w:pPr>
      <w:bookmarkStart w:id="533" w:name="__RefHeading___Toc2133618_237004111"/>
      <w:bookmarkStart w:id="534" w:name="_Toc209"/>
      <w:bookmarkEnd w:id="533"/>
      <w:r>
        <w:rPr>
          <w:rtl w:val="true"/>
        </w:rPr>
        <w:t>اشارة</w:t>
      </w:r>
      <w:bookmarkEnd w:id="53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أبی الجارود، عن أبی </w:t>
      </w:r>
      <w:bookmarkStart w:id="535" w:name="pg6289_41995"/>
    </w:p>
    <w:p>
      <w:pPr>
        <w:pStyle w:val="BookText"/>
        <w:rPr/>
      </w:pPr>
      <w:bookmarkEnd w:id="535"/>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یُبْدِینَ زِینَتَهُنَّ إِلا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الثیاب والکحل والخاتم وخضاب الکف والسوار، والزینة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زینة للناس، وزینة للمحرم، وزینة للزوج، فأما زینة الناس فقد ذکرنا، وأمّا زینة المحرم فموضع القلادة فما فوقها، والدملج</w:t>
      </w:r>
      <w:r>
        <w:rPr>
          <w:rFonts w:eastAsia="IRNazanin" w:cs="IRNazanin"/>
          <w:color w:val="111111"/>
          <w:sz w:val="28"/>
          <w:szCs w:val="28"/>
          <w:rtl w:val="true"/>
          <w:lang w:bidi="fa-IR"/>
        </w:rPr>
        <w:t>(</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دونه والخلخال وما أسفل منه، وأمّا زینة الزوج فالجسد کله</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6" w:name="__RefHeading___Toc2133620_237004111"/>
      <w:bookmarkStart w:id="537" w:name="_Toc210"/>
      <w:bookmarkEnd w:id="536"/>
      <w:r>
        <w:rPr>
          <w:rtl w:val="true"/>
        </w:rPr>
        <w:t>الإشکالات علی الدلیل العاشر</w:t>
      </w:r>
      <w:bookmarkEnd w:id="537"/>
    </w:p>
    <w:p>
      <w:pPr>
        <w:pStyle w:val="Heading6"/>
        <w:numPr>
          <w:ilvl w:val="5"/>
          <w:numId w:val="1"/>
        </w:numPr>
        <w:rPr/>
      </w:pPr>
      <w:bookmarkStart w:id="538" w:name="__RefHeading___Toc2133622_237004111"/>
      <w:bookmarkStart w:id="539" w:name="_Toc211"/>
      <w:bookmarkEnd w:id="538"/>
      <w:r>
        <w:rPr>
          <w:rtl w:val="true"/>
        </w:rPr>
        <w:t>اشارة</w:t>
      </w:r>
      <w:bookmarkEnd w:id="539"/>
    </w:p>
    <w:p>
      <w:pPr>
        <w:pStyle w:val="BookText"/>
        <w:rPr/>
      </w:pPr>
      <w:r>
        <w:rPr>
          <w:rFonts w:ascii="IRNazanin" w:hAnsi="IRNazanin" w:eastAsia="IRNazanin"/>
          <w:color w:val="111111"/>
          <w:sz w:val="28"/>
          <w:sz w:val="28"/>
          <w:szCs w:val="28"/>
          <w:rtl w:val="true"/>
          <w:lang w:bidi="fa-IR"/>
        </w:rPr>
        <w:t>ویرد علی الاستدلال بها إشکالات</w:t>
      </w:r>
      <w:r>
        <w:rPr>
          <w:rFonts w:eastAsia="IRNazanin" w:cs="IRNazanin"/>
          <w:color w:val="111111"/>
          <w:sz w:val="28"/>
          <w:szCs w:val="28"/>
          <w:rtl w:val="true"/>
          <w:lang w:bidi="fa-IR"/>
        </w:rPr>
        <w:t>:</w:t>
      </w:r>
    </w:p>
    <w:p>
      <w:pPr>
        <w:pStyle w:val="Heading6"/>
        <w:numPr>
          <w:ilvl w:val="5"/>
          <w:numId w:val="1"/>
        </w:numPr>
        <w:rPr/>
      </w:pPr>
      <w:bookmarkStart w:id="540" w:name="__RefHeading___Toc2133624_237004111"/>
      <w:bookmarkStart w:id="541" w:name="_Toc212"/>
      <w:bookmarkEnd w:id="540"/>
      <w:r>
        <w:rPr>
          <w:rtl w:val="true"/>
        </w:rPr>
        <w:t>الإشکال الأول</w:t>
      </w:r>
      <w:r>
        <w:rPr>
          <w:rtl w:val="true"/>
        </w:rPr>
        <w:t xml:space="preserve">: </w:t>
      </w:r>
      <w:r>
        <w:rPr>
          <w:rtl w:val="true"/>
        </w:rPr>
        <w:t>ضعف السند</w:t>
      </w:r>
      <w:bookmarkEnd w:id="541"/>
    </w:p>
    <w:p>
      <w:pPr>
        <w:pStyle w:val="BookText"/>
        <w:rPr/>
      </w:pPr>
      <w:r>
        <w:rPr>
          <w:rFonts w:ascii="IRNazanin" w:hAnsi="IRNazanin" w:eastAsia="IRNazanin"/>
          <w:color w:val="111111"/>
          <w:sz w:val="28"/>
          <w:sz w:val="28"/>
          <w:szCs w:val="28"/>
          <w:rtl w:val="true"/>
          <w:lang w:bidi="fa-IR"/>
        </w:rPr>
        <w:t>ضعف أبی الجارود زیاد بن المنذر لتضعیف الکشی إیاه</w:t>
      </w:r>
      <w:r>
        <w:rPr>
          <w:rFonts w:eastAsia="IRNazanin" w:cs="IRNazanin"/>
          <w:color w:val="111111"/>
          <w:sz w:val="28"/>
          <w:szCs w:val="28"/>
          <w:rtl w:val="true"/>
          <w:lang w:bidi="fa-IR"/>
        </w:rPr>
        <w:t>(</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السید الرجائی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ورد الذم فی أبی الجارود، فالسند غیر واضح</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قد یقال بوثاقته؛ لوجود المقتضی وعدم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وجود المقتضی فلأمور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روی فی تفسیر القمی</w:t>
      </w:r>
      <w:r>
        <w:rPr>
          <w:rFonts w:eastAsia="IRNazanin" w:cs="IRNazanin"/>
          <w:color w:val="111111"/>
          <w:sz w:val="28"/>
          <w:szCs w:val="28"/>
          <w:rtl w:val="true"/>
          <w:lang w:bidi="fa-IR"/>
        </w:rPr>
        <w:t>(</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حجة علی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المبنی نظر مذکور فی محله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وفیه أنّ المبنی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الأجلاء عنه</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أعم من 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الشیخ المفید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العددیة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من فقهاء أبی جعفر وأبی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الأعلام الرؤساء المأخوذ عنهم الحلال والحرام والفتیا والأحکام، الذین لا یطعن علیهم، ولا طریق إلی ذم واحد منهم</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المعتمد بعنوان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الغضائری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أصحابنا یکرهون ما رواه محمد بن سنان عنه، ویعتمدون ما رواه محمد بن بکر الأرجنی</w:t>
      </w:r>
      <w:r>
        <w:rPr>
          <w:rFonts w:eastAsia="IRNazanin" w:cs="IRNazanin"/>
          <w:color w:val="111111"/>
          <w:sz w:val="28"/>
          <w:szCs w:val="28"/>
          <w:rtl w:val="true"/>
          <w:lang w:bidi="fa-IR"/>
        </w:rPr>
        <w:t>»(</w:t>
      </w:r>
      <w:r>
        <w:rPr>
          <w:rStyle w:val="FootnoteAnchor"/>
          <w:rtl w:val="true"/>
        </w:rPr>
        <w:footnoteReference w:id="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إشکال فی أبی الجارود، وإنما الإشکال فی ابن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اعتمادهم لخصوصیة فی الأرجنی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لراوٍ طریقان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مقبول دون الآخر، یستفاد منه أنه ثقة، وإنما الإشکال فی أحد الطریقین، وابن الغضائری معروف فی تسرعه فی تضعیفاته، وبالذات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أقل من ثلاثة منهم، لا أقل من اعتباره مؤیداً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المانع المتصور فی المقام أمور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سرحوباً فی روایة ذکرها الکشی، حیث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 أن أبا الجارود سمی سرحوباً وتنسب إلیه السرحوبیة من الزیدیة، سماه بذلک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أنّ سرحوباً اسم شیطان أعمی یسکن البحر، وکان أبو الجارود مکفوفاً أعمی أعمی القلب</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روایات فی ذمه،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فمرت بنا جاریة معها قمقم فقلبته،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عزّ وجل إن کان قَلَبَ قَلْب أبی الجارود کما قلبت هذه الجاریة هذا القمقم فما ذنبی</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فعل أبو الجارود، أما والله لا یموت إلا تائهاً</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کلها ضعیفة</w:t>
      </w:r>
      <w:r>
        <w:rPr>
          <w:rFonts w:eastAsia="IRNazanin" w:cs="IRNazanin"/>
          <w:color w:val="111111"/>
          <w:sz w:val="28"/>
          <w:szCs w:val="28"/>
          <w:rtl w:val="true"/>
          <w:lang w:bidi="fa-IR"/>
        </w:rPr>
        <w:t>(</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معظمها لا تنافی الوثاقة؛ لأنها ذم لعقیدته لا نفی لوثاقته، فقد یکون التائه المقلوب القلب ثقة، فالوثاقة لا ترتبط بالدیانة، فقد یکون منحرفاً، لکن لا یکذب، کالاعتماد فی الأخبار علی العامی والطاطری والفطحی والناووسی وغیرهم، فلا ینافی ذلک توثیق المفید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الکشی إیاه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لم نجد تضعیفاً منه، وإنما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أبو الجارود مکفوفاً أعمی </w:t>
      </w:r>
    </w:p>
    <w:p>
      <w:pPr>
        <w:pStyle w:val="BookText"/>
        <w:rPr/>
      </w:pPr>
      <w:r>
        <w:rPr>
          <w:rFonts w:ascii="IRNazanin" w:hAnsi="IRNazanin" w:eastAsia="IRNazanin"/>
          <w:color w:val="111111"/>
          <w:sz w:val="28"/>
          <w:sz w:val="28"/>
          <w:szCs w:val="28"/>
          <w:rtl w:val="true"/>
          <w:lang w:bidi="fa-IR"/>
        </w:rPr>
        <w:t>أعمی القلب</w:t>
      </w:r>
      <w:r>
        <w:rPr>
          <w:rFonts w:eastAsia="IRNazanin" w:cs="IRNazanin"/>
          <w:color w:val="111111"/>
          <w:sz w:val="28"/>
          <w:szCs w:val="28"/>
          <w:rtl w:val="true"/>
          <w:lang w:bidi="fa-IR"/>
        </w:rPr>
        <w:t>»(</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یدلّ ذلک علی عدم 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العلامة المجلسی إیاه فی رجاله</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أمارات التوثیق أقوی، خاصة أنها صدرت من المتقدمین، کالمفید و ابن الغضائری وغیرهما، فتتقدم علی تضعیف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الوحید البهبهانی فی تعلیقته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 المراد من الطعن والذم المنفیین ما هو بالقیاس إلی الاعتماد علیه وقبول قوله و وثاقته، کما هو الظاهر من روایاته، ومن عد عمار السّاباطی وأمثاله منهم</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تناقض السید الخوئی فیه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ثقة</w:t>
      </w:r>
      <w:r>
        <w:rPr>
          <w:rFonts w:eastAsia="IRNazanin" w:cs="IRNazanin"/>
          <w:color w:val="111111"/>
          <w:sz w:val="28"/>
          <w:szCs w:val="28"/>
          <w:rtl w:val="true"/>
          <w:lang w:bidi="fa-IR"/>
        </w:rPr>
        <w:t>»(</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ولکنه ضعفه فی ترجمة البراء بن عازب</w:t>
      </w:r>
      <w:r>
        <w:rPr>
          <w:rFonts w:eastAsia="IRNazanin" w:cs="IRNazanin"/>
          <w:color w:val="111111"/>
          <w:sz w:val="28"/>
          <w:szCs w:val="28"/>
          <w:rtl w:val="true"/>
          <w:lang w:bidi="fa-IR"/>
        </w:rPr>
        <w:t>(</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ذکر الحدیث الرابع والأربعین من الخصال لوقوعه فی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ذلک أنّ الإشکال الأول محل تأمل، فإنّ الراوی ثقة، لکنه مطعون فی عقیدته، وقد ثبت أنه زیدی</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أنکم ترون الاعتبار للمتأخرین کالمتقدمین، فیتعارض فیه التوثیق والتضعیف، ولا فرق فی ذلک بین تعدد التوثیق ووحدة التضعیف، کعدم تقدیم البینتین علی البینة الواحدة</w:t>
      </w:r>
      <w:r>
        <w:rPr>
          <w:rFonts w:eastAsia="IRNazanin" w:cs="IRNazanin"/>
          <w:color w:val="111111"/>
          <w:sz w:val="28"/>
          <w:szCs w:val="28"/>
          <w:rtl w:val="true"/>
          <w:lang w:bidi="fa-IR"/>
        </w:rPr>
        <w:t xml:space="preserve">. </w:t>
      </w:r>
      <w:bookmarkStart w:id="542" w:name="pg6289_41999"/>
    </w:p>
    <w:p>
      <w:pPr>
        <w:pStyle w:val="BookText"/>
        <w:rPr/>
      </w:pPr>
      <w:bookmarkEnd w:id="542"/>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أمارات التوثیق أقوی فتتقدم، وأمّا التعدد والوحدة، فقد قال البعض،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الوالد فی شرحه علی العروة</w:t>
      </w:r>
      <w:r>
        <w:rPr>
          <w:rFonts w:eastAsia="IRNazanin" w:cs="IRNazanin"/>
          <w:color w:val="111111"/>
          <w:sz w:val="28"/>
          <w:szCs w:val="28"/>
          <w:rtl w:val="true"/>
          <w:lang w:bidi="fa-IR"/>
        </w:rPr>
        <w:t>(</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بتقدیم المتعدد، ویشهد له روایة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 لأکثرهم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الناحیة العقلائیة حینما تلاحظونهما تجدون أنّ شهادات التوثیق أقوی عقلائیاً من التضعیف</w:t>
      </w:r>
      <w:r>
        <w:rPr>
          <w:rFonts w:eastAsia="IRNazanin" w:cs="IRNazanin"/>
          <w:color w:val="111111"/>
          <w:sz w:val="28"/>
          <w:szCs w:val="28"/>
          <w:rtl w:val="true"/>
          <w:lang w:bidi="fa-IR"/>
        </w:rPr>
        <w:t>.</w:t>
      </w:r>
    </w:p>
    <w:p>
      <w:pPr>
        <w:pStyle w:val="Heading6"/>
        <w:numPr>
          <w:ilvl w:val="5"/>
          <w:numId w:val="1"/>
        </w:numPr>
        <w:rPr/>
      </w:pPr>
      <w:bookmarkStart w:id="543" w:name="__RefHeading___Toc2133626_237004111"/>
      <w:bookmarkStart w:id="544" w:name="_Toc213"/>
      <w:bookmarkEnd w:id="543"/>
      <w:r>
        <w:rPr>
          <w:rtl w:val="true"/>
        </w:rPr>
        <w:t>الإشکال الثانی</w:t>
      </w:r>
      <w:r>
        <w:rPr>
          <w:rtl w:val="true"/>
        </w:rPr>
        <w:t xml:space="preserve">: </w:t>
      </w:r>
      <w:r>
        <w:rPr>
          <w:rtl w:val="true"/>
        </w:rPr>
        <w:t>إرسال الروایة</w:t>
      </w:r>
      <w:bookmarkEnd w:id="544"/>
    </w:p>
    <w:p>
      <w:pPr>
        <w:pStyle w:val="BookText"/>
        <w:rPr/>
      </w:pPr>
      <w:r>
        <w:rPr>
          <w:rFonts w:ascii="IRNazanin" w:hAnsi="IRNazanin" w:eastAsia="IRNazanin"/>
          <w:color w:val="111111"/>
          <w:sz w:val="28"/>
          <w:sz w:val="28"/>
          <w:szCs w:val="28"/>
          <w:rtl w:val="true"/>
          <w:lang w:bidi="fa-IR"/>
        </w:rPr>
        <w:t>وقد ذکره السید الخوئی،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فإنها مرسلة؛ لأن أبا الجارود ممن یروی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فالفصل بینه وبین علی بن إبراهیم کثیر جداً، فلا یمکن أن یروی عنه مباشرة</w:t>
      </w:r>
      <w:r>
        <w:rPr>
          <w:rFonts w:eastAsia="IRNazanin" w:cs="IRNazanin"/>
          <w:color w:val="111111"/>
          <w:sz w:val="28"/>
          <w:szCs w:val="28"/>
          <w:rtl w:val="true"/>
          <w:lang w:bidi="fa-IR"/>
        </w:rPr>
        <w:t>»(</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وتبعه فی مبانی المنهاج</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أبا الجارود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بدلیل ما قاله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من أصحاب أبی جعفر، وروی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وتغیر لما خرج زید رضی الله عنه</w:t>
      </w:r>
      <w:r>
        <w:rPr>
          <w:rFonts w:eastAsia="IRNazanin" w:cs="IRNazanin"/>
          <w:color w:val="111111"/>
          <w:sz w:val="28"/>
          <w:szCs w:val="28"/>
          <w:rtl w:val="true"/>
          <w:lang w:bidi="fa-IR"/>
        </w:rPr>
        <w:t>»(</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خرج زید بعد استشهاد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بسبعة أعوام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ولبیان عدم الإمکان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استشهد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فلا بد أن تکون ولادة أبی الجارود سنة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الأقل، حتی یروی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مثلاً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ولد الإمام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واستشهد سنة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بقی علی بن إبراهیم حیاً إلی 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الأقل، لما رواه الصدوق فی العیون عن حمزة بن محمد</w:t>
      </w:r>
      <w:r>
        <w:rPr>
          <w:rFonts w:eastAsia="IRNazanin" w:cs="IRNazanin"/>
          <w:color w:val="111111"/>
          <w:sz w:val="28"/>
          <w:szCs w:val="28"/>
          <w:rtl w:val="true"/>
          <w:lang w:bidi="fa-IR"/>
        </w:rPr>
        <w:t>(</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علی بن إبراهیم سنة سبع وثلاثمائة</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بد أن نفرض أنّ أبا الجارود عمّر حوالی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أعوام، وعلی بن إبراهیم أیضاً عمّر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أعوام، والتقیا ببعض فروی أحدهما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فلتصحیح روایة أحدهما عن الآخر لابد من فرض ولادة أبی الجارود سنة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وأنه عاش إلی سنة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وفرض أن علی بن إبراهیم ولد سنة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یکون عمره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عند وفاة أبی الجارود، وقد عاش إلی سنة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وهذا مما لا یخلو عن غرابة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حمزة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أستاذ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فلا بد من البحث فی إمکان الاعتماد علی المجهول فی روایة التواریخ، ویری السید العم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الاعتماد، وعلیه بناء العقلاء فی التواریخ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وأظن أن هذا المقدار یسلب الوثوق؛ ولذا أسقط السید الخوئی الروایة وتبعه السید القمی</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الجواب عن هذه الشبهة بوجهین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الرجائی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یبعد أن یکون التفسیر المنسوب إلی علی بن إبراهیم مرکباً من تفسیره وتفسیر أبی الجارود، وعدم </w:t>
      </w:r>
    </w:p>
    <w:p>
      <w:pPr>
        <w:pStyle w:val="BookText"/>
        <w:rPr/>
      </w:pPr>
      <w:r>
        <w:rPr>
          <w:rFonts w:ascii="IRNazanin" w:hAnsi="IRNazanin" w:eastAsia="IRNazanin"/>
          <w:color w:val="111111"/>
          <w:sz w:val="28"/>
          <w:sz w:val="28"/>
          <w:szCs w:val="28"/>
          <w:rtl w:val="true"/>
          <w:lang w:bidi="fa-IR"/>
        </w:rPr>
        <w:t>ذکر الطریق هنا إلی أبی الجارود عول علی ذکره فی سائر الموارد</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فالروایة لیست عن علی بن إبراهیم حتی یشکل علیها بالإرسال، بل هی عن تفسیر أبی الجارود مسنداً، وسنده کما فی الآیة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تفسیر سورة آل عمران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بن محمد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کثیر بن عیاش، عن زیاد بن المنذر أبی الجارود</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فی المقام لم یذکر السند لتعویله علی بقیة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السید الرجائی من تلفیق التفسیرین ذکره بعض علماء الرجال أیضاً، وقد ذکروا لذلک بعض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الطریق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وإن تکفل بالقضاء علی شبهة الإرسال؛ إذ یکون الخبر مسنداً حینئذٍ، إلا أنه یتضمن الوقوع فی مشکلة الضعف؛ لضعف بعض من وقع فی سند تفسیر أبی الجارود، فإنه رواه أبو الفضل بسنده عن کثیر بن عیاش القطان، وسند النجاشی والشیخ ینتهیان إلیه أیضاً، فکل الطرق تنتهی إلی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ضعفه الشیخ</w:t>
      </w:r>
      <w:r>
        <w:rPr>
          <w:rFonts w:eastAsia="IRNazanin" w:cs="IRNazanin"/>
          <w:color w:val="111111"/>
          <w:sz w:val="28"/>
          <w:szCs w:val="28"/>
          <w:rtl w:val="true"/>
          <w:lang w:bidi="fa-IR"/>
        </w:rPr>
        <w:t>(</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ووروده فی تفسیر القمی لا یجدی، إما لعدم ارتضاء المبنی، وإمّا لتعارض التوثیق والتضعیف فیتساقطان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التعویل علی ذکر السند فی سائر الموارد مجرد احتمال، وکما یحتمل ذلک یحتمل الإرسال، فتأمل</w:t>
      </w:r>
      <w:r>
        <w:rPr>
          <w:rFonts w:eastAsia="IRNazanin" w:cs="IRNazanin"/>
          <w:color w:val="111111"/>
          <w:sz w:val="28"/>
          <w:szCs w:val="28"/>
          <w:rtl w:val="true"/>
          <w:lang w:bidi="fa-IR"/>
        </w:rPr>
        <w:t xml:space="preserve">. </w:t>
      </w:r>
      <w:bookmarkStart w:id="545" w:name="pg6289_42002"/>
    </w:p>
    <w:p>
      <w:pPr>
        <w:pStyle w:val="BookText"/>
        <w:rPr/>
      </w:pPr>
      <w:bookmarkEnd w:id="545"/>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أجاب به السید العم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یحتمل نقل علی بن إبراهیم عن کتاب أبی الجارود مباشرة لا عنه بتخلل واسطة محذوفة ومقتضی أصالة الحس علمه بکونه کتابه عن طریق الحس لا الحدس، فیکون الخبر حسیاً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تأمل ربما یعلم مما سبق،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الطریقان حسیان، فکما یمکن أن یکون نقل علی بن إبراهیم عن أبی الجارود مباشرة، کذلک یمکن أن یکون نقله عن واسطة محذوفة ثقة عنده، وتوثیقه کافٍ، فیدور الأمر بین الحس والحس، ولا ترجیح لأحدهما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احتمال ثالث، وهو اعتماد علی بن إبراهیم علی وثاقة الواسطة للقرائن الاجتهادیة، فیدور الأمر بین الحس والحدس، وتتقدم أصالة الحس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طریق آخر لحل الإشکال،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الراوی محذوفاً، إلا أنه ثقة؛ لکونه شیخاً مباشراً لعلی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الحکم بوثاقته مع احتمال کونه مما تعارض فیه التوثیق والتضعیف، ولا یصح التمسک بالعام فی الشبهة المصداقیة، کما هو الحال فی کثیر بن عیاش، کما یجری مثله فی مراسیل ابن أبی عمیر</w:t>
      </w:r>
      <w:r>
        <w:rPr>
          <w:rFonts w:eastAsia="IRNazanin" w:cs="IRNazanin"/>
          <w:color w:val="111111"/>
          <w:sz w:val="28"/>
          <w:szCs w:val="28"/>
          <w:rtl w:val="true"/>
          <w:lang w:bidi="fa-IR"/>
        </w:rPr>
        <w:t>.</w:t>
      </w:r>
    </w:p>
    <w:p>
      <w:pPr>
        <w:pStyle w:val="Heading6"/>
        <w:numPr>
          <w:ilvl w:val="5"/>
          <w:numId w:val="1"/>
        </w:numPr>
        <w:rPr/>
      </w:pPr>
      <w:bookmarkStart w:id="546" w:name="__RefHeading___Toc2133628_237004111"/>
      <w:bookmarkStart w:id="547" w:name="_Toc214"/>
      <w:bookmarkEnd w:id="546"/>
      <w:r>
        <w:rPr>
          <w:rtl w:val="true"/>
        </w:rPr>
        <w:t>الإشکال الثالث</w:t>
      </w:r>
      <w:r>
        <w:rPr>
          <w:rtl w:val="true"/>
        </w:rPr>
        <w:t xml:space="preserve">: </w:t>
      </w:r>
      <w:r>
        <w:rPr>
          <w:rtl w:val="true"/>
        </w:rPr>
        <w:t>إعراض الأصحاب عن الخبر</w:t>
      </w:r>
      <w:bookmarkEnd w:id="54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ما ذکره السید الروحانی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ضعیف السند والأصحاب </w:t>
      </w:r>
      <w:bookmarkStart w:id="548" w:name="pg6289_42003"/>
    </w:p>
    <w:p>
      <w:pPr>
        <w:pStyle w:val="BookText"/>
        <w:rPr/>
      </w:pPr>
      <w:bookmarkEnd w:id="548"/>
      <w:r>
        <w:rPr>
          <w:rFonts w:ascii="IRNazanin" w:hAnsi="IRNazanin" w:eastAsia="IRNazanin"/>
          <w:color w:val="111111"/>
          <w:sz w:val="28"/>
          <w:sz w:val="28"/>
          <w:szCs w:val="28"/>
          <w:rtl w:val="true"/>
          <w:lang w:bidi="fa-IR"/>
        </w:rPr>
        <w:t>أعرضوا عنه</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وکأن نظره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وأمّا زینة المحرم فموضع القلادة فما فوقها والدملج فما دونه والخلخال وما أسفل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أعرض المشهور عنه لجواز نظر المحارم إلی ما خلا العورة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الإعراض عن بعض الخبر لا یوجب سقوط باقیه</w:t>
      </w:r>
      <w:r>
        <w:rPr>
          <w:rFonts w:eastAsia="IRNazanin" w:cs="IRNazanin"/>
          <w:color w:val="111111"/>
          <w:sz w:val="28"/>
          <w:szCs w:val="28"/>
          <w:rtl w:val="true"/>
          <w:lang w:bidi="fa-IR"/>
        </w:rPr>
        <w:t>.</w:t>
      </w:r>
    </w:p>
    <w:p>
      <w:pPr>
        <w:pStyle w:val="Heading6"/>
        <w:numPr>
          <w:ilvl w:val="5"/>
          <w:numId w:val="1"/>
        </w:numPr>
        <w:rPr/>
      </w:pPr>
      <w:bookmarkStart w:id="549" w:name="__RefHeading___Toc2133630_237004111"/>
      <w:bookmarkStart w:id="550" w:name="_Toc215"/>
      <w:bookmarkEnd w:id="549"/>
      <w:r>
        <w:rPr>
          <w:rtl w:val="true"/>
        </w:rPr>
        <w:t>الإشکال الرابع</w:t>
      </w:r>
      <w:r>
        <w:rPr>
          <w:rtl w:val="true"/>
        </w:rPr>
        <w:t xml:space="preserve">: </w:t>
      </w:r>
      <w:r>
        <w:rPr>
          <w:rtl w:val="true"/>
        </w:rPr>
        <w:t>ما ذکره السید الرجائی</w:t>
      </w:r>
      <w:bookmarkEnd w:id="550"/>
    </w:p>
    <w:p>
      <w:pPr>
        <w:pStyle w:val="BookText"/>
        <w:rPr/>
      </w:pPr>
      <w:r>
        <w:rPr>
          <w:rFonts w:ascii="IRNazanin" w:hAnsi="IRNazanin" w:eastAsia="IRNazanin"/>
          <w:color w:val="111111"/>
          <w:sz w:val="28"/>
          <w:sz w:val="28"/>
          <w:szCs w:val="28"/>
          <w:rtl w:val="true"/>
          <w:lang w:bidi="fa-IR"/>
        </w:rPr>
        <w:t>ما ذکره السید الرجائی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غایة ما یدل علیه جواز إراءتها للناس الزینة الظاهرة، وهی الثیاب والکفان ومن الوجه الکحل فقط، ولا وجه لإلغاء خصوصیة الکحل والتعدی إلی جمیع الوجه، أو کون ذکره کنایة عن تمام الوجه</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مضی البحث فی ذلک فی الإشکال السابع علی الدلیل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الدلیل العاشر</w:t>
      </w:r>
      <w:r>
        <w:rPr>
          <w:rFonts w:eastAsia="IRNazanin" w:cs="IRNazanin"/>
          <w:color w:val="111111"/>
          <w:sz w:val="28"/>
          <w:szCs w:val="28"/>
          <w:rtl w:val="true"/>
          <w:lang w:bidi="fa-IR"/>
        </w:rPr>
        <w:t>.</w:t>
      </w:r>
    </w:p>
    <w:p>
      <w:pPr>
        <w:pStyle w:val="Heading6"/>
        <w:numPr>
          <w:ilvl w:val="5"/>
          <w:numId w:val="1"/>
        </w:numPr>
        <w:rPr/>
      </w:pPr>
      <w:bookmarkStart w:id="551" w:name="__RefHeading___Toc2133632_237004111"/>
      <w:bookmarkStart w:id="552" w:name="_Toc216"/>
      <w:bookmarkEnd w:id="551"/>
      <w:r>
        <w:rPr>
          <w:rtl w:val="true"/>
        </w:rPr>
        <w:t>الدلیل الحادی عشر</w:t>
      </w:r>
      <w:r>
        <w:rPr>
          <w:rtl w:val="true"/>
        </w:rPr>
        <w:t xml:space="preserve">: </w:t>
      </w:r>
      <w:r>
        <w:rPr>
          <w:rtl w:val="true"/>
        </w:rPr>
        <w:t>روایة علی بن جعفر</w:t>
      </w:r>
      <w:bookmarkEnd w:id="552"/>
    </w:p>
    <w:p>
      <w:pPr>
        <w:pStyle w:val="Heading6"/>
        <w:numPr>
          <w:ilvl w:val="5"/>
          <w:numId w:val="1"/>
        </w:numPr>
        <w:rPr/>
      </w:pPr>
      <w:bookmarkStart w:id="553" w:name="__RefHeading___Toc2133634_237004111"/>
      <w:bookmarkStart w:id="554" w:name="_Toc217"/>
      <w:bookmarkEnd w:id="553"/>
      <w:r>
        <w:rPr>
          <w:rtl w:val="true"/>
        </w:rPr>
        <w:t>اشارة</w:t>
      </w:r>
      <w:bookmarkEnd w:id="554"/>
    </w:p>
    <w:p>
      <w:pPr>
        <w:pStyle w:val="BookText"/>
        <w:rPr/>
      </w:pPr>
      <w:r>
        <w:rPr>
          <w:rFonts w:ascii="IRNazanin" w:hAnsi="IRNazanin" w:eastAsia="IRNazanin"/>
          <w:color w:val="111111"/>
          <w:sz w:val="28"/>
          <w:sz w:val="28"/>
          <w:szCs w:val="28"/>
          <w:rtl w:val="true"/>
          <w:lang w:bidi="fa-IR"/>
        </w:rPr>
        <w:t xml:space="preserve">وهی ما رواه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وسألته عن الرجل ما یصلح له أن ینظر إلیه من المرأة التی لا تحل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والکف وموضع السوار</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الروایة لا تتوقف علی قبول الملازمة العرفیة؛ لأن السؤال حول </w:t>
      </w:r>
      <w:bookmarkStart w:id="555" w:name="pg6289_42004"/>
    </w:p>
    <w:p>
      <w:pPr>
        <w:pStyle w:val="BookText"/>
        <w:rPr/>
      </w:pPr>
      <w:bookmarkEnd w:id="555"/>
      <w:r>
        <w:rPr>
          <w:rFonts w:ascii="IRNazanin" w:hAnsi="IRNazanin" w:eastAsia="IRNazanin"/>
          <w:color w:val="111111"/>
          <w:sz w:val="28"/>
          <w:sz w:val="28"/>
          <w:szCs w:val="28"/>
          <w:rtl w:val="true"/>
          <w:lang w:bidi="fa-IR"/>
        </w:rPr>
        <w:t>النظر لا الإبداء</w:t>
      </w:r>
      <w:r>
        <w:rPr>
          <w:rFonts w:eastAsia="IRNazanin" w:cs="IRNazanin"/>
          <w:color w:val="111111"/>
          <w:sz w:val="28"/>
          <w:szCs w:val="28"/>
          <w:rtl w:val="true"/>
          <w:lang w:bidi="fa-IR"/>
        </w:rPr>
        <w:t>.</w:t>
      </w:r>
    </w:p>
    <w:p>
      <w:pPr>
        <w:pStyle w:val="Heading6"/>
        <w:numPr>
          <w:ilvl w:val="5"/>
          <w:numId w:val="1"/>
        </w:numPr>
        <w:rPr/>
      </w:pPr>
      <w:bookmarkStart w:id="556" w:name="__RefHeading___Toc2133636_237004111"/>
      <w:bookmarkStart w:id="557" w:name="_Toc218"/>
      <w:bookmarkEnd w:id="556"/>
      <w:r>
        <w:rPr>
          <w:rtl w:val="true"/>
        </w:rPr>
        <w:t>الإشکالات علی الدلیل الحادی عشر</w:t>
      </w:r>
      <w:bookmarkEnd w:id="557"/>
    </w:p>
    <w:p>
      <w:pPr>
        <w:pStyle w:val="Heading6"/>
        <w:numPr>
          <w:ilvl w:val="5"/>
          <w:numId w:val="1"/>
        </w:numPr>
        <w:rPr/>
      </w:pPr>
      <w:bookmarkStart w:id="558" w:name="__RefHeading___Toc2133638_237004111"/>
      <w:bookmarkStart w:id="559" w:name="_Toc219"/>
      <w:bookmarkEnd w:id="558"/>
      <w:r>
        <w:rPr>
          <w:rtl w:val="true"/>
        </w:rPr>
        <w:t>اشارة</w:t>
      </w:r>
      <w:bookmarkEnd w:id="559"/>
    </w:p>
    <w:p>
      <w:pPr>
        <w:pStyle w:val="BookText"/>
        <w:rPr/>
      </w:pPr>
      <w:r>
        <w:rPr>
          <w:rFonts w:ascii="IRNazanin" w:hAnsi="IRNazanin" w:eastAsia="IRNazanin"/>
          <w:color w:val="111111"/>
          <w:sz w:val="28"/>
          <w:sz w:val="28"/>
          <w:szCs w:val="28"/>
          <w:rtl w:val="true"/>
          <w:lang w:bidi="fa-IR"/>
        </w:rPr>
        <w:t>ویرد علی الاستدلال بها إشکالات</w:t>
      </w:r>
      <w:r>
        <w:rPr>
          <w:rFonts w:eastAsia="IRNazanin" w:cs="IRNazanin"/>
          <w:color w:val="111111"/>
          <w:sz w:val="28"/>
          <w:szCs w:val="28"/>
          <w:rtl w:val="true"/>
          <w:lang w:bidi="fa-IR"/>
        </w:rPr>
        <w:t>:</w:t>
      </w:r>
    </w:p>
    <w:p>
      <w:pPr>
        <w:pStyle w:val="Heading6"/>
        <w:numPr>
          <w:ilvl w:val="5"/>
          <w:numId w:val="1"/>
        </w:numPr>
        <w:rPr/>
      </w:pPr>
      <w:bookmarkStart w:id="560" w:name="__RefHeading___Toc2133640_237004111"/>
      <w:bookmarkStart w:id="561" w:name="_Toc220"/>
      <w:bookmarkEnd w:id="560"/>
      <w:r>
        <w:rPr>
          <w:rtl w:val="true"/>
        </w:rPr>
        <w:t>الإشکال الأول</w:t>
      </w:r>
      <w:r>
        <w:rPr>
          <w:rtl w:val="true"/>
        </w:rPr>
        <w:t xml:space="preserve">: </w:t>
      </w:r>
      <w:r>
        <w:rPr>
          <w:rtl w:val="true"/>
        </w:rPr>
        <w:t>ضعف السند</w:t>
      </w:r>
      <w:bookmarkEnd w:id="561"/>
    </w:p>
    <w:p>
      <w:pPr>
        <w:pStyle w:val="BookText"/>
        <w:rPr/>
      </w:pPr>
      <w:r>
        <w:rPr>
          <w:rFonts w:ascii="IRNazanin" w:hAnsi="IRNazanin" w:eastAsia="IRNazanin"/>
          <w:color w:val="111111"/>
          <w:sz w:val="28"/>
          <w:sz w:val="28"/>
          <w:szCs w:val="28"/>
          <w:rtl w:val="true"/>
          <w:lang w:bidi="fa-IR"/>
        </w:rPr>
        <w:t>ما ذکره فی شرح العروة،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ضعیفة سنداً بعبد الله بن الحسن؛ إذ لم یرد فیه أی توثیق أو مدح</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حفید علی بن جعفر، فیکون ابن حفید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وهناک طریقتان لحل 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السید الحکیم فی المستمسک،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یعرف بقدح ولا مدح غیر اعتماد الحمیری علیه فی روایة کتاب جده، ولعل هذا المقدار کافٍ فی اعتباره فی المقام عندهم</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بحث مهم، حیث یترتب علیه اعتبار مئات الروایات أو عدمه، ولتقریب هذه الطریقة لا بد من ملاحظة شخصیة الحمیری، فقد قال النجاشی فی 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القمیین ووجههم قدم الکوفة سنة نیف وتسعین ومائتین، وسمع أهلها منه فأکثروا</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شیوخ أصحابنا،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الحمیری</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bookmarkStart w:id="562" w:name="pg6289_42005"/>
    </w:p>
    <w:p>
      <w:pPr>
        <w:pStyle w:val="BookText"/>
        <w:rPr/>
      </w:pPr>
      <w:bookmarkEnd w:id="562"/>
      <w:r>
        <w:rPr>
          <w:rFonts w:ascii="IRNazanin" w:hAnsi="IRNazanin" w:eastAsia="IRNazanin"/>
          <w:color w:val="111111"/>
          <w:sz w:val="28"/>
          <w:sz w:val="28"/>
          <w:szCs w:val="28"/>
          <w:rtl w:val="true"/>
          <w:lang w:bidi="fa-IR"/>
        </w:rPr>
        <w:t>وقال السید البروجردی فی مقدمة قرب الإسناد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کلام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سعة علمه وعلوّ مقامه، کما لا یخفی علی البصیر بأحوال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من کبار الطبقة الثامنة</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وکتاب قرب الإسناد ینقسم إلی جزءین، الجزء الأول منه مروی بهذا السند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الحمیری عن أبیه، عن هارون بن مسلم، عن مسعد بن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الجزء الثانی، فیحتوی علی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کلها عن عبد الله بن الحسن، عن جده علی بن جعفر، ومن المستبعد أن یکتب الحمیری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له 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یروی نصفه عن واحد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روایته عن جده، فإنّ کثرة الروایة تدل علی حسن حال الراوی؛ وذلک لما ورد 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منازل الرجال منا علی قدر روایاتهم عنّا</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المبنی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هنالک نظریة أخری، مفادها أنّ جمیع الروایات فی کتبنا معتبرة إلا ما ثبت بطلانه بالدلیل؛ وذلک لأنّ القدماء أخرجوا الروایات الشاذة وعرضوها علی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ذکرها الشیخ فی الفرائد</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3" w:name="__RefHeading___Toc2133642_237004111"/>
      <w:bookmarkStart w:id="564" w:name="_Toc221"/>
      <w:bookmarkEnd w:id="563"/>
      <w:r>
        <w:rPr>
          <w:rtl w:val="true"/>
        </w:rPr>
        <w:t>الإشکال الثانی</w:t>
      </w:r>
      <w:r>
        <w:rPr>
          <w:rtl w:val="true"/>
        </w:rPr>
        <w:t xml:space="preserve">: </w:t>
      </w:r>
      <w:r>
        <w:rPr>
          <w:rtl w:val="true"/>
        </w:rPr>
        <w:t>الإشکال فی کتاب قرب الإسناد</w:t>
      </w:r>
      <w:bookmarkEnd w:id="56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مضی الکلام فی ذلک فی الإشکال الأول والثانی علی الدلیل </w:t>
      </w:r>
      <w:bookmarkStart w:id="565" w:name="pg6289_42006"/>
    </w:p>
    <w:p>
      <w:pPr>
        <w:pStyle w:val="BookText"/>
        <w:rPr/>
      </w:pPr>
      <w:bookmarkEnd w:id="565"/>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p>
    <w:p>
      <w:pPr>
        <w:pStyle w:val="Heading6"/>
        <w:numPr>
          <w:ilvl w:val="5"/>
          <w:numId w:val="1"/>
        </w:numPr>
        <w:rPr/>
      </w:pPr>
      <w:bookmarkStart w:id="566" w:name="__RefHeading___Toc2133644_237004111"/>
      <w:bookmarkStart w:id="567" w:name="_Toc222"/>
      <w:bookmarkEnd w:id="566"/>
      <w:r>
        <w:rPr>
          <w:rtl w:val="true"/>
        </w:rPr>
        <w:t>الإشکال الثالث</w:t>
      </w:r>
      <w:r>
        <w:rPr>
          <w:rtl w:val="true"/>
        </w:rPr>
        <w:t xml:space="preserve">: </w:t>
      </w:r>
      <w:r>
        <w:rPr>
          <w:rtl w:val="true"/>
        </w:rPr>
        <w:t>الروایة واردة فی المرأة التی یحرم نکاحها</w:t>
      </w:r>
      <w:bookmarkEnd w:id="567"/>
    </w:p>
    <w:p>
      <w:pPr>
        <w:pStyle w:val="BookText"/>
        <w:rPr/>
      </w:pPr>
      <w:r>
        <w:rPr>
          <w:rFonts w:ascii="IRNazanin" w:hAnsi="IRNazanin" w:eastAsia="IRNazanin"/>
          <w:color w:val="111111"/>
          <w:sz w:val="28"/>
          <w:sz w:val="28"/>
          <w:szCs w:val="28"/>
          <w:rtl w:val="true"/>
          <w:lang w:bidi="fa-IR"/>
        </w:rPr>
        <w:t>ما ذکره السید الخوئی،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أنها واردة فی المرأة التی یحرم نکاحها، ومن الواضح أنها لیست إلا المحرم، فلا یبقی لها ارتباط بمحل کلامنا، بل یمکننا استفادة الحرمة منها؛ نظراً إلی تخصیص الجواز بالمحارم، فمن العجیب من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بها علی الجواز</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فقه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إرادة المحارم، فالمراد من لا تحل 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نکاحها</w:t>
      </w:r>
      <w:r>
        <w:rPr>
          <w:rFonts w:eastAsia="IRNazanin" w:cs="IRNazanin"/>
          <w:color w:val="111111"/>
          <w:sz w:val="28"/>
          <w:szCs w:val="28"/>
          <w:rtl w:val="true"/>
          <w:lang w:bidi="fa-IR"/>
        </w:rPr>
        <w:t>(</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ونظیره فی المهذب</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خلاف الظاهر، بل ظهور الروایة فی الأجنبیات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الواضح أنه یحل له أکثر من ذلک من المحارم، وظاهر الروایة التحدید،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إثبات الشیء لا ینفی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السید الروحانی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العمل بخبر لا یوجب حمله علی معنی آخر</w:t>
      </w:r>
      <w:r>
        <w:rPr>
          <w:rFonts w:eastAsia="IRNazanin" w:cs="IRNazanin"/>
          <w:color w:val="111111"/>
          <w:sz w:val="28"/>
          <w:szCs w:val="28"/>
          <w:rtl w:val="true"/>
          <w:lang w:bidi="fa-IR"/>
        </w:rPr>
        <w:t>»(</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فالروایة مجملة ولا یعلم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التی لا تحل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یصح حمله علی معنی آخر حتی لا یطرح</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ذکره السید الخوئی من دلالة الروایة علی حرمة النظر إلی </w:t>
      </w:r>
      <w:bookmarkStart w:id="568" w:name="pg6289_42007"/>
    </w:p>
    <w:p>
      <w:pPr>
        <w:pStyle w:val="BookText"/>
        <w:rPr/>
      </w:pPr>
      <w:bookmarkEnd w:id="568"/>
      <w:r>
        <w:rPr>
          <w:rFonts w:ascii="IRNazanin" w:hAnsi="IRNazanin" w:eastAsia="IRNazanin"/>
          <w:color w:val="111111"/>
          <w:sz w:val="28"/>
          <w:sz w:val="28"/>
          <w:szCs w:val="28"/>
          <w:rtl w:val="true"/>
          <w:lang w:bidi="fa-IR"/>
        </w:rPr>
        <w:t>الأجنبیة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إثبات الشیء لا ینفی ما عداه، فهو ساکت عن الأجنبیة ولا مفهوم له، فلا یمکن استفادة الحرمة ولا الجواز</w:t>
      </w:r>
      <w:r>
        <w:rPr>
          <w:rFonts w:eastAsia="IRNazanin" w:cs="IRNazanin"/>
          <w:color w:val="111111"/>
          <w:sz w:val="28"/>
          <w:szCs w:val="28"/>
          <w:rtl w:val="true"/>
          <w:lang w:bidi="fa-IR"/>
        </w:rPr>
        <w:t>.</w:t>
      </w:r>
    </w:p>
    <w:p>
      <w:pPr>
        <w:pStyle w:val="Heading6"/>
        <w:numPr>
          <w:ilvl w:val="5"/>
          <w:numId w:val="1"/>
        </w:numPr>
        <w:rPr/>
      </w:pPr>
      <w:bookmarkStart w:id="569" w:name="__RefHeading___Toc2133646_237004111"/>
      <w:bookmarkStart w:id="570" w:name="_Toc223"/>
      <w:bookmarkEnd w:id="569"/>
      <w:r>
        <w:rPr>
          <w:rtl w:val="true"/>
        </w:rPr>
        <w:t>الإشکال الرابع</w:t>
      </w:r>
      <w:r>
        <w:rPr>
          <w:rtl w:val="true"/>
        </w:rPr>
        <w:t xml:space="preserve">: </w:t>
      </w:r>
      <w:r>
        <w:rPr>
          <w:rtl w:val="true"/>
        </w:rPr>
        <w:t>اشتمالها علی ما لم یُفت به أحد</w:t>
      </w:r>
      <w:bookmarkEnd w:id="570"/>
    </w:p>
    <w:p>
      <w:pPr>
        <w:pStyle w:val="BookText"/>
        <w:rPr/>
      </w:pPr>
      <w:r>
        <w:rPr>
          <w:rFonts w:ascii="IRNazanin" w:hAnsi="IRNazanin" w:eastAsia="IRNazanin"/>
          <w:color w:val="111111"/>
          <w:sz w:val="28"/>
          <w:sz w:val="28"/>
          <w:szCs w:val="28"/>
          <w:rtl w:val="true"/>
          <w:lang w:bidi="fa-IR"/>
        </w:rPr>
        <w:t>وهو ما ذکره السید الروحانی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ما فی ذیله من استثناء موضع السوار لم یفت به أحد بالنسبة إلی الأجنبیة</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مبانی المنهاج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لا تکون قابلة للعمل بعد قیام الضرورة علی خلافها</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سقوط بعض الروایة لا یوجب سقوطها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تخصیصه بما کان من موضعه فی الکف، فإنها تدل علی موضع السوار، وهو من الکف فیخرج الباقی، وهو ما فوق الکف، فتأمل</w:t>
      </w:r>
      <w:r>
        <w:rPr>
          <w:rFonts w:eastAsia="IRNazanin" w:cs="IRNazanin"/>
          <w:color w:val="111111"/>
          <w:sz w:val="28"/>
          <w:szCs w:val="28"/>
          <w:rtl w:val="true"/>
          <w:lang w:bidi="fa-IR"/>
        </w:rPr>
        <w:t>.</w:t>
      </w:r>
    </w:p>
    <w:p>
      <w:pPr>
        <w:pStyle w:val="Heading6"/>
        <w:numPr>
          <w:ilvl w:val="5"/>
          <w:numId w:val="1"/>
        </w:numPr>
        <w:rPr/>
      </w:pPr>
      <w:bookmarkStart w:id="571" w:name="__RefHeading___Toc2133648_237004111"/>
      <w:bookmarkStart w:id="572" w:name="_Toc224"/>
      <w:bookmarkEnd w:id="571"/>
      <w:r>
        <w:rPr>
          <w:rtl w:val="true"/>
        </w:rPr>
        <w:t>الدلیل الثانی عشر</w:t>
      </w:r>
      <w:r>
        <w:rPr>
          <w:rtl w:val="true"/>
        </w:rPr>
        <w:t>:</w:t>
      </w:r>
      <w:bookmarkEnd w:id="572"/>
    </w:p>
    <w:p>
      <w:pPr>
        <w:pStyle w:val="BookText"/>
        <w:rPr/>
      </w:pPr>
      <w:r>
        <w:rPr>
          <w:rFonts w:ascii="IRNazanin" w:hAnsi="IRNazanin" w:eastAsia="IRNazanin"/>
          <w:color w:val="111111"/>
          <w:sz w:val="28"/>
          <w:sz w:val="28"/>
          <w:szCs w:val="28"/>
          <w:rtl w:val="true"/>
          <w:lang w:bidi="fa-IR"/>
        </w:rPr>
        <w:t xml:space="preserve">ما روی فی تفسیر جامع الجوامع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الکفان والأصابع</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مرسلة</w:t>
      </w:r>
      <w:r>
        <w:rPr>
          <w:rFonts w:eastAsia="IRNazanin" w:cs="IRNazanin"/>
          <w:color w:val="111111"/>
          <w:sz w:val="28"/>
          <w:szCs w:val="28"/>
          <w:rtl w:val="true"/>
          <w:lang w:bidi="fa-IR"/>
        </w:rPr>
        <w:t>.</w:t>
      </w:r>
    </w:p>
    <w:p>
      <w:pPr>
        <w:pStyle w:val="Heading6"/>
        <w:numPr>
          <w:ilvl w:val="5"/>
          <w:numId w:val="1"/>
        </w:numPr>
        <w:rPr/>
      </w:pPr>
      <w:bookmarkStart w:id="573" w:name="__RefHeading___Toc2133650_237004111"/>
      <w:bookmarkStart w:id="574" w:name="_Toc225"/>
      <w:bookmarkEnd w:id="573"/>
      <w:r>
        <w:rPr>
          <w:rtl w:val="true"/>
        </w:rPr>
        <w:t>الدلیل الثالث عشر</w:t>
      </w:r>
      <w:r>
        <w:rPr>
          <w:rtl w:val="true"/>
        </w:rPr>
        <w:t xml:space="preserve">: </w:t>
      </w:r>
      <w:r>
        <w:rPr>
          <w:rtl w:val="true"/>
        </w:rPr>
        <w:t>خبر جابر بن عبد الله الأنصاری</w:t>
      </w:r>
      <w:bookmarkEnd w:id="574"/>
    </w:p>
    <w:p>
      <w:pPr>
        <w:pStyle w:val="Heading6"/>
        <w:numPr>
          <w:ilvl w:val="5"/>
          <w:numId w:val="1"/>
        </w:numPr>
        <w:rPr/>
      </w:pPr>
      <w:bookmarkStart w:id="575" w:name="__RefHeading___Toc2133652_237004111"/>
      <w:bookmarkStart w:id="576" w:name="_Toc226"/>
      <w:bookmarkEnd w:id="575"/>
      <w:r>
        <w:rPr>
          <w:rtl w:val="true"/>
        </w:rPr>
        <w:t>اشارة</w:t>
      </w:r>
      <w:bookmarkEnd w:id="57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عدة من أصحابنا، عن أحمد بن أبی عبد الله، عن إسماعیل بن </w:t>
      </w:r>
    </w:p>
    <w:p>
      <w:pPr>
        <w:pStyle w:val="BookText"/>
        <w:rPr/>
      </w:pPr>
      <w:r>
        <w:rPr>
          <w:rFonts w:ascii="IRNazanin" w:hAnsi="IRNazanin" w:eastAsia="IRNazanin"/>
          <w:color w:val="111111"/>
          <w:sz w:val="28"/>
          <w:sz w:val="28"/>
          <w:szCs w:val="28"/>
          <w:rtl w:val="true"/>
          <w:lang w:bidi="fa-IR"/>
        </w:rPr>
        <w:t>مهران، عن عبید بن معاویة بن شریح، عن سیف بن عمیرة، عن عمرو بن شمر، عن جابر</w:t>
      </w:r>
      <w:r>
        <w:rPr>
          <w:rFonts w:eastAsia="IRNazanin" w:cs="IRNazanin"/>
          <w:color w:val="111111"/>
          <w:sz w:val="28"/>
          <w:szCs w:val="28"/>
          <w:rtl w:val="true"/>
          <w:lang w:bidi="fa-IR"/>
        </w:rPr>
        <w:t>(</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جابر بن عبد الله الأنصاری،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معه، فلما انتهیت إلی الباب وضع یده علیه فدفعه، ثم قال السلام علیکم،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أنا ومن معی؟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لیس علیَّ قناع،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خذی فضل ملحفتک فقنعی به رأسک، ففعلت،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ومن معی؟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معک،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ودخلت، وإذا وجه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أصفر کأنه بطن جرادة،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لی أری وجهک أصفر؟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الجوع،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مشبع الجوعة ودافع الضیعة</w:t>
      </w:r>
      <w:r>
        <w:rPr>
          <w:rFonts w:eastAsia="IRNazanin" w:cs="IRNazanin"/>
          <w:color w:val="111111"/>
          <w:sz w:val="28"/>
          <w:szCs w:val="28"/>
          <w:rtl w:val="true"/>
          <w:lang w:bidi="fa-IR"/>
        </w:rPr>
        <w:t>(</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أشبع فاطمة بنت محمد،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لنظرت إلی الدم ینحدر من قصاصها حتی عاد وجهها أحمر، فما جاعت بعد ذلک الیوم</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ودلالة هذا الخبر علی جواز النظر إلی الوجه من جهتین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تضمنه فعل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الصدیقة الکبری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الاستدلال من هذه الجهة مبنی علی وجود الملازمة بین جواز الکشف وجواز النظر؛ إذ قد یقال بجواز الأول وحرمة الثانی، وقد مضی البحث فی </w:t>
      </w:r>
      <w:bookmarkStart w:id="577" w:name="pg6289_42009"/>
    </w:p>
    <w:p>
      <w:pPr>
        <w:pStyle w:val="BookText"/>
        <w:rPr/>
      </w:pPr>
      <w:bookmarkEnd w:id="577"/>
      <w:r>
        <w:rPr>
          <w:rFonts w:ascii="IRNazanin" w:hAnsi="IRNazanin" w:eastAsia="IRNazanin"/>
          <w:color w:val="111111"/>
          <w:sz w:val="28"/>
          <w:sz w:val="28"/>
          <w:szCs w:val="28"/>
          <w:rtl w:val="true"/>
          <w:lang w:bidi="fa-IR"/>
        </w:rPr>
        <w:t>الملازمة، وقد ملنا سابقاً إلی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إقرار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والصدیقة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لم ینکرا علی جابر ذلک</w:t>
      </w:r>
      <w:r>
        <w:rPr>
          <w:rFonts w:eastAsia="IRNazanin" w:cs="IRNazanin"/>
          <w:color w:val="111111"/>
          <w:sz w:val="28"/>
          <w:szCs w:val="28"/>
          <w:rtl w:val="true"/>
          <w:lang w:bidi="fa-IR"/>
        </w:rPr>
        <w:t>.</w:t>
      </w:r>
    </w:p>
    <w:p>
      <w:pPr>
        <w:pStyle w:val="Heading6"/>
        <w:numPr>
          <w:ilvl w:val="5"/>
          <w:numId w:val="1"/>
        </w:numPr>
        <w:rPr/>
      </w:pPr>
      <w:bookmarkStart w:id="578" w:name="__RefHeading___Toc2133654_237004111"/>
      <w:bookmarkStart w:id="579" w:name="_Toc227"/>
      <w:bookmarkEnd w:id="578"/>
      <w:r>
        <w:rPr>
          <w:rtl w:val="true"/>
        </w:rPr>
        <w:t>الإشکالات علی الدلیل الثالث عشر</w:t>
      </w:r>
      <w:bookmarkEnd w:id="579"/>
    </w:p>
    <w:p>
      <w:pPr>
        <w:pStyle w:val="Heading6"/>
        <w:numPr>
          <w:ilvl w:val="5"/>
          <w:numId w:val="1"/>
        </w:numPr>
        <w:rPr/>
      </w:pPr>
      <w:bookmarkStart w:id="580" w:name="__RefHeading___Toc2133656_237004111"/>
      <w:bookmarkStart w:id="581" w:name="_Toc228"/>
      <w:bookmarkEnd w:id="580"/>
      <w:r>
        <w:rPr>
          <w:rtl w:val="true"/>
        </w:rPr>
        <w:t>اشارة</w:t>
      </w:r>
      <w:bookmarkEnd w:id="581"/>
    </w:p>
    <w:p>
      <w:pPr>
        <w:pStyle w:val="BookText"/>
        <w:rPr/>
      </w:pPr>
      <w:r>
        <w:rPr>
          <w:rFonts w:ascii="IRNazanin" w:hAnsi="IRNazanin" w:eastAsia="IRNazanin"/>
          <w:color w:val="111111"/>
          <w:sz w:val="28"/>
          <w:sz w:val="28"/>
          <w:szCs w:val="28"/>
          <w:rtl w:val="true"/>
          <w:lang w:bidi="fa-IR"/>
        </w:rPr>
        <w:t>وفی الاستدلال بهذا الخبر إشکالات</w:t>
      </w:r>
      <w:r>
        <w:rPr>
          <w:rFonts w:eastAsia="IRNazanin" w:cs="IRNazanin"/>
          <w:color w:val="111111"/>
          <w:sz w:val="28"/>
          <w:szCs w:val="28"/>
          <w:rtl w:val="true"/>
          <w:lang w:bidi="fa-IR"/>
        </w:rPr>
        <w:t>:</w:t>
      </w:r>
    </w:p>
    <w:p>
      <w:pPr>
        <w:pStyle w:val="Heading6"/>
        <w:numPr>
          <w:ilvl w:val="5"/>
          <w:numId w:val="1"/>
        </w:numPr>
        <w:rPr/>
      </w:pPr>
      <w:bookmarkStart w:id="582" w:name="__RefHeading___Toc2133658_237004111"/>
      <w:bookmarkStart w:id="583" w:name="_Toc229"/>
      <w:bookmarkEnd w:id="582"/>
      <w:r>
        <w:rPr>
          <w:rtl w:val="true"/>
        </w:rPr>
        <w:t>الإشکال الأول</w:t>
      </w:r>
      <w:r>
        <w:rPr>
          <w:rtl w:val="true"/>
        </w:rPr>
        <w:t xml:space="preserve">: </w:t>
      </w:r>
      <w:r>
        <w:rPr>
          <w:rtl w:val="true"/>
        </w:rPr>
        <w:t>الإشکال السندی</w:t>
      </w:r>
      <w:bookmarkEnd w:id="583"/>
    </w:p>
    <w:p>
      <w:pPr>
        <w:pStyle w:val="BookText"/>
        <w:rPr/>
      </w:pPr>
      <w:r>
        <w:rPr>
          <w:rFonts w:ascii="IRNazanin" w:hAnsi="IRNazanin" w:eastAsia="IRNazanin"/>
          <w:color w:val="111111"/>
          <w:sz w:val="28"/>
          <w:sz w:val="28"/>
          <w:szCs w:val="28"/>
          <w:rtl w:val="true"/>
          <w:lang w:bidi="fa-IR"/>
        </w:rPr>
        <w:t>وذلک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اشتماله علی عبید بن معاویة بن شریح، وهو مهمل فی علم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اشتماله علی عمرو بن شمر، وله روایات کثیرة، فقد روی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لکن ضعّفه النجاشی فی موردین عند التعرض لترجمته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جداً</w:t>
      </w:r>
      <w:r>
        <w:rPr>
          <w:rFonts w:eastAsia="IRNazanin" w:cs="IRNazanin"/>
          <w:color w:val="111111"/>
          <w:sz w:val="28"/>
          <w:szCs w:val="28"/>
          <w:rtl w:val="true"/>
          <w:lang w:bidi="fa-IR"/>
        </w:rPr>
        <w:t>»(</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 التعرض لترجمة جابر بن یزید الجعفی،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جماعة غُمِزَ فیهم وضُعِّفوا، منهم عمرو بن شمر</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ضَعف الخبر من هذه الجهة السید الخوئی والسید القمی والسید الروحانی والسید الرجائی</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ولعله لذلک أو لما ذکر فی الجهة الأولی 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هذا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طرق وثاقة عمرو بن شمر</w:t>
      </w:r>
    </w:p>
    <w:p>
      <w:pPr>
        <w:pStyle w:val="BookText"/>
        <w:rPr/>
      </w:pPr>
      <w:r>
        <w:rPr>
          <w:rFonts w:ascii="IRNazanin" w:hAnsi="IRNazanin" w:eastAsia="IRNazanin"/>
          <w:color w:val="111111"/>
          <w:sz w:val="28"/>
          <w:sz w:val="28"/>
          <w:szCs w:val="28"/>
          <w:rtl w:val="true"/>
          <w:lang w:bidi="fa-IR"/>
        </w:rPr>
        <w:t>هذا، ولکن قد یقال بوثاقة عمرو بن شمر 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وروده فی کامل الزیارات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وروده فی تفسیر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الأجلاء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خمسة من أصحاب الإجماع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من اعتماد الشیخ المفید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مبانی ما ذکر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المختار عندکم وثاقة مشایخ علی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المرضی عندنا وثاقة مشایخه المباشرین دون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لکونه من مشایخ الثلاثة من أصحاب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کذلک وإلا تمّ الطریق الرابع، بل هو من غیر الثلاثة من أصحاب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الشیخ المفید بمثابة توثیقه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الشیخ المفید غیر توثیقه، فقد تکون القرینة خارجیة، وقد عبر البعض بأنّ توثیقه وإن کان معتمداً، ولکن اعتماده لا یساوی التوثیق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ثبت أنّ الشیخ اعتمد علیه فی مواطن کثیرة دلَّ علی أنّ القرینة داخلیة، فیدل علی التوثیق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إکثار الکلینی الروایة عنه فی الکافی، والصدوق فی مَن لا 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وحسب الإحصاء روی عنه فی الکافی فی الجزء الأول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وفی الثانی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وفی الثالث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وفی الرابع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وفی الخامس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وفی السادس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وفی السابع روایتین، وفی الثامن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فیکون المجموع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عنه فی کامل الزیارات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وروی عنه فی مَن لا یحضره الفقیه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اعتمد الکلینی علی روایات الکافی، والصدوق علی روایات مَن لا یحضره الفقیه، ویبعد أن تکون القرینة فی کلها خارجیة، فیدل علی اعتمادهما علیه للقرینة الداخلیة، وهی الوثاقة لا للقرائن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فرض نهوض ما ذکر بوثاقته، إلا أنه یتعارض الجرح والتوثیق، ویکون المصیر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أمارات الوثاقة أقوی، خاصة مع احتمال کون التضعیف للروایات المرویة لا للراوی؛ وذلک لاحتمال أن یکون حکم النجاشی علی الشخص من خلال روایاته کابن الغضائری، فیحتمل أن یکون تضعیفه إما لأجل تضعیف ابن الغضائری، أو لاعتماده علی قراءة متون روایاته؛ لاشتمالها علی الفضائل، فاتهم بالغلو</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مخالف للظاهر، فإنّ ظاهر الحکم بالضعف هو ضعف الراوی لا الروایة، فتأمل</w:t>
      </w:r>
      <w:r>
        <w:rPr>
          <w:rFonts w:eastAsia="IRNazanin" w:cs="IRNazanin"/>
          <w:color w:val="111111"/>
          <w:sz w:val="28"/>
          <w:szCs w:val="28"/>
          <w:rtl w:val="true"/>
          <w:lang w:bidi="fa-IR"/>
        </w:rPr>
        <w:t xml:space="preserve">. </w:t>
      </w:r>
      <w:bookmarkStart w:id="584" w:name="pg6289_42012"/>
    </w:p>
    <w:p>
      <w:pPr>
        <w:pStyle w:val="Heading6"/>
        <w:numPr>
          <w:ilvl w:val="5"/>
          <w:numId w:val="1"/>
        </w:numPr>
        <w:rPr/>
      </w:pPr>
      <w:bookmarkStart w:id="585" w:name="__RefHeading___Toc2133660_237004111"/>
      <w:bookmarkStart w:id="586" w:name="_Toc230"/>
      <w:bookmarkEnd w:id="584"/>
      <w:bookmarkEnd w:id="585"/>
      <w:r>
        <w:rPr>
          <w:rtl w:val="true"/>
        </w:rPr>
        <w:t>الإشکال الثانی</w:t>
      </w:r>
      <w:r>
        <w:rPr>
          <w:rtl w:val="true"/>
        </w:rPr>
        <w:t xml:space="preserve">: </w:t>
      </w:r>
      <w:r>
        <w:rPr>
          <w:rtl w:val="true"/>
        </w:rPr>
        <w:t>الإشکال الدلالی</w:t>
      </w:r>
      <w:bookmarkEnd w:id="586"/>
    </w:p>
    <w:p>
      <w:pPr>
        <w:pStyle w:val="BookText"/>
        <w:rPr/>
      </w:pPr>
      <w:r>
        <w:rPr>
          <w:rFonts w:ascii="IRNazanin" w:hAnsi="IRNazanin" w:eastAsia="IRNazanin"/>
          <w:color w:val="111111"/>
          <w:sz w:val="28"/>
          <w:sz w:val="28"/>
          <w:szCs w:val="28"/>
          <w:rtl w:val="true"/>
          <w:lang w:bidi="fa-IR"/>
        </w:rPr>
        <w:t>حیث یبعد ذلک من أمثالها صلوات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وخبر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بالنظر الاتفاقی أو لغیر ذلک، وإلا فمن المستبعد نظره العمدی إلیها بمحضر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یمکن القطع بعدمه؛ ضرورة معلومیة کون الأولی خلافه من سائر النساء والرجال، فضلاً عن سیدة النساء وجابر</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فالرجل الذی من عامة الناس لا ینبغی له أن ینظر، فکیف بجابر وهو جلیل القدر، والمرأة کذلک لا ینبغی لها أن تظهر، فکیف بسیدة نساء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السید الخوئی فی موضع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أن متنها غیر قابل للتصدیق، فإنّ مقام الصدیقة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 من ظهورها أمام الرجل الأجنبی بحیث یراها قطعاً، فإن کل امرأة شریفة تأبی ذلک، فکیف بسیدة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یمکن الاستدلال بها حتی لو صحت أسانیدها؛ إذ لا یمکننا التصدیق بخروج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سافرة الوجه عند جابر ونحوه من الأجانب، فإنّ مثل هذا لا یکاد یصدر عن امرأة عادیة عفیفة، فضلاً عن سیدة النساء بضعة سید الأنبیاء مصدر کل عفة وحیاء، وقد ورد أن ابنتها زینب وهی الصدیقة الصغری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تخرج إلی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لیلاً عندما لم یکن أحد یری شخصها، بل ولا شبحها، فإذا کانت هذه </w:t>
      </w:r>
    </w:p>
    <w:p>
      <w:pPr>
        <w:pStyle w:val="BookText"/>
        <w:rPr/>
      </w:pPr>
      <w:r>
        <w:rPr>
          <w:rFonts w:ascii="IRNazanin" w:hAnsi="IRNazanin" w:eastAsia="IRNazanin"/>
          <w:color w:val="111111"/>
          <w:sz w:val="28"/>
          <w:sz w:val="28"/>
          <w:szCs w:val="28"/>
          <w:rtl w:val="true"/>
          <w:lang w:bidi="fa-IR"/>
        </w:rPr>
        <w:t>حالة ابنتها وهی الصدیقة الصغری، فما ظنک بها نفسها وهی الصدیقة الکبری؟</w:t>
      </w:r>
    </w:p>
    <w:p>
      <w:pPr>
        <w:pStyle w:val="BookText"/>
        <w:rPr/>
      </w:pPr>
      <w:r>
        <w:rPr>
          <w:rFonts w:ascii="IRNazanin" w:hAnsi="IRNazanin" w:eastAsia="IRNazanin"/>
          <w:color w:val="111111"/>
          <w:sz w:val="28"/>
          <w:sz w:val="28"/>
          <w:szCs w:val="28"/>
          <w:rtl w:val="true"/>
          <w:lang w:bidi="fa-IR"/>
        </w:rPr>
        <w:t>وبالجملة لا یسعنا التصدیق بخروجها مکشفة الوجه عند جابر بتاتاً، ولا نحتمل صدق الحدیث بوجه، مهما صح السند وقوی المستند</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فقه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من البدیهی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قالت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 النساء أن لا یرین الرجال ولا یراهن الرجال، لم تکن کاشفة عن وجهها بمحضر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وجابر ینظر إلیها، فیتعین طرح الخبر أو تأویله</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من المستبعد جداً النظر العمدی من جابر إلی وجهها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بمحضر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یمکن أن یکون من الاتفاقی غیر الاختیاری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وهی التی قالت لأبیها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 النساء أن لا یرین الرجال ولا یراهن الرجال،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فاطمة منی</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ولکن قد یجاب بأنّ الاستقباح إنما هو للوازم المکتنفة، کالخواطر السیئة لا للنظر فی حد ذاته، وإلا فلا قبح فیه، لا من جهة الناظر ولا من جهة المنظور إلیه، فهو کنظر الملائکة إلی ولیّة من الأولیاء، وفی هذا الجواب إشکال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جابراً جلیل القدر من أصحاب النبی وأمیر المؤمنین </w:t>
      </w:r>
      <w:bookmarkStart w:id="587" w:name="pg6289_42014"/>
    </w:p>
    <w:p>
      <w:pPr>
        <w:pStyle w:val="BookText"/>
        <w:rPr/>
      </w:pPr>
      <w:bookmarkEnd w:id="587"/>
      <w:r>
        <w:rPr>
          <w:rFonts w:ascii="IRNazanin" w:hAnsi="IRNazanin" w:eastAsia="IRNazanin"/>
          <w:color w:val="111111"/>
          <w:sz w:val="28"/>
          <w:sz w:val="28"/>
          <w:szCs w:val="28"/>
          <w:rtl w:val="true"/>
          <w:lang w:bidi="fa-IR"/>
        </w:rPr>
        <w:t xml:space="preserve">والحسن والحسین والسجاد والباقر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الأصفیاء من أصحاب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السابقین، ومن جملة مَن لم یرتدوا بعد قتل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منقطع إلی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روایة أنه من الأربعة الذین انتهی إلیهم علم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ما ذکر إنما هو استبعاد، فالروایة وإن کانت تامة لا تدل علی جواز کشف الوجه أو النظر؛ لأنها حکایة فعل لا یعلم وجهه، فربما کان جابر محرماً لها بسبب أو رضاع ولو من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 فإن فعل شیئاً دل علی جوازه، ولو کان محرماً لنقل ذلک وانعکس فی التاریخ، بالإضافة إلی أنه لم یکن وجه للاستئذان والأمر بالتقنع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القول بالنظر الاتفاقی غیر الاختیاری مستلزم لنسبة السهو أو الخطأ إلی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اتفاقی من قبل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أن یجعل المعصوم نفسه فی محضر حرام غیر اتفاقی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کما لو مرّ المعصوم من مکان فأصابه سهم، فالخطأ من الفاعل، والمعصوم یتحرک بالأسلوب الطبیعی</w:t>
      </w:r>
      <w:r>
        <w:rPr>
          <w:rFonts w:eastAsia="IRNazanin" w:cs="IRNazanin"/>
          <w:color w:val="111111"/>
          <w:sz w:val="28"/>
          <w:szCs w:val="28"/>
          <w:rtl w:val="true"/>
          <w:lang w:bidi="fa-IR"/>
        </w:rPr>
        <w:t>.</w:t>
      </w:r>
    </w:p>
    <w:p>
      <w:pPr>
        <w:pStyle w:val="Heading6"/>
        <w:numPr>
          <w:ilvl w:val="5"/>
          <w:numId w:val="1"/>
        </w:numPr>
        <w:rPr/>
      </w:pPr>
      <w:bookmarkStart w:id="588" w:name="__RefHeading___Toc2133662_237004111"/>
      <w:bookmarkStart w:id="589" w:name="_Toc231"/>
      <w:bookmarkEnd w:id="588"/>
      <w:r>
        <w:rPr>
          <w:rtl w:val="true"/>
        </w:rPr>
        <w:t>الإشکال الثالث</w:t>
      </w:r>
      <w:r>
        <w:rPr>
          <w:rtl w:val="true"/>
        </w:rPr>
        <w:t xml:space="preserve">: </w:t>
      </w:r>
      <w:r>
        <w:rPr>
          <w:rtl w:val="true"/>
        </w:rPr>
        <w:t>یحتمل أن تکون الحادثة قبل نزول آیة الحجاب</w:t>
      </w:r>
      <w:bookmarkEnd w:id="58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ما فی المسائل الفقهیة،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 کونه قبل نزول </w:t>
      </w:r>
    </w:p>
    <w:p>
      <w:pPr>
        <w:pStyle w:val="BookText"/>
        <w:rPr/>
      </w:pPr>
      <w:r>
        <w:rPr>
          <w:rFonts w:ascii="IRNazanin" w:hAnsi="IRNazanin" w:eastAsia="IRNazanin"/>
          <w:color w:val="111111"/>
          <w:sz w:val="28"/>
          <w:sz w:val="28"/>
          <w:szCs w:val="28"/>
          <w:rtl w:val="true"/>
          <w:lang w:bidi="fa-IR"/>
        </w:rPr>
        <w:t>الحجاب،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وجوب ستر جمیع الجسد</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الاحتمال معارض باحتمال کونه بعد نزول الحجاب، ومع تکافئ الاحتمالین وتساقطهما یکون المرجع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تاریخ نزول آیة الحجاب معلوم والآخر مجهول، فیستصحب عدم حصول الواقعة إلی حین وجوب الحجاب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معلوم التاریخ ومجهول التاریخ، فإنه وإن کان الزمان الحقیقی معلوماً لکن الزمان الإضافی مجهول؛ ولذا لم یفرق جمع من المحققین فی الحدث والطهارة بین أن یکون أحدهما معلوم التاریخ أو یکونا مجهولی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فرق فی تخصیص الخاص للعام بین کونه متقدماً علیه أو متأخراً عنه؛ لأنّ الأمر یدور بین التخصیص والنسخ، والأول أولی، ولعل بناء الفقه علی ذلک،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وردت روایتان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عامة مفادها حرمة جمیع حیوانات البحر، وروایة خاصة مفادها حلیة السمک والروبیان، فإن بناء الفقهاء علی تخصیص العام بالخاص، وإن فرض کون الخاص متقدماً علی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المقام حتی لو فرض أنّ الحجاب المحلل لبعض الوجه ورد متقدماً، والمحرم ورد متأخراً، إلا أن الأول تخصیص فی الدلیل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فی ذلک بین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وفعله وتقریره، فإن بناء الفقه علی أن الخاص یخصص العام علی کل تقدیر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الروایة مرویة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کان الجواز خاصاً </w:t>
      </w:r>
      <w:bookmarkStart w:id="590" w:name="pg6289_42016"/>
    </w:p>
    <w:p>
      <w:pPr>
        <w:pStyle w:val="BookText"/>
        <w:rPr/>
      </w:pPr>
      <w:bookmarkEnd w:id="590"/>
      <w:r>
        <w:rPr>
          <w:rFonts w:ascii="IRNazanin" w:hAnsi="IRNazanin" w:eastAsia="IRNazanin"/>
          <w:color w:val="111111"/>
          <w:sz w:val="28"/>
          <w:sz w:val="28"/>
          <w:szCs w:val="28"/>
          <w:rtl w:val="true"/>
          <w:lang w:bidi="fa-IR"/>
        </w:rPr>
        <w:t xml:space="preserve">بفترة زمنیة معینة انتهت بنزول الحجاب لنبه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فتأمل</w:t>
      </w:r>
      <w:r>
        <w:rPr>
          <w:rFonts w:eastAsia="IRNazanin" w:cs="IRNazanin"/>
          <w:color w:val="111111"/>
          <w:sz w:val="28"/>
          <w:szCs w:val="28"/>
          <w:rtl w:val="true"/>
          <w:lang w:bidi="fa-IR"/>
        </w:rPr>
        <w:t>.</w:t>
      </w:r>
    </w:p>
    <w:p>
      <w:pPr>
        <w:pStyle w:val="Heading6"/>
        <w:numPr>
          <w:ilvl w:val="5"/>
          <w:numId w:val="1"/>
        </w:numPr>
        <w:rPr/>
      </w:pPr>
      <w:bookmarkStart w:id="591" w:name="__RefHeading___Toc2133664_237004111"/>
      <w:bookmarkStart w:id="592" w:name="_Toc232"/>
      <w:bookmarkEnd w:id="591"/>
      <w:r>
        <w:rPr>
          <w:rtl w:val="true"/>
        </w:rPr>
        <w:t>الإشکال الرابع</w:t>
      </w:r>
      <w:r>
        <w:rPr>
          <w:rtl w:val="true"/>
        </w:rPr>
        <w:t xml:space="preserve">: </w:t>
      </w:r>
      <w:r>
        <w:rPr>
          <w:rtl w:val="true"/>
        </w:rPr>
        <w:t>الخبر معارض بغیره</w:t>
      </w:r>
      <w:bookmarkEnd w:id="592"/>
    </w:p>
    <w:p>
      <w:pPr>
        <w:pStyle w:val="BookText"/>
        <w:rPr/>
      </w:pPr>
      <w:r>
        <w:rPr>
          <w:rFonts w:ascii="IRNazanin" w:hAnsi="IRNazanin" w:eastAsia="IRNazanin"/>
          <w:color w:val="111111"/>
          <w:sz w:val="28"/>
          <w:sz w:val="28"/>
          <w:szCs w:val="28"/>
          <w:rtl w:val="true"/>
          <w:lang w:bidi="fa-IR"/>
        </w:rPr>
        <w:t>وهو ما ذکره فی المسائل الفقهیة،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معارضته بما روی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 ما یکون للنساء أن لا یرین الرجال ولا یراهن الرجال،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إنها منی</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مرسلة، فلا تصلح للمعارضة، فقد وردت 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عیسی فی کشف الغمة، نقلاً من کتاب أخبار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بابویه،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أخبرونی أی شیء خیر للنساء؟ فعیینا بذلک کلنا حتی تفرقنا، فرجعت إلی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فأخبرتها بالذی قال 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ولیس أحد منا علمه ولا عرفه،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ولکنی أعرفه، خیر للنساء أن لا یرین الرجال ولا یراهن الرجال، فرجعت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سألتنا أی شیء خیر للنساء؟ خیر لهن أن لا یرین الرجال ولا یراهن الرجال،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أخبرک؟ فلم تعلمه وأنت عندی،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فأعجب ذلک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بضعة منی</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والواسطة بین ابن بابویه وأمیر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مذکورة، ولم نجد سنداً لهذه الروایة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یجاب بأن قاعدة التسامح تقتضی استحباب ذلک أو کراهة الضد، </w:t>
      </w:r>
      <w:bookmarkStart w:id="593" w:name="pg6289_42017"/>
    </w:p>
    <w:p>
      <w:pPr>
        <w:pStyle w:val="BookText"/>
        <w:rPr/>
      </w:pPr>
      <w:bookmarkEnd w:id="593"/>
      <w:r>
        <w:rPr>
          <w:rFonts w:ascii="IRNazanin" w:hAnsi="IRNazanin" w:eastAsia="IRNazanin"/>
          <w:color w:val="111111"/>
          <w:sz w:val="28"/>
          <w:sz w:val="28"/>
          <w:szCs w:val="28"/>
          <w:rtl w:val="true"/>
          <w:lang w:bidi="fa-IR"/>
        </w:rPr>
        <w:t xml:space="preserve">ویبعد ترک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للمستحب أو فعله للمکروه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یشکل فی ذلک بأنّ المستحبات متزاحمة، فقد یترک مستحب لمزاحمته بمستحب آخر مساوٍ أو أهم، وکذا فی فعل المکروه، فتأمل</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معارضة، فالروایة المذکورة تتضمن الکراهة، وروایة جابر تدل علی المشروعیة، ولعل الإتیان به لملاک مزاحم أهم یرفع الکراهة عن فعل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وله نظائر کالنوم بین الطلوعین</w:t>
      </w:r>
      <w:r>
        <w:rPr>
          <w:rFonts w:eastAsia="IRNazanin" w:cs="IRNazanin"/>
          <w:color w:val="111111"/>
          <w:sz w:val="28"/>
          <w:szCs w:val="28"/>
          <w:rtl w:val="true"/>
          <w:lang w:bidi="fa-IR"/>
        </w:rPr>
        <w:t>(</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وتأخیر الصلاة عن أول الوقت</w:t>
      </w:r>
      <w:r>
        <w:rPr>
          <w:rFonts w:eastAsia="IRNazanin" w:cs="IRNazanin"/>
          <w:color w:val="111111"/>
          <w:sz w:val="28"/>
          <w:szCs w:val="28"/>
          <w:rtl w:val="true"/>
          <w:lang w:bidi="fa-IR"/>
        </w:rPr>
        <w:t>(</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وأکل الجبن</w:t>
      </w:r>
      <w:r>
        <w:rPr>
          <w:rFonts w:eastAsia="IRNazanin" w:cs="IRNazanin"/>
          <w:color w:val="111111"/>
          <w:sz w:val="28"/>
          <w:szCs w:val="28"/>
          <w:rtl w:val="true"/>
          <w:lang w:bidi="fa-IR"/>
        </w:rPr>
        <w:t>(</w:t>
      </w:r>
      <w:r>
        <w:rPr>
          <w:rStyle w:val="FootnoteAnchor"/>
          <w:rtl w:val="true"/>
        </w:rPr>
        <w:footnoteReference w:id="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بعض الروایات</w:t>
      </w:r>
      <w:r>
        <w:rPr>
          <w:rFonts w:eastAsia="IRNazanin" w:cs="IRNazanin"/>
          <w:color w:val="111111"/>
          <w:sz w:val="28"/>
          <w:szCs w:val="28"/>
          <w:rtl w:val="true"/>
          <w:lang w:bidi="fa-IR"/>
        </w:rPr>
        <w:t>.</w:t>
      </w:r>
    </w:p>
    <w:p>
      <w:pPr>
        <w:pStyle w:val="Heading6"/>
        <w:numPr>
          <w:ilvl w:val="5"/>
          <w:numId w:val="1"/>
        </w:numPr>
        <w:rPr/>
      </w:pPr>
      <w:bookmarkStart w:id="594" w:name="__RefHeading___Toc2133666_237004111"/>
      <w:bookmarkStart w:id="595" w:name="_Toc233"/>
      <w:bookmarkEnd w:id="594"/>
      <w:r>
        <w:rPr>
          <w:rtl w:val="true"/>
        </w:rPr>
        <w:t>الدلیل الرابع عشر</w:t>
      </w:r>
      <w:r>
        <w:rPr>
          <w:rtl w:val="true"/>
        </w:rPr>
        <w:t xml:space="preserve">: </w:t>
      </w:r>
      <w:r>
        <w:rPr>
          <w:rtl w:val="true"/>
        </w:rPr>
        <w:t xml:space="preserve">رؤیة سلمان لید الزهراء </w:t>
      </w:r>
      <w:r>
        <w:rPr>
          <w:rtl w:val="true"/>
        </w:rPr>
        <w:t>(</w:t>
      </w:r>
      <w:r>
        <w:rPr>
          <w:rtl w:val="true"/>
        </w:rPr>
        <w:t>علیها السلام</w:t>
      </w:r>
      <w:r>
        <w:rPr>
          <w:rtl w:val="true"/>
        </w:rPr>
        <w:t xml:space="preserve">) </w:t>
      </w:r>
      <w:r>
        <w:rPr>
          <w:rtl w:val="true"/>
        </w:rPr>
        <w:t>حین إدارة الرحی</w:t>
      </w:r>
      <w:bookmarkEnd w:id="59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فی المستند،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وتؤید المطلوب الأخبار المتضمنة لرؤیة سلمان یدی سیدة النساء دامیة عند إدارة الرحی</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bookmarkStart w:id="596" w:name="pg6289_42018"/>
    </w:p>
    <w:p>
      <w:pPr>
        <w:pStyle w:val="BookText"/>
        <w:rPr/>
      </w:pPr>
      <w:bookmarkEnd w:id="596"/>
      <w:r>
        <w:rPr>
          <w:rFonts w:ascii="IRNazanin" w:hAnsi="IRNazanin" w:eastAsia="IRNazanin"/>
          <w:color w:val="111111"/>
          <w:sz w:val="28"/>
          <w:sz w:val="28"/>
          <w:szCs w:val="28"/>
          <w:rtl w:val="true"/>
          <w:lang w:bidi="fa-IR"/>
        </w:rPr>
        <w:t>والخبر کما فی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جالسة، قدامها رحی تطحن بها الشعیر، وعلی عمود الرحی دم سائل والحسین فی ناحیة الدار یتضور من الجوع،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دبرت کفاک</w:t>
      </w:r>
      <w:r>
        <w:rPr>
          <w:rFonts w:eastAsia="IRNazanin" w:cs="IRNazanin"/>
          <w:color w:val="111111"/>
          <w:sz w:val="28"/>
          <w:szCs w:val="28"/>
          <w:rtl w:val="true"/>
          <w:lang w:bidi="fa-IR"/>
        </w:rPr>
        <w:t>(</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فضة،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الخدمة لها یوماً فکان أمس یوم خدمتها</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الدلیل مضافاً إلی ما تقدم، إشکال سندی ودلالی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الإشکال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روی تارة مرسلاً کما فی البحار وأخری مسنداً کما فی دلائل الإمامة</w:t>
      </w:r>
      <w:r>
        <w:rPr>
          <w:rFonts w:eastAsia="IRNazanin" w:cs="IRNazanin"/>
          <w:color w:val="111111"/>
          <w:sz w:val="28"/>
          <w:szCs w:val="28"/>
          <w:rtl w:val="true"/>
          <w:lang w:bidi="fa-IR"/>
        </w:rPr>
        <w:t>(</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یشتمل علی بعض المجاهیل کالفزاری، ولم أعثر علی روایة مسندة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الإشکال الدلالی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تضمن الخبر النظر، فلعله عرف ذلک من خلال قولها صلوات الله علیها، ففی روایة دلائل الإمامة</w:t>
      </w:r>
      <w:r>
        <w:rPr>
          <w:rFonts w:eastAsia="IRNazanin" w:cs="IRNazanin"/>
          <w:color w:val="111111"/>
          <w:sz w:val="28"/>
          <w:szCs w:val="28"/>
          <w:rtl w:val="true"/>
          <w:lang w:bidi="fa-IR"/>
        </w:rPr>
        <w:t>(</w:t>
      </w:r>
      <w:r>
        <w:rPr>
          <w:rStyle w:val="FootnoteAnchor"/>
          <w:rtl w:val="true"/>
        </w:rPr>
        <w:footnoteReference w:id="6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خرجت مع رسول الله ذات یوم وأنا أرید الصلاة، فحاذیت باب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فإذا أنا بهاتف من داخل الدار</w:t>
      </w:r>
      <w:r>
        <w:rPr>
          <w:rFonts w:eastAsia="IRNazanin" w:cs="IRNazanin"/>
          <w:color w:val="111111"/>
          <w:sz w:val="28"/>
          <w:szCs w:val="28"/>
          <w:rtl w:val="true"/>
          <w:lang w:bidi="fa-IR"/>
        </w:rPr>
        <w:t>...».</w:t>
      </w:r>
    </w:p>
    <w:p>
      <w:pPr>
        <w:pStyle w:val="Heading6"/>
        <w:numPr>
          <w:ilvl w:val="5"/>
          <w:numId w:val="1"/>
        </w:numPr>
        <w:rPr/>
      </w:pPr>
      <w:bookmarkStart w:id="597" w:name="__RefHeading___Toc2133668_237004111"/>
      <w:bookmarkStart w:id="598" w:name="_Toc234"/>
      <w:bookmarkEnd w:id="597"/>
      <w:r>
        <w:rPr>
          <w:rtl w:val="true"/>
        </w:rPr>
        <w:t>الدلیل الخامس عشر</w:t>
      </w:r>
      <w:r>
        <w:rPr>
          <w:rtl w:val="true"/>
        </w:rPr>
        <w:t xml:space="preserve">: </w:t>
      </w:r>
      <w:r>
        <w:rPr>
          <w:rtl w:val="true"/>
        </w:rPr>
        <w:t>روایة المحاسن</w:t>
      </w:r>
      <w:bookmarkEnd w:id="59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روایة المحاسن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والذراعان</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bookmarkStart w:id="599" w:name="pg6289_42019"/>
    </w:p>
    <w:p>
      <w:pPr>
        <w:pStyle w:val="BookText"/>
        <w:rPr/>
      </w:pPr>
      <w:bookmarkEnd w:id="599"/>
      <w:r>
        <w:rPr>
          <w:rFonts w:ascii="IRNazanin" w:hAnsi="IRNazanin" w:eastAsia="IRNazanin"/>
          <w:color w:val="111111"/>
          <w:sz w:val="28"/>
          <w:sz w:val="28"/>
          <w:szCs w:val="28"/>
          <w:rtl w:val="true"/>
          <w:lang w:bidi="fa-IR"/>
        </w:rPr>
        <w:t>ولعل المراد بالذراعین الکفان، وإلاّ فلم ینقل عن أحد جواز کشف الذراعین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اللغة للذراع إطلاقان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الساعد، أی ما فوق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والمرفق إلی انتهاء الأصابع</w:t>
      </w:r>
      <w:r>
        <w:rPr>
          <w:rFonts w:eastAsia="IRNazanin" w:cs="IRNazanin"/>
          <w:color w:val="111111"/>
          <w:sz w:val="28"/>
          <w:szCs w:val="28"/>
          <w:rtl w:val="true"/>
          <w:lang w:bidi="fa-IR"/>
        </w:rPr>
        <w:t>(</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فلعل المراد منها بعض الذراعین، وذلک بعلاقة الکل والجزء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هذا الدلیل أنّ الروایة مرسلة؛ إذ لم یذکر لها سند، فجمیع المصادر تنتهی إلی المحاسن بلا سند</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ورود بعض المناقشات المتقدمة أیضاً</w:t>
      </w:r>
      <w:r>
        <w:rPr>
          <w:rFonts w:eastAsia="IRNazanin" w:cs="IRNazanin"/>
          <w:color w:val="111111"/>
          <w:sz w:val="28"/>
          <w:szCs w:val="28"/>
          <w:rtl w:val="true"/>
          <w:lang w:bidi="fa-IR"/>
        </w:rPr>
        <w:t>.</w:t>
      </w:r>
    </w:p>
    <w:p>
      <w:pPr>
        <w:pStyle w:val="Heading6"/>
        <w:numPr>
          <w:ilvl w:val="5"/>
          <w:numId w:val="1"/>
        </w:numPr>
        <w:rPr/>
      </w:pPr>
      <w:bookmarkStart w:id="600" w:name="__RefHeading___Toc2133670_237004111"/>
      <w:bookmarkStart w:id="601" w:name="_Toc235"/>
      <w:bookmarkEnd w:id="600"/>
      <w:r>
        <w:rPr>
          <w:rtl w:val="true"/>
        </w:rPr>
        <w:t>الدلیل السادس عشر</w:t>
      </w:r>
      <w:r>
        <w:rPr>
          <w:rtl w:val="true"/>
        </w:rPr>
        <w:t xml:space="preserve">: </w:t>
      </w:r>
      <w:r>
        <w:rPr>
          <w:rtl w:val="true"/>
        </w:rPr>
        <w:t>الأخبار الدالة علی کشف المرأة وجه ها حال الإحرام</w:t>
      </w:r>
      <w:bookmarkEnd w:id="601"/>
    </w:p>
    <w:p>
      <w:pPr>
        <w:pStyle w:val="BookText"/>
        <w:rPr/>
      </w:pPr>
      <w:r>
        <w:rPr>
          <w:rFonts w:ascii="IRNazanin" w:hAnsi="IRNazanin" w:eastAsia="IRNazanin"/>
          <w:color w:val="111111"/>
          <w:sz w:val="28"/>
          <w:sz w:val="28"/>
          <w:szCs w:val="28"/>
          <w:rtl w:val="true"/>
          <w:lang w:bidi="fa-IR"/>
        </w:rPr>
        <w:t>ما تضمن من الأخبار کشف المرأة وجهها حال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إنه یؤید الجواز جملة من المؤیدات،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باب الحج، وأن إحرام المرأة فی وجهها، فإنّ المستفاد من روایاته أنه لیس استثناءً عن الحرام، فإنه إذا کان کشف الوجه حراماً أمکن التستر بالمروحة</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استدل أیضاً بهذه الأخبار السید الحکیم فی المستمسک</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تمامیة الدلیل مبتنیة علی الملازمة، فإذا جاز الکشف فی </w:t>
      </w:r>
    </w:p>
    <w:p>
      <w:pPr>
        <w:pStyle w:val="BookText"/>
        <w:rPr/>
      </w:pPr>
      <w:r>
        <w:rPr>
          <w:rFonts w:ascii="IRNazanin" w:hAnsi="IRNazanin" w:eastAsia="IRNazanin"/>
          <w:color w:val="111111"/>
          <w:sz w:val="28"/>
          <w:sz w:val="28"/>
          <w:szCs w:val="28"/>
          <w:rtl w:val="true"/>
          <w:lang w:bidi="fa-IR"/>
        </w:rPr>
        <w:t>الحج جاز النظر إلیها فی الحج، فیدل علی جواز النظر فی الحج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 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مانع من الاستثناء من الحرام، وتحول الحرام إلی واجب أو مباح وبالعکس لملاک یقتضی ذلک، کتحول الغیبة المحرمة إلی جائزة أو واجبة، وکما یمکن الاستثناء من الفضیلة یمکن الاستثناء من الحرمة، ولعل وجوب الکشف لتذوق المرأة الحر والبرد، أو لامتحان الناظر والمنظور إلیه، أو لغیر ذلک من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 متحقق علی کل حال، فهو استثناء إما من الحرام إذا کان کشف الوجه حراماً، أو الفضیلة إذا کان الأفضل لها أن تستر وجهها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الحرام إلی واجب نادر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الغلبة لیست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یسلب الظهور عنه، فإنه إذا دار الأمر بین أن نحمل هذه الروایة علی تحولها من الحرام أو الجائز لم یستسغ العرف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 من الحرام کثیر جداً، کحرمة الکذب والغیبة والربا ومستثنیاتها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یتضح أن جواز أو وجوب الکشف فی الحج دال علی الجواز مطلقاً، وکأنّ الحج امتحان متعدد الأبعاد، کمَن یرمی الجمار فیواجه امرأة مکشفة الوجه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فقه الصادق،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أنه لو دل علی </w:t>
      </w:r>
    </w:p>
    <w:p>
      <w:pPr>
        <w:pStyle w:val="BookText"/>
        <w:rPr/>
      </w:pPr>
      <w:r>
        <w:rPr>
          <w:rFonts w:ascii="IRNazanin" w:hAnsi="IRNazanin" w:eastAsia="IRNazanin"/>
          <w:color w:val="111111"/>
          <w:sz w:val="28"/>
          <w:sz w:val="28"/>
          <w:szCs w:val="28"/>
          <w:rtl w:val="true"/>
          <w:lang w:bidi="fa-IR"/>
        </w:rPr>
        <w:t>شیء فإنما هو عدم وجوب الستر لا جواز النظر</w:t>
      </w:r>
      <w:r>
        <w:rPr>
          <w:rFonts w:eastAsia="IRNazanin" w:cs="IRNazanin"/>
          <w:color w:val="111111"/>
          <w:sz w:val="28"/>
          <w:szCs w:val="28"/>
          <w:rtl w:val="true"/>
          <w:lang w:bidi="fa-IR"/>
        </w:rPr>
        <w:t>»(</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ما فی المهذب</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قد مضی الکلام فی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ونصوص الإحرام إنما هو لحکم الإحرام من حیث إنّ إحرامها فی وجهها، فلا یجوز وضع شیء علیه، وإن وجب علیها الستر بما لا یمسه، کما هو المتعارف الآن فی إحرام النساء المتدینات</w:t>
      </w:r>
      <w:r>
        <w:rPr>
          <w:rFonts w:eastAsia="IRNazanin" w:cs="IRNazanin"/>
          <w:color w:val="111111"/>
          <w:sz w:val="28"/>
          <w:szCs w:val="28"/>
          <w:rtl w:val="true"/>
          <w:lang w:bidi="fa-IR"/>
        </w:rPr>
        <w:t>»(</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ما فی فقه الصادق</w:t>
      </w:r>
      <w:r>
        <w:rPr>
          <w:rFonts w:eastAsia="IRNazanin" w:cs="IRNazanin"/>
          <w:color w:val="111111"/>
          <w:sz w:val="28"/>
          <w:szCs w:val="28"/>
          <w:rtl w:val="true"/>
          <w:lang w:bidi="fa-IR"/>
        </w:rPr>
        <w:t>(</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والمهذب</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فروایات الإحرام لا تدل علی کشف الوجه، وإنما علی عدم وجود ساتر ملاصق للوجه کالبرقع المتداول، فیجب الحجاب بلا ستر، بأن تضع قبة وتسدل علیها النقاب حتی تذوق الحر والبرد، أو تضع مروحة وتضع شیئاً أمام وجهها، وهو مقتضی الجمع بین الدلیلین ولا منافاة بینهما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نظر؛ لأنه قد أمر بالإسفار الجزئی أو سوغ ذلک، وهو ینافی وجوب الستر الکلی، کما هو مدعی الجواهر، ویظهر ذلک بملاحظة ما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حماد</w:t>
      </w:r>
      <w:r>
        <w:rPr>
          <w:rFonts w:eastAsia="IRNazanin" w:cs="IRNazanin"/>
          <w:color w:val="111111"/>
          <w:sz w:val="28"/>
          <w:szCs w:val="28"/>
          <w:rtl w:val="true"/>
          <w:lang w:bidi="fa-IR"/>
        </w:rPr>
        <w:t>(</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الحلبی</w:t>
      </w:r>
      <w:r>
        <w:rPr>
          <w:rFonts w:eastAsia="IRNazanin" w:cs="IRNazanin"/>
          <w:color w:val="111111"/>
          <w:sz w:val="28"/>
          <w:szCs w:val="28"/>
          <w:rtl w:val="true"/>
          <w:lang w:bidi="fa-IR"/>
        </w:rPr>
        <w:t>(</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w:t>
      </w:r>
    </w:p>
    <w:p>
      <w:pPr>
        <w:pStyle w:val="BookText"/>
        <w:rPr/>
      </w:pP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بامرأة متنقبة،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أحرمی وأسفری وأرخی ثوبک من فوق رأسک، فإنک إن تنقبت لم یتغیر لونک،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ترخیه؟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تغطی عینیها،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یبلغ فمها؟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مطلقة، فیصح الستر أکثر من ذلک، ویجب بمقتضی أدلة الحجاب، فلا دلیل علی الإسفار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قاطع للشرکة، والغایة لها مفهوم، فیلزم التغطیة إلی العینین أو الفم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أمر بالإسفار الکلی، کما عن الحمیری فی قرب الإسناد، عن أحمد بن محمد بن عیسی، عن أحمد بن محمد بن أبی نصر،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بامرأة محرمة قد استترت بمروحة، فأماط المروحة بنفسه عن وجهها</w:t>
      </w:r>
      <w:r>
        <w:rPr>
          <w:rFonts w:eastAsia="IRNazanin" w:cs="IRNazanin"/>
          <w:color w:val="111111"/>
          <w:sz w:val="28"/>
          <w:szCs w:val="28"/>
          <w:rtl w:val="true"/>
          <w:lang w:bidi="fa-IR"/>
        </w:rPr>
        <w:t>»(</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وظاهره الإسفار الکلی أو شبه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بقرینة الجمع بین الروایات إنّ الإسفار المأمور به هو الإسفار فی حد نفسه، لا الإسفار أمام الأجانب، ویدل علی ذلک روایة محمد بن علی بن الحسین بإسناده عن سماعة</w:t>
      </w:r>
      <w:r>
        <w:rPr>
          <w:rFonts w:eastAsia="IRNazanin" w:cs="IRNazanin"/>
          <w:color w:val="111111"/>
          <w:sz w:val="28"/>
          <w:szCs w:val="28"/>
          <w:rtl w:val="true"/>
          <w:lang w:bidi="fa-IR"/>
        </w:rPr>
        <w:t>(</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مر بها رجل استترت منه بثوبها</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ومفادها أنها تسفر لکن تغطی وجهها عندما یمر منها رجل، وقد مضی </w:t>
      </w:r>
      <w:bookmarkStart w:id="602" w:name="pg6289_42023"/>
    </w:p>
    <w:p>
      <w:pPr>
        <w:pStyle w:val="BookText"/>
        <w:rPr/>
      </w:pPr>
      <w:bookmarkEnd w:id="602"/>
      <w:r>
        <w:rPr>
          <w:rFonts w:ascii="IRNazanin" w:hAnsi="IRNazanin" w:eastAsia="IRNazanin"/>
          <w:color w:val="111111"/>
          <w:sz w:val="28"/>
          <w:sz w:val="28"/>
          <w:szCs w:val="28"/>
          <w:rtl w:val="true"/>
          <w:lang w:bidi="fa-IR"/>
        </w:rPr>
        <w:t>ثبوت الملازمة العرفیة بین وجوب الستر وحرمة النظر، کما لو قیل 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الورقة عن الأغیار، فإنّ معناه عدم جواز النظر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جواز کون المرأة مَحرماً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لا عموم لها ولا إطلاق</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3" w:name="__RefHeading___Toc2133672_237004111"/>
      <w:bookmarkStart w:id="604" w:name="_Toc236"/>
      <w:bookmarkEnd w:id="603"/>
      <w:r>
        <w:rPr>
          <w:rtl w:val="true"/>
        </w:rPr>
        <w:t>الدلیل السابع عشر</w:t>
      </w:r>
      <w:r>
        <w:rPr>
          <w:rtl w:val="true"/>
        </w:rPr>
        <w:t xml:space="preserve">: </w:t>
      </w:r>
      <w:r>
        <w:rPr>
          <w:rtl w:val="true"/>
        </w:rPr>
        <w:t>الروایات الدالة علی تغسیل الأجانب وجه المرأة وکفیها</w:t>
      </w:r>
      <w:bookmarkEnd w:id="604"/>
    </w:p>
    <w:p>
      <w:pPr>
        <w:pStyle w:val="BookText"/>
        <w:rPr/>
      </w:pPr>
      <w:r>
        <w:rPr>
          <w:rFonts w:ascii="IRNazanin" w:hAnsi="IRNazanin" w:eastAsia="IRNazanin"/>
          <w:color w:val="111111"/>
          <w:sz w:val="28"/>
          <w:sz w:val="28"/>
          <w:szCs w:val="28"/>
          <w:rtl w:val="true"/>
          <w:lang w:bidi="fa-IR"/>
        </w:rPr>
        <w:t>ما دلّ علی تغسیل الأجانب وجه المرأة وکفیها عند موتها إذا لم یوجد لها محرم ولا مماثل</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ذکره السید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w:t>
      </w:r>
      <w:r>
        <w:rPr>
          <w:rFonts w:eastAsia="IRNazanin" w:cs="IRNazanin"/>
          <w:color w:val="111111"/>
          <w:sz w:val="28"/>
          <w:szCs w:val="28"/>
          <w:rtl w:val="true"/>
          <w:lang w:bidi="fa-IR"/>
        </w:rPr>
        <w:t>(</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المؤید، کما ذکره السید الحکیم</w:t>
      </w:r>
      <w:r>
        <w:rPr>
          <w:rFonts w:eastAsia="IRNazanin" w:cs="IRNazanin"/>
          <w:color w:val="111111"/>
          <w:sz w:val="28"/>
          <w:szCs w:val="28"/>
          <w:rtl w:val="true"/>
          <w:lang w:bidi="fa-IR"/>
        </w:rPr>
        <w:t>(</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 النراقی</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تلک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تقول فی المرأة تکون فی السفر مع الرجال لیس فیهم لها ذو محرم، ولا معهم امرأة، فتموت المرأة ما یصنع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منها ما أوجب الله علیه التیمم ولا تمس، ولا یکشف لها شیء من محاسنها التی أمر الله بسترها،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یصنع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بطن کفیها، ثم یغسل وجهها، ثم یغسل ظهر کفیها</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ویرد علی هذا الاستدلال 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مبنی علی الملازمة بین التغسیل والنظر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الملازمة 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النظر فیما ذکره فی فقه الصادق،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أفهم وجه دلالة تلک النصوص علی هذا الحکم، فإنها علی اختلاف مضامینها لیس فیها ما ینافی عدم النظر</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هو الملازمة العرفیة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 هذه الأخبار،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الأوّل من الباب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خبر المفضل بن عمر</w:t>
      </w:r>
      <w:r>
        <w:rPr>
          <w:rFonts w:eastAsia="IRNazanin" w:cs="IRNazanin"/>
          <w:color w:val="111111"/>
          <w:sz w:val="28"/>
          <w:szCs w:val="28"/>
          <w:rtl w:val="true"/>
          <w:lang w:bidi="fa-IR"/>
        </w:rPr>
        <w:t>(</w:t>
      </w:r>
      <w:r>
        <w:rPr>
          <w:rStyle w:val="FootnoteAnchor"/>
          <w:rtl w:val="true"/>
        </w:rPr>
        <w:footnoteReference w:id="63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ضعیف بعبد الرحمن بن سالم، والخبر السادس</w:t>
      </w:r>
      <w:r>
        <w:rPr>
          <w:rFonts w:eastAsia="IRNazanin" w:cs="IRNazanin"/>
          <w:color w:val="111111"/>
          <w:sz w:val="28"/>
          <w:szCs w:val="28"/>
          <w:rtl w:val="true"/>
          <w:lang w:bidi="fa-IR"/>
        </w:rPr>
        <w:t>(</w:t>
      </w:r>
      <w:r>
        <w:rPr>
          <w:rStyle w:val="FootnoteAnchor"/>
          <w:rtl w:val="true"/>
        </w:rPr>
        <w:footnoteReference w:id="63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خبر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بمحمد بن أسلم الجبلی، والخبر الثامن</w:t>
      </w:r>
      <w:r>
        <w:rPr>
          <w:rFonts w:eastAsia="IRNazanin" w:cs="IRNazanin"/>
          <w:color w:val="111111"/>
          <w:sz w:val="28"/>
          <w:szCs w:val="28"/>
          <w:rtl w:val="true"/>
          <w:lang w:bidi="fa-IR"/>
        </w:rPr>
        <w:t>(</w:t>
      </w:r>
      <w:r>
        <w:rPr>
          <w:rStyle w:val="FootnoteAnchor"/>
          <w:rtl w:val="true"/>
        </w:rPr>
        <w:footnoteReference w:id="63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خبر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بعمرو بن شمر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الصحیح منها کفایة للدلالة علی المقصود، ولو فی الجملة، کخبر داود بن فرقد،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الحسین بن سعید</w:t>
      </w:r>
      <w:r>
        <w:rPr>
          <w:rFonts w:eastAsia="IRNazanin" w:cs="IRNazanin"/>
          <w:color w:val="111111"/>
          <w:sz w:val="28"/>
          <w:szCs w:val="28"/>
          <w:rtl w:val="true"/>
          <w:lang w:bidi="fa-IR"/>
        </w:rPr>
        <w:t>(</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علی بن النعمان، عن داود بن فرقد،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مضی صاحب لنا یسأل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تموت مع رجال لیس فیهم ذو محرم، هل یغسلونها وعلیها ثیابها؟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یدخل ذلک علیهم، ولکن یغسلون </w:t>
      </w:r>
    </w:p>
    <w:p>
      <w:pPr>
        <w:pStyle w:val="BookText"/>
        <w:rPr/>
      </w:pPr>
      <w:r>
        <w:rPr>
          <w:rFonts w:ascii="IRNazanin" w:hAnsi="IRNazanin" w:eastAsia="IRNazanin"/>
          <w:color w:val="111111"/>
          <w:sz w:val="28"/>
          <w:sz w:val="28"/>
          <w:szCs w:val="28"/>
          <w:rtl w:val="true"/>
          <w:lang w:bidi="fa-IR"/>
        </w:rPr>
        <w:t>کفیها</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الرجائی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معارضته بالأخبار الصحیحة الدالة علی أنها تدفن، ولا یغسل منها شیء</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 لأنّ الظاهر منها نفی وجوب الغُسل بالضم، لا نفی وجوب الغَسل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وبتقریر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أو الإطلاق فی تلک الروایات قابل للتخصیص بروایات الباب، ففی 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سأله عن المرأة تموت فی السفر، ولیس معها ذو محرم ولا 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تدفن کما هی بثیابها</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امرأة ماتت مع 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وتدفن ولا تغسل</w:t>
      </w:r>
      <w:r>
        <w:rPr>
          <w:rFonts w:eastAsia="IRNazanin" w:cs="IRNazanin"/>
          <w:color w:val="111111"/>
          <w:sz w:val="28"/>
          <w:szCs w:val="28"/>
          <w:rtl w:val="true"/>
          <w:lang w:bidi="fa-IR"/>
        </w:rPr>
        <w:t>»(</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یصنع بها الأعمال التی تعمل للمیت من التغسیل والتکفین والتحنیط، وهو لا ینافی غسل وجهها وکفیها لمکان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أیضاً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متعارضة فی أنفسها؛ لأن بعضها یدل علی خصوص الکف، وبعضها یدل علی الکف والجبهة التی هی موضع التیمم</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تعارض؛ إذ یمکن الحمل علی التخییر أو التقیید، فإحدی </w:t>
      </w:r>
    </w:p>
    <w:p>
      <w:pPr>
        <w:pStyle w:val="BookText"/>
        <w:rPr/>
      </w:pPr>
      <w:r>
        <w:rPr>
          <w:rFonts w:ascii="IRNazanin" w:hAnsi="IRNazanin" w:eastAsia="IRNazanin"/>
          <w:color w:val="111111"/>
          <w:sz w:val="28"/>
          <w:sz w:val="28"/>
          <w:szCs w:val="28"/>
          <w:rtl w:val="true"/>
          <w:lang w:bidi="fa-IR"/>
        </w:rPr>
        <w:t>الروایات توجب غسل الکف والأخری کفیها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وثالثة بطن الکف والوجه وظهر الکف، ورابعة موضع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یقل أحد بالوجوب، مع أنّ الصحیح منها لا معارض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واردة فی مورد خاص، واحتمال الخصوصیة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نظر الشارع موجود، ولا دلیل علی تعدیة الحکم إلی غیر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یدل جواز کشف الوجه والکفین فی حال الموت علی ذلک فی حال الحیاة، فهو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الروایة التی قد یستشعر منها العموم</w:t>
      </w:r>
      <w:r>
        <w:rPr>
          <w:rFonts w:eastAsia="IRNazanin" w:cs="IRNazanin"/>
          <w:color w:val="111111"/>
          <w:sz w:val="28"/>
          <w:szCs w:val="28"/>
          <w:rtl w:val="true"/>
          <w:lang w:bidi="fa-IR"/>
        </w:rPr>
        <w:t>(</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فضعیفة</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المهذب،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یعمل به فی مورده، فکیف یتعدی إلی غیره؟ ونسبه بعض الفقهاء إلی الشذوذ، کما فی الجواهر</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 إذ لم یثبت الإعراض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فلذلک حملوا هذه الأحادیث علی الاستحباب، ذکره الشیخ وغیره</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نقله السید السبزواری عن الجواهر فلم أجده، بل قال صاحب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قد یقال باستحباب غسل مواضع التیمم منها مع عدم اللمس؛ </w:t>
      </w:r>
      <w:bookmarkStart w:id="605" w:name="pg6289_42027"/>
    </w:p>
    <w:p>
      <w:pPr>
        <w:pStyle w:val="BookText"/>
        <w:rPr/>
      </w:pPr>
      <w:bookmarkEnd w:id="605"/>
      <w:r>
        <w:rPr>
          <w:rFonts w:ascii="IRNazanin" w:hAnsi="IRNazanin" w:eastAsia="IRNazanin"/>
          <w:color w:val="111111"/>
          <w:sz w:val="28"/>
          <w:sz w:val="28"/>
          <w:szCs w:val="28"/>
          <w:rtl w:val="true"/>
          <w:lang w:bidi="fa-IR"/>
        </w:rPr>
        <w:t>لما رواه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المبسوط والنهایة والتهذیب جواز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 فی الاستبصار بعد ذکر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فیها أن تحمل علی ضرب من الاستحباب،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الأحوط دفنها مع عدم فعل شیء من ذلک بها</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ما وجدته فی الجواهر،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مهجور وشاذ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المذکور غیر تام حتی وإن ثبت الإعراض؛ لأنّ للروایة مدلولین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مطابقی، وهو جواز الکشف بعد الموت، والتزامی، وهو جوازه قبل الموت، وقد أعرض عن الأول دون الثانی، فالإعراض عن مؤدی واحد، وهو منطوق الروایة لا مفهومها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الالتزامیة تابعة للدلالة المطابقیة، فإن سقطت الثانیة سقطت الأولی، فلیس عقلائیاً إسقاط الروایة فی موردها ثم الحکم بها فی مورد آخر، فإن ذلک لا یخلو من غرابة</w:t>
      </w:r>
      <w:r>
        <w:rPr>
          <w:rFonts w:eastAsia="IRNazanin" w:cs="IRNazanin"/>
          <w:color w:val="111111"/>
          <w:sz w:val="28"/>
          <w:szCs w:val="28"/>
          <w:rtl w:val="true"/>
          <w:lang w:bidi="fa-IR"/>
        </w:rPr>
        <w:t>.</w:t>
      </w:r>
    </w:p>
    <w:p>
      <w:pPr>
        <w:pStyle w:val="Heading6"/>
        <w:numPr>
          <w:ilvl w:val="5"/>
          <w:numId w:val="1"/>
        </w:numPr>
        <w:rPr/>
      </w:pPr>
      <w:bookmarkStart w:id="606" w:name="__RefHeading___Toc2133674_237004111"/>
      <w:bookmarkStart w:id="607" w:name="_Toc237"/>
      <w:bookmarkEnd w:id="606"/>
      <w:r>
        <w:rPr>
          <w:rtl w:val="true"/>
        </w:rPr>
        <w:t>الدلیل الثامن عشر</w:t>
      </w:r>
      <w:r>
        <w:rPr>
          <w:rtl w:val="true"/>
        </w:rPr>
        <w:t xml:space="preserve">: </w:t>
      </w:r>
      <w:r>
        <w:rPr>
          <w:rtl w:val="true"/>
        </w:rPr>
        <w:t>صحیحة أبی حمزة الثمالی</w:t>
      </w:r>
      <w:bookmarkEnd w:id="60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ما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عن علی بن الحکم، عن أبی حمزة الثمالی،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المرأة المسلمة یصیبها البلاء فی جسدها إما کسر أو جراح فی مکان لا یصلح النظر إلیه، ویکون الرجل أرفق بعلاجه من النساء، أیصلح له النظر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اضطرت إلیه فلیعالجها إن شاءت</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الشیخ الأنصاری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فیه 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التقریر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جواز النظر إلی المرأة فی الجملة، ولیس إلا الوجه والکفین للإجماع علی المنع فی غیرها</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الروایة کالصریحة فی أن من جسد المرأة ما یصلح النظر إلیه وما لا یصلح</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یفهم منه الفرق بین أجزاء جسم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مبانی المنهاج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یستفاد أن النظر إلی بعض مواضع جسد المرأة جائز</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فقه الصادق استفادة الجواز أیضاً</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استفاد هؤلاء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الدلیل أو المؤید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النظر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بدن المرأة بعضه یصلح النظر إلیه وبعضه لا یصلح، والقدر المتیقن منه الوجه والکفان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المراد أنه لا یصلح النظر إلیه لا من الرجال ولا من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لا یصلح النظر إلیه من الرجال، فلا یدل علی المدعی، ویدل علی ذلک إطلاق 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النظر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لم یقید </w:t>
      </w:r>
    </w:p>
    <w:p>
      <w:pPr>
        <w:pStyle w:val="BookText"/>
        <w:rPr/>
      </w:pPr>
      <w:r>
        <w:rPr>
          <w:rFonts w:ascii="IRNazanin" w:hAnsi="IRNazanin" w:eastAsia="IRNazanin"/>
          <w:color w:val="111111"/>
          <w:sz w:val="28"/>
          <w:sz w:val="28"/>
          <w:szCs w:val="28"/>
          <w:rtl w:val="true"/>
          <w:lang w:bidi="fa-IR"/>
        </w:rPr>
        <w:t>بکون النظر من الرجل، وحذف المتعلق یفید العموم، بل یکفی احتمال ذلک، فإن تطرق الاحتمال مبطل للاستدلال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النظر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ترد فی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فی کلام السائل، وحیث لم یکن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بیان ذلک الحکم، بل فی مقام بیان حکم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حکم المعالجة مع الاضطرار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یدل السکوت علی التقریر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ردع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یرد فی کلام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مقصوداً بالتبع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التقریر؛ إذ کان السکوت معرضاً لتفویت غرض المولی، ووقوع المکلف فی التورط فی مخالفة الحکم الواقعی، کما هو کذلک فی المقام،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للأغراض المولویة، فیجب علیه ردعه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جلالة الراوی تمنع عن خطئه فی فهم هذا الحکم، فقد قال النجاشی فی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من خیار أصحابنا وثقاتهم ومعتمدیهم فی الروایة والحدیث، وروی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حمزة فی زمانه مثل سلمان فی زمانه</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خواص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کان من أصحاب الإمام الحسن والإمام الحسین والإمام السجاد والإمام الباقر والإمام الصادق والإمام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bookmarkStart w:id="608" w:name="pg6289_42030"/>
    </w:p>
    <w:p>
      <w:pPr>
        <w:pStyle w:val="BookText"/>
        <w:rPr/>
      </w:pPr>
      <w:bookmarkEnd w:id="608"/>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النظر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وصفیة، وقد قرر فی محله</w:t>
      </w:r>
      <w:r>
        <w:rPr>
          <w:rFonts w:eastAsia="IRNazanin" w:cs="IRNazanin"/>
          <w:color w:val="111111"/>
          <w:sz w:val="28"/>
          <w:szCs w:val="28"/>
          <w:rtl w:val="true"/>
          <w:lang w:bidi="fa-IR"/>
        </w:rPr>
        <w:t>(</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الوصف لا مفهوم له، فلا یتعین أن یکون الإتیان بهذا الوصف للاحتراز عما یحل النظر إلیه، بل قد یکون مسوقاً لغرض آخر، کما هو الشأن فی جمیع الجمل الوصفیة، وکأنه ذکر الوصف لبیان الحکم الأولی للنظر توطئة للسؤال عن الحکم الثانوی، فکأنه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النظر إلی المحل وإن کان حراماً بالعنوان الأولی، لکن هل یحل بطرو العنوان الثانوی أو لا؟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ونظیره سائر الجمل الوصفیة،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وَرَبَائِبُکُمُ اللاَّتِی فِی حُجُورِکُم</w:t>
      </w:r>
      <w:r>
        <w:rPr>
          <w:rFonts w:eastAsia="Amiri" w:cs="Amiri" w:ascii="Amiri" w:hAnsi="Amiri"/>
          <w:color w:val="111111"/>
          <w:sz w:val="28"/>
          <w:szCs w:val="28"/>
          <w:rtl w:val="true"/>
          <w:lang w:bidi="ar-SA"/>
        </w:rPr>
        <w:t>}(</w:t>
      </w:r>
      <w:r>
        <w:rPr>
          <w:rStyle w:val="FootnoteAnchor"/>
          <w:rtl w:val="true"/>
        </w:rPr>
        <w:footnoteReference w:id="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حیث لا یشترط فی حرمتها أن تکون فی الحجر، وإنما أتی بالوصف لغرض آخر،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أَوْلاَدَکُم مِّنْ إمْلاَقٍ</w:t>
      </w:r>
      <w:r>
        <w:rPr>
          <w:rFonts w:eastAsia="Amiri" w:cs="Amiri" w:ascii="Amiri" w:hAnsi="Amiri"/>
          <w:color w:val="111111"/>
          <w:sz w:val="28"/>
          <w:szCs w:val="28"/>
          <w:rtl w:val="true"/>
          <w:lang w:bidi="ar-SA"/>
        </w:rPr>
        <w:t>}(</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یجوز القتل حتی مع عدم الإملاق، فالقاعدة العامة مع الشک فی الظهور أنه لا مفهوم للجملة الوصفیة،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علی التنویع</w:t>
      </w:r>
      <w:r>
        <w:rPr>
          <w:rFonts w:eastAsia="IRNazanin" w:cs="IRNazanin"/>
          <w:color w:val="111111"/>
          <w:sz w:val="28"/>
          <w:szCs w:val="28"/>
          <w:rtl w:val="true"/>
          <w:lang w:bidi="fa-IR"/>
        </w:rPr>
        <w:t>.</w:t>
      </w:r>
    </w:p>
    <w:p>
      <w:pPr>
        <w:pStyle w:val="Heading6"/>
        <w:numPr>
          <w:ilvl w:val="5"/>
          <w:numId w:val="1"/>
        </w:numPr>
        <w:rPr/>
      </w:pPr>
      <w:bookmarkStart w:id="609" w:name="__RefHeading___Toc2133676_237004111"/>
      <w:bookmarkStart w:id="610" w:name="_Toc238"/>
      <w:bookmarkEnd w:id="609"/>
      <w:r>
        <w:rPr>
          <w:rtl w:val="true"/>
        </w:rPr>
        <w:t>الدلیل التاسع عشر</w:t>
      </w:r>
      <w:r>
        <w:rPr>
          <w:rtl w:val="true"/>
        </w:rPr>
        <w:t xml:space="preserve">: </w:t>
      </w:r>
      <w:r>
        <w:rPr>
          <w:rtl w:val="true"/>
        </w:rPr>
        <w:t>النصوص المتعرضة لستر الشعر عن الغلام إذا احتلم</w:t>
      </w:r>
      <w:bookmarkEnd w:id="610"/>
    </w:p>
    <w:p>
      <w:pPr>
        <w:pStyle w:val="BookText"/>
        <w:rPr/>
      </w:pPr>
      <w:r>
        <w:rPr>
          <w:rFonts w:ascii="IRNazanin" w:hAnsi="IRNazanin" w:eastAsia="IRNazanin"/>
          <w:color w:val="111111"/>
          <w:sz w:val="28"/>
          <w:sz w:val="28"/>
          <w:szCs w:val="28"/>
          <w:rtl w:val="true"/>
          <w:lang w:bidi="fa-IR"/>
        </w:rPr>
        <w:t>فإنها تدل علی عدم لزوم ستر الوجه وجواز نظره إلیه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کصحیحة البزنطی،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بإسناده عن أحمد بن محمد بن أبی نصر</w:t>
      </w:r>
      <w:r>
        <w:rPr>
          <w:rFonts w:eastAsia="IRNazanin" w:cs="IRNazanin"/>
          <w:color w:val="111111"/>
          <w:sz w:val="28"/>
          <w:szCs w:val="28"/>
          <w:rtl w:val="true"/>
          <w:lang w:bidi="fa-IR"/>
        </w:rPr>
        <w:t>(</w:t>
      </w:r>
      <w:r>
        <w:rPr>
          <w:rStyle w:val="FootnoteAnchor"/>
          <w:rtl w:val="true"/>
        </w:rPr>
        <w:footnoteReference w:id="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یؤخذ الغلام بالصلاة وهو ابن سبع سنین، ولا تغطی المرأة شعرها منه حتی یحتلم</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دل بمفهوم الغایة علی أنه لو احتلم غطت منه شعرها، وحیث خصص الشعر بالذکر دل علی عدم وجوب تغطیة الوجه، وإلا کان أولی بالذکر، واحتمال کونه کنایة عن الرأس کله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ولا یخفی أنّ الاستدلال بهذه الروایة یتوقف علی قبول الملازمة، وقد سبق الکلام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 نظر الروایة إلی الغلام قبل الاحتلام لا بعده، وکان جواز النظر إلی الوجه مفروغاً منه، ویکون الحکم لبیان جواز کشف الشعر للغلام، فلا یکون له مفهوم لیدل علی حکم الوجه بعد الاحتلام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الروایة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احتلم الغلام غطت المرأة شعرها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المجال للاستدلال المذکور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ذکر الشعر ولم یذکر الوجه؟</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للإشکال وجهاً لولا ما یأتی من الروایات الکثیرة حول الشعر، مما یکون کل الترکیز فیها علیه، ولعلّ بملاحظة المجموع یتم الاستدلال أو الإشعار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 الاستدلال بهذه الروایة بإیرادین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الإیراد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المسائل الفقهیة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یحتمل أن یکون الشعر کالصدر والظهر مما یجب ستره، بحیث لا یبدو أصلاً لا قصداً ولا بغیر قصد، لحاجة ولا لغیر حاجة، بخلاف الوجه، فإنه یجب ستره لکن ربما یبدو بلا قصد أو لحاجة</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خلاف الظاهر، والحاجة کما تسوغ کشف الوجه تسوغ کشف </w:t>
      </w:r>
    </w:p>
    <w:p>
      <w:pPr>
        <w:pStyle w:val="BookText"/>
        <w:rPr/>
      </w:pPr>
      <w:r>
        <w:rPr>
          <w:rFonts w:ascii="IRNazanin" w:hAnsi="IRNazanin" w:eastAsia="IRNazanin"/>
          <w:color w:val="111111"/>
          <w:sz w:val="28"/>
          <w:sz w:val="28"/>
          <w:szCs w:val="28"/>
          <w:rtl w:val="true"/>
          <w:lang w:bidi="fa-IR"/>
        </w:rPr>
        <w:t>الشعر أیضاً، والفرق بین الوجه وغیره فی عدم لزوم التحفظ عن النظر الاتفاقی بالنسبة إلی الوجه، بخلاف سائر البدن، خلاف ظهور الأدلة فی الفعلیة لا المعرضیة، فمعنی تغطی فعلیة التغطیة، ومعنی لا تغطی عدم فعلیة التغطیة، ولیس المدلول المعرضیة وعدم المعرضیة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وجه للفرق بین الوجه والشعر، فمع الضرورة جاز کشفهما وإلا فلا، فلماذا خصص الشعر؟</w:t>
      </w:r>
    </w:p>
    <w:p>
      <w:pPr>
        <w:pStyle w:val="BookText"/>
        <w:rPr/>
      </w:pPr>
      <w:r>
        <w:rPr>
          <w:rFonts w:ascii="IRNazanin" w:hAnsi="IRNazanin" w:eastAsia="IRNazanin"/>
          <w:color w:val="111111"/>
          <w:sz w:val="28"/>
          <w:sz w:val="28"/>
          <w:szCs w:val="28"/>
          <w:rtl w:val="true"/>
          <w:lang w:bidi="fa-IR"/>
        </w:rPr>
        <w:t>الإیراد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المسائل الفقهیة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سلم فلا یدل علی جواز کشف تمام الوجه، بل یدل علی عدم وجوب تغطیة تمام الوجه، ولعله ما عدا العین، کما دل بعض الأخبار علی جواز إظهار الکحل</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التفصیل بجواز کشف بعض الوجه دون بعض خلاف الإجماع المرکب،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لم یفهموا التفصیل من الروایات، بل فهموا الجواز المطلق أو الحرمة المطلقة،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سلم فالدلیل یثبت المقصود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الاستدلال محل نظر، فإنّ إثبات شیء لا ینفی ما عداه،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الصبی وجبت علیه الصلاة، فهل یعنی ذلک عدم وجوب الصوم؟</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أولی بالذکر، فلو قال للسافرة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غطی شعرک، کان مثار التساؤل، لماذا لم یذکر الوجه؟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کان هنالک علة فی عدم ذکر الوجه، کعدم القبول أو </w:t>
      </w:r>
      <w:bookmarkStart w:id="611" w:name="pg6289_42033"/>
    </w:p>
    <w:p>
      <w:pPr>
        <w:pStyle w:val="BookText"/>
        <w:rPr/>
      </w:pPr>
      <w:bookmarkEnd w:id="611"/>
      <w:r>
        <w:rPr>
          <w:rFonts w:ascii="IRNazanin" w:hAnsi="IRNazanin" w:eastAsia="IRNazanin"/>
          <w:color w:val="111111"/>
          <w:sz w:val="28"/>
          <w:sz w:val="28"/>
          <w:szCs w:val="28"/>
          <w:rtl w:val="true"/>
          <w:lang w:bidi="fa-IR"/>
        </w:rPr>
        <w:t>التدرج فی بیان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النهی عن المنکر ببیان الحکم</w:t>
      </w:r>
      <w:r>
        <w:rPr>
          <w:rFonts w:eastAsia="IRNazanin" w:cs="IRNazanin"/>
          <w:color w:val="111111"/>
          <w:sz w:val="28"/>
          <w:szCs w:val="28"/>
          <w:rtl w:val="true"/>
          <w:lang w:bidi="fa-IR"/>
        </w:rPr>
        <w:t>.</w:t>
      </w:r>
    </w:p>
    <w:p>
      <w:pPr>
        <w:pStyle w:val="Heading6"/>
        <w:numPr>
          <w:ilvl w:val="5"/>
          <w:numId w:val="1"/>
        </w:numPr>
        <w:rPr/>
      </w:pPr>
      <w:bookmarkStart w:id="612" w:name="__RefHeading___Toc2133678_237004111"/>
      <w:bookmarkStart w:id="613" w:name="_Toc239"/>
      <w:bookmarkEnd w:id="612"/>
      <w:r>
        <w:rPr>
          <w:rtl w:val="true"/>
        </w:rPr>
        <w:t>الدلیل العشرون</w:t>
      </w:r>
      <w:r>
        <w:rPr>
          <w:rtl w:val="true"/>
        </w:rPr>
        <w:t xml:space="preserve">: </w:t>
      </w:r>
      <w:r>
        <w:rPr>
          <w:rtl w:val="true"/>
        </w:rPr>
        <w:t>الروایات الدالة علی النظر لشعر المرأة جوازاً ومنعاً</w:t>
      </w:r>
      <w:bookmarkEnd w:id="613"/>
    </w:p>
    <w:p>
      <w:pPr>
        <w:pStyle w:val="BookText"/>
        <w:rPr/>
      </w:pPr>
      <w:r>
        <w:rPr>
          <w:rFonts w:ascii="IRNazanin" w:hAnsi="IRNazanin" w:eastAsia="IRNazanin"/>
          <w:color w:val="111111"/>
          <w:sz w:val="28"/>
          <w:sz w:val="28"/>
          <w:szCs w:val="28"/>
          <w:rtl w:val="true"/>
          <w:lang w:bidi="fa-IR"/>
        </w:rPr>
        <w:t>ما یستفاد من الروایات الواردة فی الموارد المختلفة حول النظر إلی شعر المرأة جوازاً أو منعاً، الدال علی مفروغیة جواز النظر إلی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الاستدلال لا یتوقف علی قبول الملازمة؛ لأنه یدل علی جواز النظر بالدلالة المطابقیة، بخلاف الدلیل السابق، فإنّ الاستدلال به یتوقف علی قبول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الروایات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البزنطی کما فی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أحمد بن محمد بن أبی نصر،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أیحل له أن ینظر إلی شعر أخت امرأته،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تکون من القواعد،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 امرأته والغریبة سواء؟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عباد بن صهیب،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بالنظر إلی شعور نساء أهل تهامة والأعراب وأهل البوادی من أهل الذمة والعلوج</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ابن أبی عمیر، عن محمد بن إسحاق</w:t>
      </w:r>
      <w:r>
        <w:rPr>
          <w:rFonts w:eastAsia="IRNazanin" w:cs="IRNazanin"/>
          <w:color w:val="111111"/>
          <w:sz w:val="28"/>
          <w:szCs w:val="28"/>
          <w:rtl w:val="true"/>
          <w:lang w:bidi="fa-IR"/>
        </w:rPr>
        <w:t>(</w:t>
      </w:r>
      <w:r>
        <w:rPr>
          <w:rStyle w:val="FootnoteAnchor"/>
          <w:rtl w:val="true"/>
        </w:rPr>
        <w:footnoteReference w:id="6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p>
    <w:p>
      <w:pPr>
        <w:pStyle w:val="BookText"/>
        <w:rPr/>
      </w:pPr>
      <w:r>
        <w:rPr>
          <w:rFonts w:ascii="IRNazanin" w:hAnsi="IRNazanin" w:eastAsia="IRNazanin"/>
          <w:color w:val="111111"/>
          <w:sz w:val="28"/>
          <w:sz w:val="28"/>
          <w:szCs w:val="28"/>
          <w:rtl w:val="true"/>
          <w:lang w:bidi="fa-IR"/>
        </w:rPr>
        <w:t>للرجل الخصی یدخل علی نسائه فیناولهن الوضوء</w:t>
      </w:r>
      <w:r>
        <w:rPr>
          <w:rFonts w:eastAsia="IRNazanin" w:cs="IRNazanin"/>
          <w:color w:val="111111"/>
          <w:sz w:val="28"/>
          <w:szCs w:val="28"/>
          <w:rtl w:val="true"/>
          <w:lang w:bidi="fa-IR"/>
        </w:rPr>
        <w:t>(</w:t>
      </w: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فیری شعورهن؟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ومحمد بن إسماعیل، عن الفضل بن شاذان، عن ابن أبی عمیر، عن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المملوک یری شعر مولاته وساقها؟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فالسؤال عن الشعر دون الوجه دال علی مفروغیة جواز النظر إلی الوجه، وغالب الظن أنه لو تتبع شخص لوجد فی الروایات السؤال عن الشعر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یختلف الأمر بین الخصی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وارد، لکن لم نعهد مَن یقول بالتفصیل بین المملوک وغیره، فلا بد من التتبع</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عنه فی المسائل الفقهیة نظیر الجواب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کون المرکوز فی أذهان السائلین جواز النظر إلی الوجه والکفین أو المفروغیة عنه، فلعله من أجل أن کشف بعض الوجه کالعین وبعض الید کالخاتم مطلقاً، أو فی بعض الأحیان، کحال الضرورة کان جائزاً، بخلاف الشعر وسائر مواضع البدن، فإنّ لزوم سترها فی جمیع الحالات ثابت عندهم، وهو </w:t>
      </w:r>
      <w:bookmarkStart w:id="614" w:name="pg6289_42035"/>
    </w:p>
    <w:p>
      <w:pPr>
        <w:pStyle w:val="BookText"/>
        <w:rPr/>
      </w:pPr>
      <w:bookmarkEnd w:id="614"/>
      <w:r>
        <w:rPr>
          <w:rFonts w:ascii="IRNazanin" w:hAnsi="IRNazanin" w:eastAsia="IRNazanin"/>
          <w:color w:val="111111"/>
          <w:sz w:val="28"/>
          <w:sz w:val="28"/>
          <w:szCs w:val="28"/>
          <w:rtl w:val="true"/>
          <w:lang w:bidi="fa-IR"/>
        </w:rPr>
        <w:t>المرکوز فی أذهانهم والمفروغ عنه عندهم، فلذا سألوا عن إبدائها لبعض الأشخاص</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ویظهر التأمل فیه مما مضی</w:t>
      </w:r>
      <w:r>
        <w:rPr>
          <w:rFonts w:eastAsia="IRNazanin" w:cs="IRNazanin"/>
          <w:color w:val="111111"/>
          <w:sz w:val="28"/>
          <w:szCs w:val="28"/>
          <w:rtl w:val="true"/>
          <w:lang w:bidi="fa-IR"/>
        </w:rPr>
        <w:t>.</w:t>
      </w:r>
    </w:p>
    <w:p>
      <w:pPr>
        <w:pStyle w:val="Heading6"/>
        <w:numPr>
          <w:ilvl w:val="5"/>
          <w:numId w:val="1"/>
        </w:numPr>
        <w:rPr/>
      </w:pPr>
      <w:bookmarkStart w:id="615" w:name="__RefHeading___Toc2133680_237004111"/>
      <w:bookmarkStart w:id="616" w:name="_Toc240"/>
      <w:bookmarkEnd w:id="615"/>
      <w:r>
        <w:rPr>
          <w:rtl w:val="true"/>
        </w:rPr>
        <w:t>الدلیل الحادی والعشرون</w:t>
      </w:r>
      <w:r>
        <w:rPr>
          <w:rtl w:val="true"/>
        </w:rPr>
        <w:t xml:space="preserve">: </w:t>
      </w:r>
      <w:r>
        <w:rPr>
          <w:rtl w:val="true"/>
        </w:rPr>
        <w:t>جواز سماع صوت الأجنبیة</w:t>
      </w:r>
      <w:bookmarkEnd w:id="616"/>
    </w:p>
    <w:p>
      <w:pPr>
        <w:pStyle w:val="BookText"/>
        <w:rPr/>
      </w:pPr>
      <w:r>
        <w:rPr>
          <w:rFonts w:ascii="IRNazanin" w:hAnsi="IRNazanin" w:eastAsia="IRNazanin"/>
          <w:color w:val="111111"/>
          <w:sz w:val="28"/>
          <w:sz w:val="28"/>
          <w:szCs w:val="28"/>
          <w:rtl w:val="true"/>
          <w:lang w:bidi="fa-IR"/>
        </w:rPr>
        <w:t>ما ذکره الشیخ الأعظم من الأخبار الدالة علی جواز سماع صوت المرأة الأجنبیة</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ملازمة بین جواز السماع وجواز النظر،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فَاسْأَلُوهُنَّ مِن وَرَاء حِجَابٍ</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تجویز سماع صوت امرأة مکشوفة الوجه ومحادثتها قد یلازم جواز النظر إلی وجهها عرفاً؛ إذ محادثة شخص ملازمة عادة للنظر إلیه، فتجویزها ملازم لتجویزه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بد من تتمیم الدلیل بادعاء جریان السیرة علی کشف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 فرض ثبوت السیرة تکون دلیلاً قائماً بنفسه بدون حاجة إلی ضم هذه الضمیمة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فرض جریان السیرة علی کشف الوجه لم یحتج الاستدلال إلی ضم تجویز سماع صوتها، ومع عدم ثبوت ذلک لا ینفع التجویز المزبور فی إثبات جواز کشف الوجه، فتأمل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ضم السیرة علی کشف الوجه ینفع لمن لا یسلم بالملازمة </w:t>
      </w:r>
      <w:bookmarkStart w:id="617" w:name="pg6289_42036"/>
    </w:p>
    <w:p>
      <w:pPr>
        <w:pStyle w:val="BookText"/>
        <w:rPr/>
      </w:pPr>
      <w:bookmarkEnd w:id="617"/>
      <w:r>
        <w:rPr>
          <w:rFonts w:ascii="IRNazanin" w:hAnsi="IRNazanin" w:eastAsia="IRNazanin"/>
          <w:color w:val="111111"/>
          <w:sz w:val="28"/>
          <w:sz w:val="28"/>
          <w:szCs w:val="28"/>
          <w:rtl w:val="true"/>
          <w:lang w:bidi="fa-IR"/>
        </w:rPr>
        <w:t>بین جواز الکشف وجواز النظر، فبالسیرة یثبت الکشف للوجه، وبدلیل جواز سماع صوت الأجنبیة یثبت جواز النظر إلی الوجه بالملازمة بینه وبین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ینکر الملازمة فی المقام الأول ینکرها فی المقام الثانی أیضاً،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مؤکد للملازمة العرفیة،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الملازمة هنا أوضح من الملازمة هناک، وإلا فالدعوی المذکورة بمفردها غیر وافیة</w:t>
      </w:r>
      <w:r>
        <w:rPr>
          <w:rFonts w:eastAsia="IRNazanin" w:cs="IRNazanin"/>
          <w:color w:val="111111"/>
          <w:sz w:val="28"/>
          <w:szCs w:val="28"/>
          <w:rtl w:val="true"/>
          <w:lang w:bidi="fa-IR"/>
        </w:rPr>
        <w:t>.</w:t>
      </w:r>
    </w:p>
    <w:p>
      <w:pPr>
        <w:pStyle w:val="Heading6"/>
        <w:numPr>
          <w:ilvl w:val="5"/>
          <w:numId w:val="1"/>
        </w:numPr>
        <w:rPr/>
      </w:pPr>
      <w:bookmarkStart w:id="618" w:name="__RefHeading___Toc2133682_237004111"/>
      <w:bookmarkStart w:id="619" w:name="_Toc241"/>
      <w:bookmarkEnd w:id="618"/>
      <w:r>
        <w:rPr>
          <w:rtl w:val="true"/>
        </w:rPr>
        <w:t>الدلیل الثانی والعشرون</w:t>
      </w:r>
      <w:r>
        <w:rPr>
          <w:rtl w:val="true"/>
        </w:rPr>
        <w:t xml:space="preserve">: </w:t>
      </w:r>
      <w:r>
        <w:rPr>
          <w:rtl w:val="true"/>
        </w:rPr>
        <w:t>الأخبار الدالة علی کراهة القنازع</w:t>
      </w:r>
      <w:bookmarkEnd w:id="619"/>
    </w:p>
    <w:p>
      <w:pPr>
        <w:pStyle w:val="BookText"/>
        <w:rPr/>
      </w:pPr>
      <w:r>
        <w:rPr>
          <w:rFonts w:ascii="IRNazanin" w:hAnsi="IRNazanin" w:eastAsia="IRNazanin"/>
          <w:color w:val="111111"/>
          <w:sz w:val="28"/>
          <w:sz w:val="28"/>
          <w:szCs w:val="28"/>
          <w:rtl w:val="true"/>
          <w:lang w:bidi="fa-IR"/>
        </w:rPr>
        <w:t>ما ذکره الشیخ أیضاً، حیث قال عند مناقشة أدلة منع النظر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کراهة القنازع والقصة، ونقش الراحة بالخضاب للمرأة، وأن نساء بنی إسرائیل هلکن بهذه؛ إذ لو وجب ستر الوجه والکفین کغیرها لم یکره تزیینها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یکره تزیین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شاءت</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من ضعف السند فی هذه الروایات</w:t>
      </w:r>
      <w:r>
        <w:rPr>
          <w:rFonts w:eastAsia="IRNazanin" w:cs="IRNazanin"/>
          <w:color w:val="111111"/>
          <w:sz w:val="28"/>
          <w:szCs w:val="28"/>
          <w:rtl w:val="true"/>
          <w:lang w:bidi="fa-IR"/>
        </w:rPr>
        <w:t>(</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بحاجة إلی تتبع أکثر، وما عثرنا علیه فیه نوع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الأخبار هی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النوفلی، عن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القنازع</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والقصص</w:t>
      </w:r>
      <w:r>
        <w:rPr>
          <w:rFonts w:eastAsia="IRNazanin" w:cs="IRNazanin"/>
          <w:color w:val="111111"/>
          <w:sz w:val="28"/>
          <w:szCs w:val="28"/>
          <w:rtl w:val="true"/>
          <w:lang w:bidi="fa-IR"/>
        </w:rPr>
        <w:t>(</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ونقش الخضاب علی الراحة،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هلکت نساء بنی إسرائیل من قبل القصص ونقش الخضاب</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قال العلامة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علی المشهور</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الإشکال من جهة النوفلی، ففی وثاقته کلام بحثناه فی موضع آخر</w:t>
      </w:r>
      <w:r>
        <w:rPr>
          <w:rFonts w:eastAsia="IRNazanin" w:cs="IRNazanin"/>
          <w:color w:val="111111"/>
          <w:sz w:val="28"/>
          <w:szCs w:val="28"/>
          <w:rtl w:val="true"/>
          <w:lang w:bidi="fa-IR"/>
        </w:rPr>
        <w:t>(</w:t>
      </w:r>
      <w:r>
        <w:rPr>
          <w:rStyle w:val="FootnoteAnchor"/>
          <w:rtl w:val="true"/>
        </w:rPr>
        <w:footnoteReference w:id="6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جمع بعض القرائن الدالة علی وثاقته</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سهل بن زیاد</w:t>
      </w:r>
      <w:r>
        <w:rPr>
          <w:rFonts w:eastAsia="IRNazanin" w:cs="IRNazanin"/>
          <w:color w:val="111111"/>
          <w:sz w:val="28"/>
          <w:szCs w:val="28"/>
          <w:rtl w:val="true"/>
          <w:lang w:bidi="fa-IR"/>
        </w:rPr>
        <w:t>(</w:t>
      </w:r>
      <w:r>
        <w:rPr>
          <w:rStyle w:val="FootnoteAnchor"/>
          <w:rtl w:val="true"/>
        </w:rPr>
        <w:footnoteReference w:id="6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الحسن بن شمون</w:t>
      </w:r>
      <w:r>
        <w:rPr>
          <w:rFonts w:eastAsia="IRNazanin" w:cs="IRNazanin"/>
          <w:color w:val="111111"/>
          <w:sz w:val="28"/>
          <w:szCs w:val="28"/>
          <w:rtl w:val="true"/>
          <w:lang w:bidi="fa-IR"/>
        </w:rPr>
        <w:t>(</w:t>
      </w:r>
      <w:r>
        <w:rPr>
          <w:rStyle w:val="FootnoteAnchor"/>
          <w:rtl w:val="true"/>
        </w:rPr>
        <w:footnoteReference w:id="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 الله بن عبد الرحمن</w:t>
      </w:r>
      <w:r>
        <w:rPr>
          <w:rFonts w:eastAsia="IRNazanin" w:cs="IRNazanin"/>
          <w:color w:val="111111"/>
          <w:sz w:val="28"/>
          <w:szCs w:val="28"/>
          <w:rtl w:val="true"/>
          <w:lang w:bidi="fa-IR"/>
        </w:rPr>
        <w:t>(</w:t>
      </w:r>
      <w:r>
        <w:rPr>
          <w:rStyle w:val="FootnoteAnchor"/>
          <w:rtl w:val="true"/>
        </w:rPr>
        <w:footnoteReference w:id="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مسمع</w:t>
      </w:r>
      <w:r>
        <w:rPr>
          <w:rFonts w:eastAsia="IRNazanin" w:cs="IRNazanin"/>
          <w:color w:val="111111"/>
          <w:sz w:val="28"/>
          <w:szCs w:val="28"/>
          <w:rtl w:val="true"/>
          <w:lang w:bidi="fa-IR"/>
        </w:rPr>
        <w:t>(</w:t>
      </w:r>
      <w:r>
        <w:rPr>
          <w:rStyle w:val="FootnoteAnchor"/>
          <w:rtl w:val="true"/>
        </w:rPr>
        <w:footnoteReference w:id="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تحل لامرأة حاضت</w:t>
      </w:r>
      <w:r>
        <w:rPr>
          <w:rFonts w:eastAsia="IRNazanin" w:cs="IRNazanin"/>
          <w:color w:val="111111"/>
          <w:sz w:val="28"/>
          <w:szCs w:val="28"/>
          <w:rtl w:val="true"/>
          <w:lang w:bidi="fa-IR"/>
        </w:rPr>
        <w:t>(</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تتخذ قصة أو جمة</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التسامح تثبت الکراهة، وکراهته تدل علی جواز کشف الید</w:t>
      </w:r>
      <w:r>
        <w:rPr>
          <w:rFonts w:eastAsia="IRNazanin" w:cs="IRNazanin"/>
          <w:color w:val="111111"/>
          <w:sz w:val="28"/>
          <w:szCs w:val="28"/>
          <w:rtl w:val="true"/>
          <w:lang w:bidi="fa-IR"/>
        </w:rPr>
        <w:t xml:space="preserve">. </w:t>
      </w:r>
      <w:bookmarkStart w:id="620" w:name="pg6289_42038"/>
    </w:p>
    <w:p>
      <w:pPr>
        <w:pStyle w:val="BookText"/>
        <w:rPr/>
      </w:pPr>
      <w:bookmarkEnd w:id="620"/>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تثبت الکراهة بالعنوان الثانوی، وهو عنوان البلوغ، ولا تثبت صدور الخبر عن المعصوم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بدلالة الاقتضاء یدل علی عدم وجوب ستر الوجه والکفین، والأمر بحاجة إلی تتبع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النصوص الواردة کون المبغوضیة ذاتیة، لا طریقیة،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مبغوضاً من حیث رؤیة الأجنبی مع إمکان النقض بالقنازع والقصة، فإنه لو کان النهی طریقیاً لزم جواز کشف الشعر، وهو خلاف الإجماع،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بذاتها تدل علی الجواز لولا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کون بعض الروایة طریقیاً وبعضه موضوعیاً، وهو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وجود نهیین عرضیین، النهی عن أصل إبداء الشیء، والنهی عن تزیینه، کی لا یکون سبباً للهلکة عند إبدائه عمداً أو اتفاقاً، فلا یدل النهی عن التزیین علی انتفاء النهی عن الإبداء، فتأمل</w:t>
      </w:r>
      <w:r>
        <w:rPr>
          <w:rFonts w:eastAsia="IRNazanin" w:cs="IRNazanin"/>
          <w:color w:val="111111"/>
          <w:sz w:val="28"/>
          <w:szCs w:val="28"/>
          <w:rtl w:val="true"/>
          <w:lang w:bidi="fa-IR"/>
        </w:rPr>
        <w:t>.</w:t>
      </w:r>
    </w:p>
    <w:p>
      <w:pPr>
        <w:pStyle w:val="Heading6"/>
        <w:numPr>
          <w:ilvl w:val="5"/>
          <w:numId w:val="1"/>
        </w:numPr>
        <w:rPr/>
      </w:pPr>
      <w:bookmarkStart w:id="621" w:name="__RefHeading___Toc2133684_237004111"/>
      <w:bookmarkStart w:id="622" w:name="_Toc242"/>
      <w:bookmarkEnd w:id="621"/>
      <w:r>
        <w:rPr>
          <w:rtl w:val="true"/>
        </w:rPr>
        <w:t>الدلیل الثالث والعشرون</w:t>
      </w:r>
      <w:r>
        <w:rPr>
          <w:rtl w:val="true"/>
        </w:rPr>
        <w:t xml:space="preserve">: </w:t>
      </w:r>
      <w:r>
        <w:rPr>
          <w:rtl w:val="true"/>
        </w:rPr>
        <w:t>السیرة قائمة علی عدم ستر الوجه</w:t>
      </w:r>
      <w:bookmarkEnd w:id="622"/>
    </w:p>
    <w:p>
      <w:pPr>
        <w:pStyle w:val="Heading6"/>
        <w:numPr>
          <w:ilvl w:val="5"/>
          <w:numId w:val="1"/>
        </w:numPr>
        <w:rPr/>
      </w:pPr>
      <w:bookmarkStart w:id="623" w:name="__RefHeading___Toc2133686_237004111"/>
      <w:bookmarkStart w:id="624" w:name="_Toc243"/>
      <w:bookmarkEnd w:id="623"/>
      <w:r>
        <w:rPr>
          <w:rtl w:val="true"/>
        </w:rPr>
        <w:t>اشارة</w:t>
      </w:r>
      <w:bookmarkEnd w:id="624"/>
    </w:p>
    <w:p>
      <w:pPr>
        <w:pStyle w:val="BookText"/>
        <w:rPr/>
      </w:pPr>
      <w:r>
        <w:rPr>
          <w:rFonts w:ascii="IRNazanin" w:hAnsi="IRNazanin" w:eastAsia="IRNazanin"/>
          <w:color w:val="111111"/>
          <w:sz w:val="28"/>
          <w:sz w:val="28"/>
          <w:szCs w:val="28"/>
          <w:rtl w:val="true"/>
          <w:lang w:bidi="fa-IR"/>
        </w:rPr>
        <w:t xml:space="preserve">قال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المختلف فی الاستدلال علی عدم وجوب ستر الوجه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ولأنّ الوجه لا یجب ستره بإجماع علماء الإسلام، وکذا الکفان عندنا؛ لأنهما لیسا بعورة؛ إذ الغالب کشفهما دائماً؛ لأنّ الحاجة داعیة إلی ذلک للأخذ والعطاء وقضاء المهام وکذا الرجلان، بل کشفهما أغلب فی العادة</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ومراده کما أنّ الوجه والکفین لیسا بعورة فی غیر الصلاة، کذلک لا </w:t>
      </w:r>
      <w:bookmarkStart w:id="625" w:name="pg6289_42039"/>
    </w:p>
    <w:p>
      <w:pPr>
        <w:pStyle w:val="BookText"/>
        <w:rPr/>
      </w:pPr>
      <w:bookmarkEnd w:id="625"/>
      <w:r>
        <w:rPr>
          <w:rFonts w:ascii="IRNazanin" w:hAnsi="IRNazanin" w:eastAsia="IRNazanin"/>
          <w:color w:val="111111"/>
          <w:sz w:val="28"/>
          <w:sz w:val="28"/>
          <w:szCs w:val="28"/>
          <w:rtl w:val="true"/>
          <w:lang w:bidi="fa-IR"/>
        </w:rPr>
        <w:t>یکونان عورة فی الصلاة، حیث لا فرق بینهما بین العورة الصلاتیة وغیر الصلاتیة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المسالک فی ضمن نقل أدلة المجوزین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لإطباق الناس فی کل عصر علی خروج النساء علی وجه یحصل منه بدو ذلک</w:t>
      </w:r>
      <w:r>
        <w:rPr>
          <w:rFonts w:eastAsia="IRNazanin" w:cs="IRNazanin"/>
          <w:color w:val="111111"/>
          <w:sz w:val="28"/>
          <w:szCs w:val="28"/>
          <w:rtl w:val="true"/>
          <w:lang w:bidi="fa-IR"/>
        </w:rPr>
        <w:t>(</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نکیر</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نقل ذلک ضمن أدلة المجوزین صاحب الحدائق</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ظاهر نقلهما من غیر رد التقریر</w:t>
      </w:r>
      <w:r>
        <w:rPr>
          <w:rFonts w:eastAsia="IRNazanin" w:cs="IRNazanin"/>
          <w:color w:val="111111"/>
          <w:sz w:val="28"/>
          <w:szCs w:val="28"/>
          <w:rtl w:val="true"/>
          <w:lang w:bidi="fa-IR"/>
        </w:rPr>
        <w:t>.</w:t>
      </w:r>
    </w:p>
    <w:p>
      <w:pPr>
        <w:pStyle w:val="Heading6"/>
        <w:numPr>
          <w:ilvl w:val="5"/>
          <w:numId w:val="1"/>
        </w:numPr>
        <w:rPr/>
      </w:pPr>
      <w:bookmarkStart w:id="626" w:name="__RefHeading___Toc2133688_237004111"/>
      <w:bookmarkStart w:id="627" w:name="_Toc244"/>
      <w:bookmarkEnd w:id="626"/>
      <w:r>
        <w:rPr>
          <w:rtl w:val="true"/>
        </w:rPr>
        <w:t>الإشکالات علی الدلیل الثالث والعشرین</w:t>
      </w:r>
      <w:bookmarkEnd w:id="627"/>
    </w:p>
    <w:p>
      <w:pPr>
        <w:pStyle w:val="Heading6"/>
        <w:numPr>
          <w:ilvl w:val="5"/>
          <w:numId w:val="1"/>
        </w:numPr>
        <w:rPr/>
      </w:pPr>
      <w:bookmarkStart w:id="628" w:name="__RefHeading___Toc2133690_237004111"/>
      <w:bookmarkStart w:id="629" w:name="_Toc245"/>
      <w:bookmarkEnd w:id="628"/>
      <w:r>
        <w:rPr>
          <w:rtl w:val="true"/>
        </w:rPr>
        <w:t>اشارة</w:t>
      </w:r>
      <w:bookmarkEnd w:id="629"/>
    </w:p>
    <w:p>
      <w:pPr>
        <w:pStyle w:val="BookText"/>
        <w:rPr/>
      </w:pPr>
      <w:r>
        <w:rPr>
          <w:rFonts w:ascii="IRNazanin" w:hAnsi="IRNazanin" w:eastAsia="IRNazanin"/>
          <w:color w:val="111111"/>
          <w:sz w:val="28"/>
          <w:sz w:val="28"/>
          <w:szCs w:val="28"/>
          <w:rtl w:val="true"/>
          <w:lang w:bidi="fa-IR"/>
        </w:rPr>
        <w:t>وقد یورد علی ذلک بإشکالات</w:t>
      </w:r>
      <w:r>
        <w:rPr>
          <w:rFonts w:eastAsia="IRNazanin" w:cs="IRNazanin"/>
          <w:color w:val="111111"/>
          <w:sz w:val="28"/>
          <w:szCs w:val="28"/>
          <w:rtl w:val="true"/>
          <w:lang w:bidi="fa-IR"/>
        </w:rPr>
        <w:t>:</w:t>
      </w:r>
    </w:p>
    <w:p>
      <w:pPr>
        <w:pStyle w:val="Heading6"/>
        <w:numPr>
          <w:ilvl w:val="5"/>
          <w:numId w:val="1"/>
        </w:numPr>
        <w:rPr/>
      </w:pPr>
      <w:bookmarkStart w:id="630" w:name="__RefHeading___Toc2133692_237004111"/>
      <w:bookmarkStart w:id="631" w:name="_Toc246"/>
      <w:bookmarkEnd w:id="630"/>
      <w:r>
        <w:rPr>
          <w:rtl w:val="true"/>
        </w:rPr>
        <w:t>الإشکال الأول</w:t>
      </w:r>
      <w:r>
        <w:rPr>
          <w:rtl w:val="true"/>
        </w:rPr>
        <w:t xml:space="preserve">: </w:t>
      </w:r>
      <w:r>
        <w:rPr>
          <w:rtl w:val="true"/>
        </w:rPr>
        <w:t>السیرة معارضة بمثلها</w:t>
      </w:r>
      <w:bookmarkEnd w:id="631"/>
    </w:p>
    <w:p>
      <w:pPr>
        <w:pStyle w:val="BookText"/>
        <w:rPr/>
      </w:pPr>
      <w:r>
        <w:rPr>
          <w:rFonts w:ascii="IRNazanin" w:hAnsi="IRNazanin" w:eastAsia="IRNazanin"/>
          <w:color w:val="111111"/>
          <w:sz w:val="28"/>
          <w:sz w:val="28"/>
          <w:szCs w:val="28"/>
          <w:rtl w:val="true"/>
          <w:lang w:bidi="fa-IR"/>
        </w:rPr>
        <w:t>ما فی الجواهر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والسیرة والطریقة معارضة بمثلها من المتدینات والمتدینین فی جمیع الأعصار والأمصار</w:t>
      </w:r>
      <w:r>
        <w:rPr>
          <w:rFonts w:eastAsia="IRNazanin" w:cs="IRNazanin"/>
          <w:color w:val="111111"/>
          <w:sz w:val="28"/>
          <w:szCs w:val="28"/>
          <w:rtl w:val="true"/>
          <w:lang w:bidi="fa-IR"/>
        </w:rPr>
        <w:t>»(</w:t>
      </w:r>
      <w:r>
        <w:rPr>
          <w:rStyle w:val="FootnoteAnchor"/>
          <w:rtl w:val="true"/>
        </w:rPr>
        <w:footnoteReference w:id="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فهن لا یتکشفن وهم لا ینظرون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سیرة المتشرعات علی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لا تبالی منهن بالدین تکشف عن غیر الوجه، فضلاً عن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والسیرة العملیة بین المتدینین والمتدینات بترک النظر</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المقصود جریان سیرة جملة من المتشرعة علی الستر لا جمیعهم،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ینفی وجود سیرة أخری إلی جانبها، والفعل لا یدل علی الوجوب، غایة الأمر دلالته علی الرجحان، بینما ترک الستر یدل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المقصود جریان سیرة جمیع المتشرعة علی الستر فالمظنون، بل المطمأن به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کلام المختلف والمسالک والحدائق؛ إذ لا یمکن جریان سیرة جمیع المتشرعة علی الستر، وادعاء غلبة الکشف أو إطباق الناس علی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المثبت للسیرة علی الکشف وجدها فی الجملة، والنافی لم یجدها، ولا شک فی تقدیم قول المثبت علی قول النافی إن کان مرجع النفی إلی عدم العلم لا العلم بالعدم، إلا أنّ ذلک خلاف ظاهر کلام الجواهر والمهذب،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یقرب جریان السیرة علی الکشف بأننا نشاهد أن کثیراً من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سکنة القری والأریاف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یسترن وجوههن وأکفهن، ولا یخلو الأمر من أن یکون ذلک قدیماً، أو حادثاً فی العصور المتأخرة، والثانی غیر ممکن؛ لأنه لو کان لبان، ولنقل ذلک فی التواریخ ونحوها، فیتعین الأول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السیرة فلیست تامة بعد ما نری من تعارف کشف الوجه عند نساء البوادی والأعراب وأمثالهن، وإنما اُعتید ستره فی المدن؛ لأنه نوع من النزاهة والتعفف، کما یعتاد عدم ظهور ملابس النساء، لا لأنه </w:t>
      </w:r>
    </w:p>
    <w:p>
      <w:pPr>
        <w:pStyle w:val="BookText"/>
        <w:rPr/>
      </w:pPr>
      <w:r>
        <w:rPr>
          <w:rFonts w:ascii="IRNazanin" w:hAnsi="IRNazanin" w:eastAsia="IRNazanin"/>
          <w:color w:val="111111"/>
          <w:sz w:val="28"/>
          <w:sz w:val="28"/>
          <w:szCs w:val="28"/>
          <w:rtl w:val="true"/>
          <w:lang w:bidi="fa-IR"/>
        </w:rPr>
        <w:t>حرام؛ بل لأجل ذلک</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شرح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السیرة ممنوعة من أصلها، سیما فی مثل القری والقصبات والبلدان أیضاً، بل لعل السیرة فی هذه الموارد قائمة علی العکس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نضایق من تحققها بالإضافة إلی النساء المجللات فی البلدان الکبار، وأمّا علی سبیل العموم فکلا، فهی مختصة بطائفة من النساء فی بعض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یمکن منع السیرة هنا أیضاً، فإنّ المجللات أنما یتسترن عن الأجانب المحض دون الأقارب، وإن لم یکونوا محارم، کزوج الأخت أو أخ الزوج أو ابن العم ونحوهم ممن یسکنون فی دار واحدة معها، فإنهن لا یتسترن غالباً عن مثل هؤلاء الأقارب، مع أنهم أجانب شرعیون، وإن لم یکونوا کذلک عرفاً، و من المعلوم عدم الفرق فی وجوب الستر عن الأجنبی بین العرفی والشرعی، کما یفصح عنه الصحیح المتقدم الوارد فی شعر أخت المرأة المتضمن أنها والغریبة سواء، فیظهر أن السیرة فی موردها أنما هی لجهة أخری لا للمنع الشرعی، وإلا کان مقتضاها عدم الفرق بین الموارد</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تعارضت السیرتان فالحکم التساقط ولا حجیة لأحدهما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فرض وجود سیرتین علی الفعل والترک ثبت الجواز؛ لأنّ الفعل یدل علی الجواز، بینما الترک لا یدل علی الحرمة، کما لو رأینا بعض </w:t>
      </w:r>
    </w:p>
    <w:p>
      <w:pPr>
        <w:pStyle w:val="BookText"/>
        <w:rPr/>
      </w:pPr>
      <w:r>
        <w:rPr>
          <w:rFonts w:ascii="IRNazanin" w:hAnsi="IRNazanin" w:eastAsia="IRNazanin"/>
          <w:color w:val="111111"/>
          <w:sz w:val="28"/>
          <w:sz w:val="28"/>
          <w:szCs w:val="28"/>
          <w:rtl w:val="true"/>
          <w:lang w:bidi="fa-IR"/>
        </w:rPr>
        <w:t>المتشرعة یبیعون معاطاة وبعضهم لا یبیعون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السیرة أنما تکون حجة إذا کانت سیرة جمیع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فی حجیتها أن تکون سیرة الجمیع، بل یکفی فی الحجیة سیرة بعضهم إذا کانت جامعة لشروط الحجیة، ولعل التارک ترکه لأجل الاحتیاط أو الأفضیلة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إطلاق لما ذکر، فإنه لو کانت سیرة التارکین ناشئة عن رأیهم فی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الإلزام بالترک بأن کانوا یلتزمون بستر الوجه عن إلزام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التعارض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أنه لا یعلم کون منشئه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الأمر أنّ صاحب الجواهر لم یرَ امرأة متدینة متکشفة، بینما العلامة وصاحب الحدائق والمسالک یدعون نقلاً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 أو تقریراً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هنالک نساء متدینات لا یسترن وجوههن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یستشهد للسیرة المدعاة علی الکشف بشواهد من الأخبار الصادرة عن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النهی عن النظر إلی النساء</w:t>
      </w:r>
      <w:r>
        <w:rPr>
          <w:rFonts w:eastAsia="IRNazanin" w:cs="IRNazanin"/>
          <w:color w:val="111111"/>
          <w:sz w:val="28"/>
          <w:szCs w:val="28"/>
          <w:rtl w:val="true"/>
          <w:lang w:bidi="fa-IR"/>
        </w:rPr>
        <w:t>(</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والنهی عن النظرة الثانیة</w:t>
      </w:r>
      <w:r>
        <w:rPr>
          <w:rFonts w:eastAsia="IRNazanin" w:cs="IRNazanin"/>
          <w:color w:val="111111"/>
          <w:sz w:val="28"/>
          <w:szCs w:val="28"/>
          <w:rtl w:val="true"/>
          <w:lang w:bidi="fa-IR"/>
        </w:rPr>
        <w:t>(</w:t>
      </w:r>
      <w:r>
        <w:rPr>
          <w:rStyle w:val="FootnoteAnchor"/>
          <w:rtl w:val="true"/>
        </w:rPr>
        <w:footnoteReference w:id="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هذه الأخبار تکون بلا موضوع لو کانت النساء سافرات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کره السلام علی الشابة</w:t>
      </w:r>
      <w:r>
        <w:rPr>
          <w:rFonts w:eastAsia="IRNazanin" w:cs="IRNazanin"/>
          <w:color w:val="111111"/>
          <w:sz w:val="28"/>
          <w:szCs w:val="28"/>
          <w:rtl w:val="true"/>
          <w:lang w:bidi="fa-IR"/>
        </w:rPr>
        <w:t>(</w:t>
      </w:r>
      <w:r>
        <w:rPr>
          <w:rStyle w:val="FootnoteAnchor"/>
          <w:rtl w:val="true"/>
        </w:rPr>
        <w:footnoteReference w:id="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یدل علی أنّ النساء کن کاشفات الوجوه، وبذلک تتمیز الشابة عن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نظر الفضل إلی المرأة الخثعمیة، وقد رواها فی التذکرة</w:t>
      </w:r>
      <w:r>
        <w:rPr>
          <w:rFonts w:eastAsia="IRNazanin" w:cs="IRNazanin"/>
          <w:color w:val="111111"/>
          <w:sz w:val="28"/>
          <w:szCs w:val="28"/>
          <w:rtl w:val="true"/>
          <w:lang w:bidi="fa-IR"/>
        </w:rPr>
        <w:t>(</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فی جریان سیرة المتدینین لا جریان السیرة مطلقاً، وما تثبته هذه الروایات حصول الکشف إجمالاً، لا صدوره من المتدینین،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کون المراد النظر للإماء أو أهل الذمة أو القواعد، أو اللواتی إذا نهین لا ینتهین، أو عند اتفاق کشف الوجه، أو فی حالة الإحرام، أو النظر إلیهن من وراء الثیاب، لکنه لا یخلو من بعد،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وتمییز الشابة عن غیرها یمکن بالصوت أو القوام أو نحو ذلک، أو لظهور الوجه عصیاناً،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ذلک أنه لم یثبت قیام سیرة المتشرعة علی الستر، بل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الثابت خلاف ذلک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جمیع ما تقدم یظهر النظر فیما ذکره فی المسائل الفقهیة،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والمنکر لهذه السیرة</w:t>
      </w:r>
      <w:r>
        <w:rPr>
          <w:rFonts w:eastAsia="IRNazanin" w:cs="IRNazanin"/>
          <w:color w:val="111111"/>
          <w:sz w:val="28"/>
          <w:szCs w:val="28"/>
          <w:rtl w:val="true"/>
          <w:lang w:bidi="fa-IR"/>
        </w:rPr>
        <w:t>(</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النساء فی بعض البلاد العربیة وغیرها فی عصرنا یخرجن ساترات البدن من جمیع جوانبه من الوجه وغیره، حتی </w:t>
      </w:r>
    </w:p>
    <w:p>
      <w:pPr>
        <w:pStyle w:val="BookText"/>
        <w:rPr/>
      </w:pPr>
      <w:r>
        <w:rPr>
          <w:rFonts w:ascii="IRNazanin" w:hAnsi="IRNazanin" w:eastAsia="IRNazanin"/>
          <w:color w:val="111111"/>
          <w:sz w:val="28"/>
          <w:sz w:val="28"/>
          <w:szCs w:val="28"/>
          <w:rtl w:val="true"/>
          <w:lang w:bidi="fa-IR"/>
        </w:rPr>
        <w:t>إنّ بعضهن یلبسن الفقازین، فیسأل عن أن هذه الکیفیة منذ متی بدأت؟ وفی أی زمان حدثت؟ ومن أحدثها؟ وهل یمکن لأحد أن یدعی أنها حدثت فی الأزمنة الأخیرة التی تسربت فیها آداب الکفار وأعرافهم إلی البلاد الإسلامیة أو أنها کانت من سابق الزمان؟</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الکیفیة التی نجدها من التحجب الکامل لا یعقل أن تکون جدیدة، وإنما هی قدیمة وممتدة إلی عصر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لا ینفی وجود سیرة أخری علی الکشف إلی جانب السیرة علی الستر، وقد مضی أنّ الفعل لا یدل علی الوجوب، بینما الترک یدل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جواب آخر عن دعوی السیرة علی ستر الوجه، وهو ما ذکره الشهید الثانی فی المسالک، حیث أجاب عن ادعاء اتفاق المسلمین علی منع النساء أن یخرجن سافرات الوجوه،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ودعوی اتفاق المسلمین علیه معارض بمثله، ولو تم لم یلزم منه تحریم هذا المقدار؛ لجواز استناد منعهن إلی المروة والغیرة، بل هو الأظهر، أو علی جهة الأفضلیة إذ لا شک فیها</w:t>
      </w:r>
      <w:r>
        <w:rPr>
          <w:rFonts w:eastAsia="IRNazanin" w:cs="IRNazanin"/>
          <w:color w:val="111111"/>
          <w:sz w:val="28"/>
          <w:szCs w:val="28"/>
          <w:rtl w:val="true"/>
          <w:lang w:bidi="fa-IR"/>
        </w:rPr>
        <w:t>»(</w:t>
      </w:r>
      <w:r>
        <w:rPr>
          <w:rStyle w:val="FootnoteAnchor"/>
          <w:rtl w:val="true"/>
        </w:rPr>
        <w:footnoteReference w:id="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یعلم أن مستند المنع هو الحکم الشرعی، بل قد یکون لعوامل أخری، کالغیرة مثلاً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نظر؛ إذ یبعد اتفاق الکل علی اختلاف مشاربهم وبلادهم وعاداتهم، والملابسات المکتنفة بهم علی المنع لمجرد المروة أو الأفضلیة، کما قد </w:t>
      </w:r>
    </w:p>
    <w:p>
      <w:pPr>
        <w:pStyle w:val="BookText"/>
        <w:rPr/>
      </w:pPr>
      <w:r>
        <w:rPr>
          <w:rFonts w:ascii="IRNazanin" w:hAnsi="IRNazanin" w:eastAsia="IRNazanin"/>
          <w:color w:val="111111"/>
          <w:sz w:val="28"/>
          <w:sz w:val="28"/>
          <w:szCs w:val="28"/>
          <w:rtl w:val="true"/>
          <w:lang w:bidi="fa-IR"/>
        </w:rPr>
        <w:t>یقال ذلک فی إعفاء اللحیة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ستر الوجه والکفین کان عادة مستحکمة فی الشعوب، لا من مختصات المتشرعة بما هم متشرعة، فلعل استمرار الستر کان استمراراً لتلک العادات لا استناداً إلی الوجوب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ما نقله بعض التواریخ عن العرب ینافی ذلک؛ إذ یظهر منها أنّ ستر الوجه لم یکن متداولاً بینهم، فلو ثبتت سیرة علی الستر لکانت مستندة إلی الوجوب الشرعی،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فالأولی منع قیام سیرة المتشرعة علی الستر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اتفاق الکل علی اختلافهم لا یدل علی الوجوب أو الحرمة؛ لاحتمال کون منشئه شیئاً آخر، کاتفاقهم علی زیارة القبور، أو عدم الخروج بغیر ملابس فی الشوارع، أو عدم أکل الطعام الوسخ، مما یدل علی تقیدهم بالنظافة، وإنما تقیدهم یدل علی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غیر مقیدین بالرجحان، فلو ثبت أنهم لم یتقیدوا بشیء ثم تقیدوا به لإسلامهم دل علی أن منشأه الإلزام الشرعی، وفی الأمثلة المذکورة نظر، فإنهم یخرجون مکشفین فی البحر وشبهه، وأمّا النظافة فلا یتقید بها کل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المذکور من الأدلة التی یرکن إلیها فی وجوب إعفاء اللحیة، فکیف صارت سیرتهم جمیعاً علی التقید بإعفاء اللحی، مع أنهم لم یکونوا مقیدین من قبل؟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القول بعدم حجیة السیرة مطلقاً؛ لأنه یحتمل فی کل سیرة </w:t>
      </w:r>
      <w:bookmarkStart w:id="632" w:name="pg6289_42046"/>
    </w:p>
    <w:p>
      <w:pPr>
        <w:pStyle w:val="BookText"/>
        <w:rPr/>
      </w:pPr>
      <w:bookmarkEnd w:id="632"/>
      <w:r>
        <w:rPr>
          <w:rFonts w:ascii="IRNazanin" w:hAnsi="IRNazanin" w:eastAsia="IRNazanin"/>
          <w:color w:val="111111"/>
          <w:sz w:val="28"/>
          <w:sz w:val="28"/>
          <w:szCs w:val="28"/>
          <w:rtl w:val="true"/>
          <w:lang w:bidi="fa-IR"/>
        </w:rPr>
        <w:t>أن تکون استمراراً للعادة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عادة مستحکمة فی الشعوب نقول بذلک، وکذا إذا احتمل أن منشأها العادة، فإن السیرة أنما تکون حجة إذا کانت کاشفة عن البیان الشرعی کشفاً إنیاً،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صاحب المسالک مشکل</w:t>
      </w:r>
      <w:r>
        <w:rPr>
          <w:rFonts w:eastAsia="IRNazanin" w:cs="IRNazanin"/>
          <w:color w:val="111111"/>
          <w:sz w:val="28"/>
          <w:szCs w:val="28"/>
          <w:rtl w:val="true"/>
          <w:lang w:bidi="fa-IR"/>
        </w:rPr>
        <w:t>.</w:t>
      </w:r>
    </w:p>
    <w:p>
      <w:pPr>
        <w:pStyle w:val="Heading6"/>
        <w:numPr>
          <w:ilvl w:val="5"/>
          <w:numId w:val="1"/>
        </w:numPr>
        <w:rPr/>
      </w:pPr>
      <w:bookmarkStart w:id="633" w:name="__RefHeading___Toc2133694_237004111"/>
      <w:bookmarkStart w:id="634" w:name="_Toc247"/>
      <w:bookmarkEnd w:id="633"/>
      <w:r>
        <w:rPr>
          <w:rtl w:val="true"/>
        </w:rPr>
        <w:t>الإشکال الثانی</w:t>
      </w:r>
      <w:r>
        <w:rPr>
          <w:rtl w:val="true"/>
        </w:rPr>
        <w:t xml:space="preserve">: </w:t>
      </w:r>
      <w:r>
        <w:rPr>
          <w:rtl w:val="true"/>
        </w:rPr>
        <w:t xml:space="preserve">عدم اتصال السیرة بزمن المعصوم </w:t>
      </w:r>
      <w:r>
        <w:rPr>
          <w:rtl w:val="true"/>
        </w:rPr>
        <w:t>(</w:t>
      </w:r>
      <w:r>
        <w:rPr>
          <w:rtl w:val="true"/>
        </w:rPr>
        <w:t>علیه السلام</w:t>
      </w:r>
      <w:r>
        <w:rPr>
          <w:rtl w:val="true"/>
        </w:rPr>
        <w:t>)</w:t>
      </w:r>
      <w:bookmarkEnd w:id="634"/>
    </w:p>
    <w:p>
      <w:pPr>
        <w:pStyle w:val="BookText"/>
        <w:rPr/>
      </w:pPr>
      <w:r>
        <w:rPr>
          <w:rFonts w:ascii="IRNazanin" w:hAnsi="IRNazanin" w:eastAsia="IRNazanin"/>
          <w:color w:val="111111"/>
          <w:sz w:val="28"/>
          <w:sz w:val="28"/>
          <w:szCs w:val="28"/>
          <w:rtl w:val="true"/>
          <w:lang w:bidi="fa-IR"/>
        </w:rPr>
        <w:t xml:space="preserve">إنه لم یعلم اتصال هذه السیرة بزمان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ویظهر الجواب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قد یقال بحجیة السیرة فی حد نفسها، وإن لم یعلم اتصالها بزمان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والظاهر أنّ السید العم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یمیل إلی هذا الرأی، کما صرح السید الحکیم فی بعض المواضع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لسیرة صلحاء النجف</w:t>
      </w:r>
      <w:r>
        <w:rPr>
          <w:rFonts w:eastAsia="IRNazanin" w:cs="IRNazanin"/>
          <w:color w:val="111111"/>
          <w:sz w:val="28"/>
          <w:szCs w:val="28"/>
          <w:rtl w:val="true"/>
          <w:lang w:bidi="fa-IR"/>
        </w:rPr>
        <w:t>».</w:t>
      </w:r>
    </w:p>
    <w:p>
      <w:pPr>
        <w:pStyle w:val="Heading6"/>
        <w:numPr>
          <w:ilvl w:val="5"/>
          <w:numId w:val="1"/>
        </w:numPr>
        <w:rPr/>
      </w:pPr>
      <w:bookmarkStart w:id="635" w:name="__RefHeading___Toc2133696_237004111"/>
      <w:bookmarkStart w:id="636" w:name="_Toc248"/>
      <w:bookmarkEnd w:id="635"/>
      <w:r>
        <w:rPr>
          <w:rtl w:val="true"/>
        </w:rPr>
        <w:t>الإشکال الثالث</w:t>
      </w:r>
      <w:r>
        <w:rPr>
          <w:rtl w:val="true"/>
        </w:rPr>
        <w:t xml:space="preserve">: </w:t>
      </w:r>
      <w:r>
        <w:rPr>
          <w:rtl w:val="true"/>
        </w:rPr>
        <w:t>إنّ جواز الکشف لا یستلزم جواز النظر</w:t>
      </w:r>
      <w:bookmarkEnd w:id="636"/>
    </w:p>
    <w:p>
      <w:pPr>
        <w:pStyle w:val="BookText"/>
        <w:rPr/>
      </w:pPr>
      <w:r>
        <w:rPr>
          <w:rFonts w:ascii="IRNazanin" w:hAnsi="IRNazanin" w:eastAsia="IRNazanin"/>
          <w:color w:val="111111"/>
          <w:sz w:val="28"/>
          <w:sz w:val="28"/>
          <w:szCs w:val="28"/>
          <w:rtl w:val="true"/>
          <w:lang w:bidi="fa-IR"/>
        </w:rPr>
        <w:t>وفیه ما سبق من الملازمة الطبیعیة بین الکشف والنظر، ولو کان حراماً لوجب التنبیه علیه</w:t>
      </w:r>
      <w:r>
        <w:rPr>
          <w:rFonts w:eastAsia="IRNazanin" w:cs="IRNazanin"/>
          <w:color w:val="111111"/>
          <w:sz w:val="28"/>
          <w:szCs w:val="28"/>
          <w:rtl w:val="true"/>
          <w:lang w:bidi="fa-IR"/>
        </w:rPr>
        <w:t>.</w:t>
      </w:r>
    </w:p>
    <w:p>
      <w:pPr>
        <w:pStyle w:val="Heading6"/>
        <w:numPr>
          <w:ilvl w:val="5"/>
          <w:numId w:val="1"/>
        </w:numPr>
        <w:rPr/>
      </w:pPr>
      <w:bookmarkStart w:id="637" w:name="__RefHeading___Toc2133698_237004111"/>
      <w:bookmarkStart w:id="638" w:name="_Toc249"/>
      <w:bookmarkEnd w:id="637"/>
      <w:r>
        <w:rPr>
          <w:rtl w:val="true"/>
        </w:rPr>
        <w:t>الدلیل الرابع والعشرون</w:t>
      </w:r>
      <w:r>
        <w:rPr>
          <w:rtl w:val="true"/>
        </w:rPr>
        <w:t xml:space="preserve">: </w:t>
      </w:r>
      <w:r>
        <w:rPr>
          <w:rtl w:val="true"/>
        </w:rPr>
        <w:t>النصوص الدالة علی جواز وضع القواعد جلابیبهن وخمرهن</w:t>
      </w:r>
      <w:bookmarkEnd w:id="638"/>
    </w:p>
    <w:p>
      <w:pPr>
        <w:pStyle w:val="BookText"/>
        <w:rPr/>
      </w:pPr>
      <w:r>
        <w:rPr>
          <w:rFonts w:ascii="IRNazanin" w:hAnsi="IRNazanin" w:eastAsia="IRNazanin"/>
          <w:color w:val="111111"/>
          <w:sz w:val="28"/>
          <w:sz w:val="28"/>
          <w:szCs w:val="28"/>
          <w:rtl w:val="true"/>
          <w:lang w:bidi="fa-IR"/>
        </w:rPr>
        <w:t>فإنّ ظاهرها المفروغیة عن جواز کشف الوجه والیدین مطلقاً، وإنما الفرق بین القواعد وغیرهن جواز وضع الخمار للقواعد، المستلزم لکشف شعورهنّ، وأمّا جواز کشف الوجه والکفین فهو مشترک بینهن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العناوین الواردة فی النصوص المعتبرة</w:t>
      </w:r>
      <w:r>
        <w:rPr>
          <w:rFonts w:eastAsia="IRNazanin" w:cs="IRNazanin"/>
          <w:color w:val="111111"/>
          <w:sz w:val="28"/>
          <w:szCs w:val="28"/>
          <w:rtl w:val="true"/>
          <w:lang w:bidi="fa-IR"/>
        </w:rPr>
        <w:t>(</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w:t>
      </w:r>
    </w:p>
    <w:p>
      <w:pPr>
        <w:pStyle w:val="BookText"/>
        <w:rPr/>
      </w:pPr>
      <w:r>
        <w:rPr>
          <w:rFonts w:ascii="IRNazanin" w:hAnsi="IRNazanin" w:eastAsia="IRNazanin"/>
          <w:color w:val="111111"/>
          <w:sz w:val="28"/>
          <w:sz w:val="28"/>
          <w:szCs w:val="28"/>
          <w:rtl w:val="true"/>
          <w:lang w:bidi="fa-IR"/>
        </w:rPr>
        <w:t>الثیاب والجلباب والخمار، ولم یعلم کیفیة لبسها، فلعلها کانت ساترة للوجه آنذاک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وَالْقَوَاعِدُ مِنَ النِّسَاء اللاتِی لا یَرْجُونَ نِکَاحاً فَلَیْسَ عَلَیْهِنَّ جُنَاحٌ أَن یَضَعْنَ ثِیَابَهُنَّ</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وردت عدة روایات فی تفسیرها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صحیحة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الذی یصلح لهن أن یضعن من ثیابهن؟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الجلباب</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حریز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أنه قرأ ویضعن من ثیابهن،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الجلباب والخمار</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یعلم کیفیة الثیاب والجلباب والخمار قبل أن تضعها المرأة القاعدة؟ فهنالک غموض فی تعریفها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الجلباب غطاء یوضع علی الرأس ویغطی الصدر أیضاً</w:t>
      </w:r>
      <w:r>
        <w:rPr>
          <w:rFonts w:eastAsia="IRNazanin" w:cs="IRNazanin"/>
          <w:color w:val="111111"/>
          <w:sz w:val="28"/>
          <w:szCs w:val="28"/>
          <w:rtl w:val="true"/>
          <w:lang w:bidi="fa-IR"/>
        </w:rPr>
        <w:t>(</w:t>
      </w:r>
      <w:r>
        <w:rPr>
          <w:rStyle w:val="FootnoteAnchor"/>
          <w:rtl w:val="true"/>
        </w:rPr>
        <w:footnoteReference w:id="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أکبر من الخمار، فهل کان یغطی الوجه أم لا؟ و المفروض فی الاستدلال أنه لا یغطی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ظاهر بعض العبارات أن الخمار غیر ساتر للوجه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المصباح المنیر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الخمار ثوب تغطی به المرأة رأسها</w:t>
      </w:r>
      <w:r>
        <w:rPr>
          <w:rFonts w:eastAsia="IRNazanin" w:cs="IRNazanin"/>
          <w:color w:val="111111"/>
          <w:sz w:val="28"/>
          <w:szCs w:val="28"/>
          <w:rtl w:val="true"/>
          <w:lang w:bidi="fa-IR"/>
        </w:rPr>
        <w:t>»(</w:t>
      </w:r>
      <w:r>
        <w:rPr>
          <w:rStyle w:val="FootnoteAnchor"/>
          <w:rtl w:val="true"/>
        </w:rPr>
        <w:footnoteReference w:id="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 أنّ </w:t>
      </w:r>
    </w:p>
    <w:p>
      <w:pPr>
        <w:pStyle w:val="BookText"/>
        <w:rPr/>
      </w:pPr>
      <w:r>
        <w:rPr>
          <w:rFonts w:ascii="IRNazanin" w:hAnsi="IRNazanin" w:eastAsia="IRNazanin"/>
          <w:color w:val="111111"/>
          <w:sz w:val="28"/>
          <w:sz w:val="28"/>
          <w:szCs w:val="28"/>
          <w:rtl w:val="true"/>
          <w:lang w:bidi="fa-IR"/>
        </w:rPr>
        <w:t>العبارة مجملة فلا یعلم أنه یشمل الوجه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غطاء الرأس المنسبل علی جبینها</w:t>
      </w:r>
      <w:r>
        <w:rPr>
          <w:rFonts w:eastAsia="IRNazanin" w:cs="IRNazanin"/>
          <w:color w:val="111111"/>
          <w:sz w:val="28"/>
          <w:szCs w:val="28"/>
          <w:rtl w:val="true"/>
          <w:lang w:bidi="fa-IR"/>
        </w:rPr>
        <w:t>»(</w:t>
      </w:r>
      <w:r>
        <w:rPr>
          <w:rStyle w:val="FootnoteAnchor"/>
          <w:rtl w:val="true"/>
        </w:rPr>
        <w:footnoteReference w:id="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فالجلابیب جمع جلباب، وهو خمار المرأة وهی المقنعة تغطی جبینها ورأسها</w:t>
      </w:r>
      <w:r>
        <w:rPr>
          <w:rFonts w:eastAsia="IRNazanin" w:cs="IRNazanin"/>
          <w:color w:val="111111"/>
          <w:sz w:val="28"/>
          <w:szCs w:val="28"/>
          <w:rtl w:val="true"/>
          <w:lang w:bidi="fa-IR"/>
        </w:rPr>
        <w:t>»(</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وظاهرهما خروج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الجلباب أکبر من الخمار</w:t>
      </w:r>
      <w:r>
        <w:rPr>
          <w:rFonts w:eastAsia="IRNazanin" w:cs="IRNazanin"/>
          <w:color w:val="111111"/>
          <w:sz w:val="28"/>
          <w:szCs w:val="28"/>
          <w:rtl w:val="true"/>
          <w:lang w:bidi="fa-IR"/>
        </w:rPr>
        <w:t>(</w:t>
      </w:r>
      <w:r>
        <w:rPr>
          <w:rStyle w:val="FootnoteAnchor"/>
          <w:rtl w:val="true"/>
        </w:rPr>
        <w:footnoteReference w:id="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ما یراه السید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الملاحف تدنیها المرأة علی وجهها</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المصباح المنیر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أوسع من الخمار ودون الرداء، وقال 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یغطی به من ثوب وغیره</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مفردات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القمص والخمر</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مقاییس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القمیص</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القمیص أو الثوب الواسع</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bookmarkStart w:id="639" w:name="pg6289_42049"/>
    </w:p>
    <w:p>
      <w:pPr>
        <w:pStyle w:val="BookText"/>
        <w:rPr/>
      </w:pPr>
      <w:bookmarkEnd w:id="639"/>
      <w:r>
        <w:rPr>
          <w:rFonts w:ascii="IRNazanin" w:hAnsi="IRNazanin" w:eastAsia="IRNazanin"/>
          <w:color w:val="111111"/>
          <w:sz w:val="28"/>
          <w:sz w:val="28"/>
          <w:szCs w:val="28"/>
          <w:rtl w:val="true"/>
          <w:lang w:bidi="fa-IR"/>
        </w:rPr>
        <w:t>ویبدو أن للجلباب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صحیحة البزنطی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إشعار بأنّ الفرق بین القواعد وغیرهن فی الشعر لا الوجه،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یحل له أن ینظر إلی شعر أخت امرأته؟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تکون من القواعد،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 امرأته والغریبة سواء؟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لی من النظر إلیه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 وذراعها</w:t>
      </w:r>
      <w:r>
        <w:rPr>
          <w:rFonts w:eastAsia="IRNazanin" w:cs="IRNazanin"/>
          <w:color w:val="111111"/>
          <w:sz w:val="28"/>
          <w:szCs w:val="28"/>
          <w:rtl w:val="true"/>
          <w:lang w:bidi="fa-IR"/>
        </w:rPr>
        <w:t>»(</w:t>
      </w:r>
      <w:r>
        <w:rPr>
          <w:rStyle w:val="FootnoteAnchor"/>
          <w:rtl w:val="true"/>
        </w:rPr>
        <w:footnoteReference w:id="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وکأن الوجه مفروغ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فی الدلیل المذکور نوع من الغموض للنهوض بالمدعی</w:t>
      </w:r>
      <w:r>
        <w:rPr>
          <w:rFonts w:eastAsia="IRNazanin" w:cs="IRNazanin"/>
          <w:color w:val="111111"/>
          <w:sz w:val="28"/>
          <w:szCs w:val="28"/>
          <w:rtl w:val="true"/>
          <w:lang w:bidi="fa-IR"/>
        </w:rPr>
        <w:t>.</w:t>
      </w:r>
    </w:p>
    <w:p>
      <w:pPr>
        <w:pStyle w:val="Heading6"/>
        <w:numPr>
          <w:ilvl w:val="5"/>
          <w:numId w:val="1"/>
        </w:numPr>
        <w:rPr/>
      </w:pPr>
      <w:bookmarkStart w:id="640" w:name="__RefHeading___Toc2133700_237004111"/>
      <w:bookmarkStart w:id="641" w:name="_Toc250"/>
      <w:bookmarkEnd w:id="640"/>
      <w:r>
        <w:rPr>
          <w:rtl w:val="true"/>
        </w:rPr>
        <w:t>الدلیل الخامس والعشرون</w:t>
      </w:r>
      <w:r>
        <w:rPr>
          <w:rtl w:val="true"/>
        </w:rPr>
        <w:t xml:space="preserve">: </w:t>
      </w:r>
      <w:r>
        <w:rPr>
          <w:rtl w:val="true"/>
        </w:rPr>
        <w:t>وجود العسر والحرج فی اجتناب النظر</w:t>
      </w:r>
      <w:bookmarkEnd w:id="641"/>
    </w:p>
    <w:p>
      <w:pPr>
        <w:pStyle w:val="BookText"/>
        <w:rPr/>
      </w:pPr>
      <w:r>
        <w:rPr>
          <w:rFonts w:ascii="IRNazanin" w:hAnsi="IRNazanin" w:eastAsia="IRNazanin"/>
          <w:color w:val="111111"/>
          <w:sz w:val="28"/>
          <w:sz w:val="28"/>
          <w:szCs w:val="28"/>
          <w:rtl w:val="true"/>
          <w:lang w:bidi="fa-IR"/>
        </w:rPr>
        <w:t>ما نقله فی الجواهر،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العسر والحرج فی اجتناب ذلک</w:t>
      </w:r>
      <w:r>
        <w:rPr>
          <w:rFonts w:eastAsia="IRNazanin" w:cs="IRNazanin"/>
          <w:color w:val="111111"/>
          <w:sz w:val="28"/>
          <w:szCs w:val="28"/>
          <w:rtl w:val="true"/>
          <w:lang w:bidi="fa-IR"/>
        </w:rPr>
        <w:t>(</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لمزاولتهن البیع والشراء وغیرهما</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وأجاب عنه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والعسر والحرج فی مثل الأعراب الذین لا ینتهون إذا نهوا مرتفع بعدم وجوب الغض عنهم، وعدم البأس مع اتفاق وقوع النظر علیهم</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نظر؛ لما سبق فی المسألة الأولی من إعراض مشهور الفقهاء عن الخبر، وقد ذکر صاحب الجواهر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کون المراد منه</w:t>
      </w:r>
      <w:r>
        <w:rPr>
          <w:rFonts w:eastAsia="IRNazanin" w:cs="IRNazanin"/>
          <w:color w:val="111111"/>
          <w:sz w:val="28"/>
          <w:szCs w:val="28"/>
          <w:rtl w:val="true"/>
          <w:lang w:bidi="fa-IR"/>
        </w:rPr>
        <w:t>(</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bookmarkStart w:id="642" w:name="pg6289_42050"/>
    </w:p>
    <w:p>
      <w:pPr>
        <w:pStyle w:val="BookText"/>
        <w:rPr/>
      </w:pPr>
      <w:bookmarkEnd w:id="642"/>
      <w:r>
        <w:rPr>
          <w:rFonts w:ascii="IRNazanin" w:hAnsi="IRNazanin" w:eastAsia="IRNazanin"/>
          <w:color w:val="111111"/>
          <w:sz w:val="28"/>
          <w:sz w:val="28"/>
          <w:szCs w:val="28"/>
          <w:rtl w:val="true"/>
          <w:lang w:bidi="fa-IR"/>
        </w:rPr>
        <w:t>وجوب الغض، وعدم حرمة التردد فی الأسواق من هذه الجهة</w:t>
      </w:r>
      <w:r>
        <w:rPr>
          <w:rFonts w:eastAsia="IRNazanin" w:cs="IRNazanin"/>
          <w:color w:val="111111"/>
          <w:sz w:val="28"/>
          <w:szCs w:val="28"/>
          <w:rtl w:val="true"/>
          <w:lang w:bidi="fa-IR"/>
        </w:rPr>
        <w:t>»(</w:t>
      </w:r>
      <w:r>
        <w:rPr>
          <w:rStyle w:val="FootnoteAnchor"/>
          <w:rtl w:val="true"/>
        </w:rPr>
        <w:footnoteReference w:id="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فظاهر کلامه أنه لم یعمل بالخبر، وإنما حمله علی جواز الذهاب إلی الأسواق، وعدم وجوب غض البصر، فإذا وقع نظره علیهن وجب الغض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الأولی أن یقال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العسر وکذا الحرج شخصی ویتقدر بقدره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العسر لیس من الأمور المتأصلة التی لا یختلف الحال فیها من شخص إلی شخص، ومن حالة إلی حالة، ومن زمان إلی زمان، ومن مکان إلی مکان، إلی غیر ذلک، بل من الأمور الإضافیة، وحیث إنّ ثبوت المحمول فرع ثبوت الموضوع یتوقف رفع العسر للحکم علی ثبوته بالنسبة إلی شخص المکلف فی الزمان المعین، والمکان المعین إلی آخره، فلا یمکن رفعه للحکم مطلقاً، وعلیه فالدلیل أخص من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رفع الحرج للحرمة محل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الجواب الأخیر تأملاً، وتفصیل الکلام فی القواعد الفقهیة</w:t>
      </w:r>
      <w:r>
        <w:rPr>
          <w:rFonts w:eastAsia="IRNazanin" w:cs="IRNazanin"/>
          <w:color w:val="111111"/>
          <w:sz w:val="28"/>
          <w:szCs w:val="28"/>
          <w:rtl w:val="true"/>
          <w:lang w:bidi="fa-IR"/>
        </w:rPr>
        <w:t>.</w:t>
      </w:r>
    </w:p>
    <w:p>
      <w:pPr>
        <w:pStyle w:val="Heading6"/>
        <w:numPr>
          <w:ilvl w:val="5"/>
          <w:numId w:val="1"/>
        </w:numPr>
        <w:rPr/>
      </w:pPr>
      <w:bookmarkStart w:id="643" w:name="__RefHeading___Toc2133702_237004111"/>
      <w:bookmarkStart w:id="644" w:name="_Toc251"/>
      <w:bookmarkEnd w:id="643"/>
      <w:r>
        <w:rPr>
          <w:rtl w:val="true"/>
        </w:rPr>
        <w:t>الدلیل السادس والعشرون</w:t>
      </w:r>
      <w:r>
        <w:rPr>
          <w:rtl w:val="true"/>
        </w:rPr>
        <w:t xml:space="preserve">: </w:t>
      </w:r>
      <w:r>
        <w:rPr>
          <w:rtl w:val="true"/>
        </w:rPr>
        <w:t>إجراء أصالة البراءة</w:t>
      </w:r>
      <w:bookmarkEnd w:id="644"/>
    </w:p>
    <w:p>
      <w:pPr>
        <w:pStyle w:val="BookText"/>
        <w:rPr/>
      </w:pPr>
      <w:r>
        <w:rPr>
          <w:rFonts w:ascii="IRNazanin" w:hAnsi="IRNazanin" w:eastAsia="IRNazanin"/>
          <w:color w:val="111111"/>
          <w:sz w:val="28"/>
          <w:sz w:val="28"/>
          <w:szCs w:val="28"/>
          <w:rtl w:val="true"/>
          <w:lang w:bidi="fa-IR"/>
        </w:rPr>
        <w:t>أصالة البراءة أو استصحاب البراءة أو کلاهما معاً</w:t>
      </w:r>
      <w:r>
        <w:rPr>
          <w:rFonts w:eastAsia="IRNazanin" w:cs="IRNazanin"/>
          <w:color w:val="111111"/>
          <w:sz w:val="28"/>
          <w:szCs w:val="28"/>
          <w:rtl w:val="true"/>
          <w:lang w:bidi="fa-IR"/>
        </w:rPr>
        <w:t>(</w:t>
      </w:r>
      <w:r>
        <w:rPr>
          <w:rStyle w:val="FootnoteAnchor"/>
          <w:rtl w:val="true"/>
        </w:rPr>
        <w:footnoteReference w:id="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 وصلت النوبة إلی الشک؛ إذ الجواز لا یحتاج إلی دلیل بخلاف المنع</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هذا الدلیل المحقق النراقی والسید الروحانی</w:t>
      </w:r>
      <w:r>
        <w:rPr>
          <w:rFonts w:eastAsia="IRNazanin" w:cs="IRNazanin"/>
          <w:color w:val="111111"/>
          <w:sz w:val="28"/>
          <w:szCs w:val="28"/>
          <w:rtl w:val="true"/>
          <w:lang w:bidi="fa-IR"/>
        </w:rPr>
        <w:t>(</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واعتمد علیه </w:t>
      </w:r>
      <w:bookmarkStart w:id="645" w:name="pg6289_42051"/>
    </w:p>
    <w:p>
      <w:pPr>
        <w:pStyle w:val="BookText"/>
        <w:rPr/>
      </w:pPr>
      <w:bookmarkEnd w:id="645"/>
      <w:r>
        <w:rPr>
          <w:rFonts w:ascii="IRNazanin" w:hAnsi="IRNazanin" w:eastAsia="IRNazanin"/>
          <w:color w:val="111111"/>
          <w:sz w:val="28"/>
          <w:sz w:val="28"/>
          <w:szCs w:val="28"/>
          <w:rtl w:val="true"/>
          <w:lang w:bidi="fa-IR"/>
        </w:rPr>
        <w:t>لولا المرتکزات، والسید الخوئی</w:t>
      </w:r>
      <w:r>
        <w:rPr>
          <w:rFonts w:eastAsia="IRNazanin" w:cs="IRNazanin"/>
          <w:color w:val="111111"/>
          <w:sz w:val="28"/>
          <w:szCs w:val="28"/>
          <w:rtl w:val="true"/>
          <w:lang w:bidi="fa-IR"/>
        </w:rPr>
        <w:t>(</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القمّی</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قال فی المهذب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مقتضاه عدم الجواز مطلقاً</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الظاهر أنه أراد معنی آخر، وهو القاعدة المستفادة من الآیات الکریمة والأخبار الشریفة ومرتکزات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أدلة القول بالجواز</w:t>
      </w:r>
      <w:r>
        <w:rPr>
          <w:rFonts w:eastAsia="IRNazanin" w:cs="IRNazanin"/>
          <w:color w:val="111111"/>
          <w:sz w:val="28"/>
          <w:szCs w:val="28"/>
          <w:rtl w:val="true"/>
          <w:lang w:bidi="fa-IR"/>
        </w:rPr>
        <w:t>.</w:t>
      </w:r>
    </w:p>
    <w:p>
      <w:pPr>
        <w:pStyle w:val="Heading5"/>
        <w:numPr>
          <w:ilvl w:val="4"/>
          <w:numId w:val="1"/>
        </w:numPr>
        <w:rPr/>
      </w:pPr>
      <w:bookmarkStart w:id="646" w:name="__RefHeading___Toc2133704_237004111"/>
      <w:bookmarkStart w:id="647" w:name="_Toc252"/>
      <w:bookmarkEnd w:id="646"/>
      <w:r>
        <w:rPr>
          <w:rtl w:val="true"/>
        </w:rPr>
        <w:t>القول الثانی</w:t>
      </w:r>
      <w:r>
        <w:rPr>
          <w:rtl w:val="true"/>
        </w:rPr>
        <w:t xml:space="preserve">: </w:t>
      </w:r>
      <w:r>
        <w:rPr>
          <w:rtl w:val="true"/>
        </w:rPr>
        <w:t>حرمة النظر مطلقاً</w:t>
      </w:r>
      <w:bookmarkEnd w:id="647"/>
    </w:p>
    <w:p>
      <w:pPr>
        <w:pStyle w:val="Heading6"/>
        <w:numPr>
          <w:ilvl w:val="5"/>
          <w:numId w:val="1"/>
        </w:numPr>
        <w:rPr/>
      </w:pPr>
      <w:bookmarkStart w:id="648" w:name="__RefHeading___Toc2133706_237004111"/>
      <w:bookmarkStart w:id="649" w:name="_Toc253"/>
      <w:bookmarkEnd w:id="648"/>
      <w:r>
        <w:rPr>
          <w:rtl w:val="true"/>
        </w:rPr>
        <w:t>اشارة</w:t>
      </w:r>
      <w:bookmarkEnd w:id="649"/>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النظر مطلقاً</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استدل علیه أو یمکن الاستدلال له بأدلة، وهی</w:t>
      </w:r>
      <w:r>
        <w:rPr>
          <w:rFonts w:eastAsia="IRNazanin" w:cs="IRNazanin"/>
          <w:color w:val="111111"/>
          <w:sz w:val="28"/>
          <w:szCs w:val="28"/>
          <w:rtl w:val="true"/>
          <w:lang w:bidi="fa-IR"/>
        </w:rPr>
        <w:t>:</w:t>
      </w:r>
    </w:p>
    <w:p>
      <w:pPr>
        <w:pStyle w:val="Heading6"/>
        <w:numPr>
          <w:ilvl w:val="5"/>
          <w:numId w:val="1"/>
        </w:numPr>
        <w:rPr/>
      </w:pPr>
      <w:bookmarkStart w:id="650" w:name="__RefHeading___Toc2133708_237004111"/>
      <w:bookmarkStart w:id="651" w:name="_Toc254"/>
      <w:bookmarkEnd w:id="650"/>
      <w:r>
        <w:rPr>
          <w:rtl w:val="true"/>
        </w:rPr>
        <w:t>الدلیل الأول</w:t>
      </w:r>
      <w:r>
        <w:rPr>
          <w:rtl w:val="true"/>
        </w:rPr>
        <w:t xml:space="preserve">: </w:t>
      </w:r>
      <w:r>
        <w:rPr>
          <w:rtl w:val="true"/>
        </w:rPr>
        <w:t>آیة الغض</w:t>
      </w:r>
      <w:bookmarkEnd w:id="651"/>
    </w:p>
    <w:p>
      <w:pPr>
        <w:pStyle w:val="Heading6"/>
        <w:numPr>
          <w:ilvl w:val="5"/>
          <w:numId w:val="1"/>
        </w:numPr>
        <w:rPr/>
      </w:pPr>
      <w:bookmarkStart w:id="652" w:name="__RefHeading___Toc2133710_237004111"/>
      <w:bookmarkStart w:id="653" w:name="_Toc255"/>
      <w:bookmarkEnd w:id="652"/>
      <w:r>
        <w:rPr>
          <w:rtl w:val="true"/>
        </w:rPr>
        <w:t>اشارة</w:t>
      </w:r>
      <w:bookmarkEnd w:id="653"/>
    </w:p>
    <w:p>
      <w:pPr>
        <w:pStyle w:val="BookText"/>
        <w:rPr/>
      </w:pPr>
      <w:r>
        <w:rPr>
          <w:rFonts w:ascii="Amiri" w:hAnsi="Amiri" w:eastAsia="Amiri" w:cs="Amiri"/>
          <w:color w:val="111111"/>
          <w:sz w:val="28"/>
          <w:sz w:val="28"/>
          <w:szCs w:val="28"/>
          <w:rtl w:val="true"/>
          <w:lang w:bidi="ar-SA"/>
        </w:rPr>
        <w:t>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لِّلْمُؤْمِنِینَ یَغُضُّوا مِنْ أَبْصَارِهِمْ</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4" w:name="__RefHeading___Toc2133712_237004111"/>
      <w:bookmarkStart w:id="655" w:name="_Toc256"/>
      <w:bookmarkEnd w:id="654"/>
      <w:r>
        <w:rPr>
          <w:rtl w:val="true"/>
        </w:rPr>
        <w:t>الإشکالات علی الدلیل الأول</w:t>
      </w:r>
      <w:bookmarkEnd w:id="655"/>
    </w:p>
    <w:p>
      <w:pPr>
        <w:pStyle w:val="Heading6"/>
        <w:numPr>
          <w:ilvl w:val="5"/>
          <w:numId w:val="1"/>
        </w:numPr>
        <w:rPr/>
      </w:pPr>
      <w:bookmarkStart w:id="656" w:name="__RefHeading___Toc2133714_237004111"/>
      <w:bookmarkStart w:id="657" w:name="_Toc257"/>
      <w:bookmarkEnd w:id="656"/>
      <w:r>
        <w:rPr>
          <w:rtl w:val="true"/>
        </w:rPr>
        <w:t>اشارة</w:t>
      </w:r>
      <w:bookmarkEnd w:id="657"/>
    </w:p>
    <w:p>
      <w:pPr>
        <w:pStyle w:val="BookText"/>
        <w:rPr/>
      </w:pPr>
      <w:r>
        <w:rPr>
          <w:rFonts w:ascii="IRNazanin" w:hAnsi="IRNazanin" w:eastAsia="IRNazanin"/>
          <w:color w:val="111111"/>
          <w:sz w:val="28"/>
          <w:sz w:val="28"/>
          <w:szCs w:val="28"/>
          <w:rtl w:val="true"/>
          <w:lang w:bidi="fa-IR"/>
        </w:rPr>
        <w:t>ویرد علی الاستدلال بالآیة الکریمة عدة إشکالات</w:t>
      </w:r>
      <w:r>
        <w:rPr>
          <w:rFonts w:eastAsia="IRNazanin" w:cs="IRNazanin"/>
          <w:color w:val="111111"/>
          <w:sz w:val="28"/>
          <w:szCs w:val="28"/>
          <w:rtl w:val="true"/>
          <w:lang w:bidi="fa-IR"/>
        </w:rPr>
        <w:t>:</w:t>
      </w:r>
    </w:p>
    <w:p>
      <w:pPr>
        <w:pStyle w:val="Heading6"/>
        <w:numPr>
          <w:ilvl w:val="5"/>
          <w:numId w:val="1"/>
        </w:numPr>
        <w:rPr/>
      </w:pPr>
      <w:bookmarkStart w:id="658" w:name="__RefHeading___Toc2133716_237004111"/>
      <w:bookmarkStart w:id="659" w:name="_Toc258"/>
      <w:bookmarkEnd w:id="658"/>
      <w:r>
        <w:rPr>
          <w:rtl w:val="true"/>
        </w:rPr>
        <w:t>الإشکال الأول</w:t>
      </w:r>
      <w:r>
        <w:rPr>
          <w:rtl w:val="true"/>
        </w:rPr>
        <w:t xml:space="preserve">: </w:t>
      </w:r>
      <w:r>
        <w:rPr>
          <w:rtl w:val="true"/>
        </w:rPr>
        <w:t>اختصاص الآیة بالنظر إلی العورة</w:t>
      </w:r>
      <w:bookmarkEnd w:id="65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الآیة الکریمة مختصة بالنظر إلی العورة، فلا تشمل النظر إلی الوجه والکفین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تقیید بلا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القدر المتیقن الخارجی لا یقدح فی ثبوت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یتمسک للتقیید ببعض الروایات الواردة فی المقام، لکن الظاهر أنها محل إشکال سنداً أو دلالة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طویل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وفرض علی البصر أن لا ینظر إلی ما حرم الله علیه، وأن یعرض عما نهی الله عنه مما لا یحل له وهو عمله، وهو من الإیمان، 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لِّلْمُؤْمِنِینَ یَغُضُّوا مِنْ أَبْصَارِهِمْ وَیَحْفَظُوا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فنهاهم أن ینظروا إلی عوراتهم، وأن ینظر المرء إلی فرج أخیه، ویحفظ فرجه أن ینظر إلیه،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لِّلْمُؤْمِنَاتِ یَغْضُضْنَ مِنْ أَبْصَارِهِنَّ وَیَحْفَظْنَ فُرُوجَهُنَّ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تنظر إحداهن إلی فرج أختها، وتحفظ فرجها من أن ینظر إلیها،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فی القرآن من حفظ الفرج فهو من الزنا، إلا هذه الآیة فإنها من النظر</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یشکل علیه بأنه تفریع لا تفسیر،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الجزئی علی الکلی، لا أنه تفسیر لتمام المدلول المطابقی للآیة،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یغتب بعضکم بعضاً، فلا تغتب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ذلک تفسیراً، فإن الآیة لها معنی أعم، بل المراد ذکر المصداق، وإنما الاستدلال بما هو أعم یشمل المصداق وغیره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أبیت إلا عن أن الظاهر هو التفسیر المطابقی، فنعود إلی الإشکال السندی، فالروایة مرویة فی الکافی بهذا السند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علی بن إبراهیم، عن </w:t>
      </w:r>
      <w:bookmarkStart w:id="660" w:name="pg6289_42053"/>
    </w:p>
    <w:p>
      <w:pPr>
        <w:pStyle w:val="BookText"/>
        <w:rPr/>
      </w:pPr>
      <w:bookmarkEnd w:id="660"/>
      <w:r>
        <w:rPr>
          <w:rFonts w:ascii="IRNazanin" w:hAnsi="IRNazanin" w:eastAsia="IRNazanin"/>
          <w:color w:val="111111"/>
          <w:sz w:val="28"/>
          <w:sz w:val="28"/>
          <w:szCs w:val="28"/>
          <w:rtl w:val="true"/>
          <w:lang w:bidi="fa-IR"/>
        </w:rPr>
        <w:t>أبیه، عن بکر بن صالح، عن القاسم بن برید</w:t>
      </w:r>
      <w:r>
        <w:rPr>
          <w:rFonts w:eastAsia="IRNazanin" w:cs="IRNazanin"/>
          <w:color w:val="111111"/>
          <w:sz w:val="28"/>
          <w:szCs w:val="28"/>
          <w:rtl w:val="true"/>
          <w:lang w:bidi="fa-IR"/>
        </w:rPr>
        <w:t>(</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عمرو الزبیری</w:t>
      </w:r>
      <w:r>
        <w:rPr>
          <w:rFonts w:eastAsia="IRNazanin" w:cs="IRNazanin"/>
          <w:color w:val="111111"/>
          <w:sz w:val="28"/>
          <w:szCs w:val="28"/>
          <w:rtl w:val="true"/>
          <w:lang w:bidi="fa-IR"/>
        </w:rPr>
        <w:t>»(</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بکر بن صالح مجهول أو ضعیف، وأمّا أبو عمرو الزبیری فتوثیقه مبتنٍ علی وروده فی تفسیر القمی، والمبنی غیر مرضی فی المشایخ غیر المباشرین، فالروایة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محمد بن أبی عمیر،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آیة فی القرآن فی ذکر الفروج فهی من الزنا، إلا هذه الآیة، فإنها من النظر</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صحیحة علی المختار أو حسنة، ولکن الظاهر أنها لا ترتبط بالمدّعی، حیث إنها ناظرة إلی المقطع الثانی، 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یحفظوا 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فی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بندرة وقوعه غالباً من الأجانب، ولا وجه لحمل الإطلاق علی خصوص الفرد النادر</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مراده أنه یستلزم تخصیص الأکثر المستهجن، فتأمل</w:t>
      </w:r>
      <w:r>
        <w:rPr>
          <w:rFonts w:eastAsia="IRNazanin" w:cs="IRNazanin"/>
          <w:color w:val="111111"/>
          <w:sz w:val="28"/>
          <w:szCs w:val="28"/>
          <w:rtl w:val="true"/>
          <w:lang w:bidi="fa-IR"/>
        </w:rPr>
        <w:t>.</w:t>
      </w:r>
    </w:p>
    <w:p>
      <w:pPr>
        <w:pStyle w:val="Heading6"/>
        <w:numPr>
          <w:ilvl w:val="5"/>
          <w:numId w:val="1"/>
        </w:numPr>
        <w:rPr/>
      </w:pPr>
      <w:bookmarkStart w:id="661" w:name="__RefHeading___Toc2133718_237004111"/>
      <w:bookmarkStart w:id="662" w:name="_Toc259"/>
      <w:bookmarkEnd w:id="661"/>
      <w:r>
        <w:rPr>
          <w:rtl w:val="true"/>
        </w:rPr>
        <w:t>الإشکال الثانی</w:t>
      </w:r>
      <w:r>
        <w:rPr>
          <w:rtl w:val="true"/>
        </w:rPr>
        <w:t xml:space="preserve">: </w:t>
      </w:r>
      <w:r>
        <w:rPr>
          <w:rtl w:val="true"/>
        </w:rPr>
        <w:t>عدم إرادة المعنی الحقیقی للغض</w:t>
      </w:r>
      <w:bookmarkEnd w:id="66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السید الخوئی،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فحیث إن المراد بالغض لیس معناه الحقیقی یقیناً؛ إذ لا یجب علی الرجل أن یطبق جفنه، کما لا یجب </w:t>
      </w:r>
    </w:p>
    <w:p>
      <w:pPr>
        <w:pStyle w:val="BookText"/>
        <w:rPr/>
      </w:pPr>
      <w:r>
        <w:rPr>
          <w:rFonts w:ascii="IRNazanin" w:hAnsi="IRNazanin" w:eastAsia="IRNazanin"/>
          <w:color w:val="111111"/>
          <w:sz w:val="28"/>
          <w:sz w:val="28"/>
          <w:szCs w:val="28"/>
          <w:rtl w:val="true"/>
          <w:lang w:bidi="fa-IR"/>
        </w:rPr>
        <w:t>علی المرأة أن تطبق جفنها جزما، وإرادة ترک النظر باعتبار أنه ملازم له عنایة تحتاج إلی الدلیل وهو مفقود، بل هو استعمال غریب لم یعثر علیه مطلقاً، تعین أن یکون المراد صرف النظر عن غیر الزوجة والمملوکة، وفرضها کالعدم، وهو استعمال شائع عرفاً</w:t>
      </w:r>
      <w:r>
        <w:rPr>
          <w:rFonts w:eastAsia="IRNazanin" w:cs="IRNazanin"/>
          <w:color w:val="111111"/>
          <w:sz w:val="28"/>
          <w:szCs w:val="28"/>
          <w:rtl w:val="true"/>
          <w:lang w:bidi="fa-IR"/>
        </w:rPr>
        <w:t>»(</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ولمزید التوضیح 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امتناع حمل الغض علی معناه المطابقی، وهو إطباق الجفنین وغمض العینین؛ لعدم وجوب ذلک بالضرورة، یدور ذلک الأمر بین کونه کنایة عن أحد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المنع عن إیقاع النظر علی المرأة، بأن یصرف نظره عنها، فینظر إلی الفوق أو التحت من السماء أو الأرض أو أحد الجانبین، وإمّا إرادة الإعراض عنها وعدم الدنو منها، بأن لا یعقبها ولا یتصدی لمقدمات الوقوع فی الحرام وهو الزنا، فیکف بصره عنها بتاتاً</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مثل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لا ینظر إلی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لم ینظر إلی الدنیا منذ خلقها</w:t>
      </w:r>
      <w:r>
        <w:rPr>
          <w:rFonts w:eastAsia="IRNazanin" w:cs="IRNazanin"/>
          <w:color w:val="111111"/>
          <w:sz w:val="28"/>
          <w:szCs w:val="28"/>
          <w:rtl w:val="true"/>
          <w:lang w:bidi="fa-IR"/>
        </w:rPr>
        <w:t>(</w:t>
      </w:r>
      <w:r>
        <w:rPr>
          <w:rStyle w:val="FootnoteAnchor"/>
          <w:rtl w:val="true"/>
        </w:rPr>
        <w:footnoteReference w:id="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فلیس المعنی عدم النظر، بل عدم الطمع أو عدم الاهتمام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الغض لیس بمعنی الغمض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ما ذکر مبنی علی أن الغض بمعنی الغمض، فیأتی الکلام أنه غیر واجب، فلا بد من أن یکون الغمض </w:t>
      </w:r>
    </w:p>
    <w:p>
      <w:pPr>
        <w:pStyle w:val="BookText"/>
        <w:rPr/>
      </w:pPr>
      <w:r>
        <w:rPr>
          <w:rFonts w:ascii="Amiri" w:hAnsi="Amiri" w:eastAsia="Amiri" w:cs="Amiri"/>
          <w:color w:val="111111"/>
          <w:sz w:val="28"/>
          <w:sz w:val="28"/>
          <w:szCs w:val="28"/>
          <w:rtl w:val="true"/>
          <w:lang w:bidi="ar-SA"/>
        </w:rPr>
        <w:t xml:space="preserve">کنایة عن ترک النظر أو عدم الطمع، فمبنی الکلام فیه إشکال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بمعنی النقصان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وَاغْضُضْ مِن صَوْتِکَ</w:t>
      </w:r>
      <w:r>
        <w:rPr>
          <w:rFonts w:eastAsia="Amiri" w:cs="Amiri" w:ascii="Amiri" w:hAnsi="Amiri"/>
          <w:color w:val="111111"/>
          <w:sz w:val="28"/>
          <w:szCs w:val="28"/>
          <w:rtl w:val="true"/>
          <w:lang w:bidi="ar-SA"/>
        </w:rPr>
        <w:t>}(</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التقلیل والتنقیص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المفردات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النقصان من الطرف والصوت</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صحاح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 طرفه، أی خفضه</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الغض النقصان</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مرّت امرأة من بعد خمسة أمتار، فتارة ینظر إلیها، فیذهب شعاع نوره إلی خمسة أمتار، وتارة ینظر إلی بعد مترین، فلا یکون نظره إلیها، وهذا هو الغض، ولیس الأمر بالغمض حتی لا یری شیئاً، فیسقط أو یصطدم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تأمر بالغض لا بإطباق الجفنین،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بالمبنی، وأنّ الغض بمعنی إطباق الجفنین، لکن إرادة ترک النظر من غمض النظر أقرب من إرادة صرف النظر منه، وکأن هذا المعنی لا یأتی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مرّ شخص فقلنا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أغمض 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معناه لا تنظر، لا أنه أطبق جفنیک؛ ولذا لو نظر إلی خلفه کان ممتثلاً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وحسبما أتذکر لم أرَ أحداً من المفسرین فسرها بالمعنی المذکور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المراد ترک النظر لا صرف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رواه فی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یحیی، عن أحمد بن محمد، عن علی بن الحکم، عن سیف بن عمیرة، عن سعد الإسکاف،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استقبل شاب من الأنصار امرأة بالمدینة، وکان النساء یتقنعن خلف آذانهن فنظر إلیها وهی مقبلة، فلما جازت نظر إلیها ودخل فی زقاق قد سماه ببنی فلان، فجعل ینظر خلفها واعترض وجهه عظم فی الحائط أو زجاجة فشق وجهه، فلما مضت المرأة فإذا الدماء تسیل علی ثوبه وصدره،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لآتین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ولأخبرنه،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فلما رآه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فأخبره، فهبط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لِّلْمُؤْمِنِینَ یَغُضُّوا مِنْ أَبْصَارِهِمْ وَیَحْفَظُوا فُرُوجَهُمْ ذَلِکَ أَزْکَی لَهُمْ إِنَّ اللَّهَ خَبِیرٌ بِمَا یَصْنَعُونَ</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وأجاب عنه السید الخوئی،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الظاهر أن الأمر لیس کذلک، فإنّ موردها هو صورة التلذذ والاستمتاع بالنظر إلیها، وهی مشمولة للآیة الکریمة بلا إشکال، إلا أنها أجنبیة عما نحن فیه، حیث إن کلامنا فی النظر المجرد عن التلذذ لا مطلقا</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العنوان المذکور فی الروایة النظر، لا النظر الشهوی کی یخصص معنی الغض فی الآیة الکریمة، فتأمّل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سبق بعض الکلام فی ذلک فراجع</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bookmarkStart w:id="663" w:name="pg6289_42057"/>
    </w:p>
    <w:p>
      <w:pPr>
        <w:pStyle w:val="BookText"/>
        <w:rPr/>
      </w:pPr>
      <w:bookmarkEnd w:id="663"/>
      <w:r>
        <w:rPr>
          <w:rFonts w:ascii="IRNazanin" w:hAnsi="IRNazanin" w:eastAsia="IRNazanin"/>
          <w:color w:val="111111"/>
          <w:sz w:val="28"/>
          <w:sz w:val="28"/>
          <w:szCs w:val="28"/>
          <w:rtl w:val="true"/>
          <w:lang w:bidi="fa-IR"/>
        </w:rPr>
        <w:t>أما السند فهو تام علی ما یراه السید الخوئی، فالروایة عنده معتبرة</w:t>
      </w:r>
      <w:r>
        <w:rPr>
          <w:rFonts w:eastAsia="IRNazanin" w:cs="IRNazanin"/>
          <w:color w:val="111111"/>
          <w:sz w:val="28"/>
          <w:szCs w:val="28"/>
          <w:rtl w:val="true"/>
          <w:lang w:bidi="fa-IR"/>
        </w:rPr>
        <w:t>(</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هنالک کلاماً فی سعد الإسکاف، فقد قال النجاشی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 وینکر</w:t>
      </w:r>
      <w:r>
        <w:rPr>
          <w:rFonts w:eastAsia="IRNazanin" w:cs="IRNazanin"/>
          <w:color w:val="111111"/>
          <w:sz w:val="28"/>
          <w:szCs w:val="28"/>
          <w:rtl w:val="true"/>
          <w:lang w:bidi="fa-IR"/>
        </w:rPr>
        <w:t>»(</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ومراده مجهول، فأصبح محل النقاش، وقال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الحدیث</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4" w:name="__RefHeading___Toc2133720_237004111"/>
      <w:bookmarkStart w:id="665" w:name="_Toc260"/>
      <w:bookmarkEnd w:id="664"/>
      <w:r>
        <w:rPr>
          <w:rtl w:val="true"/>
        </w:rPr>
        <w:t>الإشکال الثالث</w:t>
      </w:r>
      <w:r>
        <w:rPr>
          <w:rtl w:val="true"/>
        </w:rPr>
        <w:t xml:space="preserve">: </w:t>
      </w:r>
      <w:r>
        <w:rPr>
          <w:rtl w:val="true"/>
        </w:rPr>
        <w:t>الغض فی الآیة إرشاد إلی ترک النظر إلی ما ثبتت حرمته</w:t>
      </w:r>
      <w:bookmarkEnd w:id="665"/>
    </w:p>
    <w:p>
      <w:pPr>
        <w:pStyle w:val="BookText"/>
        <w:rPr/>
      </w:pPr>
      <w:r>
        <w:rPr>
          <w:rFonts w:ascii="IRNazanin" w:hAnsi="IRNazanin" w:eastAsia="IRNazanin"/>
          <w:color w:val="111111"/>
          <w:sz w:val="28"/>
          <w:sz w:val="28"/>
          <w:szCs w:val="28"/>
          <w:rtl w:val="true"/>
          <w:lang w:bidi="fa-IR"/>
        </w:rPr>
        <w:t>وهو ما ذکره السید الخوئی،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الغض عما ذکر وتسلیم ظهور الآیة المبارکة فی المنع عن النظر، فلا ریب فی عدم إمکان الأخذ بإطلاقه؛ لجواز النظر إلی کثیر من الموجودات من السماء والأرض والشجر والحجر، والمدر وسائر الأجسام، وتخصیصها بها بحیث لا یبقی تحت الإطلاق إلا الأجنبیة یوجب تخصیص الأکثر القبیح، الذی هو من مستهجن الکلام جداً، سیما فی المقام الذی لا یبقی تحت العام إلا فرد واحد، فإنّ مثل هذا الکلام لا یکاد یصدر عن الفرد العادی، فما ظنک بالقرآن المعجز، فلا بد وأن یکون المراد بالآیة المبارکة غض البصر عما حرّمه الله، فیتوقف ذلک علی إثبات الحرمة من الخارج، والقدر الثابت ما عدا الوجه والکفین من الأجنبیة، فلا یمکن الاستدلال بالآیة لتحریم النظر إلیها منها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الأمر بالغض فی الآیة إرشاد إلی ترک النظر إلی ما ثبتت حرمته بدلیله، فهی مجملة بالإضافة إلی الوجه والکفین، فلا یمکن الاستدلال بها </w:t>
      </w:r>
      <w:bookmarkStart w:id="666" w:name="pg6289_42058"/>
    </w:p>
    <w:p>
      <w:pPr>
        <w:pStyle w:val="BookText"/>
        <w:rPr/>
      </w:pPr>
      <w:bookmarkEnd w:id="666"/>
      <w:r>
        <w:rPr>
          <w:rFonts w:ascii="IRNazanin" w:hAnsi="IRNazanin" w:eastAsia="IRNazanin"/>
          <w:color w:val="111111"/>
          <w:sz w:val="28"/>
          <w:sz w:val="28"/>
          <w:szCs w:val="28"/>
          <w:rtl w:val="true"/>
          <w:lang w:bidi="fa-IR"/>
        </w:rPr>
        <w:t>للمقام، کما هو ظاهر</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السیاق کون المراد النظر إلی الجنس الآخر، لا مطلق النظر کی یلزم تخصیص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الذی یقرأ الآیة المبارکة لا یخطر بباله النظر إلی الحجر والمدر، فلا تکون مشمولة للآیة</w:t>
      </w:r>
      <w:r>
        <w:rPr>
          <w:rFonts w:eastAsia="IRNazanin" w:cs="IRNazanin"/>
          <w:color w:val="111111"/>
          <w:sz w:val="28"/>
          <w:szCs w:val="28"/>
          <w:rtl w:val="true"/>
          <w:lang w:bidi="fa-IR"/>
        </w:rPr>
        <w:t>.</w:t>
      </w:r>
    </w:p>
    <w:p>
      <w:pPr>
        <w:pStyle w:val="Heading6"/>
        <w:numPr>
          <w:ilvl w:val="5"/>
          <w:numId w:val="1"/>
        </w:numPr>
        <w:rPr/>
      </w:pPr>
      <w:bookmarkStart w:id="667" w:name="__RefHeading___Toc2133722_237004111"/>
      <w:bookmarkStart w:id="668" w:name="_Toc261"/>
      <w:bookmarkEnd w:id="667"/>
      <w:r>
        <w:rPr>
          <w:rtl w:val="true"/>
        </w:rPr>
        <w:t>الإشکال الرابع</w:t>
      </w:r>
      <w:r>
        <w:rPr>
          <w:rtl w:val="true"/>
        </w:rPr>
        <w:t xml:space="preserve">: </w:t>
      </w:r>
      <w:r>
        <w:rPr>
          <w:rtl w:val="true"/>
        </w:rPr>
        <w:t>کون غض النظر أعم من ترک النظر</w:t>
      </w:r>
      <w:bookmarkEnd w:id="668"/>
    </w:p>
    <w:p>
      <w:pPr>
        <w:pStyle w:val="BookText"/>
        <w:rPr/>
      </w:pPr>
      <w:r>
        <w:rPr>
          <w:rFonts w:ascii="IRNazanin" w:hAnsi="IRNazanin" w:eastAsia="IRNazanin"/>
          <w:color w:val="111111"/>
          <w:sz w:val="28"/>
          <w:sz w:val="28"/>
          <w:szCs w:val="28"/>
          <w:rtl w:val="true"/>
          <w:lang w:bidi="fa-IR"/>
        </w:rPr>
        <w:t>ما ذکره السید الحکیم فی المستمسک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غض البصر أعم من ترک النظر</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الغض لا موضوعیة له، بل هو طریق للترک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لا حاجة إلی ما ذکره فی فقه الصادق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وغض البصر وإن کان غیر ترک النظر، إلا أنه یکفی مستنداً لتعیین المراد الإجماع</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9" w:name="__RefHeading___Toc2133724_237004111"/>
      <w:bookmarkStart w:id="670" w:name="_Toc262"/>
      <w:bookmarkEnd w:id="669"/>
      <w:r>
        <w:rPr>
          <w:rtl w:val="true"/>
        </w:rPr>
        <w:t>الإشکال الخامس</w:t>
      </w:r>
      <w:r>
        <w:rPr>
          <w:rtl w:val="true"/>
        </w:rPr>
        <w:t xml:space="preserve">: </w:t>
      </w:r>
      <w:r>
        <w:rPr>
          <w:rtl w:val="true"/>
        </w:rPr>
        <w:t>المراد من الغض عدم التحدیق</w:t>
      </w:r>
      <w:bookmarkEnd w:id="670"/>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النظر الاستقلالی، فإنّ مَن ینظر إلی غیره تارة ینظر إلیه لیری شکله ولونه، فیکون النظر استقلالیاً، وتارة ینظر إلیه باعتبار أنّ المخاطبة معه تستلزم النظر إلیه، فالنظر إلیه یکون آلیاً، فالآیة الکریمة لا تدل علی حرمة النظر الآلی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مطلق النظر ینافی الغض؛ إذ هو بمعنی النقصان، ومع النظر ولو </w:t>
      </w:r>
      <w:bookmarkStart w:id="671" w:name="pg6289_42059"/>
    </w:p>
    <w:p>
      <w:pPr>
        <w:pStyle w:val="BookText"/>
        <w:rPr/>
      </w:pPr>
      <w:bookmarkEnd w:id="671"/>
      <w:r>
        <w:rPr>
          <w:rFonts w:ascii="IRNazanin" w:hAnsi="IRNazanin" w:eastAsia="IRNazanin"/>
          <w:color w:val="111111"/>
          <w:sz w:val="28"/>
          <w:sz w:val="28"/>
          <w:szCs w:val="28"/>
          <w:rtl w:val="true"/>
          <w:lang w:bidi="fa-IR"/>
        </w:rPr>
        <w:t>آلیاً لا یتحقق نقصان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ملاحظة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عیون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الخلائق، غضوا أبصارکم حتّی تجوز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الأمالی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یبقی یومئذ نبی ولا رسول ولا صدیق ولا شهید إلا غضوا أبصارهم</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الحمام فغض طرفه عن النظر إلی عورة أخیه آمنه الله من الحمیم یوم القیامة</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2" w:name="__RefHeading___Toc2133726_237004111"/>
      <w:bookmarkStart w:id="673" w:name="_Toc263"/>
      <w:bookmarkEnd w:id="672"/>
      <w:r>
        <w:rPr>
          <w:rtl w:val="true"/>
        </w:rPr>
        <w:t>الإشکال السادس</w:t>
      </w:r>
      <w:r>
        <w:rPr>
          <w:rtl w:val="true"/>
        </w:rPr>
        <w:t xml:space="preserve">: </w:t>
      </w:r>
      <w:r>
        <w:rPr>
          <w:rtl w:val="true"/>
        </w:rPr>
        <w:t>دلالة الآیة علی حرمة بعض أفراد النظر</w:t>
      </w:r>
      <w:bookmarkEnd w:id="673"/>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الکریمة للتبعیض، فیدل علی حرمة بعض أفراد النظر، ولم یعلم دخول النظر إلی الوجه والکفین فی الأفراد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القریب أن یکون التبعیض باعتبار نفس النظر لا باعتبار المنظور إلیه، وحیث حذف المتعلق أفاد 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مع أنه یحتمل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للتأکید،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وَاغْضُضْ مِن صَوْتِکَ</w:t>
      </w:r>
      <w:r>
        <w:rPr>
          <w:rFonts w:eastAsia="Amiri" w:cs="Amiri" w:ascii="Amiri" w:hAnsi="Amiri"/>
          <w:color w:val="111111"/>
          <w:sz w:val="28"/>
          <w:szCs w:val="28"/>
          <w:rtl w:val="true"/>
          <w:lang w:bidi="ar-SA"/>
        </w:rPr>
        <w:t>}(</w:t>
      </w:r>
      <w:r>
        <w:rPr>
          <w:rStyle w:val="FootnoteAnchor"/>
          <w:rtl w:val="true"/>
        </w:rPr>
        <w:footnoteReference w:id="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یَغُضُّونَ أَصْوَاتَهُمْ عِندَ رَسُولِ اللَّهِ</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بعض أقسام النظر جائز حتی یقال باعتبار نفس النظر؟ </w:t>
      </w:r>
      <w:bookmarkStart w:id="674" w:name="pg6289_42060"/>
    </w:p>
    <w:p>
      <w:pPr>
        <w:pStyle w:val="BookText"/>
        <w:rPr/>
      </w:pPr>
      <w:bookmarkEnd w:id="674"/>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 یقلل من مستوی نظره فلا یراها، لا باعتبار أن بعض أفراد النظر محلل وبعضها محرم حتی تکون تبعیضیة، فتکون مجملة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باعتبار المنظور إلیه نوعان، بعض أفراده محلل وبعضها محرم، وقد ثبت فی الشکل الأول ضرورة کلیة الکبری، وإلا لم تفدنا شیئاً، وفی المقام لعل النظر إلی الوجه من أفراد النظر المحلل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التبعیض أنما هو باعتبار نفس النظر لا المنظور إلیه، فبدل أن یکون النظر ممتداً یقلل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وجه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لا فرق بین مجیئها وحذفها، فتکون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فی 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تأکیدیة، کما مرّ فی الآیتین الشریفتین</w:t>
      </w:r>
      <w:r>
        <w:rPr>
          <w:rFonts w:eastAsia="IRNazanin" w:cs="IRNazanin"/>
          <w:color w:val="111111"/>
          <w:sz w:val="28"/>
          <w:szCs w:val="28"/>
          <w:rtl w:val="true"/>
          <w:lang w:bidi="fa-IR"/>
        </w:rPr>
        <w:t>.</w:t>
      </w:r>
    </w:p>
    <w:p>
      <w:pPr>
        <w:pStyle w:val="Heading6"/>
        <w:numPr>
          <w:ilvl w:val="5"/>
          <w:numId w:val="1"/>
        </w:numPr>
        <w:rPr/>
      </w:pPr>
      <w:bookmarkStart w:id="675" w:name="__RefHeading___Toc2133728_237004111"/>
      <w:bookmarkStart w:id="676" w:name="_Toc264"/>
      <w:bookmarkEnd w:id="675"/>
      <w:r>
        <w:rPr>
          <w:rtl w:val="true"/>
        </w:rPr>
        <w:t>الإشکال السابع</w:t>
      </w:r>
      <w:r>
        <w:rPr>
          <w:rtl w:val="true"/>
        </w:rPr>
        <w:t xml:space="preserve">: </w:t>
      </w:r>
      <w:r>
        <w:rPr>
          <w:rtl w:val="true"/>
        </w:rPr>
        <w:t>عدم إحراز کون الآیة فی مقام البیان</w:t>
      </w:r>
      <w:bookmarkEnd w:id="676"/>
    </w:p>
    <w:p>
      <w:pPr>
        <w:pStyle w:val="BookText"/>
        <w:rPr/>
      </w:pPr>
      <w:r>
        <w:rPr>
          <w:rFonts w:ascii="IRNazanin" w:hAnsi="IRNazanin" w:eastAsia="IRNazanin"/>
          <w:color w:val="111111"/>
          <w:sz w:val="28"/>
          <w:sz w:val="28"/>
          <w:szCs w:val="28"/>
          <w:rtl w:val="true"/>
          <w:lang w:bidi="fa-IR"/>
        </w:rPr>
        <w:t>إنّ التمسک بالإطلاق فرع إحراز کون المولی فی مقام البیان من تلک الجهة، ولم یحرز کون الآیة الکریمة فی مقام البیان من جهة حدود المنظور إلیه، فلا ینعقد لها إطلاق</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العقلائی کون المولی فی مقام البیان من تمام الجهات، إلا أن یثبت کونه فی مقام الإهمال أو الإجمال، وإلا انسد باب التمسک بأکثر الإطلاقات،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الْبَیْعَ وَحَرَّمَ الرِّبَا</w:t>
      </w:r>
      <w:r>
        <w:rPr>
          <w:rFonts w:eastAsia="Amiri" w:cs="Amiri" w:ascii="Amiri" w:hAnsi="Amiri"/>
          <w:color w:val="111111"/>
          <w:sz w:val="28"/>
          <w:szCs w:val="28"/>
          <w:rtl w:val="true"/>
          <w:lang w:bidi="ar-SA"/>
        </w:rPr>
        <w:t>}(</w:t>
      </w:r>
      <w:r>
        <w:rPr>
          <w:rStyle w:val="FootnoteAnchor"/>
          <w:rtl w:val="true"/>
        </w:rPr>
        <w:footnoteReference w:id="7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 </w:t>
      </w:r>
      <w:bookmarkStart w:id="677" w:name="pg6289_42061"/>
    </w:p>
    <w:p>
      <w:pPr>
        <w:pStyle w:val="BookText"/>
        <w:rPr/>
      </w:pPr>
      <w:bookmarkEnd w:id="677"/>
      <w:r>
        <w:rPr>
          <w:rFonts w:ascii="Amiri" w:hAnsi="Amiri" w:eastAsia="Amiri" w:cs="Amiri"/>
          <w:color w:val="111111"/>
          <w:sz w:val="28"/>
          <w:sz w:val="28"/>
          <w:szCs w:val="28"/>
          <w:rtl w:val="true"/>
          <w:lang w:bidi="ar-SA"/>
        </w:rPr>
        <w:t>طَهُوراً</w:t>
      </w:r>
      <w:r>
        <w:rPr>
          <w:rFonts w:eastAsia="Amiri" w:cs="Amiri" w:ascii="Amiri" w:hAnsi="Amiri"/>
          <w:color w:val="111111"/>
          <w:sz w:val="28"/>
          <w:szCs w:val="28"/>
          <w:rtl w:val="true"/>
          <w:lang w:bidi="ar-SA"/>
        </w:rPr>
        <w:t>}(</w:t>
      </w:r>
      <w:r>
        <w:rPr>
          <w:rStyle w:val="FootnoteAnchor"/>
          <w:rtl w:val="true"/>
        </w:rPr>
        <w:footnoteReference w:id="7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ویؤیده عموم التعلیل، حیث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لِّلْمُؤْمِنِینَ یَغُضُّوا مِنْ أَبْصَارِهِمْ وَیَحْفَظُوا فُرُوجَهُمْ ذَلِکَ أَزْکَی لَهُمْ</w:t>
      </w:r>
      <w:r>
        <w:rPr>
          <w:rFonts w:eastAsia="Amiri" w:cs="Amiri" w:ascii="Amiri" w:hAnsi="Amiri"/>
          <w:color w:val="111111"/>
          <w:sz w:val="28"/>
          <w:szCs w:val="28"/>
          <w:rtl w:val="true"/>
          <w:lang w:bidi="ar-SA"/>
        </w:rPr>
        <w:t>}(</w:t>
      </w:r>
      <w:r>
        <w:rPr>
          <w:rStyle w:val="FootnoteAnchor"/>
          <w:rtl w:val="true"/>
        </w:rPr>
        <w:footnoteReference w:id="7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العلة تشمل النظر للوجه والکفین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العقلائی مستند إلی الظهورات النوعیة، ولا ظهور للآیة الکریمة عرفاً فی العموم، فهی کأمر الواعظ بالغض، الذی لا یعیّن حدود ما یجب الغض عنه، والمسألة بحاجة إلی مزید تأمل</w:t>
      </w:r>
      <w:r>
        <w:rPr>
          <w:rFonts w:eastAsia="IRNazanin" w:cs="IRNazanin"/>
          <w:color w:val="111111"/>
          <w:sz w:val="28"/>
          <w:szCs w:val="28"/>
          <w:rtl w:val="true"/>
          <w:lang w:bidi="fa-IR"/>
        </w:rPr>
        <w:t>.</w:t>
      </w:r>
    </w:p>
    <w:p>
      <w:pPr>
        <w:pStyle w:val="Heading6"/>
        <w:numPr>
          <w:ilvl w:val="5"/>
          <w:numId w:val="1"/>
        </w:numPr>
        <w:rPr/>
      </w:pPr>
      <w:bookmarkStart w:id="678" w:name="__RefHeading___Toc2133730_237004111"/>
      <w:bookmarkStart w:id="679" w:name="_Toc265"/>
      <w:bookmarkEnd w:id="678"/>
      <w:r>
        <w:rPr>
          <w:rtl w:val="true"/>
        </w:rPr>
        <w:t>الإشکال الثامن</w:t>
      </w:r>
      <w:r>
        <w:rPr>
          <w:rtl w:val="true"/>
        </w:rPr>
        <w:t xml:space="preserve">: </w:t>
      </w:r>
      <w:r>
        <w:rPr>
          <w:rtl w:val="true"/>
        </w:rPr>
        <w:t>قبول الإطلاق للتخصیص</w:t>
      </w:r>
      <w:bookmarkEnd w:id="679"/>
    </w:p>
    <w:p>
      <w:pPr>
        <w:pStyle w:val="BookText"/>
        <w:rPr/>
      </w:pPr>
      <w:r>
        <w:rPr>
          <w:rFonts w:ascii="IRNazanin" w:hAnsi="IRNazanin" w:eastAsia="IRNazanin"/>
          <w:color w:val="111111"/>
          <w:sz w:val="28"/>
          <w:sz w:val="28"/>
          <w:szCs w:val="28"/>
          <w:rtl w:val="true"/>
          <w:lang w:bidi="fa-IR"/>
        </w:rPr>
        <w:t>إنه لو ثبت الإطلاق فهو قابل للتخصیص بالأدلة السابقة من الآیات الکریمة والروایات الشریفة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الدلیل الأول</w:t>
      </w:r>
      <w:r>
        <w:rPr>
          <w:rFonts w:eastAsia="IRNazanin" w:cs="IRNazanin"/>
          <w:color w:val="111111"/>
          <w:sz w:val="28"/>
          <w:szCs w:val="28"/>
          <w:rtl w:val="true"/>
          <w:lang w:bidi="fa-IR"/>
        </w:rPr>
        <w:t>.</w:t>
      </w:r>
    </w:p>
    <w:p>
      <w:pPr>
        <w:pStyle w:val="Heading6"/>
        <w:numPr>
          <w:ilvl w:val="5"/>
          <w:numId w:val="1"/>
        </w:numPr>
        <w:rPr/>
      </w:pPr>
      <w:bookmarkStart w:id="680" w:name="__RefHeading___Toc2133732_237004111"/>
      <w:bookmarkStart w:id="681" w:name="_Toc266"/>
      <w:bookmarkEnd w:id="680"/>
      <w:r>
        <w:rPr>
          <w:rtl w:val="true"/>
        </w:rPr>
        <w:t>الدلیل الثانی</w:t>
      </w:r>
      <w:r>
        <w:rPr>
          <w:rtl w:val="true"/>
        </w:rPr>
        <w:t xml:space="preserve">: </w:t>
      </w:r>
      <w:r>
        <w:rPr>
          <w:rtl w:val="true"/>
        </w:rPr>
        <w:t xml:space="preserve">قوله تعالی </w:t>
      </w:r>
      <w:r>
        <w:rPr>
          <w:rtl w:val="true"/>
        </w:rPr>
        <w:t>{</w:t>
      </w:r>
      <w:r>
        <w:rPr>
          <w:rtl w:val="true"/>
        </w:rPr>
        <w:t>وَ إِذا سَأَلْتُمُوهُنَّ مَتاعاً فَسْئَلُوهُنَّ مِنْ وَراءِ حِجابٍ</w:t>
      </w:r>
      <w:r>
        <w:rPr>
          <w:rtl w:val="true"/>
        </w:rPr>
        <w:t>}</w:t>
      </w:r>
      <w:bookmarkEnd w:id="681"/>
    </w:p>
    <w:p>
      <w:pPr>
        <w:pStyle w:val="BookText"/>
        <w:rPr/>
      </w:pPr>
      <w:r>
        <w:rPr>
          <w:rFonts w:ascii="Amiri" w:hAnsi="Amiri" w:eastAsia="Amiri" w:cs="Amiri"/>
          <w:color w:val="111111"/>
          <w:sz w:val="28"/>
          <w:sz w:val="28"/>
          <w:szCs w:val="28"/>
          <w:rtl w:val="true"/>
          <w:lang w:bidi="ar-SA"/>
        </w:rPr>
        <w:t>الدلیل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سَأَلْتُمُوهُنَّ مَتاعاً فَسْئَلُوهُنَّ مِنْ وَراءِ حِجابٍ</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علی لزوم وجود الفاصل بین الرجل والمرأة المسؤولة، وحیث لم یقید بما عدا الوجه والکفین أفاد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الاستدلال بها أمران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الفقه من أنّ الآیة الکریمة فی نساء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دلیل علی وحدة المناط</w:t>
      </w:r>
      <w:r>
        <w:rPr>
          <w:rFonts w:eastAsia="IRNazanin" w:cs="IRNazanin"/>
          <w:color w:val="111111"/>
          <w:sz w:val="28"/>
          <w:szCs w:val="28"/>
          <w:rtl w:val="true"/>
          <w:lang w:bidi="fa-IR"/>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قاعدة الاشتراک فی التکلیف، الثابت بالإجماع وارتکاز المتشرعة وفهم عدم الخصوصیة عرفاً، وغیر ذلک من الأدلة المذکورة فی القواعد الفقهیة، هو عموم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أَطْهَرُ لِقُلُوبِکُمْ وَقُلُوبِهِنَّ</w:t>
      </w:r>
      <w:r>
        <w:rPr>
          <w:rFonts w:eastAsia="Amiri" w:cs="Amiri" w:ascii="Amiri" w:hAnsi="Amiri"/>
          <w:color w:val="111111"/>
          <w:sz w:val="28"/>
          <w:szCs w:val="28"/>
          <w:rtl w:val="true"/>
          <w:lang w:bidi="ar-SA"/>
        </w:rPr>
        <w:t>}(</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إذ العلة تخصص وتعمم،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الأصل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متوجه للمؤمنین والحکم مشترک، لکن لا وجه للاشتراک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 زرارة عن حکم وقوع الفأرة فی بئره فأمر بنزح ثلاثة دلاء، فهل یقال باشتراک جمیع المؤمنین فی وجوب النزح من بئر زرارة لا من کل الآبار؟</w:t>
      </w:r>
    </w:p>
    <w:p>
      <w:pPr>
        <w:pStyle w:val="BookText"/>
        <w:rPr/>
      </w:pPr>
      <w:r>
        <w:rPr>
          <w:rFonts w:ascii="Amiri" w:hAnsi="Amiri" w:eastAsia="Amiri" w:cs="Amiri"/>
          <w:color w:val="111111"/>
          <w:sz w:val="28"/>
          <w:sz w:val="28"/>
          <w:szCs w:val="28"/>
          <w:rtl w:val="true"/>
          <w:lang w:bidi="ar-SA"/>
        </w:rPr>
        <w:t>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ذکرتم لم تکن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 تَنکِحُوا أَزْوَاجَهُ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بالنبی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ذلک بالدلیل، وکلّ ما ثبت بالدلیل فهو خارج عن عموم الاشتراک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أَن تَنکِحُوا أَزْوَاجَهُ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یصلح لتقیید ما تقدمه، فیختص الحکم بنساء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ظهور له فی تقیید ما تقدمه، فظاهره حکم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علی روایة أو حتی مفسر ربط هذا المقطع بما قبله، بل الأمر مرتبط بقضیة طلحة المعروفة</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ولکن قد یشکل فی ما ذکر بأنه یخرج عن مقتضی القاعدة وظهور التعلیل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نِسَاء النَّبِیِّ لَسْتُنَّ کَأَحَدٍ مِّنَ النِّسَاء</w:t>
      </w:r>
      <w:r>
        <w:rPr>
          <w:rFonts w:eastAsia="Amiri" w:cs="Amiri" w:ascii="Amiri" w:hAnsi="Amiri"/>
          <w:color w:val="111111"/>
          <w:sz w:val="28"/>
          <w:szCs w:val="28"/>
          <w:rtl w:val="true"/>
          <w:lang w:bidi="ar-SA"/>
        </w:rPr>
        <w:t>}(</w:t>
      </w:r>
      <w:r>
        <w:rPr>
          <w:rStyle w:val="FootnoteAnchor"/>
          <w:rtl w:val="true"/>
        </w:rPr>
        <w:footnoteReference w:id="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وجود الخصوصیة لنساء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 حِجَابٍ</w:t>
      </w:r>
      <w:r>
        <w:rPr>
          <w:rFonts w:eastAsia="Amiri" w:cs="Amiri" w:ascii="Amiri" w:hAnsi="Amiri"/>
          <w:color w:val="111111"/>
          <w:sz w:val="28"/>
          <w:szCs w:val="28"/>
          <w:rtl w:val="true"/>
          <w:lang w:bidi="ar-SA"/>
        </w:rPr>
        <w:t>}(</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سیاق تلک الآیات المبارکات، فیکون الحکم الذی تضمنه مشمولاً لقاعدة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شأن للسیاق فی المقام، حیث لا فرق فی تقدم الآیة أو تأخرها، فقد جعلت أحکام نساء النبی غیر سائر النساء، وکأنه تخصیص لقاعدة الاشتراک أو حکومة علیها، کما لو قال الإمام 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أحکامک تختلف عن أحکام الآخرین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هنالک مجموعة من الأحکام ذکر فیها أنها غیر مشمولة لقاعدة الاشتراک، ثم ورد حکم آخر فی مکان آخر کان مشمولاً </w:t>
      </w:r>
    </w:p>
    <w:p>
      <w:pPr>
        <w:pStyle w:val="BookText"/>
        <w:rPr/>
      </w:pPr>
      <w:r>
        <w:rPr>
          <w:rFonts w:ascii="IRNazanin" w:hAnsi="IRNazanin" w:eastAsia="IRNazanin"/>
          <w:color w:val="111111"/>
          <w:sz w:val="28"/>
          <w:sz w:val="28"/>
          <w:szCs w:val="28"/>
          <w:rtl w:val="true"/>
          <w:lang w:bidi="fa-IR"/>
        </w:rPr>
        <w:t>لقاعدة الاشتراک، کما لو بیّن الإمام لزرارة مجموعة من الأحکام،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خاصة لک، ثم فی موضع آخر بین حکماً آخر کان الحکم الآخر مشمولاً لقاعدة الاشتراک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أحکامک تختلف عن الآخرین یا زرارة سلمنا التخصیص أو الحکومة، ولیس المقام کذلک، حیث لا یعلم أنها ناظرة إلی جمیع الأحکام، بل القدر المتیقن منها هذه الأحکام المذکورة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لَسْتُنَّ کَأَحَدٍ مِّنَ النِّسَاء إِنِ اتَّقَیْتُنَّ فَلا تَخْضَعْنَ بِالْقَوْلِ</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من المحتمل قریباً أن یکون المراد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نِسَاء النَّبِیِّ لَسْتُنَّ کَأَحَدٍ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مقامهن الشامخ الثابت لهن فی صورة التقوی یقتضی تأکید التزامهن بالأحکام المشترکة، وسلوکهن طریق التقوی، لا اختصاصهن بأحکام یتمیزن فیها عمن سواهن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الکریمات تبین لهنَّ کیفیة التقوی، التی إن سلکن طریقها کنّ فی مرتبة أعلی من سائر النساء،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ذکر إقامة الصلاة وإیتاء الزکاة وغیرها من الأحکام المشترکة فی الآیات اللاحقة، کما یؤیده فهم جملة من الفقهاء</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ویحرم علیها إسماع الصوت الذی فیه تهییج للسامع بتحسینه وترقیقه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تَخْضَعْنَ بِالْقَوْلِ فَیَطْمَعَ الَّذِی فِی قَلْبِهِ مَرَضٌ</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bookmarkStart w:id="682" w:name="pg6289_42065"/>
    </w:p>
    <w:p>
      <w:pPr>
        <w:pStyle w:val="BookText"/>
        <w:rPr/>
      </w:pPr>
      <w:bookmarkEnd w:id="682"/>
      <w:r>
        <w:rPr>
          <w:rFonts w:ascii="IRNazanin" w:hAnsi="IRNazanin" w:eastAsia="IRNazanin"/>
          <w:color w:val="111111"/>
          <w:sz w:val="28"/>
          <w:sz w:val="28"/>
          <w:szCs w:val="28"/>
          <w:rtl w:val="true"/>
          <w:lang w:bidi="fa-IR"/>
        </w:rPr>
        <w:t>ولم یعلق علیه إلا السید القمی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الأحوط وظاهر الآیة الشریفة مختص بنساء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أرَ فی شروح العروة دلیلاً آخر غیر هذا الدلیل علی حرمة الخضوع بالقول، فهی مستندهم الوحید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الاشتراک</w:t>
      </w:r>
      <w:r>
        <w:rPr>
          <w:rFonts w:eastAsia="IRNazanin" w:cs="IRNazanin"/>
          <w:color w:val="111111"/>
          <w:sz w:val="28"/>
          <w:szCs w:val="28"/>
          <w:rtl w:val="true"/>
          <w:lang w:bidi="fa-IR"/>
        </w:rPr>
        <w:t>(</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w:t>
      </w:r>
      <w:r>
        <w:rPr>
          <w:rFonts w:eastAsia="IRNazanin" w:cs="IRNazanin"/>
          <w:color w:val="111111"/>
          <w:sz w:val="28"/>
          <w:szCs w:val="28"/>
          <w:rtl w:val="true"/>
          <w:lang w:bidi="fa-IR"/>
        </w:rPr>
        <w:t>(</w:t>
      </w: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شرح العروة</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فرضت الدلالة تخصص بالأدلة الدالة علی جواز النظر للوجه والکفین</w:t>
      </w:r>
      <w:r>
        <w:rPr>
          <w:rFonts w:eastAsia="IRNazanin" w:cs="IRNazanin"/>
          <w:color w:val="111111"/>
          <w:sz w:val="28"/>
          <w:szCs w:val="28"/>
          <w:rtl w:val="true"/>
          <w:lang w:bidi="fa-IR"/>
        </w:rPr>
        <w:t>.</w:t>
      </w:r>
    </w:p>
    <w:p>
      <w:pPr>
        <w:pStyle w:val="Heading6"/>
        <w:numPr>
          <w:ilvl w:val="5"/>
          <w:numId w:val="1"/>
        </w:numPr>
        <w:rPr/>
      </w:pPr>
      <w:bookmarkStart w:id="683" w:name="__RefHeading___Toc2133734_237004111"/>
      <w:bookmarkStart w:id="684" w:name="_Toc267"/>
      <w:bookmarkEnd w:id="683"/>
      <w:r>
        <w:rPr>
          <w:rtl w:val="true"/>
        </w:rPr>
        <w:t>الدلیل الثالث</w:t>
      </w:r>
      <w:r>
        <w:rPr>
          <w:rtl w:val="true"/>
        </w:rPr>
        <w:t xml:space="preserve">: </w:t>
      </w:r>
      <w:r>
        <w:rPr>
          <w:rtl w:val="true"/>
        </w:rPr>
        <w:t>قوله تعالی</w:t>
      </w:r>
      <w:r>
        <w:rPr>
          <w:rtl w:val="true"/>
        </w:rPr>
        <w:t>: {</w:t>
      </w:r>
      <w:r>
        <w:rPr>
          <w:rtl w:val="true"/>
        </w:rPr>
        <w:t>وَ لا یُبْدینَ زینَتَهُنَّ إِلاَّ لِبُعُولَتِهِنَّ</w:t>
      </w:r>
      <w:r>
        <w:rPr>
          <w:rtl w:val="true"/>
        </w:rPr>
        <w:t>}</w:t>
      </w:r>
      <w:bookmarkEnd w:id="684"/>
    </w:p>
    <w:p>
      <w:pPr>
        <w:pStyle w:val="BookText"/>
        <w:rPr/>
      </w:pPr>
      <w:r>
        <w:rPr>
          <w:rFonts w:ascii="Amiri" w:hAnsi="Amiri" w:eastAsia="Amiri" w:cs="Amiri"/>
          <w:color w:val="111111"/>
          <w:sz w:val="28"/>
          <w:sz w:val="28"/>
          <w:szCs w:val="28"/>
          <w:rtl w:val="true"/>
          <w:lang w:bidi="ar-SA"/>
        </w:rPr>
        <w:t>الدلیل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یُبْدینَ زینَتَهُنَّ إِلاَّ لِبُعُولَتِهِنَّ</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والآیة الکریمة کما تشمل الزینة العرضیة تشمل الزینة الذاتیة أیضاً، إما من باب استعمال اللفظ فی المعنیین، أو باعتبار إرادة الجامع لهما منها، کما سبق بیانه فی الدلیل الأول من أدلة القول بالجواز، بضمیمة الملازمة العرفیة بین وجوب الستر وحرمة النظر</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إطلاق الآیة الکریمة أو عمومها یخصص بالأدلة السابقة، بل یمکن تخصیصها بقوله تعالی فی نفس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ظَهَرَ مِنْهَا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بالمستثنی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ظَهَرَ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غیر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مبین بالخبر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الإجمال فیما ظهر فإن إجماله یسری إلی المستثنی منه، والمحفوف بالمجمل المتصل لیس بحجة إلا فی القدر المتیقن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بالمحفوف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یُبْدِینَ زِینَتَهُنَّ إِلا لِبُعُولَتِهِنَّ أَوْ آبَائِهِنَّ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بالمجمل المتصل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یُبْدِینَ زِینَتَهُنَّ إِلا مَا ظَهَرَ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بالقدر المتیقن غیر الوجه والکفین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المخصص إذا کان مجملاً والشبهة مفهومیة جاز التمسک بالعام إذا کان بین الأقل والأکثر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المتصل، وما ذکر أنما یجری فی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القرآنیة کانت تنزل مقطعاً مقطعاً، فلا یعلم کون المخصص متصلاً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یعلم انعقاد الظهور؛ لأنّ انعقاده موقوف علی انفصال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فرض تعارض الجملتین بالعموم من وجه فی إبداء الزینة الظاهرة للأجانب، کتعارضهما بالعموم من وجه فی إبداء الزینة الخفیة للمحارم تساقطتا، ولم یبق دلیل علی التحریم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إمکان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التعارض المذکور لیس عرفیاً، ومقتضی الفهم العرفی جواز إبداء الزینة الظاهرة للأجانب والخفیة للمحارم، کما لو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 أرباحک إلا الیسیرة، 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تُبدِ أرباحک إلا لخاصتک، </w:t>
      </w:r>
      <w:bookmarkStart w:id="685" w:name="pg6289_42067"/>
    </w:p>
    <w:p>
      <w:pPr>
        <w:pStyle w:val="BookText"/>
        <w:rPr/>
      </w:pPr>
      <w:bookmarkEnd w:id="685"/>
      <w:r>
        <w:rPr>
          <w:rFonts w:ascii="IRNazanin" w:hAnsi="IRNazanin" w:eastAsia="IRNazanin"/>
          <w:color w:val="111111"/>
          <w:sz w:val="28"/>
          <w:sz w:val="28"/>
          <w:szCs w:val="28"/>
          <w:rtl w:val="true"/>
          <w:lang w:bidi="fa-IR"/>
        </w:rPr>
        <w:t>فإنّ مفاد الجملتین جواز إبداء الأرباح الیسیرة للکل، وجواز إبداء مطلق الأرباح للخاصة، فتأمّل</w:t>
      </w:r>
      <w:r>
        <w:rPr>
          <w:rFonts w:eastAsia="IRNazanin" w:cs="IRNazanin"/>
          <w:color w:val="111111"/>
          <w:sz w:val="28"/>
          <w:szCs w:val="28"/>
          <w:rtl w:val="true"/>
          <w:lang w:bidi="fa-IR"/>
        </w:rPr>
        <w:t>.</w:t>
      </w:r>
    </w:p>
    <w:p>
      <w:pPr>
        <w:pStyle w:val="Heading6"/>
        <w:numPr>
          <w:ilvl w:val="5"/>
          <w:numId w:val="1"/>
        </w:numPr>
        <w:rPr/>
      </w:pPr>
      <w:bookmarkStart w:id="686" w:name="__RefHeading___Toc2133736_237004111"/>
      <w:bookmarkStart w:id="687" w:name="_Toc268"/>
      <w:bookmarkEnd w:id="686"/>
      <w:r>
        <w:rPr>
          <w:rtl w:val="true"/>
        </w:rPr>
        <w:t>الدلیل الرابع</w:t>
      </w:r>
      <w:r>
        <w:rPr>
          <w:rtl w:val="true"/>
        </w:rPr>
        <w:t xml:space="preserve">: </w:t>
      </w:r>
      <w:r>
        <w:rPr>
          <w:rtl w:val="true"/>
        </w:rPr>
        <w:t>آیة القواعد من النساء</w:t>
      </w:r>
      <w:bookmarkEnd w:id="687"/>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وَالْقَوَاعِدُ مِنَ النِّسَاء اللاتِی لا یَرْجُونَ نِکَاحاً فَلَیْسَ عَلَیْهِنَّ جُنَاحٌ أَن یَضَعْنَ ثِیَابَهُنَّ غَیْرَ مُتَبَرِّجَاتٍ بِزِینَةٍ وَأَن یَسْتَعْفِفْنَ خَیْرٌ لَّهُنَّ وَاللَّهُ سَمِیعٌ عَلِیمٌ</w:t>
      </w:r>
      <w:r>
        <w:rPr>
          <w:rFonts w:eastAsia="Amiri" w:cs="Amiri" w:ascii="Amiri" w:hAnsi="Amiri"/>
          <w:color w:val="111111"/>
          <w:sz w:val="28"/>
          <w:szCs w:val="28"/>
          <w:rtl w:val="true"/>
          <w:lang w:bidi="ar-SA"/>
        </w:rPr>
        <w:t>}(</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علی المنع عن وضع الثیاب بالنسبة إلی غیر القواعد، فیجب التستر علیهن؛ وذلک یدل بالملازمة علی حرمة النظر، وإطلاقه یشمل الوجه والکفین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الثیاب جمع مضاف، وهو یفید العموم، فمفاد الآیة الکریمة عدم وجود الجناح فی وضع القواعد جمیع ثیابهن، باستثناء ما یستر العورة؛ للأدلة الخاصة، ومفهومه وجود الجناح فی وضع غیرهن جمیع ثیابهن، ولیس الکلام فی المقام فی وضع الجمیع، بل فی وضع خصوص ما یستر الوجه والکفین، والآیة الکریمة ساکتة عن ذلک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هنا إشکالاً، وهو عدم 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یَضَعْنَ ثِیابَهُنَّ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الثیاب، فالاستفادة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ذکرها العلامة غیر 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الآیة ناظرة إلی المتعارف، کعدم لبس الخمار، وأن یخرج ذراعها أو قدمها قلیلاً، والفهم العرفی لا یقتضی أکثر من ذلک، فیکون المفاد أنّ غیر القاعدة لا حق لها إلی هذا الحد، وعلیه یتم الإشکال المذکور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لو لوحظت الآیة الکریمة فی حد ذاتها، وأما مع لحاظ الروایات الشریفة، فالمستفاد منها کون المراد بالثیاب الجلباب والخمار وما یستر الذارع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صحیحة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وَالْقَواعِدُ مِنَ النِّساءِ اللاَّتی لا یَرْجُونَ نِکاحاً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یصلح لهن أن یضعن من ثیابهن؟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إنه قرأ یضعن من ثیابهن،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الجلباب والخمار إذا کانت المرأة مسنة</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یحل له أن ینظر إلی شعر أخت امرأته؟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تکون من القواعد،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 امرأته والغریبة سواء؟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لی من النظر إلیه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 وذراعها</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یکون مفهوم الآیة الکریمة عدم جواز وضع ما یستر شعور ورقاب وأذرع غیر القواعد، ولیس الکلام فی ذلک، بل فی خصوص الوجه والکفین، ولم تتعرض الآیة الکریمة لحکمهما لا إثباتاً ولا نفیاً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یلزم علی الشخص أن یضع جمیع ثیابه حتی یطلق علیه وضع ثیابه، أو إذا خلع بعض ثیابه یصدق علیه خلع الثیاب؟ </w:t>
      </w:r>
      <w:bookmarkStart w:id="688" w:name="pg6289_42069"/>
    </w:p>
    <w:p>
      <w:pPr>
        <w:pStyle w:val="BookText"/>
        <w:rPr/>
      </w:pPr>
      <w:bookmarkEnd w:id="688"/>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علیه أنه خلع بعض ثیابه، وأمّا إطلاق خلع الثیاب علیه فهو مسامحی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عدم الجناح فی وضع ما یجب لبسه من الثیاب، وإلاّ فغیرها لا جناح فی وضعه مطلقاً، وحینئذٍ یکون المفهوم وجود الجناح فی وضع ما یجب لبسه من الثیاب بالنسبة إلی غیرهن، ومن الواضح أنّ الحکم لا یتکفل موضوعه، فلا تدل نفس الآیة الکریمة علی ما یجب لبسه من الثیاب وما 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جریان بعض الأجوبة التی ستأتی فی الدلیل السابع، إن شاء الله تعالی، فی المقام أیضاً</w:t>
      </w:r>
      <w:r>
        <w:rPr>
          <w:rFonts w:eastAsia="IRNazanin" w:cs="IRNazanin"/>
          <w:color w:val="111111"/>
          <w:sz w:val="28"/>
          <w:szCs w:val="28"/>
          <w:rtl w:val="true"/>
          <w:lang w:bidi="fa-IR"/>
        </w:rPr>
        <w:t>.</w:t>
      </w:r>
    </w:p>
    <w:p>
      <w:pPr>
        <w:pStyle w:val="Heading6"/>
        <w:numPr>
          <w:ilvl w:val="5"/>
          <w:numId w:val="1"/>
        </w:numPr>
        <w:rPr/>
      </w:pPr>
      <w:bookmarkStart w:id="689" w:name="__RefHeading___Toc2133738_237004111"/>
      <w:bookmarkStart w:id="690" w:name="_Toc269"/>
      <w:bookmarkEnd w:id="689"/>
      <w:r>
        <w:rPr>
          <w:rtl w:val="true"/>
        </w:rPr>
        <w:t>الدلیل الخامس</w:t>
      </w:r>
      <w:r>
        <w:rPr>
          <w:rtl w:val="true"/>
        </w:rPr>
        <w:t xml:space="preserve">: </w:t>
      </w:r>
      <w:r>
        <w:rPr>
          <w:rtl w:val="true"/>
        </w:rPr>
        <w:t>قوله تعالی</w:t>
      </w:r>
      <w:r>
        <w:rPr>
          <w:rtl w:val="true"/>
        </w:rPr>
        <w:t>: {</w:t>
      </w:r>
      <w:r>
        <w:rPr>
          <w:rtl w:val="true"/>
        </w:rPr>
        <w:t>وَ لْیَضْرِبْنَ بِخُمُرِهِنَّ عَلی جُیُوبِهِنَّ</w:t>
      </w:r>
      <w:r>
        <w:rPr>
          <w:rtl w:val="true"/>
        </w:rPr>
        <w:t>}</w:t>
      </w:r>
      <w:bookmarkEnd w:id="690"/>
    </w:p>
    <w:p>
      <w:pPr>
        <w:pStyle w:val="BookText"/>
        <w:rPr/>
      </w:pPr>
      <w:r>
        <w:rPr>
          <w:rFonts w:ascii="Amiri" w:hAnsi="Amiri" w:eastAsia="Amiri" w:cs="Amiri"/>
          <w:color w:val="111111"/>
          <w:sz w:val="28"/>
          <w:sz w:val="28"/>
          <w:szCs w:val="28"/>
          <w:rtl w:val="true"/>
          <w:lang w:bidi="ar-SA"/>
        </w:rPr>
        <w:t>الدلیل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لْیَضْرِبْنَ بِخُمُرِهِنَّ عَلی جُیُوبِهِنَّ</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استدل بها السید السبزواری</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یظهر کون الخمار ساتراً للوجه، بل یظهر من بعض الکلمات کونه غیر ساتر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ما ذکره المصباح المنیر والتبیان فی تفسیر الخمار</w:t>
      </w:r>
      <w:r>
        <w:rPr>
          <w:rFonts w:eastAsia="IRNazanin" w:cs="IRNazanin"/>
          <w:color w:val="111111"/>
          <w:sz w:val="28"/>
          <w:szCs w:val="28"/>
          <w:rtl w:val="true"/>
          <w:lang w:bidi="fa-IR"/>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بالإضافة إلی ما فی 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لْیَضْرِبْنَ بِخُمُرِهِنَّ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مقانعهن، جمع خمار وهی المقنعة، سمیت بذلک لأن الرأس یخمر بها،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یغطی، وکل شیء غطیته فقد خمرته، وجمع الخمار خمر ککتاب وکتب، </w:t>
      </w:r>
      <w:bookmarkStart w:id="691" w:name="pg6289_42070"/>
    </w:p>
    <w:p>
      <w:pPr>
        <w:pStyle w:val="BookText"/>
        <w:rPr/>
      </w:pPr>
      <w:bookmarkEnd w:id="691"/>
      <w:r>
        <w:rPr>
          <w:rFonts w:ascii="IRNazanin" w:hAnsi="IRNazanin" w:eastAsia="IRNazanin"/>
          <w:color w:val="111111"/>
          <w:sz w:val="28"/>
          <w:sz w:val="28"/>
          <w:szCs w:val="28"/>
          <w:rtl w:val="true"/>
          <w:lang w:bidi="fa-IR"/>
        </w:rPr>
        <w:t>واختمرت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لبست خمارها وغطت رأسها</w:t>
      </w:r>
      <w:r>
        <w:rPr>
          <w:rFonts w:eastAsia="IRNazanin" w:cs="IRNazanin"/>
          <w:color w:val="111111"/>
          <w:sz w:val="28"/>
          <w:szCs w:val="28"/>
          <w:rtl w:val="true"/>
          <w:lang w:bidi="fa-IR"/>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قال فی المستمسک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لْیَضْرِبْنَ بِخُمُرِهِنَّ عَلی جُیُوبِهِنَّ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باختصاص الحکم بالجیوب، فلا یعم الوجوه</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من أدلة القول بالجواز</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مضی التأمل فی ذلک فی الدلیل الثانی من أدلة القول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جریان بعض الأجوبة المتقدمة فی المقام کالتخصیص، مع أنه یمکن الجمع بین الأدلة بالحمل علی الأفضلیة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تفصیل الکلام فی ذلک، وفی بعض الأجوبة الأخری فی الدلیل السابع إن شاء الله تعالی</w:t>
      </w:r>
      <w:r>
        <w:rPr>
          <w:rFonts w:eastAsia="IRNazanin" w:cs="IRNazanin"/>
          <w:color w:val="111111"/>
          <w:sz w:val="28"/>
          <w:szCs w:val="28"/>
          <w:rtl w:val="true"/>
          <w:lang w:bidi="fa-IR"/>
        </w:rPr>
        <w:t>.</w:t>
      </w:r>
    </w:p>
    <w:p>
      <w:pPr>
        <w:pStyle w:val="Heading6"/>
        <w:numPr>
          <w:ilvl w:val="5"/>
          <w:numId w:val="1"/>
        </w:numPr>
        <w:rPr/>
      </w:pPr>
      <w:bookmarkStart w:id="692" w:name="__RefHeading___Toc2133740_237004111"/>
      <w:bookmarkStart w:id="693" w:name="_Toc270"/>
      <w:bookmarkEnd w:id="692"/>
      <w:r>
        <w:rPr>
          <w:rtl w:val="true"/>
        </w:rPr>
        <w:t>الدلیل السادس</w:t>
      </w:r>
      <w:r>
        <w:rPr>
          <w:rtl w:val="true"/>
        </w:rPr>
        <w:t xml:space="preserve">: </w:t>
      </w:r>
      <w:r>
        <w:rPr>
          <w:rtl w:val="true"/>
        </w:rPr>
        <w:t>آیة الحجاب</w:t>
      </w:r>
      <w:bookmarkEnd w:id="693"/>
    </w:p>
    <w:p>
      <w:pPr>
        <w:pStyle w:val="BookText"/>
        <w:rPr/>
      </w:pPr>
      <w:r>
        <w:rPr>
          <w:rFonts w:ascii="Amiri" w:hAnsi="Amiri" w:eastAsia="Amiri" w:cs="Amiri"/>
          <w:color w:val="111111"/>
          <w:sz w:val="28"/>
          <w:sz w:val="28"/>
          <w:szCs w:val="28"/>
          <w:rtl w:val="true"/>
          <w:lang w:bidi="ar-SA"/>
        </w:rPr>
        <w:t>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قُل لأَزْوَاجِکَ وَبَنَاتِکَ وَنِسَاء الْمُؤْمِنِینَ یُدْنِینَ عَلَیْهِنَّ مِن جَلَابِیبِهِنَّ ذَلِکَ أَدْنَی أَن یُعْرَفْنَ فَلا یُؤْذَیْنَ وَکَانَ اللَّهُ غَفُوراً رَّحِیماً</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استدل بها السید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معللة، فمع انتفاء العلة لا مانع من الکشف</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حکمة لا علة</w:t>
      </w:r>
      <w:r>
        <w:rPr>
          <w:rFonts w:eastAsia="IRNazanin" w:cs="IRNazanin"/>
          <w:color w:val="111111"/>
          <w:sz w:val="28"/>
          <w:szCs w:val="28"/>
          <w:rtl w:val="true"/>
          <w:lang w:bidi="fa-IR"/>
        </w:rPr>
        <w:t xml:space="preserve">. </w:t>
      </w:r>
      <w:bookmarkStart w:id="694" w:name="pg6289_42071"/>
    </w:p>
    <w:p>
      <w:pPr>
        <w:pStyle w:val="BookText"/>
        <w:rPr/>
      </w:pPr>
      <w:bookmarkEnd w:id="694"/>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العلیة،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یعلم کون الجلباب ساتراً للوجه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مرت کلمات اللغوین فی تفسیره، مضافاً إلی ما فی 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والجلابیب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ثوب واسع أوسع من الخمار ودون الرداء، تلویه المرأة علی رأسها وتبقی منه ما ترسله علی صدرها</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إلی جریان بعض الأجوبة المتقدمة واللاحقة فی المقام أیضاً</w:t>
      </w:r>
      <w:r>
        <w:rPr>
          <w:rFonts w:eastAsia="IRNazanin" w:cs="IRNazanin"/>
          <w:color w:val="111111"/>
          <w:sz w:val="28"/>
          <w:szCs w:val="28"/>
          <w:rtl w:val="true"/>
          <w:lang w:bidi="fa-IR"/>
        </w:rPr>
        <w:t>.</w:t>
      </w:r>
    </w:p>
    <w:p>
      <w:pPr>
        <w:pStyle w:val="Heading6"/>
        <w:numPr>
          <w:ilvl w:val="5"/>
          <w:numId w:val="1"/>
        </w:numPr>
        <w:rPr/>
      </w:pPr>
      <w:bookmarkStart w:id="695" w:name="__RefHeading___Toc2133742_237004111"/>
      <w:bookmarkStart w:id="696" w:name="_Toc271"/>
      <w:bookmarkEnd w:id="695"/>
      <w:r>
        <w:rPr>
          <w:rtl w:val="true"/>
        </w:rPr>
        <w:t>الدلیل السابع</w:t>
      </w:r>
      <w:r>
        <w:rPr>
          <w:rtl w:val="true"/>
        </w:rPr>
        <w:t xml:space="preserve">: </w:t>
      </w:r>
      <w:r>
        <w:rPr>
          <w:rtl w:val="true"/>
        </w:rPr>
        <w:t>الروایات الدالة علی جواز النظر إلی وجه المرأة ویدیها إذا أراد الزواج بها</w:t>
      </w:r>
      <w:bookmarkEnd w:id="696"/>
    </w:p>
    <w:p>
      <w:pPr>
        <w:pStyle w:val="Heading6"/>
        <w:numPr>
          <w:ilvl w:val="5"/>
          <w:numId w:val="1"/>
        </w:numPr>
        <w:rPr/>
      </w:pPr>
      <w:bookmarkStart w:id="697" w:name="__RefHeading___Toc2133744_237004111"/>
      <w:bookmarkStart w:id="698" w:name="_Toc272"/>
      <w:bookmarkEnd w:id="697"/>
      <w:r>
        <w:rPr>
          <w:rtl w:val="true"/>
        </w:rPr>
        <w:t>اشارة</w:t>
      </w:r>
      <w:bookmarkEnd w:id="698"/>
    </w:p>
    <w:p>
      <w:pPr>
        <w:pStyle w:val="BookText"/>
        <w:rPr/>
      </w:pPr>
      <w:r>
        <w:rPr>
          <w:rFonts w:ascii="IRNazanin" w:hAnsi="IRNazanin" w:eastAsia="IRNazanin"/>
          <w:color w:val="111111"/>
          <w:sz w:val="28"/>
          <w:sz w:val="28"/>
          <w:szCs w:val="28"/>
          <w:rtl w:val="true"/>
          <w:lang w:bidi="fa-IR"/>
        </w:rPr>
        <w:t>وممن اعتمد علی هذا الاستدلال السید الخوئی،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جواز النظر إلی وجه المرأة ویدیها إذا أراد تزویجها علی نحو القضیة الشرطیة، فإن مفهومها عدم الجواز إذا لم یکن مریداً تزویجها</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9" w:name="__RefHeading___Toc2133746_237004111"/>
      <w:bookmarkStart w:id="700" w:name="_Toc273"/>
      <w:bookmarkEnd w:id="699"/>
      <w:r>
        <w:rPr>
          <w:rtl w:val="true"/>
        </w:rPr>
        <w:t>الإشکالات علی الدلیل السابع</w:t>
      </w:r>
      <w:bookmarkEnd w:id="700"/>
    </w:p>
    <w:p>
      <w:pPr>
        <w:pStyle w:val="Heading6"/>
        <w:numPr>
          <w:ilvl w:val="5"/>
          <w:numId w:val="1"/>
        </w:numPr>
        <w:rPr/>
      </w:pPr>
      <w:bookmarkStart w:id="701" w:name="__RefHeading___Toc2133748_237004111"/>
      <w:bookmarkStart w:id="702" w:name="_Toc274"/>
      <w:bookmarkEnd w:id="701"/>
      <w:r>
        <w:rPr>
          <w:rtl w:val="true"/>
        </w:rPr>
        <w:t>اشارة</w:t>
      </w:r>
      <w:bookmarkEnd w:id="702"/>
    </w:p>
    <w:p>
      <w:pPr>
        <w:pStyle w:val="BookText"/>
        <w:rPr/>
      </w:pPr>
      <w:r>
        <w:rPr>
          <w:rFonts w:ascii="IRNazanin" w:hAnsi="IRNazanin" w:eastAsia="IRNazanin"/>
          <w:color w:val="111111"/>
          <w:sz w:val="28"/>
          <w:sz w:val="28"/>
          <w:szCs w:val="28"/>
          <w:rtl w:val="true"/>
          <w:lang w:bidi="fa-IR"/>
        </w:rPr>
        <w:t>ویرد علی الاستدلال بها أمور</w:t>
      </w:r>
      <w:r>
        <w:rPr>
          <w:rFonts w:eastAsia="IRNazanin" w:cs="IRNazanin"/>
          <w:color w:val="111111"/>
          <w:sz w:val="28"/>
          <w:szCs w:val="28"/>
          <w:rtl w:val="true"/>
          <w:lang w:bidi="fa-IR"/>
        </w:rPr>
        <w:t>:</w:t>
      </w:r>
    </w:p>
    <w:p>
      <w:pPr>
        <w:pStyle w:val="Heading6"/>
        <w:numPr>
          <w:ilvl w:val="5"/>
          <w:numId w:val="1"/>
        </w:numPr>
        <w:rPr/>
      </w:pPr>
      <w:bookmarkStart w:id="703" w:name="__RefHeading___Toc2133750_237004111"/>
      <w:bookmarkStart w:id="704" w:name="_Toc275"/>
      <w:bookmarkEnd w:id="703"/>
      <w:r>
        <w:rPr>
          <w:rtl w:val="true"/>
        </w:rPr>
        <w:t>الإشکال الأول</w:t>
      </w:r>
      <w:r>
        <w:rPr>
          <w:rtl w:val="true"/>
        </w:rPr>
        <w:t xml:space="preserve">: </w:t>
      </w:r>
      <w:r>
        <w:rPr>
          <w:rtl w:val="true"/>
        </w:rPr>
        <w:t>الروایات أجنبیة عما نحن فیه</w:t>
      </w:r>
      <w:bookmarkEnd w:id="70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الروایات أجنبیة عما نحن فیه،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إنها أجنبیة عما نحن فیه؛ لأنّ النظر المحکوم فیها بالجواز هو النظر عن شهوة والتذاذ علی ما یقتضیه طبع النظر بقصد الزواج، فإنّ الناظر حینئذٍ یفکر فی أمور؛ لأنه یشتریها بأغلی الثمن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عبر بذلک فی بعض </w:t>
      </w:r>
      <w:bookmarkStart w:id="705" w:name="pg6289_42072"/>
    </w:p>
    <w:p>
      <w:pPr>
        <w:pStyle w:val="BookText"/>
        <w:rPr/>
      </w:pPr>
      <w:bookmarkEnd w:id="705"/>
      <w:r>
        <w:rPr>
          <w:rFonts w:ascii="IRNazanin" w:hAnsi="IRNazanin" w:eastAsia="IRNazanin"/>
          <w:color w:val="111111"/>
          <w:sz w:val="28"/>
          <w:sz w:val="28"/>
          <w:szCs w:val="28"/>
          <w:rtl w:val="true"/>
          <w:lang w:bidi="fa-IR"/>
        </w:rPr>
        <w:t xml:space="preserve">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فیتأمل فی محاسنها وجمالها نظر شهوة وتهییج کی تحصل له الرغبة فی التزویج، فمفهومها المنع عن مثل هذا النظر لو لم یکن لهذه الغایة، وأین ذلک من النظر الساذج العاری عن الشهوة والریبة الذی هو محل الکلام؟ ویؤکد ما ذکرناه ویؤیده روایة الحسن بن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الرجل یرید أن یتزوج المرأة یتأملها وینظر إلی خلفها</w:t>
      </w:r>
      <w:r>
        <w:rPr>
          <w:rFonts w:eastAsia="IRNazanin" w:cs="IRNazanin"/>
          <w:color w:val="111111"/>
          <w:sz w:val="28"/>
          <w:szCs w:val="28"/>
          <w:rtl w:val="true"/>
          <w:lang w:bidi="fa-IR"/>
        </w:rPr>
        <w:t>(</w:t>
      </w: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وجهها؟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أن ینظر الرجل إلی المرأة إذا أراد أن یتزوجها، ینظر إلی خلفها وإلی وجهها، فإنّ التعبیر بالتأمل غیر المنفک عن التلذذ کالصریح فیما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یخلو سند الروایة عن الضعف؛ ولذا ذکرناها بعنوان التأیید؛ لمکان الحسن بن السری، فإنه لم تثبت وثاقته</w:t>
      </w:r>
      <w:r>
        <w:rPr>
          <w:rFonts w:eastAsia="IRNazanin" w:cs="IRNazanin"/>
          <w:color w:val="111111"/>
          <w:sz w:val="28"/>
          <w:szCs w:val="28"/>
          <w:rtl w:val="true"/>
          <w:lang w:bidi="fa-IR"/>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تقیید بلا دلیل، وغلبة التلذذ خارجاً لا تنهض لصرف المطلق عن إطلاقه؛ ولذا قال بنفسه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 النظر فی هذه الروایات علی المقترن بالتلذذ، فلا تدل بمفهومها علی عدم جواز النظر المجرد إذا لم یکن قاصداً تزویجها، بعید جداً ولا موجب له</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6" w:name="__RefHeading___Toc2133752_237004111"/>
      <w:bookmarkStart w:id="707" w:name="_Toc276"/>
      <w:bookmarkEnd w:id="706"/>
      <w:r>
        <w:rPr>
          <w:rtl w:val="true"/>
        </w:rPr>
        <w:t>الإشکال الثانی</w:t>
      </w:r>
      <w:r>
        <w:rPr>
          <w:rtl w:val="true"/>
        </w:rPr>
        <w:t xml:space="preserve">: </w:t>
      </w:r>
      <w:r>
        <w:rPr>
          <w:rtl w:val="true"/>
        </w:rPr>
        <w:t>مفهوم الروایات عدم جواز النظر عند عدم إرادة التزویج</w:t>
      </w:r>
      <w:bookmarkEnd w:id="70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بعض هذه الروایات یدل علی جواز النظر إلی جمیع جسد المرأة إذا أراد أن یتزوجها، ومفهوم ذلک عدم جواز النظر إلی جمیع جسدها عند </w:t>
      </w:r>
      <w:bookmarkStart w:id="708" w:name="pg6289_42073"/>
    </w:p>
    <w:p>
      <w:pPr>
        <w:pStyle w:val="BookText"/>
        <w:rPr/>
      </w:pPr>
      <w:bookmarkEnd w:id="708"/>
      <w:r>
        <w:rPr>
          <w:rFonts w:ascii="IRNazanin" w:hAnsi="IRNazanin" w:eastAsia="IRNazanin"/>
          <w:color w:val="111111"/>
          <w:sz w:val="28"/>
          <w:sz w:val="28"/>
          <w:szCs w:val="28"/>
          <w:rtl w:val="true"/>
          <w:lang w:bidi="fa-IR"/>
        </w:rPr>
        <w:t>انتفاء الشرط؛ وذلک أجنبی عن محلّ الکلام؛ لأنّ الکلام فی النظر إلی خصوص الوجه والکفین لا جمیع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 الرجل یرید أن یتزوج المرأة؟ أینظر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یشتریها بأغلی الثمن</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ومفادها جواز النظر إلی جمیع جسدها، ومفهومه عدم جواز النظر إلی جمیع جسدها عند انتفاء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وبعضها یدل علی جواز النظر إلی المجموع المرکب، ومفهومه عدم جواز النظر إلی المجموع المرکب عند انتفاء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صحیحة هشام بن سالم</w:t>
      </w:r>
      <w:r>
        <w:rPr>
          <w:rFonts w:eastAsia="IRNazanin" w:cs="IRNazanin"/>
          <w:color w:val="111111"/>
          <w:sz w:val="28"/>
          <w:szCs w:val="28"/>
          <w:rtl w:val="true"/>
          <w:lang w:bidi="fa-IR"/>
        </w:rPr>
        <w:t>(</w:t>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ینظر إلی وجهها ومعاصمها</w:t>
      </w:r>
      <w:r>
        <w:rPr>
          <w:rFonts w:eastAsia="IRNazanin" w:cs="IRNazanin"/>
          <w:color w:val="111111"/>
          <w:sz w:val="28"/>
          <w:szCs w:val="28"/>
          <w:rtl w:val="true"/>
          <w:lang w:bidi="fa-IR"/>
        </w:rPr>
        <w:t>(</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 أن یتزوجها</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ومفادها جواز النظر إلی المجموع من حیث المجموع، ومفهومها عدم جواز المجموع من حیث المجموع، ولا ظهور له فی الانحلالیة</w:t>
      </w:r>
      <w:r>
        <w:rPr>
          <w:rFonts w:eastAsia="IRNazanin" w:cs="IRNazanin"/>
          <w:color w:val="111111"/>
          <w:sz w:val="28"/>
          <w:szCs w:val="28"/>
          <w:rtl w:val="true"/>
          <w:lang w:bidi="fa-IR"/>
        </w:rPr>
        <w:t>.</w:t>
      </w:r>
    </w:p>
    <w:p>
      <w:pPr>
        <w:pStyle w:val="Heading6"/>
        <w:numPr>
          <w:ilvl w:val="5"/>
          <w:numId w:val="1"/>
        </w:numPr>
        <w:rPr/>
      </w:pPr>
      <w:bookmarkStart w:id="709" w:name="__RefHeading___Toc2133754_237004111"/>
      <w:bookmarkStart w:id="710" w:name="_Toc277"/>
      <w:bookmarkEnd w:id="709"/>
      <w:r>
        <w:rPr>
          <w:rtl w:val="true"/>
        </w:rPr>
        <w:t>الإشکال الثالث</w:t>
      </w:r>
      <w:r>
        <w:rPr>
          <w:rtl w:val="true"/>
        </w:rPr>
        <w:t xml:space="preserve">: </w:t>
      </w:r>
      <w:r>
        <w:rPr>
          <w:rtl w:val="true"/>
        </w:rPr>
        <w:t>حمل الروایات المانعة علی الکراهة</w:t>
      </w:r>
      <w:bookmarkEnd w:id="710"/>
    </w:p>
    <w:p>
      <w:pPr>
        <w:pStyle w:val="BookText"/>
        <w:rPr/>
      </w:pPr>
      <w:r>
        <w:rPr>
          <w:rFonts w:ascii="IRNazanin" w:hAnsi="IRNazanin" w:eastAsia="IRNazanin"/>
          <w:color w:val="111111"/>
          <w:sz w:val="28"/>
          <w:sz w:val="28"/>
          <w:szCs w:val="28"/>
          <w:rtl w:val="true"/>
          <w:lang w:bidi="fa-IR"/>
        </w:rPr>
        <w:t>سلمنا دلالة النصوص علی المنع، لکن مقتضی الجمع الدلالی بین النصوص حمل المانعة علی الکراهة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مضی فی أدلة القول بالجواز جواز النظر إلی الوجه والکفین</w:t>
      </w:r>
      <w:r>
        <w:rPr>
          <w:rFonts w:eastAsia="IRNazanin" w:cs="IRNazanin"/>
          <w:color w:val="111111"/>
          <w:sz w:val="28"/>
          <w:szCs w:val="28"/>
          <w:rtl w:val="true"/>
          <w:lang w:bidi="fa-IR"/>
        </w:rPr>
        <w:t xml:space="preserve">. </w:t>
      </w:r>
      <w:bookmarkStart w:id="711" w:name="pg6289_42074"/>
    </w:p>
    <w:p>
      <w:pPr>
        <w:pStyle w:val="Heading6"/>
        <w:numPr>
          <w:ilvl w:val="5"/>
          <w:numId w:val="1"/>
        </w:numPr>
        <w:rPr/>
      </w:pPr>
      <w:bookmarkStart w:id="712" w:name="__RefHeading___Toc2133756_237004111"/>
      <w:bookmarkStart w:id="713" w:name="_Toc278"/>
      <w:bookmarkEnd w:id="711"/>
      <w:bookmarkEnd w:id="712"/>
      <w:r>
        <w:rPr>
          <w:rtl w:val="true"/>
        </w:rPr>
        <w:t>الإشکال الرابع</w:t>
      </w:r>
      <w:r>
        <w:rPr>
          <w:rtl w:val="true"/>
        </w:rPr>
        <w:t xml:space="preserve">: </w:t>
      </w:r>
      <w:r>
        <w:rPr>
          <w:rtl w:val="true"/>
        </w:rPr>
        <w:t>تقدیم روایات جواز النظر</w:t>
      </w:r>
      <w:bookmarkEnd w:id="713"/>
    </w:p>
    <w:p>
      <w:pPr>
        <w:pStyle w:val="BookText"/>
        <w:rPr/>
      </w:pPr>
      <w:r>
        <w:rPr>
          <w:rFonts w:ascii="IRNazanin" w:hAnsi="IRNazanin" w:eastAsia="IRNazanin"/>
          <w:color w:val="111111"/>
          <w:sz w:val="28"/>
          <w:sz w:val="28"/>
          <w:szCs w:val="28"/>
          <w:rtl w:val="true"/>
          <w:lang w:bidi="fa-IR"/>
        </w:rPr>
        <w:t>لو فرض التعارض وعدم وجود الجمع الدلالی فروایات الجواز مقدمة؛ لموافقة الکتاب العزیز، حیث استثنی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ظَهَرَ مِنْها</w:t>
      </w:r>
      <w:r>
        <w:rPr>
          <w:rFonts w:eastAsia="IRNazanin" w:cs="IRNazanin"/>
          <w:color w:val="111111"/>
          <w:sz w:val="28"/>
          <w:szCs w:val="28"/>
          <w:rtl w:val="true"/>
          <w:lang w:bidi="fa-IR"/>
        </w:rPr>
        <w:t>}.</w:t>
      </w:r>
    </w:p>
    <w:p>
      <w:pPr>
        <w:pStyle w:val="Heading6"/>
        <w:numPr>
          <w:ilvl w:val="5"/>
          <w:numId w:val="1"/>
        </w:numPr>
        <w:rPr/>
      </w:pPr>
      <w:bookmarkStart w:id="714" w:name="__RefHeading___Toc2133758_237004111"/>
      <w:bookmarkStart w:id="715" w:name="_Toc279"/>
      <w:bookmarkEnd w:id="714"/>
      <w:r>
        <w:rPr>
          <w:rtl w:val="true"/>
        </w:rPr>
        <w:t>الإشکال الخامس</w:t>
      </w:r>
      <w:r>
        <w:rPr>
          <w:rtl w:val="true"/>
        </w:rPr>
        <w:t xml:space="preserve">: </w:t>
      </w:r>
      <w:r>
        <w:rPr>
          <w:rtl w:val="true"/>
        </w:rPr>
        <w:t>ترجیح روایات الجواز لمخالفتها للعامة</w:t>
      </w:r>
      <w:bookmarkEnd w:id="715"/>
    </w:p>
    <w:p>
      <w:pPr>
        <w:pStyle w:val="BookText"/>
        <w:rPr/>
      </w:pPr>
      <w:r>
        <w:rPr>
          <w:rFonts w:ascii="IRNazanin" w:hAnsi="IRNazanin" w:eastAsia="IRNazanin"/>
          <w:color w:val="111111"/>
          <w:sz w:val="28"/>
          <w:sz w:val="28"/>
          <w:szCs w:val="28"/>
          <w:rtl w:val="true"/>
          <w:lang w:bidi="fa-IR"/>
        </w:rPr>
        <w:t>مع فرض عدم دلالة الکتاب علی جواز النظر، فربما ترجح روایات الجواز بمخالفة العامة، فإنه یظهر من الشیخ فی الخلاف</w:t>
      </w:r>
      <w:r>
        <w:rPr>
          <w:rFonts w:eastAsia="IRNazanin" w:cs="IRNazanin"/>
          <w:color w:val="111111"/>
          <w:sz w:val="28"/>
          <w:szCs w:val="28"/>
          <w:rtl w:val="true"/>
          <w:lang w:bidi="fa-IR"/>
        </w:rPr>
        <w:t>(</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 عنه أنّ العامة قائلون بعدم جواز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أنّ النسبة غیر ثابتة، بل المسألة خلافیة بینهم، فراجع المغنی لابن قدامه</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أنه لا بد من ملاحظة الفقه الحاکم فی زمان صدور الروایات</w:t>
      </w:r>
      <w:r>
        <w:rPr>
          <w:rFonts w:eastAsia="IRNazanin" w:cs="IRNazanin"/>
          <w:color w:val="111111"/>
          <w:sz w:val="28"/>
          <w:szCs w:val="28"/>
          <w:rtl w:val="true"/>
          <w:lang w:bidi="fa-IR"/>
        </w:rPr>
        <w:t>.</w:t>
      </w:r>
    </w:p>
    <w:p>
      <w:pPr>
        <w:pStyle w:val="Heading6"/>
        <w:numPr>
          <w:ilvl w:val="5"/>
          <w:numId w:val="1"/>
        </w:numPr>
        <w:rPr/>
      </w:pPr>
      <w:bookmarkStart w:id="716" w:name="__RefHeading___Toc2133760_237004111"/>
      <w:bookmarkStart w:id="717" w:name="_Toc280"/>
      <w:bookmarkEnd w:id="716"/>
      <w:r>
        <w:rPr>
          <w:rtl w:val="true"/>
        </w:rPr>
        <w:t>الإشکال السادس</w:t>
      </w:r>
      <w:r>
        <w:rPr>
          <w:rtl w:val="true"/>
        </w:rPr>
        <w:t xml:space="preserve">: </w:t>
      </w:r>
      <w:r>
        <w:rPr>
          <w:rtl w:val="true"/>
        </w:rPr>
        <w:t>تقدیم روایات الجواز للأحدثیة</w:t>
      </w:r>
      <w:bookmarkEnd w:id="717"/>
    </w:p>
    <w:p>
      <w:pPr>
        <w:pStyle w:val="BookText"/>
        <w:rPr/>
      </w:pPr>
      <w:r>
        <w:rPr>
          <w:rFonts w:ascii="IRNazanin" w:hAnsi="IRNazanin" w:eastAsia="IRNazanin"/>
          <w:color w:val="111111"/>
          <w:sz w:val="28"/>
          <w:sz w:val="28"/>
          <w:szCs w:val="28"/>
          <w:rtl w:val="true"/>
          <w:lang w:bidi="fa-IR"/>
        </w:rPr>
        <w:t>مع الغض عما تقدّم، فالترجیح بالأحدثیة یقتضی تقدیم روایات الجواز؛ لأنّ صحیحة علی بن سوید</w:t>
      </w:r>
      <w:r>
        <w:rPr>
          <w:rFonts w:eastAsia="IRNazanin" w:cs="IRNazanin"/>
          <w:color w:val="111111"/>
          <w:sz w:val="28"/>
          <w:szCs w:val="28"/>
          <w:rtl w:val="true"/>
          <w:lang w:bidi="fa-IR"/>
        </w:rPr>
        <w:t>(</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مرویة عن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لکن فی دلالة الصحیحة علی الجواز إشکال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المبنی محل منع</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صحیحة الصفّار</w:t>
      </w:r>
      <w:r>
        <w:rPr>
          <w:rFonts w:eastAsia="Amiri" w:cs="Amiri" w:ascii="Amiri" w:hAnsi="Amiri"/>
          <w:color w:val="111111"/>
          <w:sz w:val="28"/>
          <w:szCs w:val="28"/>
          <w:rtl w:val="true"/>
          <w:lang w:bidi="ar-SA"/>
        </w:rPr>
        <w:t>(</w:t>
      </w: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المنع </w:t>
      </w:r>
      <w:bookmarkStart w:id="718" w:name="pg6289_42075"/>
    </w:p>
    <w:p>
      <w:pPr>
        <w:pStyle w:val="BookText"/>
        <w:rPr/>
      </w:pPr>
      <w:bookmarkEnd w:id="718"/>
      <w:r>
        <w:rPr>
          <w:rFonts w:ascii="IRNazanin" w:hAnsi="IRNazanin" w:eastAsia="IRNazanin"/>
          <w:color w:val="111111"/>
          <w:sz w:val="28"/>
          <w:sz w:val="28"/>
          <w:szCs w:val="28"/>
          <w:rtl w:val="true"/>
          <w:lang w:bidi="fa-IR"/>
        </w:rPr>
        <w:t>أحدث، وستأتی ضمن أدلة القول بالمنع</w:t>
      </w:r>
      <w:r>
        <w:rPr>
          <w:rFonts w:eastAsia="IRNazanin" w:cs="IRNazanin"/>
          <w:color w:val="111111"/>
          <w:sz w:val="28"/>
          <w:szCs w:val="28"/>
          <w:rtl w:val="true"/>
          <w:lang w:bidi="fa-IR"/>
        </w:rPr>
        <w:t>.</w:t>
      </w:r>
    </w:p>
    <w:p>
      <w:pPr>
        <w:pStyle w:val="Heading6"/>
        <w:numPr>
          <w:ilvl w:val="5"/>
          <w:numId w:val="1"/>
        </w:numPr>
        <w:rPr/>
      </w:pPr>
      <w:bookmarkStart w:id="719" w:name="__RefHeading___Toc2133762_237004111"/>
      <w:bookmarkStart w:id="720" w:name="_Toc281"/>
      <w:bookmarkEnd w:id="719"/>
      <w:r>
        <w:rPr>
          <w:rtl w:val="true"/>
        </w:rPr>
        <w:t>الإشکال السابع</w:t>
      </w:r>
      <w:r>
        <w:rPr>
          <w:rtl w:val="true"/>
        </w:rPr>
        <w:t xml:space="preserve">: </w:t>
      </w:r>
      <w:r>
        <w:rPr>
          <w:rtl w:val="true"/>
        </w:rPr>
        <w:t>عند التعارض نختار روایات الجواز</w:t>
      </w:r>
      <w:bookmarkEnd w:id="720"/>
    </w:p>
    <w:p>
      <w:pPr>
        <w:pStyle w:val="BookText"/>
        <w:rPr/>
      </w:pPr>
      <w:r>
        <w:rPr>
          <w:rFonts w:ascii="IRNazanin" w:hAnsi="IRNazanin" w:eastAsia="IRNazanin"/>
          <w:color w:val="111111"/>
          <w:sz w:val="28"/>
          <w:sz w:val="28"/>
          <w:szCs w:val="28"/>
          <w:rtl w:val="true"/>
          <w:lang w:bidi="fa-IR"/>
        </w:rPr>
        <w:t>لو فرض التعارض وعدم وجود مرجح، وقلنا بالتخییر فی الخبرین المتعارضین فللفقیه أن یختار روایات الجواز</w:t>
      </w:r>
      <w:r>
        <w:rPr>
          <w:rFonts w:eastAsia="IRNazanin" w:cs="IRNazanin"/>
          <w:color w:val="111111"/>
          <w:sz w:val="28"/>
          <w:szCs w:val="28"/>
          <w:rtl w:val="true"/>
          <w:lang w:bidi="fa-IR"/>
        </w:rPr>
        <w:t>.</w:t>
      </w:r>
    </w:p>
    <w:p>
      <w:pPr>
        <w:pStyle w:val="Heading6"/>
        <w:numPr>
          <w:ilvl w:val="5"/>
          <w:numId w:val="1"/>
        </w:numPr>
        <w:rPr/>
      </w:pPr>
      <w:bookmarkStart w:id="721" w:name="__RefHeading___Toc2133764_237004111"/>
      <w:bookmarkStart w:id="722" w:name="_Toc282"/>
      <w:bookmarkEnd w:id="721"/>
      <w:r>
        <w:rPr>
          <w:rtl w:val="true"/>
        </w:rPr>
        <w:t>الإشکال الثامن</w:t>
      </w:r>
      <w:r>
        <w:rPr>
          <w:rtl w:val="true"/>
        </w:rPr>
        <w:t xml:space="preserve">: </w:t>
      </w:r>
      <w:r>
        <w:rPr>
          <w:rtl w:val="true"/>
        </w:rPr>
        <w:t>مقتضی الأصل الأولی هو البراءة</w:t>
      </w:r>
      <w:bookmarkEnd w:id="722"/>
    </w:p>
    <w:p>
      <w:pPr>
        <w:pStyle w:val="BookText"/>
        <w:rPr/>
      </w:pPr>
      <w:r>
        <w:rPr>
          <w:rFonts w:ascii="IRNazanin" w:hAnsi="IRNazanin" w:eastAsia="IRNazanin"/>
          <w:color w:val="111111"/>
          <w:sz w:val="28"/>
          <w:sz w:val="28"/>
          <w:szCs w:val="28"/>
          <w:rtl w:val="true"/>
          <w:lang w:bidi="fa-IR"/>
        </w:rPr>
        <w:t>مع فرض المصیر إلی أنّ الحکم فی المتعارضین التساقط تتساقط الأدلة، ومقتضی الأصل الأولی هو البراءة</w:t>
      </w:r>
      <w:r>
        <w:rPr>
          <w:rFonts w:eastAsia="IRNazanin" w:cs="IRNazanin"/>
          <w:color w:val="111111"/>
          <w:sz w:val="28"/>
          <w:szCs w:val="28"/>
          <w:rtl w:val="true"/>
          <w:lang w:bidi="fa-IR"/>
        </w:rPr>
        <w:t>.</w:t>
      </w:r>
    </w:p>
    <w:p>
      <w:pPr>
        <w:pStyle w:val="Heading6"/>
        <w:numPr>
          <w:ilvl w:val="5"/>
          <w:numId w:val="1"/>
        </w:numPr>
        <w:rPr/>
      </w:pPr>
      <w:bookmarkStart w:id="723" w:name="__RefHeading___Toc2133766_237004111"/>
      <w:bookmarkStart w:id="724" w:name="_Toc283"/>
      <w:bookmarkEnd w:id="723"/>
      <w:r>
        <w:rPr>
          <w:rtl w:val="true"/>
        </w:rPr>
        <w:t>الدلیل الثامن</w:t>
      </w:r>
      <w:r>
        <w:rPr>
          <w:rtl w:val="true"/>
        </w:rPr>
        <w:t xml:space="preserve">: </w:t>
      </w:r>
      <w:r>
        <w:rPr>
          <w:rtl w:val="true"/>
        </w:rPr>
        <w:t>الأخبار الدالة علی جواز النظر إلی وجه الذمیة ویدیها</w:t>
      </w:r>
      <w:bookmarkEnd w:id="724"/>
    </w:p>
    <w:p>
      <w:pPr>
        <w:pStyle w:val="BookText"/>
        <w:rPr/>
      </w:pPr>
      <w:r>
        <w:rPr>
          <w:rFonts w:ascii="IRNazanin" w:hAnsi="IRNazanin" w:eastAsia="IRNazanin"/>
          <w:color w:val="111111"/>
          <w:sz w:val="28"/>
          <w:sz w:val="28"/>
          <w:szCs w:val="28"/>
          <w:rtl w:val="true"/>
          <w:lang w:bidi="fa-IR"/>
        </w:rPr>
        <w:t xml:space="preserve">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وأوضح من هذه الأخبار ما ورد فی جواز النظر إلی وجه الذمیة ویدیها، معللاً بأنهن لا حرمة لهنّ، فإنه کالصریح فی أن منشأ الجواز أنما هو عدم وجود حرمة لأعراضهن، فیدل علی عدم الجواز إذا کانت المرأة مسلمة وذات حرمة</w:t>
      </w:r>
      <w:r>
        <w:rPr>
          <w:rFonts w:eastAsia="IRNazanin" w:cs="IRNazanin"/>
          <w:color w:val="111111"/>
          <w:sz w:val="28"/>
          <w:szCs w:val="28"/>
          <w:rtl w:val="true"/>
          <w:lang w:bidi="fa-IR"/>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علی ذلک یتوقف علی ملاحظة الروایات الواردة فی المقام،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عباد بن صهیب،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بالنظر إلی رؤوس أهل تهامة والأعراب وأهل السواد والعلوج؛ لأنهم إذا نهو لا ینتهون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الکافی</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الفقیه، فقد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بالنظر إلی شعور نساء أهل تهامة </w:t>
      </w:r>
    </w:p>
    <w:p>
      <w:pPr>
        <w:pStyle w:val="BookText"/>
        <w:rPr/>
      </w:pPr>
      <w:r>
        <w:rPr>
          <w:rFonts w:ascii="IRNazanin" w:hAnsi="IRNazanin" w:eastAsia="IRNazanin"/>
          <w:color w:val="111111"/>
          <w:sz w:val="28"/>
          <w:sz w:val="28"/>
          <w:szCs w:val="28"/>
          <w:rtl w:val="true"/>
          <w:lang w:bidi="fa-IR"/>
        </w:rPr>
        <w:t>والأعراب وأهل البوادی من أهل الذمة والعلوج؛ لأنهنّ إذا نهین لا ینتهین</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العلل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بالنظر إلی رؤوس أهل تهامة والأعراب وأهل السواد من أهل الذمة؛ لأنهن إذا نهین لا ینتهین</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ومفهومها عدم جواز النظر إلی رؤوس وشعور اللواتی إذا نهین ینتهین، ولیس هذا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یکون المراد من الرأس فهو شامل للوجه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نسلم حرمة النظر إلی الرأس ککل، دون خصوص الوجه، حیث یصح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غسل الرأس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یجب غسل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روایة السکونی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حرمة لنساء أهل الذمة أن ینظر إلی شعورهن وأیدیهن</w:t>
      </w:r>
      <w:r>
        <w:rPr>
          <w:rFonts w:eastAsia="IRNazanin" w:cs="IRNazanin"/>
          <w:color w:val="111111"/>
          <w:sz w:val="28"/>
          <w:szCs w:val="28"/>
          <w:rtl w:val="true"/>
          <w:lang w:bidi="fa-IR"/>
        </w:rPr>
        <w:t>»(</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اخترنا أنها معتبرة</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لیس فی الشعر والید، بل فی الوجه وخصوص الکفین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البختری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بالنظر إلی رؤوس نساء أهل الذمة</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علیه ما ورد علی سابقه، مع أنّ سند الروایة ضعیف بأبی البختری</w:t>
      </w:r>
      <w:r>
        <w:rPr>
          <w:rFonts w:eastAsia="IRNazanin" w:cs="IRNazanin"/>
          <w:color w:val="111111"/>
          <w:sz w:val="28"/>
          <w:szCs w:val="28"/>
          <w:rtl w:val="true"/>
          <w:lang w:bidi="fa-IR"/>
        </w:rPr>
        <w:t xml:space="preserve">. </w:t>
      </w:r>
      <w:bookmarkStart w:id="725" w:name="pg6289_42077"/>
    </w:p>
    <w:p>
      <w:pPr>
        <w:pStyle w:val="BookText"/>
        <w:rPr/>
      </w:pPr>
      <w:bookmarkEnd w:id="725"/>
      <w:r>
        <w:rPr>
          <w:rFonts w:ascii="IRNazanin" w:hAnsi="IRNazanin" w:eastAsia="IRNazanin"/>
          <w:color w:val="111111"/>
          <w:sz w:val="28"/>
          <w:sz w:val="28"/>
          <w:szCs w:val="28"/>
          <w:rtl w:val="true"/>
          <w:lang w:bidi="fa-IR"/>
        </w:rPr>
        <w:t>مع أنه لا مفهوم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الجعفریات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لیس لنساء أهل الذمة حرمة، لا بأس بالنظر إلیهن ما لم یتعمد</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لیس لنساء أهل الذمة حرمة، لا بأس بالنظر إلی وجوههن وشعورهن ونحورهن وبدنهن ما لم یتعمد ذلک</w:t>
      </w:r>
      <w:r>
        <w:rPr>
          <w:rFonts w:eastAsia="IRNazanin" w:cs="IRNazanin"/>
          <w:color w:val="111111"/>
          <w:sz w:val="28"/>
          <w:szCs w:val="28"/>
          <w:rtl w:val="true"/>
          <w:lang w:bidi="fa-IR"/>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مضافاً إلی الإشکال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جریان بعض الأجوبة المتقدمة فی الدلیل السابع فی المقام</w:t>
      </w:r>
      <w:r>
        <w:rPr>
          <w:rFonts w:eastAsia="IRNazanin" w:cs="IRNazanin"/>
          <w:color w:val="111111"/>
          <w:sz w:val="28"/>
          <w:szCs w:val="28"/>
          <w:rtl w:val="true"/>
          <w:lang w:bidi="fa-IR"/>
        </w:rPr>
        <w:t>.</w:t>
      </w:r>
    </w:p>
    <w:p>
      <w:pPr>
        <w:pStyle w:val="Heading6"/>
        <w:numPr>
          <w:ilvl w:val="5"/>
          <w:numId w:val="1"/>
        </w:numPr>
        <w:rPr/>
      </w:pPr>
      <w:bookmarkStart w:id="726" w:name="__RefHeading___Toc2133768_237004111"/>
      <w:bookmarkStart w:id="727" w:name="_Toc284"/>
      <w:bookmarkEnd w:id="726"/>
      <w:r>
        <w:rPr>
          <w:rtl w:val="true"/>
        </w:rPr>
        <w:t>الدلیل التاسع</w:t>
      </w:r>
      <w:r>
        <w:rPr>
          <w:rtl w:val="true"/>
        </w:rPr>
        <w:t xml:space="preserve">: </w:t>
      </w:r>
      <w:r>
        <w:rPr>
          <w:rtl w:val="true"/>
        </w:rPr>
        <w:t>صحیحة الصفار</w:t>
      </w:r>
      <w:bookmarkEnd w:id="727"/>
    </w:p>
    <w:p>
      <w:pPr>
        <w:pStyle w:val="BookText"/>
        <w:rPr/>
      </w:pPr>
      <w:r>
        <w:rPr>
          <w:rFonts w:ascii="IRNazanin" w:hAnsi="IRNazanin" w:eastAsia="IRNazanin"/>
          <w:color w:val="111111"/>
          <w:sz w:val="28"/>
          <w:sz w:val="28"/>
          <w:szCs w:val="28"/>
          <w:rtl w:val="true"/>
          <w:lang w:bidi="fa-IR"/>
        </w:rPr>
        <w:t>صحیحة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محمد بن الحسن الصفار</w:t>
      </w:r>
      <w:r>
        <w:rPr>
          <w:rFonts w:eastAsia="IRNazanin" w:cs="IRNazanin"/>
          <w:color w:val="111111"/>
          <w:sz w:val="28"/>
          <w:szCs w:val="28"/>
          <w:rtl w:val="true"/>
          <w:lang w:bidi="fa-IR"/>
        </w:rPr>
        <w:t>(</w:t>
      </w:r>
      <w:r>
        <w:rPr>
          <w:rStyle w:val="FootnoteAnchor"/>
          <w:rtl w:val="true"/>
        </w:rPr>
        <w:footnoteReference w:id="8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أراد أن یشهد علی امرأة لیس لها بمحرم، هل یجوز له أن یشهد علیها من وراء الستر؟ ویسمع کلامها إذا شهد رجلان عدلان أنها فلانة بنت فلان التی تشهدک وهذا کلامها أولا تجوز له الشهادة علیها حتی تبرز ویثبتها بعینها؟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تتنقب وتظهر للشهود إن شاء الله</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ورواه الصدوق بإسناده عن محمد بن الحسن الصفار أنه کتب </w:t>
      </w:r>
    </w:p>
    <w:p>
      <w:pPr>
        <w:pStyle w:val="BookText"/>
        <w:rPr/>
      </w:pPr>
      <w:r>
        <w:rPr>
          <w:rFonts w:ascii="IRNazanin" w:hAnsi="IRNazanin" w:eastAsia="IRNazanin"/>
          <w:color w:val="111111"/>
          <w:sz w:val="28"/>
          <w:sz w:val="28"/>
          <w:szCs w:val="28"/>
          <w:rtl w:val="true"/>
          <w:lang w:bidi="fa-IR"/>
        </w:rPr>
        <w:t xml:space="preserve">إلی أبی محمد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التوقیع عندی 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بالتنقب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عبارة عن لبس ما یستر مقداراً من الأنف فما دونه عند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عدم جواز النظر إلی وجه المرأة فی حدّ ذاته، وإلا فلم یکن وجه لأمرها بالتنقب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الأمر بالتنقب وإن دل علی لزوم ستر الأنف فما دون مطلقاً، إلا أنه لا یدل علی جواز کشف ما فوق الأنف مطلقاً، بل یختص ذلک بباب الشهادات، حیث تقتضی الضرورة التعرف علی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هذا الاستدلال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مبانی المنهاج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الروایة تدل علی وجوب الستر، ولا تدل علی حرمة النظر</w:t>
      </w:r>
      <w:r>
        <w:rPr>
          <w:rFonts w:eastAsia="IRNazanin" w:cs="IRNazanin"/>
          <w:color w:val="111111"/>
          <w:sz w:val="28"/>
          <w:szCs w:val="28"/>
          <w:rtl w:val="true"/>
          <w:lang w:bidi="fa-IR"/>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وجود الملازمة العرفیة بینهما، کما لو قال المولی 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هذه الورقة، فإنّ العرف یقضی بحرمة النظر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یدعی عدم الملازمة بین جواز الکشف وجواز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مرّ الإشکال فیه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فقه الصادق،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أنه یعارضه صحیح علی بن یقطین عن أبی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بالشهادة علی إقرار المرأة ولیست بمسفرة إذا عرفت بعینها أو حضر من یعرفها، فأما إذا کانت لا </w:t>
      </w:r>
    </w:p>
    <w:p>
      <w:pPr>
        <w:pStyle w:val="BookText"/>
        <w:rPr/>
      </w:pPr>
      <w:r>
        <w:rPr>
          <w:rFonts w:ascii="IRNazanin" w:hAnsi="IRNazanin" w:eastAsia="IRNazanin"/>
          <w:color w:val="111111"/>
          <w:sz w:val="28"/>
          <w:sz w:val="28"/>
          <w:szCs w:val="28"/>
          <w:rtl w:val="true"/>
          <w:lang w:bidi="fa-IR"/>
        </w:rPr>
        <w:t>تعرف بعینها ولا یحضر من یعرفها فلا یجوز للشهود أن یشهدوا علیها وعلی إقرارها دون أن تسفر وینظرون إلیها</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یظهر وجه المعارضة، أمّا مع الجملة الأولی فلإمکان الحمل علی الجواز أو الأفضلیة، وأمّا مع الجملة الثانیة فلإمکان التخصیص مع اختلاف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المستمسک،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الأمر بالتنقب فی المکاتبة فلا یظهر أنه للوجوب التعبدی، ومن الجائز أن یکون للمحافظة علی خفارة المرأة ومنع ما یوجب الاستحیاء</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ومکاتبة الصفار غیر ظاهرة فی وجوب التستر شرعاً، فلعله لدفع الحزازة العرفیة</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وأجاب السید الخوئی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وحمل الأمر علی استحیاء المرأة 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الحکم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بالمرة، فإنّ ظاهر الأمر هو بیان التکلیف والوظیفة الشرعیة، فحمله علی غیره یحتاج إلی القرینة والدلیل</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المستمسک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تدل علی جواز النظر إلی بعض الوجه</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تدل علی ستر بعض الوجه لا کله</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یجاب عن ذلک بأنّ کشف البعض والنظر إلیه لمکان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ضرورة لکشف جمیع القسم الأعلی الشامل للجبهة والحاجبین؛ لإمکان المعرفة عن طریق العینین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الملاک فی الضرورة العرف لا الدقة العقلیة، مع إمکان توقف المعرفة علی کشف کل القسم الأعلی،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 شهادة الشاهدین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تنتفی الضرورة، ویدل علی ذلک صحیحة علی بن یقطین الآنفة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فظاهر الروایة جواز کشف البعض دون البعض، فلا تنهض دلیلاً للقول بالجواز ولا القول بالحرمة،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تسویغ کشف البعض ربما یکون لأهمیة باب الشهادات لا للضرورة، فمع وجود العلم التعبدی سوّغ الشارع تحصیل العلم الوجدانی لمکان الأهمیة المزبورة، وهذا التسویغ الجزئی کاشف عن حرمة الکشف فی نفسه، فیتم الاستدلال،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أجاز المولی بالنسبة إلی البعض فهو دال عرفاً علی حرمة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ینفع لا لهذا القول ولا لذاک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الشارع سوّغ طریقاً جدیداً بالإضافة إلی الشاهدین، وهو الرؤیة؛ وذلک لأهمیة باب الشهادات، فبالإضافة إلی العلم التعبدی هنالک </w:t>
      </w:r>
    </w:p>
    <w:p>
      <w:pPr>
        <w:pStyle w:val="BookText"/>
        <w:rPr/>
      </w:pPr>
      <w:r>
        <w:rPr>
          <w:rFonts w:ascii="IRNazanin" w:hAnsi="IRNazanin" w:eastAsia="IRNazanin"/>
          <w:color w:val="111111"/>
          <w:sz w:val="28"/>
          <w:sz w:val="28"/>
          <w:szCs w:val="28"/>
          <w:rtl w:val="true"/>
          <w:lang w:bidi="fa-IR"/>
        </w:rPr>
        <w:t>طریق آخر، وهو العلم الوجدانی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التعبدی کافٍ، فلا ضرورة للطریق الثانی،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تحققت شهادة الشاهدین فلا ضرورة لرؤیتها، فلماذا تکشف عن بعض وجهها إذا کان حراماً؟</w:t>
      </w:r>
    </w:p>
    <w:p>
      <w:pPr>
        <w:pStyle w:val="BookText"/>
        <w:rPr/>
      </w:pPr>
      <w:r>
        <w:rPr>
          <w:rFonts w:ascii="IRNazanin" w:hAnsi="IRNazanin" w:eastAsia="IRNazanin"/>
          <w:color w:val="111111"/>
          <w:sz w:val="28"/>
          <w:sz w:val="28"/>
          <w:szCs w:val="28"/>
          <w:rtl w:val="true"/>
          <w:lang w:bidi="fa-IR"/>
        </w:rPr>
        <w:t>ثم إن سلوک الطریق الأول جائز، فیدل علی عدم الضرورة، فیندفع ما ذهب إلیه المستدل بأن کشف البعض والنظر إلیه لمکان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أراد الشارع فی أمثال المقام رفع الحجیة عن العلم التعبدی، و فتح طریق آخر، وهو العلم الوجدانی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معارض بصحیحة علی بن یقطین وفتاوی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الجمع بین الروایات أنّ البینة حجة، وأنه لا یحتاج إلی النظر فلا ضرورة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بعدم الضرورة، لکن الشارع أجاز کشف الوجه لأهمیة باب الشهادة، وإن کان هنالک طریق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جواب آخر غیر ما ذهب إلیه المستدل من الضرورة، فمن باب الأهمیة أجاز الشارع کشف بعض الوجه، وهو یدل علی حرمة کشفه فی غیر الباب</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الروایة جواز النقاب لا وجوبه؛ إذ إنّ المقام مقام توهم وجوب کشف کل الوجه وحرمة النقاب، فبیّن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کشف کل الوجه وجواز التنقب، ومن المقرر فی محله</w:t>
      </w:r>
      <w:r>
        <w:rPr>
          <w:rFonts w:eastAsia="IRNazanin" w:cs="IRNazanin"/>
          <w:color w:val="111111"/>
          <w:sz w:val="28"/>
          <w:szCs w:val="28"/>
          <w:rtl w:val="true"/>
          <w:lang w:bidi="fa-IR"/>
        </w:rPr>
        <w:t>(</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w:t>
      </w:r>
      <w:bookmarkStart w:id="728" w:name="pg6289_42082"/>
    </w:p>
    <w:p>
      <w:pPr>
        <w:pStyle w:val="BookText"/>
        <w:rPr/>
      </w:pPr>
      <w:bookmarkEnd w:id="728"/>
      <w:r>
        <w:rPr>
          <w:rFonts w:ascii="Amiri" w:hAnsi="Amiri" w:eastAsia="Amiri" w:cs="Amiri"/>
          <w:color w:val="111111"/>
          <w:sz w:val="28"/>
          <w:sz w:val="28"/>
          <w:szCs w:val="28"/>
          <w:rtl w:val="true"/>
          <w:lang w:bidi="ar-SA"/>
        </w:rPr>
        <w:t>فی مقام توهم الحظر یدل علی الجواز لا الوجوب،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فرض دلالتها فی حد ذاتها علی الوجوب، یمکن حملها علی الاستحباب جمعاً بینها وبین الأدلة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جریان بعض الأجوبة المتقدمة فی الدلیل السابع فی المقام أیضاً</w:t>
      </w:r>
      <w:r>
        <w:rPr>
          <w:rFonts w:eastAsia="IRNazanin" w:cs="IRNazanin"/>
          <w:color w:val="111111"/>
          <w:sz w:val="28"/>
          <w:szCs w:val="28"/>
          <w:rtl w:val="true"/>
          <w:lang w:bidi="fa-IR"/>
        </w:rPr>
        <w:t>.</w:t>
      </w:r>
    </w:p>
    <w:p>
      <w:pPr>
        <w:pStyle w:val="Heading6"/>
        <w:numPr>
          <w:ilvl w:val="5"/>
          <w:numId w:val="1"/>
        </w:numPr>
        <w:rPr/>
      </w:pPr>
      <w:bookmarkStart w:id="729" w:name="__RefHeading___Toc2133770_237004111"/>
      <w:bookmarkStart w:id="730" w:name="_Toc285"/>
      <w:bookmarkEnd w:id="729"/>
      <w:r>
        <w:rPr>
          <w:rtl w:val="true"/>
        </w:rPr>
        <w:t>الدلیل العاشر</w:t>
      </w:r>
      <w:r>
        <w:rPr>
          <w:rtl w:val="true"/>
        </w:rPr>
        <w:t xml:space="preserve">: </w:t>
      </w:r>
      <w:r>
        <w:rPr>
          <w:rtl w:val="true"/>
        </w:rPr>
        <w:t>صحیحة الفضیل</w:t>
      </w:r>
      <w:bookmarkEnd w:id="730"/>
    </w:p>
    <w:p>
      <w:pPr>
        <w:pStyle w:val="BookText"/>
        <w:rPr/>
      </w:pPr>
      <w:r>
        <w:rPr>
          <w:rFonts w:ascii="IRNazanin" w:hAnsi="IRNazanin" w:eastAsia="IRNazanin"/>
          <w:color w:val="111111"/>
          <w:sz w:val="28"/>
          <w:sz w:val="28"/>
          <w:szCs w:val="28"/>
          <w:rtl w:val="true"/>
          <w:lang w:bidi="fa-IR"/>
        </w:rPr>
        <w:t>التی تقدمت فی الدلیل السابع من أدلة القول بالجواز بالتقریب المتقدم</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الفضیل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الذراعین من المرأة، هما من الزینة التی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یُبْدِینَ زِینَتَهُنَّ إِلا 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 دون الخمار من الزینة وما دون السوارین</w:t>
      </w:r>
      <w:r>
        <w:rPr>
          <w:rFonts w:eastAsia="Amiri" w:cs="Amiri" w:ascii="Amiri" w:hAnsi="Amiri"/>
          <w:color w:val="111111"/>
          <w:sz w:val="28"/>
          <w:szCs w:val="28"/>
          <w:rtl w:val="true"/>
          <w:lang w:bidi="ar-SA"/>
        </w:rPr>
        <w:t>»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الکلام فی أنها لا تدل علی وجوب ستر الوجه، وتدل علی وجوب ستر الکفین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مرّ أنّ المطلق قابل للتقیید، ومع فرض إبائه التقیید یجمع بینه وبین الأدلة المجوزة بالحمل علی الکراهة، فراجع</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جریان بعض الأجوبة المتقدمة فی المقام أیضاً</w:t>
      </w:r>
      <w:r>
        <w:rPr>
          <w:rFonts w:eastAsia="IRNazanin" w:cs="IRNazanin"/>
          <w:color w:val="111111"/>
          <w:sz w:val="28"/>
          <w:szCs w:val="28"/>
          <w:rtl w:val="true"/>
          <w:lang w:bidi="fa-IR"/>
        </w:rPr>
        <w:t xml:space="preserve">. </w:t>
      </w:r>
      <w:bookmarkStart w:id="731" w:name="pg6289_42083"/>
    </w:p>
    <w:p>
      <w:pPr>
        <w:pStyle w:val="Heading6"/>
        <w:numPr>
          <w:ilvl w:val="5"/>
          <w:numId w:val="1"/>
        </w:numPr>
        <w:rPr/>
      </w:pPr>
      <w:bookmarkStart w:id="732" w:name="__RefHeading___Toc2133772_237004111"/>
      <w:bookmarkStart w:id="733" w:name="_Toc286"/>
      <w:bookmarkEnd w:id="731"/>
      <w:bookmarkEnd w:id="732"/>
      <w:r>
        <w:rPr>
          <w:rtl w:val="true"/>
        </w:rPr>
        <w:t>الدلیل الحادی عشر</w:t>
      </w:r>
      <w:r>
        <w:rPr>
          <w:rtl w:val="true"/>
        </w:rPr>
        <w:t xml:space="preserve">: </w:t>
      </w:r>
      <w:r>
        <w:rPr>
          <w:rtl w:val="true"/>
        </w:rPr>
        <w:t>الأخبار الدالة علی أن النظر إلی الأجنبیة سهم من سهام إبلیس</w:t>
      </w:r>
      <w:bookmarkEnd w:id="733"/>
    </w:p>
    <w:p>
      <w:pPr>
        <w:pStyle w:val="BookText"/>
        <w:rPr/>
      </w:pPr>
      <w:r>
        <w:rPr>
          <w:rFonts w:ascii="IRNazanin" w:hAnsi="IRNazanin" w:eastAsia="IRNazanin"/>
          <w:color w:val="111111"/>
          <w:sz w:val="28"/>
          <w:sz w:val="28"/>
          <w:szCs w:val="28"/>
          <w:rtl w:val="true"/>
          <w:lang w:bidi="fa-IR"/>
        </w:rPr>
        <w:t>الأخبار الدالة علی أنّ النظر إلی الأجنبیة سهم من سهام إبلیس، وأنه زنا العین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بن عقبة، عن أبیه،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النظرة سهم من سهام إبلیس مسموم، وکم من نظرة أورثت حسرة طویلة</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ابن أبی نجران، عمن ذکره،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ویزید بن حماد، وغیره، عن أبی جمیلة، عن أبی جعفر، وأبی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إلا وهو یصیب حظاً من الزنا، فزنا العینین النظر، وزنا الفم القبلة، وزنا الیدین اللمس، صدق الفرج ذلک أم کذب</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النظرة سهم من سهام إبلیس مسموم، من ترکها لله عزّ وجلّ لا لغیره أعقبه الله أمناً وإیماناً یجد طعمه</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النظرة بعد النظرة تزرع فی القلب الشهوة وکفی لصاحبها فتنة</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نظر إلی امرأة فرفع بصره إلی السماء، أو </w:t>
      </w:r>
    </w:p>
    <w:p>
      <w:pPr>
        <w:pStyle w:val="BookText"/>
        <w:rPr/>
      </w:pPr>
      <w:r>
        <w:rPr>
          <w:rFonts w:ascii="IRNazanin" w:hAnsi="IRNazanin" w:eastAsia="IRNazanin"/>
          <w:color w:val="111111"/>
          <w:sz w:val="28"/>
          <w:sz w:val="28"/>
          <w:szCs w:val="28"/>
          <w:rtl w:val="true"/>
          <w:lang w:bidi="fa-IR"/>
        </w:rPr>
        <w:t>غمض بصره لم یرتد إلیه بصره حتی یزوجه الله من الحور العین</w:t>
      </w:r>
      <w:r>
        <w:rPr>
          <w:rFonts w:eastAsia="IRNazanin" w:cs="IRNazanin"/>
          <w:color w:val="111111"/>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ملأ عینیه من امرأة حراماً، حشاهما الله یوم القیامة بمسامیر من نار، وحشاهما ناراً حتی یقضی بین الناس ثم یؤمر به إلی النار</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غیرها من الأخبار التی بعضها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الاستدلال بهذه الأخبار 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الفقه من عدم الدلالة علی التحریم</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وإن کان تاماً بالنسبة إلی بعضها، إلا أنّ الظاهر دلالة بعضها الآخر علی التحریم،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یترتب علیه فی الدین ما یترتب علی السم المسموم فی البدن، وکما یجب اجتناب ذلک یجب اجتناب هذا،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العبارة لا تدل علی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تشبیه، ولیس التشبیه من کل الجهات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واقعه تشبیه، لکن قد تحذف أداة التشبیه من الناحیة البلاغیة، فتکون استعارة، ویکون التشبیه من جهة أظهر الآثار، وهو القتل، فإن السهم قاتل، فکیف إذا کان مسموماً؟ ومعنی الروایة أنّ وزان النظرة فی الدین وزان السهم المسموم فی الدنیا، فکما یجب اجتناب السهم المسموم </w:t>
      </w:r>
    </w:p>
    <w:p>
      <w:pPr>
        <w:pStyle w:val="BookText"/>
        <w:rPr/>
      </w:pPr>
      <w:r>
        <w:rPr>
          <w:rFonts w:ascii="IRNazanin" w:hAnsi="IRNazanin" w:eastAsia="IRNazanin"/>
          <w:color w:val="111111"/>
          <w:sz w:val="28"/>
          <w:sz w:val="28"/>
          <w:szCs w:val="28"/>
          <w:rtl w:val="true"/>
          <w:lang w:bidi="fa-IR"/>
        </w:rPr>
        <w:t>یجب اجتناب النظرة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یفهم الفقهاء من نظائر العبارة الحکم الشرعی، وإنما الحکم الأخلاقی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أنّ الفقهاء لم یفهموا الحرمة من أمثال هذا التعبیر فی مواضع أخری، فقد خرج ذلک بفهمهم، لکن یبقی الظهور الأولی لهذه العبارة مستقراً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شرح العروة،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الروایات وإن کان بعضها صحیح السند، لکنّها قاصرة الدلالة علی ما نحن فیه، فانّ التعبیر بالسهم لا یناسب إلا النظر مع خوف الافتتان، الذی هو من الشیطان، کما أنّ تنزیله منزلة الزنا یقتضی وجود جامع بینهما وهو اللذة والشهوة، کی یصدق أنّ النظر زنا العین، فکأن الشارع وسّع فی مفهوم الزنا، فالحقیقی منه ما کان بتوسط الآلة المخصوصة، والتنزیلی ما کان بواسطة اللمس أو الفم أو العین، علی اختلاف مراتبها، التی یجمعها الالتذاذ والارتیاب، وهو خارج عن محلّ الکلام</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المناسبة موجودة ولو مع عدم خوف الافتتان؛ لکون کل منهما قاتلاً بنفسه، ولیس المعنی أنّ النظر یؤدی إلی ما هو القاتل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الافتتان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تشترط الحرمة بخوف الافتتان، کما أنّ السهم لا یؤدی إلی ما هو القاتل، بل هو قاتل بنفسه، والتنزیل لا یشترط فیه وجود جامع خارجی بین المنزَّل والمنزَّل علیه، بل تکفی إرادة التسویة بین الأمرین فی الحکم بادعاء </w:t>
      </w:r>
    </w:p>
    <w:p>
      <w:pPr>
        <w:pStyle w:val="BookText"/>
        <w:rPr/>
      </w:pPr>
      <w:r>
        <w:rPr>
          <w:rFonts w:ascii="IRNazanin" w:hAnsi="IRNazanin" w:eastAsia="IRNazanin"/>
          <w:color w:val="111111"/>
          <w:sz w:val="28"/>
          <w:sz w:val="28"/>
          <w:szCs w:val="28"/>
          <w:rtl w:val="true"/>
          <w:lang w:bidi="fa-IR"/>
        </w:rPr>
        <w:t>أنه فرد من أفراده، کما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فیه ما یشترط فیها، مع عدم لزوم وجود جامع خارجی بینهما،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أیضاً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أنه لم یتعرض لذکر متعلق النظر فی هذه الأخبار، والأخذ بالإطلاق أینما سری کما تری؛ للزومه تخصیص الأکثر المستهجن، کما مرّ، وحمله علی خصوص الأجنبیة بتمام بدنها لا شاهد علیه، ولعل المراد خصوص العورتین، وبالجملة فالمتعلق مجمل، ولا قرینة علی التعیین</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المنساق منها النظر إلی الأجنبیة، خاصة ما دلَّ علی تنزیل النظر منزلة الزنا، وفی بعضها تصریح بالنظر إلی المرأة، کما فی الحدیث التاسع</w:t>
      </w:r>
      <w:r>
        <w:rPr>
          <w:rFonts w:eastAsia="IRNazanin" w:cs="IRNazanin"/>
          <w:color w:val="111111"/>
          <w:sz w:val="28"/>
          <w:szCs w:val="28"/>
          <w:rtl w:val="true"/>
          <w:lang w:bidi="fa-IR"/>
        </w:rPr>
        <w:t>(</w:t>
      </w:r>
      <w:r>
        <w:rPr>
          <w:rStyle w:val="FootnoteAnchor"/>
          <w:rtl w:val="true"/>
        </w:rPr>
        <w:footnoteReference w:id="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السند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إطلاق لها فی حدّ نفسها؛ إذ لیست فی مقام البیان من هذه الجهة، کما لا تشمل النظر إلی ثوب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ناظرة إلی بیان ما یتترب علی النظر المحرم، ولیست متعرضة لما یحرم من النظر وما لا یحرم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 بأصالة الإطلاق، وقد مضی بعض ما ینفع فی المقام، فراجع</w:t>
      </w:r>
      <w:r>
        <w:rPr>
          <w:rFonts w:eastAsia="IRNazanin" w:cs="IRNazanin"/>
          <w:color w:val="111111"/>
          <w:sz w:val="28"/>
          <w:szCs w:val="28"/>
          <w:rtl w:val="true"/>
          <w:lang w:bidi="fa-IR"/>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bookmarkStart w:id="734" w:name="pg6289_42087"/>
    </w:p>
    <w:p>
      <w:pPr>
        <w:pStyle w:val="BookText"/>
        <w:rPr/>
      </w:pPr>
      <w:bookmarkEnd w:id="734"/>
      <w:r>
        <w:rPr>
          <w:rFonts w:ascii="IRNazanin" w:hAnsi="IRNazanin" w:eastAsia="IRNazanin"/>
          <w:color w:val="111111"/>
          <w:sz w:val="28"/>
          <w:sz w:val="28"/>
          <w:szCs w:val="28"/>
          <w:rtl w:val="true"/>
          <w:lang w:bidi="fa-IR"/>
        </w:rPr>
        <w:t>الإشکال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علی فرض إطلاقها مخصصة بالأدلة الدالة علی جواز النظر للوجه والکفین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جریان بعض الأجوبة المتقدمة فی المقام أیضاً</w:t>
      </w:r>
      <w:r>
        <w:rPr>
          <w:rFonts w:eastAsia="IRNazanin" w:cs="IRNazanin"/>
          <w:color w:val="111111"/>
          <w:sz w:val="28"/>
          <w:szCs w:val="28"/>
          <w:rtl w:val="true"/>
          <w:lang w:bidi="fa-IR"/>
        </w:rPr>
        <w:t>.</w:t>
      </w:r>
    </w:p>
    <w:p>
      <w:pPr>
        <w:pStyle w:val="Heading6"/>
        <w:numPr>
          <w:ilvl w:val="5"/>
          <w:numId w:val="1"/>
        </w:numPr>
        <w:rPr/>
      </w:pPr>
      <w:bookmarkStart w:id="735" w:name="__RefHeading___Toc2133774_237004111"/>
      <w:bookmarkStart w:id="736" w:name="_Toc287"/>
      <w:bookmarkEnd w:id="735"/>
      <w:r>
        <w:rPr>
          <w:rtl w:val="true"/>
        </w:rPr>
        <w:t>الدلیل الثانی عشر</w:t>
      </w:r>
      <w:r>
        <w:rPr>
          <w:rtl w:val="true"/>
        </w:rPr>
        <w:t xml:space="preserve">: </w:t>
      </w:r>
      <w:r>
        <w:rPr>
          <w:rtl w:val="true"/>
        </w:rPr>
        <w:t>روایة الفضیل</w:t>
      </w:r>
      <w:bookmarkEnd w:id="736"/>
    </w:p>
    <w:p>
      <w:pPr>
        <w:pStyle w:val="BookText"/>
        <w:rPr/>
      </w:pPr>
      <w:r>
        <w:rPr>
          <w:rFonts w:ascii="IRNazanin" w:hAnsi="IRNazanin" w:eastAsia="IRNazanin"/>
          <w:color w:val="111111"/>
          <w:sz w:val="28"/>
          <w:sz w:val="28"/>
          <w:szCs w:val="28"/>
          <w:rtl w:val="true"/>
          <w:lang w:bidi="fa-IR"/>
        </w:rPr>
        <w:t>وقد رویت بنحوین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أردف أسامة بن زید فی مصعده إلی عرفات، فلما أفاض أردف الفضل بن العباس، وکان فتی حسن اللمّة</w:t>
      </w:r>
      <w:r>
        <w:rPr>
          <w:rFonts w:eastAsia="IRNazanin" w:cs="IRNazanin"/>
          <w:color w:val="111111"/>
          <w:sz w:val="28"/>
          <w:szCs w:val="28"/>
          <w:rtl w:val="true"/>
          <w:lang w:bidi="fa-IR"/>
        </w:rPr>
        <w:t>(</w:t>
      </w:r>
      <w:r>
        <w:rPr>
          <w:rStyle w:val="FootnoteAnchor"/>
          <w:rtl w:val="true"/>
        </w:rPr>
        <w:footnoteReference w:id="8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أعرابی وعنده أخت له أجمل ما یکون من النساء، فجعل الأعرابی یسأل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وجعل الفضل ینظر إلی أخت الأعرابی، وجعل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یده علی وجه الفضل یستره من النظر، فإذا هو ستره من الجانب نظر من الجانب الآخر، حتی إذا فرغ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حاجة الأعرابی، التفت إلیه وأخذ بمنکبه،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أنها الأیام المعدودات والمعلومات، لا یکف رجل فیهن بصره، ولا یکف لسانه ویده إلا کتب الله له مثل حج قابل</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امرأة خثعمیة أتت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بمنی فی حجة الوداع تستفتیه، وکان الفضل بن العباس ردیف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فأخذ ینظر إلیها وتنظر إلیه، فصرف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الفضل عنها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شاب </w:t>
      </w:r>
    </w:p>
    <w:p>
      <w:pPr>
        <w:pStyle w:val="BookText"/>
        <w:rPr/>
      </w:pPr>
      <w:r>
        <w:rPr>
          <w:rFonts w:ascii="IRNazanin" w:hAnsi="IRNazanin" w:eastAsia="IRNazanin"/>
          <w:color w:val="111111"/>
          <w:sz w:val="28"/>
          <w:sz w:val="28"/>
          <w:szCs w:val="28"/>
          <w:rtl w:val="true"/>
          <w:lang w:bidi="fa-IR"/>
        </w:rPr>
        <w:t>وامرأة شابة أخاف أن یدخل الشیطان بینهما</w:t>
      </w:r>
      <w:r>
        <w:rPr>
          <w:rFonts w:eastAsia="IRNazanin" w:cs="IRNazanin"/>
          <w:color w:val="111111"/>
          <w:sz w:val="28"/>
          <w:szCs w:val="28"/>
          <w:rtl w:val="true"/>
          <w:lang w:bidi="fa-IR"/>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 الاستدلال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السندی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الروایة الأولی فقد نقلها فی الجامع عن المستدرک عن بعض نسخ فقه الرضا، ولم یذکر لها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الثانیة فهی مذکورة فی بعض الکتب الفقهیة علی نحو الإرسال کالتذکرة والمسالک وجامع المقاصد والحدائق</w:t>
      </w:r>
      <w:r>
        <w:rPr>
          <w:rFonts w:eastAsia="IRNazanin" w:cs="IRNazanin"/>
          <w:color w:val="111111"/>
          <w:sz w:val="28"/>
          <w:szCs w:val="28"/>
          <w:rtl w:val="true"/>
          <w:lang w:bidi="fa-IR"/>
        </w:rPr>
        <w:t>(</w:t>
      </w:r>
      <w:r>
        <w:rPr>
          <w:rStyle w:val="FootnoteAnchor"/>
          <w:rtl w:val="true"/>
        </w:rPr>
        <w:footnoteReference w:id="8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نقلها فی الهامش عن کتب العامة فی معظم هذه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الفقه من اضطراب الروایة</w:t>
      </w:r>
      <w:r>
        <w:rPr>
          <w:rFonts w:eastAsia="IRNazanin" w:cs="IRNazanin"/>
          <w:color w:val="111111"/>
          <w:sz w:val="28"/>
          <w:szCs w:val="28"/>
          <w:rtl w:val="true"/>
          <w:lang w:bidi="fa-IR"/>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تعدد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وجود جامع مشترک بین الروایتین، وهو ردع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عن النظر، وقد تقرر أنّ سقوط بعض فقرات الراویة لا یوجب سقوط سائر فقراتها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تحکی عن قضیة خارجیة، فلا ینعقد لها إطلاق، ولعل نظر الفضل کان بشهوة أو ریبة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وإن کان کذلک، لکن ظاهر الذیل کون تمام الموضوع للحکم هو طبیعی النظر لا النظر بریبة أو نحوها، 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الزجر العملی لا ظهور له فی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یقلّ عن الزجر القولی عرفاً فی الظهور فیه،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فرض ظهوره فیه</w:t>
      </w:r>
      <w:r>
        <w:rPr>
          <w:rFonts w:eastAsia="IRNazanin" w:cs="IRNazanin"/>
          <w:color w:val="111111"/>
          <w:sz w:val="28"/>
          <w:szCs w:val="28"/>
          <w:rtl w:val="true"/>
          <w:lang w:bidi="fa-IR"/>
        </w:rPr>
        <w:t>(</w:t>
      </w:r>
      <w:r>
        <w:rPr>
          <w:rStyle w:val="FootnoteAnchor"/>
          <w:rtl w:val="true"/>
        </w:rPr>
        <w:footnoteReference w:id="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فتعقیبه بالتعلیل فی روایة الخثعمیة یدل علی کون الزجر من حیث خوف الفتنة، لا من حیث حرمة النظر فی حد ذاته، فلا نهی فیما لیست فیه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تعقیبه فی الروایة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یکتب له حج من قابل، یبطل ظهور ما تقدّم فی التحریم،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جریان بعض الأجوبة المتقدمة فی المقام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الخبرین یدلان علی خلاف المطلوب،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یدلان علی جواز النظر، قال فی المستمسک فی خبر الخثعمیة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مضافاً إلی ما یظهر من الروایة من أنّ المرأة کانت مکشوفة الوجه، وأنّ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ینظر إلیها، فرآها تنظر إلی الفضل</w:t>
      </w:r>
      <w:r>
        <w:rPr>
          <w:rFonts w:eastAsia="IRNazanin" w:cs="IRNazanin"/>
          <w:color w:val="111111"/>
          <w:sz w:val="28"/>
          <w:szCs w:val="28"/>
          <w:rtl w:val="true"/>
          <w:lang w:bidi="fa-IR"/>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دلیل علی 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الراوی هو الذی نقل نظرها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نهی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الراوی عن النظر إلی المرأة تقریر للجواز</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تأمل؛ إذ شرط التقریر وقوع الفعل بمرأی من المعصوم ومسمع، ولعله لم یکن نظره بمرأی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bookmarkStart w:id="737" w:name="pg6289_42090"/>
    </w:p>
    <w:p>
      <w:pPr>
        <w:pStyle w:val="BookText"/>
        <w:rPr/>
      </w:pPr>
      <w:bookmarkEnd w:id="737"/>
      <w:r>
        <w:rPr>
          <w:rFonts w:ascii="IRNazanin" w:hAnsi="IRNazanin" w:eastAsia="IRNazanin"/>
          <w:color w:val="111111"/>
          <w:sz w:val="28"/>
          <w:sz w:val="28"/>
          <w:szCs w:val="28"/>
          <w:rtl w:val="true"/>
          <w:lang w:bidi="fa-IR"/>
        </w:rPr>
        <w:t xml:space="preserve">وعلم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بالواقع لا یکفی فی التقریر؛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بالظاهر،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کشف وجهها یدل بالملازمة العرفیة علی جواز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الملازمة العرفیة تنفع فی إثبات الجواز فی صورة عدم الردع، والمفروض وقوع الردع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معلل بما یصرفه عن الظهور فی التحریم کما سبق،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نظر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إطلاق له، حیث إنه حکایة فعل، فربما کان لها خصوصیة، ککونها أخته من الرضاعة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غیر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احتملت الخصوصیة لم یمکن التعمیم، أما إن لم یکن هنالک خصوصیة محتملة دلّ علی العموم، والظاهر أنه لم تکن هنالک خصوصیة فی النظر لو ثبت النظر</w:t>
      </w:r>
      <w:r>
        <w:rPr>
          <w:rFonts w:eastAsia="IRNazanin" w:cs="IRNazanin"/>
          <w:color w:val="111111"/>
          <w:sz w:val="28"/>
          <w:szCs w:val="28"/>
          <w:rtl w:val="true"/>
          <w:lang w:bidi="fa-IR"/>
        </w:rPr>
        <w:t>.</w:t>
      </w:r>
    </w:p>
    <w:p>
      <w:pPr>
        <w:pStyle w:val="Heading6"/>
        <w:numPr>
          <w:ilvl w:val="5"/>
          <w:numId w:val="1"/>
        </w:numPr>
        <w:rPr/>
      </w:pPr>
      <w:bookmarkStart w:id="738" w:name="__RefHeading___Toc2133776_237004111"/>
      <w:bookmarkStart w:id="739" w:name="_Toc288"/>
      <w:bookmarkEnd w:id="738"/>
      <w:r>
        <w:rPr>
          <w:rtl w:val="true"/>
        </w:rPr>
        <w:t>الدلیل الثالث عشر</w:t>
      </w:r>
      <w:r>
        <w:rPr>
          <w:rtl w:val="true"/>
        </w:rPr>
        <w:t xml:space="preserve">: </w:t>
      </w:r>
      <w:r>
        <w:rPr>
          <w:rtl w:val="true"/>
        </w:rPr>
        <w:t>الروایات الدالة علی ذم أهل الکوفة ویزید لإبدائهم المخدرات</w:t>
      </w:r>
      <w:bookmarkEnd w:id="739"/>
    </w:p>
    <w:p>
      <w:pPr>
        <w:pStyle w:val="BookText"/>
        <w:rPr/>
      </w:pPr>
      <w:r>
        <w:rPr>
          <w:rFonts w:ascii="IRNazanin" w:hAnsi="IRNazanin" w:eastAsia="IRNazanin"/>
          <w:color w:val="111111"/>
          <w:sz w:val="28"/>
          <w:sz w:val="28"/>
          <w:szCs w:val="28"/>
          <w:rtl w:val="true"/>
          <w:lang w:bidi="fa-IR"/>
        </w:rPr>
        <w:t>ما ورد فی ذم أهل الکوفة ویزید من أنهم أبدوا وجوه المخدرات علیهنّ السلام، کما فی الاحتجاج</w:t>
      </w:r>
      <w:r>
        <w:rPr>
          <w:rFonts w:eastAsia="IRNazanin" w:cs="IRNazanin"/>
          <w:color w:val="111111"/>
          <w:sz w:val="28"/>
          <w:szCs w:val="28"/>
          <w:rtl w:val="true"/>
          <w:lang w:bidi="fa-IR"/>
        </w:rPr>
        <w:t>(</w:t>
      </w:r>
      <w:r>
        <w:rPr>
          <w:rStyle w:val="FootnoteAnchor"/>
          <w:rtl w:val="true"/>
        </w:rPr>
        <w:footnoteReference w:id="8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والبحار</w:t>
      </w:r>
      <w:r>
        <w:rPr>
          <w:rFonts w:eastAsia="IRNazanin" w:cs="IRNazanin"/>
          <w:color w:val="111111"/>
          <w:sz w:val="28"/>
          <w:szCs w:val="28"/>
          <w:rtl w:val="true"/>
          <w:lang w:bidi="fa-IR"/>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الجواب مع قطع النظر عن المناقشة السندیة بما فی 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وذم یزید وأتباعه لأنه تصرف فی حق الغیر بغیر حق، فإنّ کونهن علیهنّ السلام یسترن وجوهن لا یدل علی وجوب ذلک، کما أنّ جعل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حجاباً </w:t>
      </w:r>
      <w:bookmarkStart w:id="740" w:name="pg6289_42091"/>
    </w:p>
    <w:p>
      <w:pPr>
        <w:pStyle w:val="BookText"/>
        <w:rPr/>
      </w:pPr>
      <w:bookmarkEnd w:id="740"/>
      <w:r>
        <w:rPr>
          <w:rFonts w:ascii="IRNazanin" w:hAnsi="IRNazanin" w:eastAsia="IRNazanin"/>
          <w:color w:val="111111"/>
          <w:sz w:val="28"/>
          <w:sz w:val="28"/>
          <w:szCs w:val="28"/>
          <w:rtl w:val="true"/>
          <w:lang w:bidi="fa-IR"/>
        </w:rPr>
        <w:t>بینها وبین الرجال فی المسجد لا یدل علی الوجوب</w:t>
      </w:r>
      <w:r>
        <w:rPr>
          <w:rFonts w:eastAsia="IRNazanin" w:cs="IRNazanin"/>
          <w:color w:val="111111"/>
          <w:sz w:val="28"/>
          <w:szCs w:val="28"/>
          <w:rtl w:val="true"/>
          <w:lang w:bidi="fa-IR"/>
        </w:rPr>
        <w:t>»(</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الأمر الإجمال، وأنّ وجه الذم حرمة التصرف أو حرمة الإظهار، وهو موجب لسقوط الاستدلال</w:t>
      </w:r>
      <w:r>
        <w:rPr>
          <w:rFonts w:eastAsia="IRNazanin" w:cs="IRNazanin"/>
          <w:color w:val="111111"/>
          <w:sz w:val="28"/>
          <w:szCs w:val="28"/>
          <w:rtl w:val="true"/>
          <w:lang w:bidi="fa-IR"/>
        </w:rPr>
        <w:t>.</w:t>
      </w:r>
    </w:p>
    <w:p>
      <w:pPr>
        <w:pStyle w:val="Heading6"/>
        <w:numPr>
          <w:ilvl w:val="5"/>
          <w:numId w:val="1"/>
        </w:numPr>
        <w:rPr/>
      </w:pPr>
      <w:bookmarkStart w:id="741" w:name="__RefHeading___Toc2133778_237004111"/>
      <w:bookmarkStart w:id="742" w:name="_Toc289"/>
      <w:bookmarkEnd w:id="741"/>
      <w:r>
        <w:rPr>
          <w:rtl w:val="true"/>
        </w:rPr>
        <w:t>الدلیل الرابع عشر</w:t>
      </w:r>
      <w:r>
        <w:rPr>
          <w:rtl w:val="true"/>
        </w:rPr>
        <w:t xml:space="preserve">: </w:t>
      </w:r>
      <w:r>
        <w:rPr>
          <w:rtl w:val="true"/>
        </w:rPr>
        <w:t>دلیل العقل</w:t>
      </w:r>
      <w:bookmarkEnd w:id="742"/>
    </w:p>
    <w:p>
      <w:pPr>
        <w:pStyle w:val="BookText"/>
        <w:rPr/>
      </w:pPr>
      <w:r>
        <w:rPr>
          <w:rFonts w:ascii="IRNazanin" w:hAnsi="IRNazanin" w:eastAsia="IRNazanin"/>
          <w:color w:val="111111"/>
          <w:sz w:val="28"/>
          <w:sz w:val="28"/>
          <w:szCs w:val="28"/>
          <w:rtl w:val="true"/>
          <w:lang w:bidi="fa-IR"/>
        </w:rPr>
        <w:t>وتقریره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عمدة محاسن المرأة فی وجهها، وبما أنّ النظر إلیه یؤدی إلی الوقوع فی مبغوض الشارع، وفی المفاسد الواقعیة کثیراً، فالعقل یحکم بعدم جواز النظر إلی الوجه علی الإطلاق؛ حسماً لمادة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العرفیة بین جواز النظر إلی الوجه والکفین، وما یقع من الفتن والفساد، کما نری ذلک بحیث لا یخفی ذلک علی الناس، فضلاً عن ربّ العباد</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الملازمة الغالبة بین النظر والریبة، خصوصاً فی هذه الأعصار</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بأنّ لازم ذلک المنع عن النظر إلی بعض المحارم، کالأخت الرضاعیة ونحوها ممن یتطرق احتمال الالتذاذ أو الافتتان فی النظر إلیهنَّ، وکذا بالنسبة للشاب الأمرد، فاللازم المنع عن النظر فی جمیع ذلک حسماً لمادة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الخوئی فی شرح العروة</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المرأة من البیت والعمل والتعلم مع الأجانب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حکم العقل بعدم جواز النظر مقید بکونه فی معرض الوقوع فی مبغوض المولی، أو المفاسد الواقعیة، ولیس الکلام فی ذلک؛ إذ لا شک فی الحرمة إذا کان هنالک خوف افتتان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سوف یأتی 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محل الکلام فی المقام فی حرمة النظر فی حدّ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وجود الحکم العقلی علی نحو الإطلاق، فإنما یثبت به الحکم الشرعی إذا کان حکم العقل واقعاً فی سلسلة العلل لا فی سلسلة المعلولات</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تقریره بنحو یکون فی سلسلة العلل،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یدرک المفسدة فی النظر، فینتقل منه إلی ثبوت الحکم الشرعی انتقالاً لِمیّاً،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الانتقال من العلة إلی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 ثبوت الملازمة بین حکم العقل وحکم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فی سلسلة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علی ما قرر فی محله</w:t>
      </w:r>
      <w:r>
        <w:rPr>
          <w:rFonts w:eastAsia="IRNazanin" w:cs="IRNazanin"/>
          <w:color w:val="111111"/>
          <w:sz w:val="28"/>
          <w:szCs w:val="28"/>
          <w:rtl w:val="true"/>
          <w:lang w:bidi="fa-IR"/>
        </w:rPr>
        <w:t>(</w:t>
      </w:r>
      <w:r>
        <w:rPr>
          <w:rStyle w:val="FootnoteAnchor"/>
          <w:rtl w:val="true"/>
        </w:rPr>
        <w:footnoteReference w:id="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وصرف وجود حکم العقل لا یکفی فی ترتب استحقاق العقاب ونحوه من الآثار المترتبة علی الحرمة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جمال المرأة فی وجهها، فکیف یمنع الشارع النظر إلی غیره ولا یمنع من النظر إلیه هو</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ببالی أنّ بعض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لبعض العوام من </w:t>
      </w:r>
      <w:bookmarkStart w:id="743" w:name="pg6289_42093"/>
    </w:p>
    <w:p>
      <w:pPr>
        <w:pStyle w:val="BookText"/>
        <w:rPr/>
      </w:pPr>
      <w:bookmarkEnd w:id="743"/>
      <w:r>
        <w:rPr>
          <w:rFonts w:ascii="Amiri" w:hAnsi="Amiri" w:eastAsia="Amiri" w:cs="Amiri"/>
          <w:color w:val="111111"/>
          <w:sz w:val="28"/>
          <w:sz w:val="28"/>
          <w:szCs w:val="28"/>
          <w:rtl w:val="true"/>
          <w:lang w:bidi="ar-SA"/>
        </w:rPr>
        <w:t>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مستثنی من حرمة النظر، قال ذلک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کمال المرأة وجمالها فی وجهها إن قُبِل قُبِل ما سواه وإن رُدَّ رُدَّ ما سواه</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بمنع الشارع النظر إلی غیر الوجه، وعدم المنع من النظر إلیه فی حالة الإحرام، المستفاد من الملازمة العرفیة بین جواز الکشف وجواز النظر،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یثبت وجود المقتضی للتحریم، وهو غیر کافٍ فی التحریم ما لم ترتفع الموانع عن تأثیر هذا المقتضی فی مقتضاه، وربما تکون مصلحة التسهیل لها أو للآخرین ونحوها من المصالح مانعة عن الحکم بالتحریم،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 المقتضی نثبت عدم المانع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المقتضی والمانع غیر تامة، کما ذکر فی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لو رمینا سهماً فی الصحراء إلی شخص، وعلمنا أنه لولا المانع کهبوب الریح لأصابه وقتله، فأصالة عدم المانع لا تثبت وقوع القتل؛ لأنه أصل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وقوع الترخیص الشرعی کاشف عن عدم تمامیة العلة للحکم بالتحریم ولو إجمالاً</w:t>
      </w:r>
      <w:r>
        <w:rPr>
          <w:rFonts w:eastAsia="IRNazanin" w:cs="IRNazanin"/>
          <w:color w:val="111111"/>
          <w:sz w:val="28"/>
          <w:szCs w:val="28"/>
          <w:rtl w:val="true"/>
          <w:lang w:bidi="fa-IR"/>
        </w:rPr>
        <w:t>.</w:t>
      </w:r>
    </w:p>
    <w:p>
      <w:pPr>
        <w:pStyle w:val="Heading6"/>
        <w:numPr>
          <w:ilvl w:val="5"/>
          <w:numId w:val="1"/>
        </w:numPr>
        <w:rPr/>
      </w:pPr>
      <w:bookmarkStart w:id="744" w:name="__RefHeading___Toc2133780_237004111"/>
      <w:bookmarkStart w:id="745" w:name="_Toc290"/>
      <w:bookmarkEnd w:id="744"/>
      <w:r>
        <w:rPr>
          <w:rtl w:val="true"/>
        </w:rPr>
        <w:t>الدلیل الخامس عشر</w:t>
      </w:r>
      <w:r>
        <w:rPr>
          <w:rtl w:val="true"/>
        </w:rPr>
        <w:t xml:space="preserve">: </w:t>
      </w:r>
      <w:r>
        <w:rPr>
          <w:rtl w:val="true"/>
        </w:rPr>
        <w:t>الإجماع</w:t>
      </w:r>
      <w:bookmarkEnd w:id="74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ادّعی فی کنز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إطباق الفقهاء علی أنّ بدن </w:t>
      </w:r>
    </w:p>
    <w:p>
      <w:pPr>
        <w:pStyle w:val="BookText"/>
        <w:rPr/>
      </w:pPr>
      <w:r>
        <w:rPr>
          <w:rFonts w:ascii="IRNazanin" w:hAnsi="IRNazanin" w:eastAsia="IRNazanin"/>
          <w:color w:val="111111"/>
          <w:sz w:val="28"/>
          <w:sz w:val="28"/>
          <w:szCs w:val="28"/>
          <w:rtl w:val="true"/>
          <w:lang w:bidi="fa-IR"/>
        </w:rPr>
        <w:t>المرأة عورة إلاّ علی الزوج والمحارم</w:t>
      </w:r>
      <w:r>
        <w:rPr>
          <w:rFonts w:eastAsia="IRNazanin" w:cs="IRNazanin"/>
          <w:color w:val="111111"/>
          <w:sz w:val="28"/>
          <w:szCs w:val="28"/>
          <w:rtl w:val="true"/>
          <w:lang w:bidi="fa-IR"/>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فی التنقیح الرائع</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المهذب</w:t>
      </w:r>
      <w:r>
        <w:rPr>
          <w:rFonts w:eastAsia="IRNazanin" w:cs="IRNazanin"/>
          <w:color w:val="111111"/>
          <w:sz w:val="28"/>
          <w:szCs w:val="28"/>
          <w:rtl w:val="true"/>
          <w:lang w:bidi="fa-IR"/>
        </w:rPr>
        <w:t>(</w:t>
      </w:r>
      <w:r>
        <w:rPr>
          <w:rStyle w:val="FootnoteAnchor"/>
          <w:rtl w:val="true"/>
        </w:rPr>
        <w:footnoteReference w:id="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عن جمع، وفی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وظاهر جمیع المتقدمین التطابق علی الحرمة</w:t>
      </w:r>
      <w:r>
        <w:rPr>
          <w:rFonts w:eastAsia="IRNazanin" w:cs="IRNazanin"/>
          <w:color w:val="111111"/>
          <w:sz w:val="28"/>
          <w:szCs w:val="28"/>
          <w:rtl w:val="true"/>
          <w:lang w:bidi="fa-IR"/>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شرح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والمشهور ذهبوا إلی الحرمة</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مناقشتان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إنّ هذا الإجماع إجماع منقول لم یثبت، بل هو ثابت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ادعی فی کنز العرفان إطباق الفقهاء علی أن بدن المرأة عورة إلا علی الزوج والمحارم،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أراد کل بدنها فلا إجماع قطعاً، وإن أراد بعض بدنها لم ینفع الإجماع علی ذلک لمحل النزاع</w:t>
      </w:r>
      <w:r>
        <w:rPr>
          <w:rFonts w:eastAsia="IRNazanin" w:cs="IRNazanin"/>
          <w:color w:val="111111"/>
          <w:sz w:val="28"/>
          <w:szCs w:val="28"/>
          <w:rtl w:val="true"/>
          <w:lang w:bidi="fa-IR"/>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إطباق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المحکی عن کنز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للاعتماد علیه مع وضوح الخلاف وشهرته</w:t>
      </w:r>
      <w:r>
        <w:rPr>
          <w:rFonts w:eastAsia="IRNazanin" w:cs="IRNazanin"/>
          <w:color w:val="111111"/>
          <w:sz w:val="28"/>
          <w:szCs w:val="28"/>
          <w:rtl w:val="true"/>
          <w:lang w:bidi="fa-IR"/>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فی فقه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مع هذا الخلاف العظیم کیف یعتمد علی هذه الدعوی؟</w:t>
      </w:r>
      <w:r>
        <w:rPr>
          <w:rFonts w:eastAsia="IRNazanin" w:cs="IRNazanin"/>
          <w:color w:val="111111"/>
          <w:sz w:val="28"/>
          <w:szCs w:val="28"/>
          <w:rtl w:val="true"/>
          <w:lang w:bidi="fa-IR"/>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ذهب الشیخ الطوسی فی التبیان</w:t>
      </w:r>
      <w:r>
        <w:rPr>
          <w:rFonts w:eastAsia="IRNazanin" w:cs="IRNazanin"/>
          <w:color w:val="111111"/>
          <w:sz w:val="28"/>
          <w:szCs w:val="28"/>
          <w:rtl w:val="true"/>
          <w:lang w:bidi="fa-IR"/>
        </w:rPr>
        <w:t>(</w:t>
      </w:r>
      <w:r>
        <w:rPr>
          <w:rStyle w:val="FootnoteAnchor"/>
          <w:rtl w:val="true"/>
        </w:rPr>
        <w:footnoteReference w:id="8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والنهایة</w:t>
      </w:r>
      <w:r>
        <w:rPr>
          <w:rFonts w:eastAsia="IRNazanin" w:cs="IRNazanin"/>
          <w:color w:val="111111"/>
          <w:sz w:val="28"/>
          <w:szCs w:val="28"/>
          <w:rtl w:val="true"/>
          <w:lang w:bidi="fa-IR"/>
        </w:rPr>
        <w:t>(</w:t>
      </w:r>
      <w:r>
        <w:rPr>
          <w:rStyle w:val="FootnoteAnchor"/>
          <w:rtl w:val="true"/>
        </w:rPr>
        <w:footnoteReference w:id="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والمبسوط</w:t>
      </w:r>
      <w:r>
        <w:rPr>
          <w:rFonts w:eastAsia="IRNazanin" w:cs="IRNazanin"/>
          <w:color w:val="111111"/>
          <w:sz w:val="28"/>
          <w:szCs w:val="28"/>
          <w:rtl w:val="true"/>
          <w:lang w:bidi="fa-IR"/>
        </w:rPr>
        <w:t>(</w:t>
      </w:r>
      <w:r>
        <w:rPr>
          <w:rStyle w:val="FootnoteAnchor"/>
          <w:rtl w:val="true"/>
        </w:rPr>
        <w:footnoteReference w:id="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الجواز، ونسب اختیاره له فی الاستبصار والتهذیب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واختار هذا القول الشیخ الکلینی فی الکافی</w:t>
      </w:r>
      <w:r>
        <w:rPr>
          <w:rFonts w:eastAsia="IRNazanin" w:cs="IRNazanin"/>
          <w:color w:val="111111"/>
          <w:sz w:val="28"/>
          <w:szCs w:val="28"/>
          <w:rtl w:val="true"/>
          <w:lang w:bidi="fa-IR"/>
        </w:rPr>
        <w:t>(</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قال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نقل الکلینی أخبار الجواز أعم من الفتوی به</w:t>
      </w:r>
      <w:r>
        <w:rPr>
          <w:rFonts w:eastAsia="IRNazanin" w:cs="IRNazanin"/>
          <w:color w:val="111111"/>
          <w:sz w:val="28"/>
          <w:szCs w:val="28"/>
          <w:rtl w:val="true"/>
          <w:lang w:bidi="fa-IR"/>
        </w:rPr>
        <w:t>»(</w:t>
      </w:r>
      <w:r>
        <w:rPr>
          <w:rStyle w:val="FootnoteAnchor"/>
          <w:rtl w:val="true"/>
        </w:rPr>
        <w:footnoteReference w:id="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ضمن الکافی</w:t>
      </w:r>
      <w:r>
        <w:rPr>
          <w:rFonts w:eastAsia="IRNazanin" w:cs="IRNazanin"/>
          <w:color w:val="111111"/>
          <w:sz w:val="28"/>
          <w:szCs w:val="28"/>
          <w:rtl w:val="true"/>
          <w:lang w:bidi="fa-IR"/>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العلامة فی القواعد والتذکرة والتحریر، والمحقق السبزواری فی الکفایة، والفاضل الهندی فی کشف اللثام، والفیض الکاشانی فی المفاتیح، وهو ظاهر الشهید الثانی</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وصرّح به الشیخ الأنصاری فی کتاب النکاح</w:t>
      </w:r>
      <w:r>
        <w:rPr>
          <w:rFonts w:eastAsia="IRNazanin" w:cs="IRNazanin"/>
          <w:color w:val="111111"/>
          <w:sz w:val="28"/>
          <w:szCs w:val="28"/>
          <w:rtl w:val="true"/>
          <w:lang w:bidi="fa-IR"/>
        </w:rPr>
        <w:t>(</w:t>
      </w:r>
      <w:r>
        <w:rPr>
          <w:rStyle w:val="FootnoteAnchor"/>
          <w:rtl w:val="true"/>
        </w:rPr>
        <w:footnoteReference w:id="8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والمحقق النراقی فی </w:t>
      </w:r>
      <w:bookmarkStart w:id="746" w:name="pg6289_42096"/>
    </w:p>
    <w:p>
      <w:pPr>
        <w:pStyle w:val="BookText"/>
        <w:rPr/>
      </w:pPr>
      <w:bookmarkEnd w:id="746"/>
      <w:r>
        <w:rPr>
          <w:rFonts w:ascii="IRNazanin" w:hAnsi="IRNazanin" w:eastAsia="IRNazanin"/>
          <w:color w:val="111111"/>
          <w:sz w:val="28"/>
          <w:sz w:val="28"/>
          <w:szCs w:val="28"/>
          <w:rtl w:val="true"/>
          <w:lang w:bidi="fa-IR"/>
        </w:rPr>
        <w:t>المستند،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فالمسألة بحمد الله واضحة</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واختاره الحدائق،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تأمل فیما قدمناه من الأخبار ونحوها غیرها لم یختلجه شک فی ضعف القول المذکور</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وادعی فی الریاض ندرة القول بالمنع،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 إلی ندرة القول بالمنع مطلقاً؛ لعدم نقله إلا عن التذکرة وفخر الدین، وإن مال إلیه بعض من تأخر عنهما</w:t>
      </w:r>
      <w:r>
        <w:rPr>
          <w:rFonts w:eastAsia="IRNazanin" w:cs="IRNazanin"/>
          <w:color w:val="111111"/>
          <w:sz w:val="28"/>
          <w:szCs w:val="28"/>
          <w:rtl w:val="true"/>
          <w:lang w:bidi="fa-IR"/>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کل فالإجماع علی المنع مقطوع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إن هذا الإجماع محتمل الاستناد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قدح الاحتمال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کان الإجماع مقطوع عدم الاستناد فهو فلیس بتام، حیث لا معقد له، فیؤخذ بالقدر المتیقن منه وهو غیر الوجه والکفین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الناقلون للإجماع نقلوا المعقد،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النظر إلی المرأة بتمامها، فإن ثبت عدم المعقد کان ما ذکر تاماً</w:t>
      </w:r>
      <w:r>
        <w:rPr>
          <w:rFonts w:eastAsia="IRNazanin" w:cs="IRNazanin"/>
          <w:color w:val="111111"/>
          <w:sz w:val="28"/>
          <w:szCs w:val="28"/>
          <w:rtl w:val="true"/>
          <w:lang w:bidi="fa-IR"/>
        </w:rPr>
        <w:t>.</w:t>
      </w:r>
    </w:p>
    <w:p>
      <w:pPr>
        <w:pStyle w:val="Heading6"/>
        <w:numPr>
          <w:ilvl w:val="5"/>
          <w:numId w:val="1"/>
        </w:numPr>
        <w:rPr/>
      </w:pPr>
      <w:bookmarkStart w:id="747" w:name="__RefHeading___Toc2133782_237004111"/>
      <w:bookmarkStart w:id="748" w:name="_Toc291"/>
      <w:bookmarkEnd w:id="747"/>
      <w:r>
        <w:rPr>
          <w:rtl w:val="true"/>
        </w:rPr>
        <w:t>الدلیل السادس عشر</w:t>
      </w:r>
      <w:r>
        <w:rPr>
          <w:rtl w:val="true"/>
        </w:rPr>
        <w:t xml:space="preserve">: </w:t>
      </w:r>
      <w:r>
        <w:rPr>
          <w:rtl w:val="true"/>
        </w:rPr>
        <w:t>السیرة المستمرة علی الستر وعدم النظر</w:t>
      </w:r>
      <w:bookmarkEnd w:id="74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فی المهذب</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bookmarkStart w:id="749" w:name="pg6289_42097"/>
    </w:p>
    <w:p>
      <w:pPr>
        <w:pStyle w:val="BookText"/>
        <w:rPr/>
      </w:pPr>
      <w:bookmarkEnd w:id="749"/>
      <w:r>
        <w:rPr>
          <w:rFonts w:ascii="IRNazanin" w:hAnsi="IRNazanin" w:eastAsia="IRNazanin"/>
          <w:color w:val="111111"/>
          <w:sz w:val="28"/>
          <w:sz w:val="28"/>
          <w:szCs w:val="28"/>
          <w:rtl w:val="true"/>
          <w:lang w:bidi="fa-IR"/>
        </w:rPr>
        <w:t>وقد مضی تفصیل البحث فی ذلک</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المستند فی رد الإطباق علی المنع من خروجهن سافرات، أو إنما یخرجن مستترات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بمخالفته للوجدان والعیان؛ لأنّ الناس مختلفة فی الأمکنة والأزمان</w:t>
      </w:r>
      <w:r>
        <w:rPr>
          <w:rFonts w:eastAsia="IRNazanin" w:cs="IRNazanin"/>
          <w:color w:val="111111"/>
          <w:sz w:val="28"/>
          <w:szCs w:val="28"/>
          <w:rtl w:val="true"/>
          <w:lang w:bidi="fa-IR"/>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لمخالفتهما</w:t>
      </w:r>
      <w:r>
        <w:rPr>
          <w:rFonts w:eastAsia="IRNazanin" w:cs="IRNazanin"/>
          <w:color w:val="111111"/>
          <w:sz w:val="28"/>
          <w:szCs w:val="28"/>
          <w:rtl w:val="true"/>
          <w:lang w:bidi="fa-IR"/>
        </w:rPr>
        <w:t>(</w:t>
      </w:r>
      <w:r>
        <w:rPr>
          <w:rStyle w:val="FootnoteAnchor"/>
          <w:rtl w:val="true"/>
        </w:rPr>
        <w:footnoteReference w:id="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الوجدان؛ لاختلاف الناس فی الزمان، فبین من یجری علی الأول ومن یحذو حذو الثانی</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0" w:name="__RefHeading___Toc2133784_237004111"/>
      <w:bookmarkStart w:id="751" w:name="_Toc292"/>
      <w:bookmarkEnd w:id="750"/>
      <w:r>
        <w:rPr>
          <w:rtl w:val="true"/>
        </w:rPr>
        <w:t>الدلیل السابع عشر</w:t>
      </w:r>
      <w:r>
        <w:rPr>
          <w:rtl w:val="true"/>
        </w:rPr>
        <w:t xml:space="preserve">: </w:t>
      </w:r>
      <w:r>
        <w:rPr>
          <w:rtl w:val="true"/>
        </w:rPr>
        <w:t>الستر مقتضی مرتکزات المتشرعة</w:t>
      </w:r>
      <w:bookmarkEnd w:id="751"/>
    </w:p>
    <w:p>
      <w:pPr>
        <w:pStyle w:val="BookText"/>
        <w:rPr/>
      </w:pPr>
      <w:r>
        <w:rPr>
          <w:rFonts w:ascii="IRNazanin" w:hAnsi="IRNazanin" w:eastAsia="IRNazanin"/>
          <w:color w:val="111111"/>
          <w:sz w:val="28"/>
          <w:sz w:val="28"/>
          <w:szCs w:val="28"/>
          <w:rtl w:val="true"/>
          <w:lang w:bidi="fa-IR"/>
        </w:rPr>
        <w:t>ما ذکر ه فی المهذب</w:t>
      </w:r>
      <w:r>
        <w:rPr>
          <w:rFonts w:eastAsia="IRNazanin" w:cs="IRNazanin"/>
          <w:color w:val="111111"/>
          <w:sz w:val="28"/>
          <w:szCs w:val="28"/>
          <w:rtl w:val="true"/>
          <w:lang w:bidi="fa-IR"/>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فقه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فتحصل أنه لا دلیل علی شی‌ء من الأقوال، فیرجع إلی الأصل المقتضی للجواز المؤید بما دل علی جواز إبداء الوجه والکفین للمرأة، لولا ما علیه مرتکزات المتشرعة من المنع علی وجه یعد ارتکاب النظر عندهم من المنکرات</w:t>
      </w:r>
      <w:r>
        <w:rPr>
          <w:rFonts w:eastAsia="IRNazanin" w:cs="IRNazanin"/>
          <w:color w:val="111111"/>
          <w:sz w:val="28"/>
          <w:szCs w:val="28"/>
          <w:rtl w:val="true"/>
          <w:lang w:bidi="fa-IR"/>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المستمسک بعد أن قرب القول بالجواز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 الخروج به عن مرتکزات المتدینین، بل مرتکزات المتشرعة فی غیر النساء المبتذلات لا </w:t>
      </w:r>
      <w:bookmarkStart w:id="752" w:name="pg6289_42098"/>
    </w:p>
    <w:p>
      <w:pPr>
        <w:pStyle w:val="BookText"/>
        <w:rPr/>
      </w:pPr>
      <w:bookmarkEnd w:id="752"/>
      <w:r>
        <w:rPr>
          <w:rFonts w:ascii="IRNazanin" w:hAnsi="IRNazanin" w:eastAsia="IRNazanin"/>
          <w:color w:val="111111"/>
          <w:sz w:val="28"/>
          <w:sz w:val="28"/>
          <w:szCs w:val="28"/>
          <w:rtl w:val="true"/>
          <w:lang w:bidi="fa-IR"/>
        </w:rPr>
        <w:t>یخلو من إشکال</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 إذ الارتکازات مختلفة بحسب العادات والبلاد والأزمنة والفتاوی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الارتکاز معلول للعادات والفتاوی ونحوها، ولیس ارتکازاً متشرعیاً کاشفاً عن البیان الشرعی؛ ولذا جرت السیرة علی الخلاف کما سبق، مع أنه معارض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والإنکار للنظر من جهة الغیرة أو اللوازم المحرمة المصاحبة للنظر، لا مطلقاً علی ما سبق، فلاحظ</w:t>
      </w:r>
      <w:r>
        <w:rPr>
          <w:rFonts w:eastAsia="IRNazanin" w:cs="IRNazanin"/>
          <w:color w:val="111111"/>
          <w:sz w:val="28"/>
          <w:szCs w:val="28"/>
          <w:rtl w:val="true"/>
          <w:lang w:bidi="fa-IR"/>
        </w:rPr>
        <w:t>.</w:t>
      </w:r>
    </w:p>
    <w:p>
      <w:pPr>
        <w:pStyle w:val="Heading6"/>
        <w:numPr>
          <w:ilvl w:val="5"/>
          <w:numId w:val="1"/>
        </w:numPr>
        <w:rPr/>
      </w:pPr>
      <w:bookmarkStart w:id="753" w:name="__RefHeading___Toc2133786_237004111"/>
      <w:bookmarkStart w:id="754" w:name="_Toc293"/>
      <w:bookmarkEnd w:id="753"/>
      <w:r>
        <w:rPr>
          <w:rtl w:val="true"/>
        </w:rPr>
        <w:t>الدلیل الثامن عشر</w:t>
      </w:r>
      <w:r>
        <w:rPr>
          <w:rtl w:val="true"/>
        </w:rPr>
        <w:t xml:space="preserve">: </w:t>
      </w:r>
      <w:r>
        <w:rPr>
          <w:rtl w:val="true"/>
        </w:rPr>
        <w:t xml:space="preserve">اجتناب النبی والأئمة </w:t>
      </w:r>
      <w:r>
        <w:rPr>
          <w:rtl w:val="true"/>
        </w:rPr>
        <w:t>(</w:t>
      </w:r>
      <w:r>
        <w:rPr>
          <w:rtl w:val="true"/>
        </w:rPr>
        <w:t>علیهم السلام</w:t>
      </w:r>
      <w:r>
        <w:rPr>
          <w:rtl w:val="true"/>
        </w:rPr>
        <w:t xml:space="preserve">) </w:t>
      </w:r>
      <w:r>
        <w:rPr>
          <w:rtl w:val="true"/>
        </w:rPr>
        <w:t>واتباعهم عن النظر</w:t>
      </w:r>
      <w:bookmarkEnd w:id="754"/>
    </w:p>
    <w:p>
      <w:pPr>
        <w:pStyle w:val="BookText"/>
        <w:rPr/>
      </w:pPr>
      <w:r>
        <w:rPr>
          <w:rFonts w:ascii="IRNazanin" w:hAnsi="IRNazanin" w:eastAsia="IRNazanin"/>
          <w:color w:val="111111"/>
          <w:sz w:val="28"/>
          <w:sz w:val="28"/>
          <w:szCs w:val="28"/>
          <w:rtl w:val="true"/>
          <w:lang w:bidi="fa-IR"/>
        </w:rPr>
        <w:t>ما ذکره فی المهذب کمؤیّد،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والتابعین لهم بالاجتناب عن ذلک، نحو اجتنابهم عن سائر المحرمات</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الفعل لا یدل علی الوجوب، والترک لا یدل علی الحرمة</w:t>
      </w:r>
      <w:r>
        <w:rPr>
          <w:rFonts w:eastAsia="IRNazanin" w:cs="IRNazanin"/>
          <w:color w:val="111111"/>
          <w:sz w:val="28"/>
          <w:szCs w:val="28"/>
          <w:rtl w:val="true"/>
          <w:lang w:bidi="fa-IR"/>
        </w:rPr>
        <w:t>.</w:t>
      </w:r>
    </w:p>
    <w:p>
      <w:pPr>
        <w:pStyle w:val="Heading6"/>
        <w:numPr>
          <w:ilvl w:val="5"/>
          <w:numId w:val="1"/>
        </w:numPr>
        <w:rPr/>
      </w:pPr>
      <w:bookmarkStart w:id="755" w:name="__RefHeading___Toc2133788_237004111"/>
      <w:bookmarkStart w:id="756" w:name="_Toc294"/>
      <w:bookmarkEnd w:id="755"/>
      <w:r>
        <w:rPr>
          <w:rtl w:val="true"/>
        </w:rPr>
        <w:t>الدلیل التاسع عشر</w:t>
      </w:r>
      <w:r>
        <w:rPr>
          <w:rtl w:val="true"/>
        </w:rPr>
        <w:t xml:space="preserve">: </w:t>
      </w:r>
      <w:r>
        <w:rPr>
          <w:rtl w:val="true"/>
        </w:rPr>
        <w:t>معرفة المسلمین والمسلمات بالتستر</w:t>
      </w:r>
      <w:bookmarkEnd w:id="75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فی المهذب بعنوان المؤید،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أرباب سائر الأدیان السماویة، بل وغیرهم یعرفون المسلمین والمسلمات بهذه الخصیصة فی الأعصار السابقة، ویجعلون ذلک من شعار الإسلام</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 xml:space="preserve">). </w:t>
      </w:r>
      <w:bookmarkStart w:id="757" w:name="pg6289_42099"/>
    </w:p>
    <w:p>
      <w:pPr>
        <w:pStyle w:val="BookText"/>
        <w:rPr/>
      </w:pPr>
      <w:bookmarkEnd w:id="757"/>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أرید بمعرفة المسلمین بذلک کون کل متستر مسلماً أو متشرعاً،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سُلم لا یفید المدعی،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بذلک کون کل مسلم أو متشرع متستراً،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سیرة کثیر من المتشرعة علی کشف الوجه والکفین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المسلم أو المتشرع بالتستر لا یستلزم التساوی بین مفهوم المتشرع والمتستر؛ لإمکان کونه لازماً أخص، ومن الواضح أن وجود اللازم الأخص، وإن استلزم وجود الأعم، لکن انتفاءه لا یستلزم انتفاءه، فیمکن أن یکون وزان التستر وزان حف الشارب أو غسل الجمعة مثلاً، فإنه وإن عرف به المتشرع، لکن ذلک لا یستلزم الانتفاء عند الانتفاء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الکلام فی مسألة جعل ذلک من شعار الإسلام</w:t>
      </w:r>
      <w:r>
        <w:rPr>
          <w:rFonts w:eastAsia="IRNazanin" w:cs="IRNazanin"/>
          <w:color w:val="111111"/>
          <w:sz w:val="28"/>
          <w:szCs w:val="28"/>
          <w:rtl w:val="true"/>
          <w:lang w:bidi="fa-IR"/>
        </w:rPr>
        <w:t>.</w:t>
      </w:r>
    </w:p>
    <w:p>
      <w:pPr>
        <w:pStyle w:val="Heading6"/>
        <w:numPr>
          <w:ilvl w:val="5"/>
          <w:numId w:val="1"/>
        </w:numPr>
        <w:rPr/>
      </w:pPr>
      <w:bookmarkStart w:id="758" w:name="__RefHeading___Toc2133790_237004111"/>
      <w:bookmarkStart w:id="759" w:name="_Toc295"/>
      <w:bookmarkEnd w:id="758"/>
      <w:r>
        <w:rPr>
          <w:rtl w:val="true"/>
        </w:rPr>
        <w:t>الدلیل العشرون</w:t>
      </w:r>
      <w:r>
        <w:rPr>
          <w:rtl w:val="true"/>
        </w:rPr>
        <w:t xml:space="preserve">: </w:t>
      </w:r>
      <w:r>
        <w:rPr>
          <w:rtl w:val="true"/>
        </w:rPr>
        <w:t>ارتکاز کون النظر معصیة توجب التوبة</w:t>
      </w:r>
      <w:bookmarkEnd w:id="759"/>
    </w:p>
    <w:p>
      <w:pPr>
        <w:pStyle w:val="BookText"/>
        <w:rPr/>
      </w:pPr>
      <w:r>
        <w:rPr>
          <w:rFonts w:ascii="IRNazanin" w:hAnsi="IRNazanin" w:eastAsia="IRNazanin"/>
          <w:color w:val="111111"/>
          <w:sz w:val="28"/>
          <w:sz w:val="28"/>
          <w:szCs w:val="28"/>
          <w:rtl w:val="true"/>
          <w:lang w:bidi="fa-IR"/>
        </w:rPr>
        <w:t>ما ذکر فی المهذب بعنوان المؤید،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صحة التوبة بالنسبة إلی الناظرین والنظارات إلی الوجه والکفین، فیعلم من ذلک أنّ عده من المعصیة کان مرتکزاً فی الأذهان</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رجعنا إلی فطرة النساء عند إرادة التوبة عما ارتکبن من المحرمات یعدن</w:t>
      </w:r>
      <w:r>
        <w:rPr>
          <w:rFonts w:eastAsia="IRNazanin" w:cs="IRNazanin"/>
          <w:color w:val="111111"/>
          <w:sz w:val="28"/>
          <w:szCs w:val="28"/>
          <w:rtl w:val="true"/>
          <w:lang w:bidi="fa-IR"/>
        </w:rPr>
        <w:t>(</w:t>
      </w:r>
      <w:r>
        <w:rPr>
          <w:rStyle w:val="FootnoteAnchor"/>
          <w:rtl w:val="true"/>
        </w:rPr>
        <w:footnoteReference w:id="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منها، ویتبن من کشف وجوههن وأیدیهن أیضاً</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التوبة أنما هی من الملازمات المحرمة المصاحبة عادة للنظر أو الکشف، لا من نفسهما، أو لکون فتوی المقلد الحرمة لا مطلقاً؛ مع أن التوبة قد تکون من ارتکاب المکروه، بل قد تکون من فعل المباح، بل ربما تکون من ممارسة الضرورات التکوینیة الملازمة للوجود الإمکانی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الوالد فی فقه العقائد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وذلک مثل کلمات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قد یظهر منه الاعتراف بالمعصیة، بینما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معصومون قطعاً، ولا یعملون حتی ترک الأولی أیضاً، فالاعتراف إشارة إلی الأمر التکوینی من نقص الممکن ذاتاً، فإن الإنسان یرید بهذا الاعتراف أن یؤدی حق العبودیة، وأن یکمل ذلک النقص الإمکانی بالمقدار الممکن، مثله مثل من یأتی بالخبز الیابس والماء المالح لضیف عظیم فی حال کونه لا یملک غیرهما، فإنه یعتذر أشد الاعتذار من الضیف، مع أن عمله لیس حتی ترک الأولی الفاعلی، وإنما یشیر إلی ترک الأولی الفعلی، ویعتذر لسد النقص الذی لا یملک المعتذر فیه الکمال، وهکذا عمل الأنبیاء واعتذارت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قباله تعالی</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ذکرنا تفصیله فی غیر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التوبة لا تدل علی التحریم، بل هی أعم منه، وقد ورد فی الحدیث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وإنی لاستغفر الله فی کل یوم سبعین مرة</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الأدعیة المأثورة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اغفر لی کل ذنب أذنبته، وکل خطیئة </w:t>
      </w:r>
      <w:bookmarkStart w:id="760" w:name="pg6289_42101"/>
    </w:p>
    <w:p>
      <w:pPr>
        <w:pStyle w:val="BookText"/>
        <w:rPr/>
      </w:pPr>
      <w:bookmarkEnd w:id="760"/>
      <w:r>
        <w:rPr>
          <w:rFonts w:ascii="IRNazanin" w:hAnsi="IRNazanin" w:eastAsia="IRNazanin"/>
          <w:color w:val="111111"/>
          <w:sz w:val="28"/>
          <w:sz w:val="28"/>
          <w:szCs w:val="28"/>
          <w:rtl w:val="true"/>
          <w:lang w:bidi="fa-IR"/>
        </w:rPr>
        <w:t>أخطأتها</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الارتکاز فقد مضی البحث عنه</w:t>
      </w:r>
      <w:r>
        <w:rPr>
          <w:rFonts w:eastAsia="IRNazanin" w:cs="IRNazanin"/>
          <w:color w:val="111111"/>
          <w:sz w:val="28"/>
          <w:szCs w:val="28"/>
          <w:rtl w:val="true"/>
          <w:lang w:bidi="fa-IR"/>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1" w:name="__RefHeading___Toc2133792_237004111"/>
      <w:bookmarkStart w:id="762" w:name="_Toc296"/>
      <w:bookmarkEnd w:id="761"/>
      <w:r>
        <w:rPr>
          <w:rtl w:val="true"/>
        </w:rPr>
        <w:t>الدلیل الواحد والعشرون</w:t>
      </w:r>
      <w:r>
        <w:rPr>
          <w:rtl w:val="true"/>
        </w:rPr>
        <w:t xml:space="preserve">: </w:t>
      </w:r>
      <w:r>
        <w:rPr>
          <w:rtl w:val="true"/>
        </w:rPr>
        <w:t>قصور أدلة جواز النظر عن الدلالة</w:t>
      </w:r>
      <w:bookmarkEnd w:id="762"/>
    </w:p>
    <w:p>
      <w:pPr>
        <w:pStyle w:val="BookText"/>
        <w:rPr/>
      </w:pPr>
      <w:r>
        <w:rPr>
          <w:rFonts w:ascii="IRNazanin" w:hAnsi="IRNazanin" w:eastAsia="IRNazanin"/>
          <w:color w:val="111111"/>
          <w:sz w:val="28"/>
          <w:sz w:val="28"/>
          <w:szCs w:val="28"/>
          <w:rtl w:val="true"/>
          <w:lang w:bidi="fa-IR"/>
        </w:rPr>
        <w:t xml:space="preserve">ما ذکره فی المهذب بعنوان المؤیّد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 ما استدل به علی الجواز عن الدلالة علیه، کما یأتی، وإن ناقش العلماء فی ذلک فإنّ شأنهم المناقشة فی المسلمات فضلاً عن الأمور الاجتهادیة من الأحکام</w:t>
      </w:r>
      <w:r>
        <w:rPr>
          <w:rFonts w:eastAsia="IRNazanin" w:cs="IRNazanin"/>
          <w:color w:val="111111"/>
          <w:sz w:val="28"/>
          <w:szCs w:val="28"/>
          <w:rtl w:val="true"/>
          <w:lang w:bidi="fa-IR"/>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سلم فهو غیر فادح؛ لجریان أصالة البراءة أو استصحاب البراءة أو کلیهما معاً لو وصلت النوبة إلی الشک؛ إذ الجواز لا یحتاج إلی دلیل اجتهادی بخلاف المنع، وقد سبق الکلام فی ذلک</w:t>
      </w:r>
      <w:r>
        <w:rPr>
          <w:rFonts w:eastAsia="IRNazanin" w:cs="IRNazanin"/>
          <w:color w:val="111111"/>
          <w:sz w:val="28"/>
          <w:szCs w:val="28"/>
          <w:rtl w:val="true"/>
          <w:lang w:bidi="fa-IR"/>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3" w:name="__RefHeading___Toc2133794_237004111"/>
      <w:bookmarkStart w:id="764" w:name="_Toc297"/>
      <w:bookmarkEnd w:id="763"/>
      <w:r>
        <w:rPr>
          <w:rtl w:val="true"/>
        </w:rPr>
        <w:t>الدلیل الثانی والعشرون</w:t>
      </w:r>
      <w:r>
        <w:rPr>
          <w:rtl w:val="true"/>
        </w:rPr>
        <w:t xml:space="preserve">: </w:t>
      </w:r>
      <w:r>
        <w:rPr>
          <w:rtl w:val="true"/>
        </w:rPr>
        <w:t>تتبع الأخبار یؤذن بالمنع من النظر</w:t>
      </w:r>
      <w:bookmarkEnd w:id="764"/>
    </w:p>
    <w:p>
      <w:pPr>
        <w:pStyle w:val="BookText"/>
        <w:rPr/>
      </w:pPr>
      <w:r>
        <w:rPr>
          <w:rFonts w:ascii="IRNazanin" w:hAnsi="IRNazanin" w:eastAsia="IRNazanin"/>
          <w:color w:val="111111"/>
          <w:sz w:val="28"/>
          <w:sz w:val="28"/>
          <w:szCs w:val="28"/>
          <w:rtl w:val="true"/>
          <w:lang w:bidi="fa-IR"/>
        </w:rPr>
        <w:t>ما ذکره السید الخوئی،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تحصل من جمیع ما تلوناه علیک لحد الآن أنّ مقتضی الصناعة بالنظر إلی أدلة الباب نفسها بعد ضم بعضها إلی بعض، والتدبر فیما یقتضیه الجمع بین الأدلة هو اختیار القول بالجواز، کما ذهب إلیه شیخنا الأنصاری مصرّاً علیه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مع ذلک کله فی النفس منه شیء، والجزم به مشکل جداً، ولا مناص من الاحتیاط الوجوبی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فعله الماتن ونعم ما صنع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وذلک لما ثبت من تتبع الآثار واستقصاء الموارد المتفرقة من الأخبار اهتمام الشارع الأقدس بشأن الأعراض اهتماماً بلیغاً، بحیث یعلم من مذاقه التضییق فیما دون النظر، فضلاً عنه، والتشدید فی ناموس المسلمین بالنهی عما یخالفه تحریماً أو تنزیهاً، کما یفصح عنه نهیه عن خروجهن للجمعة والجماعات علی ما هی علیه من الفضل والمثوبات، وکذا النهی عن حضورهن لتشییع الجنائز، والمنع عن اختلاطهن مع الرجال فی الأسواق الوارد فی نهی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الکوفة عن ذلک، والنهی عن المحادثة معهن وسماع صوتهن، فیطمع الذی فی قلبه مرض، وعن تقبیل البنات بعد بلوغهن ست سنین، وعن التسلیم علی المرأة الشابة، حیث ورد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یسلم علیهن، وعن الجلوس فی مکان قامت عنه المرأة والحرارة بعد باقیة؛ لکونه مهیجاً للشهوة، إلی غیر ذلک من الموارد المتفرقة التی لا تخفی علی المتتبع، ومعه کیف یمکن الحکم بالجواز سیما أنّ الوجه مجمع الحسن، ومرکز الجمال، ومثار الفتنة والنظر إلیه من مزال الأقدام ومواقع الهلکة غالباً</w:t>
      </w:r>
      <w:r>
        <w:rPr>
          <w:rFonts w:eastAsia="IRNazanin" w:cs="IRNazanin"/>
          <w:color w:val="111111"/>
          <w:sz w:val="28"/>
          <w:szCs w:val="28"/>
          <w:rtl w:val="true"/>
          <w:lang w:bidi="fa-IR"/>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المهذب ذکر مجموعة من الموارد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 عی وعورة، فاستروا عیهن بالسکوت، واستروا عوراتهن بالبیوت،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تنزلوا النساء الغرف</w:t>
      </w:r>
      <w:r>
        <w:rPr>
          <w:rFonts w:eastAsia="IRNazanin" w:cs="IRNazanin"/>
          <w:color w:val="111111"/>
          <w:sz w:val="28"/>
          <w:szCs w:val="28"/>
          <w:rtl w:val="true"/>
          <w:lang w:bidi="fa-IR"/>
        </w:rPr>
        <w:t>(</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للنساء من سروات الطریق شیء، ولکن تمشی فی جانب الحائط والطریق، وقول </w:t>
      </w:r>
    </w:p>
    <w:p>
      <w:pPr>
        <w:pStyle w:val="BookText"/>
        <w:rPr/>
      </w:pP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صافح امرأة تحرم علیه فقد باء بسخط من الله،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فیما 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البیعة علی النساء أن لا یحتبین</w:t>
      </w:r>
      <w:r>
        <w:rPr>
          <w:rFonts w:eastAsia="IRNazanin" w:cs="IRNazanin"/>
          <w:color w:val="111111"/>
          <w:sz w:val="28"/>
          <w:szCs w:val="28"/>
          <w:rtl w:val="true"/>
          <w:lang w:bidi="fa-IR"/>
        </w:rPr>
        <w:t>(</w:t>
      </w:r>
      <w:r>
        <w:rPr>
          <w:rStyle w:val="FootnoteAnchor"/>
          <w:rtl w:val="true"/>
        </w:rPr>
        <w:footnoteReference w:id="8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یقعدن مع الرجال فی الخلاء</w:t>
      </w:r>
      <w:r>
        <w:rPr>
          <w:rFonts w:eastAsia="IRNazanin" w:cs="IRNazanin"/>
          <w:color w:val="111111"/>
          <w:sz w:val="28"/>
          <w:szCs w:val="28"/>
          <w:rtl w:val="true"/>
          <w:lang w:bidi="fa-IR"/>
        </w:rPr>
        <w:t>(</w:t>
      </w:r>
      <w:r>
        <w:rPr>
          <w:rStyle w:val="FootnoteAnchor"/>
          <w:rtl w:val="true"/>
        </w:rPr>
        <w:footnoteReference w:id="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یؤمن بالله والیوم الآخر فلا یبیت</w:t>
      </w:r>
      <w:r>
        <w:rPr>
          <w:rFonts w:eastAsia="IRNazanin" w:cs="IRNazanin"/>
          <w:color w:val="111111"/>
          <w:sz w:val="28"/>
          <w:szCs w:val="28"/>
          <w:rtl w:val="true"/>
          <w:lang w:bidi="fa-IR"/>
        </w:rPr>
        <w:t>(</w:t>
      </w:r>
      <w:r>
        <w:rPr>
          <w:rStyle w:val="FootnoteAnchor"/>
          <w:rtl w:val="true"/>
        </w:rPr>
        <w:footnoteReference w:id="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یسمع نفس امرأة لیست له بمحرم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یشهد له کیفیة بیعة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للنساء، فإنه لما بایع النساء وأخذ علیهن دعا بإناء، فملأه ثم غمس یده فی الإناء، ثم أخرجها ثم أمرهن أن یدخلن أیدهن فیغمسن فیه، إلی غیر ذلک مما لا یحصی</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التضییق فی ما دون النظر لا یستلزم التضییق فی نفس النظر؛ لإمکان وجود مفسدة فی تحریم النظر، أو وجود مصلحة راجحة أو مساویة لمفسدة التحریم تقتضی الحکم بالجواز، کمصلحة التسهیل مثلاً، وقد مضی بعض الکلام فی ذلک</w:t>
      </w:r>
      <w:r>
        <w:rPr>
          <w:rFonts w:eastAsia="IRNazanin" w:cs="IRNazanin"/>
          <w:color w:val="111111"/>
          <w:sz w:val="28"/>
          <w:szCs w:val="28"/>
          <w:rtl w:val="true"/>
          <w:lang w:bidi="fa-IR"/>
        </w:rPr>
        <w:t>(</w:t>
      </w:r>
      <w:r>
        <w:rPr>
          <w:rStyle w:val="FootnoteAnchor"/>
          <w:rtl w:val="true"/>
        </w:rPr>
        <w:footnoteReference w:id="8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فرض عدم کفایة الاحتمال فی المقام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تجویز الشارع للنظر یکشف کشفاً إنّیاً عن وجود المفسدة المزبورة، أو وجود المصلحة المذکورة، وقد اعترف السید الخوئی</w:t>
      </w:r>
      <w:r>
        <w:rPr>
          <w:rFonts w:eastAsia="IRNazanin" w:cs="IRNazanin"/>
          <w:color w:val="111111"/>
          <w:sz w:val="28"/>
          <w:szCs w:val="28"/>
          <w:rtl w:val="true"/>
          <w:lang w:bidi="fa-IR"/>
        </w:rPr>
        <w:t>(</w:t>
      </w: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بدلالة صحیحة علی بن سوید علی جواز النظر، کما مضی تفصیل الکلام فی سائر الأدلة فی أدلة القول بالجواز، فراجع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 ذکر دال علی عکس المطلوب، حیث إنها تثبت الکراهة فی منتهی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الأخبار وإن حملها الأصحاب علی الآداب فی الجملة، ولکن لا شک فی إمکان استفادة الأصل المزبور منها</w:t>
      </w:r>
      <w:r>
        <w:rPr>
          <w:rFonts w:eastAsia="IRNazanin" w:cs="IRNazanin"/>
          <w:color w:val="111111"/>
          <w:sz w:val="28"/>
          <w:szCs w:val="28"/>
          <w:rtl w:val="true"/>
          <w:lang w:bidi="fa-IR"/>
        </w:rPr>
        <w:t>»(</w:t>
      </w:r>
      <w:r>
        <w:rPr>
          <w:rStyle w:val="FootnoteAnchor"/>
          <w:rtl w:val="true"/>
        </w:rPr>
        <w:footnoteReference w:id="8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کانت هذه الموارد مقطوعة الحرمة لدلّت علی جواز ما نحن فیه، فالشارع الذی یهتم بأمر المرأة حتی یحرم جعل یدها فی إناء جعل الرجل یده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لم یقل حتی مرة واحدة یحرم النظر إلی وجه المرأة وکفیها؟</w:t>
      </w:r>
    </w:p>
    <w:p>
      <w:pPr>
        <w:pStyle w:val="BookText"/>
        <w:rPr/>
      </w:pPr>
      <w:r>
        <w:rPr>
          <w:rFonts w:ascii="Amiri" w:hAnsi="Amiri" w:eastAsia="Amiri" w:cs="Amiri"/>
          <w:color w:val="111111"/>
          <w:sz w:val="28"/>
          <w:sz w:val="28"/>
          <w:szCs w:val="28"/>
          <w:rtl w:val="true"/>
          <w:lang w:bidi="ar-SA"/>
        </w:rPr>
        <w:t>فإنه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لِّلْمُؤْمِنِینَ یَغُضُّوا مِنْ أَبْصَارِهِمْ</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هذا الدلیل فی حد ذاته لا المطلقات، والأدلة السابقة الدالة علی الجواز، فکیف لم ینص الشارع حتی فی مورد واحد علی وجوب ستر الوجه مع اهتمامه؟ فهذا یدل علی جواز کشف الوجه وإلا لبین، ولو کان لبان، خاصة مع ملاحظة الموارد المذکورة التی فرضنا دلالتها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قابل للتأمل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الشارع احتاط کثیراً فی قضیة المرأة، ونحن نؤمن بالاحتیاط، بل نقول للمؤمنین أن لا یفکروا فی الحرام، بل لا یتصوروه</w:t>
      </w:r>
      <w:r>
        <w:rPr>
          <w:rFonts w:eastAsia="IRNazanin" w:cs="IRNazanin"/>
          <w:color w:val="111111"/>
          <w:sz w:val="28"/>
          <w:szCs w:val="28"/>
          <w:rtl w:val="true"/>
          <w:lang w:bidi="fa-IR"/>
        </w:rPr>
        <w:t xml:space="preserve">. </w:t>
      </w:r>
      <w:bookmarkStart w:id="765" w:name="pg6289_42105"/>
    </w:p>
    <w:p>
      <w:pPr>
        <w:pStyle w:val="BookText"/>
        <w:rPr/>
      </w:pPr>
      <w:bookmarkEnd w:id="765"/>
      <w:r>
        <w:rPr>
          <w:rFonts w:ascii="IRNazanin" w:hAnsi="IRNazanin" w:eastAsia="IRNazanin"/>
          <w:color w:val="111111"/>
          <w:sz w:val="28"/>
          <w:sz w:val="28"/>
          <w:szCs w:val="28"/>
          <w:rtl w:val="true"/>
          <w:lang w:bidi="fa-IR"/>
        </w:rPr>
        <w:t xml:space="preserve">وقد کان من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لهذه الأجواء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یحرم النظر، لکنه لم یحرمه لمفسدة فی التحریم، کما لو أراد ابن الشخص أن یأکل شیئاً یضره، وأراد الأب أن ینهاه، لکنه یلاحظ أنه لو شدد علیه انفلت منه، ولأجل ذلک أباحه له، وکذا الشارع، إما لمصلحة التسهیل أو لمصالح أخری أباح النظر</w:t>
      </w:r>
      <w:r>
        <w:rPr>
          <w:rFonts w:eastAsia="IRNazanin" w:cs="IRNazanin"/>
          <w:color w:val="111111"/>
          <w:sz w:val="28"/>
          <w:szCs w:val="28"/>
          <w:rtl w:val="true"/>
          <w:lang w:bidi="fa-IR"/>
        </w:rPr>
        <w:t>.</w:t>
      </w:r>
    </w:p>
    <w:p>
      <w:pPr>
        <w:pStyle w:val="Heading6"/>
        <w:numPr>
          <w:ilvl w:val="5"/>
          <w:numId w:val="1"/>
        </w:numPr>
        <w:rPr/>
      </w:pPr>
      <w:bookmarkStart w:id="766" w:name="__RefHeading___Toc2133796_237004111"/>
      <w:bookmarkStart w:id="767" w:name="_Toc298"/>
      <w:bookmarkEnd w:id="766"/>
      <w:r>
        <w:rPr>
          <w:rtl w:val="true"/>
        </w:rPr>
        <w:t>الدلیل الثالث والعشرون</w:t>
      </w:r>
      <w:r>
        <w:rPr>
          <w:rtl w:val="true"/>
        </w:rPr>
        <w:t xml:space="preserve">: </w:t>
      </w:r>
      <w:r>
        <w:rPr>
          <w:rtl w:val="true"/>
        </w:rPr>
        <w:t>لو کان جواز النظر ثابتاً لکان من الواضحات المشهورات</w:t>
      </w:r>
      <w:bookmarkEnd w:id="767"/>
    </w:p>
    <w:p>
      <w:pPr>
        <w:pStyle w:val="BookText"/>
        <w:rPr/>
      </w:pPr>
      <w:r>
        <w:rPr>
          <w:rFonts w:ascii="IRNazanin" w:hAnsi="IRNazanin" w:eastAsia="IRNazanin"/>
          <w:color w:val="111111"/>
          <w:sz w:val="28"/>
          <w:sz w:val="28"/>
          <w:szCs w:val="28"/>
          <w:rtl w:val="true"/>
          <w:lang w:bidi="fa-IR"/>
        </w:rPr>
        <w:t>ما ذکره السید الخوئی،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أنه لو کان الجواز ثابتاً فی مثل هذه المسألة الکثیرة الدوران لکان من الواضحات المشهورات، مع أنه لم ینقل القول به صریحاً من المتقدمین، إلا الشیخ الطوسی وبعض من تبعه من المتأخرین</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عکس الدلیل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التحریم ثابتاً فی مثل هذه المسألة الکثیرة الدوران لکان من الواضحات المشهورات، مع أنه لم ینقل القول به صریحاً من المتقدمین إلا عن ابن البراج وابن إدریس، بل 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 إلی ندرة القول بالمنع مطلقاً؛ لعدم نقله إلا عن التذکرة وفخر الدین</w:t>
      </w:r>
      <w:r>
        <w:rPr>
          <w:rFonts w:eastAsia="IRNazanin" w:cs="IRNazanin"/>
          <w:color w:val="111111"/>
          <w:sz w:val="28"/>
          <w:szCs w:val="28"/>
          <w:rtl w:val="true"/>
          <w:lang w:bidi="fa-IR"/>
        </w:rPr>
        <w:t>(</w:t>
      </w:r>
      <w:r>
        <w:rPr>
          <w:rStyle w:val="FootnoteAnchor"/>
          <w:rtl w:val="true"/>
        </w:rPr>
        <w:footnoteReference w:id="8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مال إلیه بعض من تأخر عنهما</w:t>
      </w:r>
      <w:r>
        <w:rPr>
          <w:rFonts w:eastAsia="IRNazanin" w:cs="IRNazanin"/>
          <w:color w:val="111111"/>
          <w:sz w:val="28"/>
          <w:szCs w:val="28"/>
          <w:rtl w:val="true"/>
          <w:lang w:bidi="fa-IR"/>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عبارة ابن البراج وابن إدریس هو التحریم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أنه مضی القول بالجواز من الکلینی فی الکافی، ویبعد تفرده علی </w:t>
      </w:r>
    </w:p>
    <w:p>
      <w:pPr>
        <w:pStyle w:val="BookText"/>
        <w:rPr/>
      </w:pPr>
      <w:r>
        <w:rPr>
          <w:rFonts w:ascii="IRNazanin" w:hAnsi="IRNazanin" w:eastAsia="IRNazanin"/>
          <w:color w:val="111111"/>
          <w:sz w:val="28"/>
          <w:sz w:val="28"/>
          <w:szCs w:val="28"/>
          <w:rtl w:val="true"/>
          <w:lang w:bidi="fa-IR"/>
        </w:rPr>
        <w:t>خلاف مَن تقدمه أو عاصره بهذه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عقد فی الکافی باباً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یحل النظر إلیه من المرأة</w:t>
      </w:r>
      <w:r>
        <w:rPr>
          <w:rFonts w:eastAsia="IRNazanin" w:cs="IRNazanin"/>
          <w:color w:val="111111"/>
          <w:sz w:val="28"/>
          <w:szCs w:val="28"/>
          <w:rtl w:val="true"/>
          <w:lang w:bidi="fa-IR"/>
        </w:rPr>
        <w:t>)(</w:t>
      </w:r>
      <w:r>
        <w:rPr>
          <w:rStyle w:val="FootnoteAnchor"/>
          <w:rtl w:val="true"/>
        </w:rPr>
        <w:footnoteReference w:id="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ذکر فیه مجموعة من الروایات تدل علی جواز النظر إلی الوجه والکفین والکحل والخاتم وما أشبه، بضمیمة ما فی مقدمة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تحب أن یکون عندک کتاب کافٍ یجمع من جمیع فنون علم الدین ما یکتفی به المتعلم ویرجع إلیه المسترشد، ویأخذ منه من یرید علم الدین والعمل به بالآثار الصحیحة عن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والسنن القائمة التی علیها العمل وبها یؤدی فرض الله عزّ وجلّ وسنة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ذلک رجوت أن یکون ذلک سبباً یتدارک الله تعالی بمعونته وتوفیقه إخواننا وأهل ملتنا، ویقبل بهم إلی مراشدهم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یسر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ما سألت، وأرجو أن یکون بحیث توخیت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بما فیه فی دهرنا هذا وفی غابره إلی انقضاء الدنیا</w:t>
      </w:r>
      <w:r>
        <w:rPr>
          <w:rFonts w:eastAsia="IRNazanin" w:cs="IRNazanin"/>
          <w:color w:val="111111"/>
          <w:sz w:val="28"/>
          <w:szCs w:val="28"/>
          <w:rtl w:val="true"/>
          <w:lang w:bidi="fa-IR"/>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الشیخ الطوسی فی الخلاف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ظَهَرَ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والکفان</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المحقق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المرأة الحرة فجسدها عورة خلا الوجه، بإجماع علماء الإسلام، 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جسد المرأة عورة، وکذا الکفان عند علمائنا، وبه قال مالک والشافعی، وقال الخُرفی من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عورة، لنا أنّ العادة ظهورهما للأخذ والعطاء، فلم یکونا من العورة، ولما روی عن ابن </w:t>
      </w:r>
      <w:bookmarkStart w:id="768" w:name="pg6289_42107"/>
    </w:p>
    <w:p>
      <w:pPr>
        <w:pStyle w:val="BookText"/>
        <w:rPr/>
      </w:pPr>
      <w:bookmarkEnd w:id="768"/>
      <w:r>
        <w:rPr>
          <w:rFonts w:ascii="Amiri" w:hAnsi="Amiri" w:eastAsia="Amiri" w:cs="Amiri"/>
          <w:color w:val="111111"/>
          <w:sz w:val="28"/>
          <w:sz w:val="28"/>
          <w:szCs w:val="28"/>
          <w:rtl w:val="true"/>
          <w:lang w:bidi="ar-SA"/>
        </w:rPr>
        <w:t xml:space="preserve">عباس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یُبْدِینَ زِینَتَهُنَّ 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الوجه والکفان</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هذه العبارة قویة جداً تدل علی إجماع علماء الشیعة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الوجه والکفین لیسا بعورة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هنالک شبهة،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العبارة المذکورة فی الصلاة لا النکاح، فهل یظهر منها أنّ العورة الصلاتیة هی العورة فی غیرها؟ ففی العبارة نوع من الغموض، لا أقل من کشفها عن رأی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ادعی صاحب الریاض</w:t>
      </w:r>
      <w:r>
        <w:rPr>
          <w:rFonts w:eastAsia="IRNazanin" w:cs="IRNazanin"/>
          <w:color w:val="111111"/>
          <w:sz w:val="28"/>
          <w:szCs w:val="28"/>
          <w:rtl w:val="true"/>
          <w:lang w:bidi="fa-IR"/>
        </w:rPr>
        <w:t>(</w:t>
      </w: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ندرة القول بالمنع مطلقاً، وادعی أیضاً</w:t>
      </w:r>
      <w:r>
        <w:rPr>
          <w:rFonts w:eastAsia="IRNazanin" w:cs="IRNazanin"/>
          <w:color w:val="111111"/>
          <w:sz w:val="28"/>
          <w:szCs w:val="28"/>
          <w:rtl w:val="true"/>
          <w:lang w:bidi="fa-IR"/>
        </w:rPr>
        <w:t>(</w:t>
      </w:r>
      <w:r>
        <w:rPr>
          <w:rStyle w:val="FootnoteAnchor"/>
          <w:rtl w:val="true"/>
        </w:rPr>
        <w:footnoteReference w:id="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 أدلة القول بالجواز بالشهرة فی الجملة الظاهرة والمحکیة،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بحیث ذهب الأکثر إلی حلّه فی الجملة أو مطلقاً</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مضی ذکر أسماء مجموعة من الفقهاء أفتوا بالجواز فراجع</w:t>
      </w:r>
      <w:r>
        <w:rPr>
          <w:rFonts w:eastAsia="IRNazanin" w:cs="IRNazanin"/>
          <w:color w:val="111111"/>
          <w:sz w:val="28"/>
          <w:szCs w:val="28"/>
          <w:rtl w:val="true"/>
          <w:lang w:bidi="fa-IR"/>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إلی أنّ شهرة القول بالتحریم بین المتقدمین دلیل من الأدلة، ویمکن أن یعارض الدلیل دلیل أقوی منه، کما فی مسألة منزوحات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السیرة الخارجیة تدل علی وضوح الجواز کما سبق</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9" w:name="__RefHeading___Toc2133798_237004111"/>
      <w:bookmarkStart w:id="770" w:name="_Toc299"/>
      <w:bookmarkEnd w:id="769"/>
      <w:r>
        <w:rPr>
          <w:rtl w:val="true"/>
        </w:rPr>
        <w:t>الدلیل الرابع والعشرون</w:t>
      </w:r>
      <w:r>
        <w:rPr>
          <w:rtl w:val="true"/>
        </w:rPr>
        <w:t xml:space="preserve">: </w:t>
      </w:r>
      <w:r>
        <w:rPr>
          <w:rtl w:val="true"/>
        </w:rPr>
        <w:t>الشهرة بین القدماء</w:t>
      </w:r>
      <w:bookmarkEnd w:id="77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فی المسائل الفقهیة،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یبعد دعوی أنّ المشهور بین </w:t>
      </w:r>
    </w:p>
    <w:p>
      <w:pPr>
        <w:pStyle w:val="BookText"/>
        <w:rPr/>
      </w:pPr>
      <w:r>
        <w:rPr>
          <w:rFonts w:ascii="IRNazanin" w:hAnsi="IRNazanin" w:eastAsia="IRNazanin"/>
          <w:color w:val="111111"/>
          <w:sz w:val="28"/>
          <w:sz w:val="28"/>
          <w:szCs w:val="28"/>
          <w:rtl w:val="true"/>
          <w:lang w:bidi="fa-IR"/>
        </w:rPr>
        <w:t xml:space="preserve">القدماء عدم الجواز، وهذا یکشف إما عن کون الأمر کان کذلک إلی زمان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 فهمهم من الأخبار ذلک، ولا یجوز لنا أن نتعدی عما فهموه؛ لأنهم أهل الاطلاع واللغة، ومن البعید أن تخفی علیهم هذه المسألة التی هی محل الابتلاء عندهم</w:t>
      </w:r>
      <w:r>
        <w:rPr>
          <w:rFonts w:eastAsia="IRNazanin" w:cs="IRNazanin"/>
          <w:color w:val="111111"/>
          <w:sz w:val="28"/>
          <w:szCs w:val="28"/>
          <w:rtl w:val="true"/>
          <w:lang w:bidi="fa-IR"/>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بعض عباراتهم،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المفید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أراد الرجل أن یعقد علی امرأة فلا حرج علیه أن ینظر إلی وجهها قبل العقد، ویری یدیها بارزة من الثوب، وینظر إلیها ماشیة فی ثیابها، وإذا أراد ابتیاع أمة نظر إلی وجهها وشعر رأسها، ولا یحل له أن ینظر إلی وجه امرأة لیست له بمحرم لیتلذذ بذلک دون أن یراها للعقد علیها، ولا یجوز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أمة لا یملکها؛ للتلذذ برؤیتها من غیر عزم علی ذلک لابتیاعها، ولا بأس بالنظر إلی وجوه نساء أهل الکتاب وشعورهن؛ لأنهن بمنزلة الإماء، ولا یجوز النظر إلی ذلک منهنّ لریبة</w:t>
      </w:r>
      <w:r>
        <w:rPr>
          <w:rFonts w:eastAsia="IRNazanin" w:cs="IRNazanin"/>
          <w:color w:val="111111"/>
          <w:sz w:val="28"/>
          <w:szCs w:val="28"/>
          <w:rtl w:val="true"/>
          <w:lang w:bidi="fa-IR"/>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والعبارة غیر صریحة فی الفتوی بالتحریم؛ وذلک لاحتمال إرادة انتفاء جواز النظر إلی المجموع المرکب عند الانتفاء، وقد سبق نظیره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لیتلذذ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بخلاف المطلوب، فإنه لو لم یکن فرق بین التلذذ وعدمه لم یکن وجه لتقییده بذلک، مع أنه کتاب فتوی، لا أقل من إجمال العبارة وغموضها، فلا یمکن نسبة الفتوی بحرمة النظر إلی </w:t>
      </w:r>
    </w:p>
    <w:p>
      <w:pPr>
        <w:pStyle w:val="BookText"/>
        <w:rPr/>
      </w:pPr>
      <w:r>
        <w:rPr>
          <w:rFonts w:ascii="IRNazanin" w:hAnsi="IRNazanin" w:eastAsia="IRNazanin"/>
          <w:color w:val="111111"/>
          <w:sz w:val="28"/>
          <w:sz w:val="28"/>
          <w:szCs w:val="28"/>
          <w:rtl w:val="true"/>
          <w:lang w:bidi="fa-IR"/>
        </w:rPr>
        <w:t>الوجه والکفین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أن العبارة صریحة فی فتواه فی التحریم، وعلی فرض کونه صریحاً لم تحصل به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الصلاح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أراد نکاح امرأة جاز له أن ینظر إلی وجهها وبدنها وماشیة فی ثیابها</w:t>
      </w:r>
      <w:r>
        <w:rPr>
          <w:rFonts w:eastAsia="IRNazanin" w:cs="IRNazanin"/>
          <w:color w:val="111111"/>
          <w:sz w:val="28"/>
          <w:szCs w:val="28"/>
          <w:rtl w:val="true"/>
          <w:lang w:bidi="fa-IR"/>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زهرة فی الغنیة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ویجوز لمن أراد نکاح امرأة أن ینظر إلی وجهها وکفیها بدلیل إجماع الطائفة</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حمزة فی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أراد أن یملک بامرأة جاز له النظر إلی محاسنها ومشیها وجسدها فوق الثیاب</w:t>
      </w:r>
      <w:r>
        <w:rPr>
          <w:rFonts w:eastAsia="IRNazanin" w:cs="IRNazanin"/>
          <w:color w:val="111111"/>
          <w:sz w:val="28"/>
          <w:szCs w:val="28"/>
          <w:rtl w:val="true"/>
          <w:lang w:bidi="fa-IR"/>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هذه العبارات لا تدل علی المدعی، حیث لا مفهوم لها، وعلی فرضه لا تدل علی انعقاد الإجماع علیه، بل علی الجانب الإیجابی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هنالک عبارتان تدلان علی المدعی ظاهراً،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البراج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ویجوز للرجل النظر إلی وجه المرأة التی یرید العقد علیها وإلی محاسنها وجسمها من فوق ثیابها، فإن لم یکن مریداً للعقد علیها لم یجز له شیء من ذلک</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إدریس فی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یجوز للرجل الأجنبی من المرأة أن </w:t>
      </w:r>
    </w:p>
    <w:p>
      <w:pPr>
        <w:pStyle w:val="BookText"/>
        <w:rPr/>
      </w:pPr>
      <w:r>
        <w:rPr>
          <w:rFonts w:ascii="IRNazanin" w:hAnsi="IRNazanin" w:eastAsia="IRNazanin"/>
          <w:color w:val="111111"/>
          <w:sz w:val="28"/>
          <w:sz w:val="28"/>
          <w:szCs w:val="28"/>
          <w:rtl w:val="true"/>
          <w:lang w:bidi="fa-IR"/>
        </w:rPr>
        <w:t>ینظر إلیها مختاراً، فأما النظر لضرورة أو حاجة فجائز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والحاجة مثل أن یتحمل شهادة علی امرأة فله أن ینظر وجهها من غیر ریبة لیعرفها ویحققها، وکذلک لو کانت بینه وبینها معاملة أو مبایعة فیعرف وجهها لیعلم من التی یعطیها الثمن إن کانت بائعة، أو المثمن إن کانت مبتاعة، ومثل الحاکم إذا حکم علیها، فإنه یری وجهها لیعرفها ویجلیها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نظر إلی جملتها یرید أن یتزوجها فعندنا یجوز أن ینظر إلی وجهها وکفیها فحسب</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صریحاً فی الإجماع، بل یحتمل إردة أنه کذلک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ذلک أنّ ظاهر کلام ابن إدریس وابن البراج دال علی المدعی، وإذا ضم إلیهما ما ذکره المفید وأبو الصلاح الحلبی وابن زهرة وابن حمزة صار المجموع ستة، فهل هی ناهضة لإثبات الشهرة بین المتقدمین؟ خاصة مع ملاحظة فتوی الشیخ الطوسی بالجواز فی التفسیر والمبسوط والخلاف، وکذا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صاحب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الفقیه الذی یعتنی بکلامه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ادعی ندرة القول بالتحریم، ولم یعرف إلا عن التذکرة، وهو من المتأخرین، وقد ذهب الأکثر إلی حلیته فی الجملة أو مطلقاً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فرض أنها دلت علی الشهرة بین المتقدمین، ولم یکن القول الآخر مشهوراً، فتأتی المناقشات الصغرویة التی مرّت فی الدلیل الثالث والعشرین، حیث یمکن أن یرفع الید عنها لدلیل أقوی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ولعله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فی ثلاثة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مسبوقة بنقل أقوال العامة أو ملحوقة به، وفی هذا المورد یکون لها ظهور فی دعوی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مسبوقة بنقل أقوال الخاصة أو ملحوقة به، وفی هذا المورد تکون ظاهرة فی إبداء النظر الاجتهادی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تستعمل مجردة، وفی هذا المورد یحتمل الأمران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یثبت عندنا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المجردة حقیقة اصطلاحیة خاصة، فتبقی علی معناها اللغوی المحتمل للأمرین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بعض العبارات عن ابن إدریس تکشف عن استخداماته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w:t>
      </w:r>
      <w:r>
        <w:rPr>
          <w:rFonts w:eastAsia="IRNazanin" w:cs="IRNazanin"/>
          <w:color w:val="111111"/>
          <w:sz w:val="28"/>
          <w:szCs w:val="28"/>
          <w:rtl w:val="true"/>
          <w:lang w:bidi="fa-IR"/>
        </w:rPr>
        <w:t>(</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بالشرائع عندنا، وعند الأکثر من العلماء</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مذهب شیخنا المفید محمد بن محمد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والأول مذهب أبی جعفر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قلنا ما عندنا فی ذلک وحققناه، وهو أنها إن کانت لها عادة مستقیمة مستمرة فمذهب شیخنا أبی جعفر وقوله صحیح</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السید المرتضی فی 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فاتته صلاة الکسوف وجب علیه قضاؤها، إن کان قرص المنکسف احترق کله، فإن کان إنما احترق بعضه فلا یجب علیه القضاء، وقد روی وجوب القضاء علی کل </w:t>
      </w:r>
    </w:p>
    <w:p>
      <w:pPr>
        <w:pStyle w:val="BookText"/>
        <w:rPr/>
      </w:pPr>
      <w:r>
        <w:rPr>
          <w:rFonts w:ascii="IRNazanin" w:hAnsi="IRNazanin" w:eastAsia="IRNazanin"/>
          <w:color w:val="111111"/>
          <w:sz w:val="28"/>
          <w:sz w:val="28"/>
          <w:szCs w:val="28"/>
          <w:rtl w:val="true"/>
          <w:lang w:bidi="fa-IR"/>
        </w:rPr>
        <w:t>حال، والأول أظهر، 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تعمد ترک هذه الصلاة وجب علیه مع القضاء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قلنا ما عندنا فی ذلک من القضاء وغیره، فلا وجه لإعادته</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وسیأتی الکلام فی باب المغمی علیه، ونذکر ما عندنا فی ذلک واختلاف أصحابنا فیه</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یقوم به بعضهم، فیسقط عن الباقین، فقد قلنا فیما تقدم ما عندنا فیه، 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کانوا إناثاً لم یلزمهن القضاء، فنعم ما قال، وذهب إلیه، فإنه الصحیح من الأقوال، وذهب شیخنا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خلاف ذلک</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ذکرنا ما عندنا فی ذلک، وتکلمنا علیه قبل هذا، والذی ذهب إلیه شیخنا أخیرا هو الصحیح</w:t>
      </w:r>
      <w:r>
        <w:rPr>
          <w:rFonts w:eastAsia="IRNazanin" w:cs="IRNazanin"/>
          <w:color w:val="111111"/>
          <w:sz w:val="28"/>
          <w:szCs w:val="28"/>
          <w:rtl w:val="true"/>
          <w:lang w:bidi="fa-IR"/>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العبارة التی نقلناها فی المقام لم یذکر الخلاف لا قبلها ولا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فالمدعی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مجملة فلا تدل علی شهرة ذلک عند القدماء</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 السید الرجائی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وقوله عندنا یدل علی شهرة ذلک عند الإمامیة، فلا یبعد دعوی أن المشهور بین القدماء عدم الجواز</w:t>
      </w:r>
      <w:r>
        <w:rPr>
          <w:rFonts w:eastAsia="IRNazanin" w:cs="IRNazanin"/>
          <w:color w:val="111111"/>
          <w:sz w:val="28"/>
          <w:szCs w:val="28"/>
          <w:rtl w:val="true"/>
          <w:lang w:bidi="fa-IR"/>
        </w:rPr>
        <w:t>»(</w:t>
      </w:r>
      <w:r>
        <w:rPr>
          <w:rStyle w:val="FootnoteAnchor"/>
          <w:rtl w:val="true"/>
        </w:rPr>
        <w:footnoteReference w:id="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 xml:space="preserve">. </w:t>
      </w:r>
      <w:bookmarkStart w:id="771" w:name="pg6289_42113"/>
    </w:p>
    <w:p>
      <w:pPr>
        <w:pStyle w:val="BookText"/>
        <w:rPr/>
      </w:pPr>
      <w:bookmarkEnd w:id="771"/>
      <w:r>
        <w:rPr>
          <w:rFonts w:ascii="IRNazanin" w:hAnsi="IRNazanin" w:eastAsia="IRNazanin"/>
          <w:color w:val="111111"/>
          <w:sz w:val="28"/>
          <w:sz w:val="28"/>
          <w:szCs w:val="28"/>
          <w:rtl w:val="true"/>
          <w:lang w:bidi="fa-IR"/>
        </w:rPr>
        <w:t>ثم إنه لو فرض ظهور العبارة فی دعوی الشهرة عورضت بدعوی الریاض الندرة، کما تقدّم قبل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عدم نهوضها بإثبات شهرة المتقدمین کفت دلالتها علی الشهرة بین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الفقیه الهمدانی فی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 ماء البئر بمجرد الملاقاة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معارضة إجماعاتهم المنقولة والشهرة المحققة بما هو أقوی منها فی إفادة الوثوق، وهی الشهرة بین المتأخرین ونقل إجماعهم علیه؛ لأنّ إعراضهم عن طریقة القدماء وهدمهم ما أسسوه مع شدة اهتمامهم فی تصحیح مطالب السابقین کاشف عن أنّ بنیانهم لیس علی أصل أصیل</w:t>
      </w:r>
      <w:r>
        <w:rPr>
          <w:rFonts w:eastAsia="IRNazanin" w:cs="IRNazanin"/>
          <w:color w:val="111111"/>
          <w:sz w:val="28"/>
          <w:szCs w:val="28"/>
          <w:rtl w:val="true"/>
          <w:lang w:bidi="fa-IR"/>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فهنالک بحث فی تعارض شهرة المتقدمین والمتأخرین، فقد ذهب البعض إلی تقدیم الأول؛ لأنهم کانوا أقرب إلی عهد الروایات، وذهب آخرون إلی تقدیم الثانی؛ لأنهم أدق، وقد اجتمعت الأدلة عندهم بعد أن کانت الکتب متفرقة عند المتقدمین، منتهی الأمر التکافؤ بینهما فتتعارض الشهرتان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ما سبق من إمکان رفع الید عن شهرة القدماء بدلیل أقوی منها</w:t>
      </w:r>
      <w:r>
        <w:rPr>
          <w:rFonts w:eastAsia="IRNazanin" w:cs="IRNazanin"/>
          <w:color w:val="111111"/>
          <w:sz w:val="28"/>
          <w:szCs w:val="28"/>
          <w:rtl w:val="true"/>
          <w:lang w:bidi="fa-IR"/>
        </w:rPr>
        <w:t>.</w:t>
      </w:r>
    </w:p>
    <w:p>
      <w:pPr>
        <w:pStyle w:val="Heading6"/>
        <w:numPr>
          <w:ilvl w:val="5"/>
          <w:numId w:val="1"/>
        </w:numPr>
        <w:rPr/>
      </w:pPr>
      <w:bookmarkStart w:id="772" w:name="__RefHeading___Toc2133800_237004111"/>
      <w:bookmarkStart w:id="773" w:name="_Toc300"/>
      <w:bookmarkEnd w:id="772"/>
      <w:r>
        <w:rPr>
          <w:rtl w:val="true"/>
        </w:rPr>
        <w:t>الدلیل الخامس والعشرون</w:t>
      </w:r>
      <w:r>
        <w:rPr>
          <w:rtl w:val="true"/>
        </w:rPr>
        <w:t xml:space="preserve">: </w:t>
      </w:r>
      <w:r>
        <w:rPr>
          <w:rtl w:val="true"/>
        </w:rPr>
        <w:t>الروایات الدالة علی حبس النساء فی البیوت</w:t>
      </w:r>
      <w:bookmarkEnd w:id="77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دل من الروایات علی حبسهن فی البیوت، ذکره فی المسائل الفقهیة</w:t>
      </w:r>
      <w:r>
        <w:rPr>
          <w:rFonts w:eastAsia="IRNazanin" w:cs="IRNazanin"/>
          <w:color w:val="111111"/>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الروایات ضعیفة السند بأجمعها</w:t>
      </w:r>
      <w:r>
        <w:rPr>
          <w:rFonts w:eastAsia="IRNazanin" w:cs="IRNazanin"/>
          <w:color w:val="111111"/>
          <w:sz w:val="28"/>
          <w:szCs w:val="28"/>
          <w:rtl w:val="true"/>
          <w:lang w:bidi="fa-IR"/>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حواء من آدم، فهمة النساء الرجال، فحصنوهن فی البیوت</w:t>
      </w:r>
      <w:r>
        <w:rPr>
          <w:rFonts w:eastAsia="IRNazanin" w:cs="IRNazanin"/>
          <w:color w:val="111111"/>
          <w:sz w:val="28"/>
          <w:szCs w:val="28"/>
          <w:rtl w:val="true"/>
          <w:lang w:bidi="fa-IR"/>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مجهول بعبد الله بن محمّد، وهو مشترک، وعبد الرحمان بن سیابة، ولم تثبت 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آدم من الماء والطین، فهمة ابن آدم فی الماء والطین، وخلق حواء من آدم، فهمة النساء فی الرجال</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قطع النظر عن مشکلة التعلیق فهو مرویٌّ عن الواسطی، وهو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المرأة خلقت من الرجل، وإنما همتها فی الرجال، فاحبسوا نساءکم، وإن الرجل خلق من الأرض، وإنما همته فی الأرض</w:t>
      </w:r>
      <w:r>
        <w:rPr>
          <w:rFonts w:eastAsia="IRNazanin" w:cs="IRNazanin"/>
          <w:color w:val="111111"/>
          <w:sz w:val="28"/>
          <w:szCs w:val="28"/>
          <w:rtl w:val="true"/>
          <w:lang w:bidi="fa-IR"/>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إشکال فی السند إلا غیاث بن أبی إبراهیم، وفی نسخة غیاث بن </w:t>
      </w:r>
    </w:p>
    <w:p>
      <w:pPr>
        <w:pStyle w:val="BookText"/>
        <w:rPr/>
      </w:pPr>
      <w:r>
        <w:rPr>
          <w:rFonts w:ascii="IRNazanin" w:hAnsi="IRNazanin" w:eastAsia="IRNazanin"/>
          <w:color w:val="111111"/>
          <w:sz w:val="28"/>
          <w:sz w:val="28"/>
          <w:szCs w:val="28"/>
          <w:rtl w:val="true"/>
          <w:lang w:bidi="fa-IR"/>
        </w:rPr>
        <w:t>إبراهیم، وهو ثقة لکن الأوّل غیر مذکور فی الرجال، فهل یمکن إثبات اتحادهما؟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خلق الرجال من الأرض وإنما همهم فی الأرض، وخلقت المرأة من الرجال، وإنما همها فی الرجال، احبسوا نساءکم یا معاشر الرجال</w:t>
      </w:r>
      <w:r>
        <w:rPr>
          <w:rFonts w:eastAsia="IRNazanin" w:cs="IRNazanin"/>
          <w:color w:val="111111"/>
          <w:sz w:val="28"/>
          <w:szCs w:val="28"/>
          <w:rtl w:val="true"/>
          <w:lang w:bidi="fa-IR"/>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ضعیفة بوهب بن وهب، وهو من أکذب البریة</w:t>
      </w:r>
      <w:r>
        <w:rPr>
          <w:rFonts w:eastAsia="IRNazanin" w:cs="IRNazanin"/>
          <w:color w:val="111111"/>
          <w:sz w:val="28"/>
          <w:szCs w:val="28"/>
          <w:rtl w:val="true"/>
          <w:lang w:bidi="fa-IR"/>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وهناک روایات أخری فی الباب تحت رقم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وکلها إما ضعیفة أو مجهولة</w:t>
      </w:r>
      <w:r>
        <w:rPr>
          <w:rFonts w:eastAsia="IRNazanin" w:cs="IRNazanin"/>
          <w:color w:val="111111"/>
          <w:sz w:val="28"/>
          <w:szCs w:val="28"/>
          <w:rtl w:val="true"/>
          <w:lang w:bidi="fa-IR"/>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دفع إشکال ضعف السند بوجود بعض الروایات المعتبرة مذکورة فی أبواب أخری تفید هذا المعنی، ففی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عن أبیه، عن ابن أبی عمیر، عن هشام بن سالم،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عیٌّ وعورة، فاستروا العورات بالبیوت، واستروا العی بالسکوت</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شک فی کونه حکماً أخلاقیاً، ولم نرَ مَن أفتی بوجوب الحبس کما أنّ سیرة المتشرعة جاریة علی عدمه، فلا یستفاد منه حکم إلزامی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مرآة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ویدل علی لزوم منعهن من </w:t>
      </w:r>
      <w:bookmarkStart w:id="774" w:name="pg6289_42116"/>
    </w:p>
    <w:p>
      <w:pPr>
        <w:pStyle w:val="BookText"/>
        <w:rPr/>
      </w:pPr>
      <w:bookmarkEnd w:id="774"/>
      <w:r>
        <w:rPr>
          <w:rFonts w:ascii="IRNazanin" w:hAnsi="IRNazanin" w:eastAsia="IRNazanin"/>
          <w:color w:val="111111"/>
          <w:sz w:val="28"/>
          <w:sz w:val="28"/>
          <w:szCs w:val="28"/>
          <w:rtl w:val="true"/>
          <w:lang w:bidi="fa-IR"/>
        </w:rPr>
        <w:t>الخروج عن البیوت من غیر ضرورة إمّا وجوباً مع خوف الفتنة، أو نظرهن إلی الرجال علی تقدیر حرمته، واستحباباً فی غیر تلک الصورة</w:t>
      </w:r>
      <w:r>
        <w:rPr>
          <w:rFonts w:eastAsia="IRNazanin" w:cs="IRNazanin"/>
          <w:color w:val="111111"/>
          <w:sz w:val="28"/>
          <w:szCs w:val="28"/>
          <w:rtl w:val="true"/>
          <w:lang w:bidi="fa-IR"/>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 الحبس والکشف والنظر عموماً من وجه، فالحبس لا ینافی الکشف والنظر، کما لو زار المرأة فی البیت شخص أجنبی ونظر إلی وجهها، وکما لو احتوی البیت الواحد علی العوائل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الجمع بین ما دل علی جواز الکشف والنظر وهذه الروایات حمل هذه الروایات علی الأفضلیة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جریان بعض الأجوبة المتقدمة فی المقام أیضاً</w:t>
      </w:r>
      <w:r>
        <w:rPr>
          <w:rFonts w:eastAsia="IRNazanin" w:cs="IRNazanin"/>
          <w:color w:val="111111"/>
          <w:sz w:val="28"/>
          <w:szCs w:val="28"/>
          <w:rtl w:val="true"/>
          <w:lang w:bidi="fa-IR"/>
        </w:rPr>
        <w:t>.</w:t>
      </w:r>
    </w:p>
    <w:p>
      <w:pPr>
        <w:pStyle w:val="Heading6"/>
        <w:numPr>
          <w:ilvl w:val="5"/>
          <w:numId w:val="1"/>
        </w:numPr>
        <w:rPr/>
      </w:pPr>
      <w:bookmarkStart w:id="775" w:name="__RefHeading___Toc2133802_237004111"/>
      <w:bookmarkStart w:id="776" w:name="_Toc301"/>
      <w:bookmarkEnd w:id="775"/>
      <w:r>
        <w:rPr>
          <w:rtl w:val="true"/>
        </w:rPr>
        <w:t>الدلیل السادس والعشرون</w:t>
      </w:r>
      <w:r>
        <w:rPr>
          <w:rtl w:val="true"/>
        </w:rPr>
        <w:t xml:space="preserve">: </w:t>
      </w:r>
      <w:r>
        <w:rPr>
          <w:rtl w:val="true"/>
        </w:rPr>
        <w:t>الروایات الدالة علی أن المرأة عورة</w:t>
      </w:r>
      <w:bookmarkEnd w:id="776"/>
    </w:p>
    <w:p>
      <w:pPr>
        <w:pStyle w:val="BookText"/>
        <w:rPr/>
      </w:pPr>
      <w:r>
        <w:rPr>
          <w:rFonts w:ascii="IRNazanin" w:hAnsi="IRNazanin" w:eastAsia="IRNazanin"/>
          <w:color w:val="111111"/>
          <w:sz w:val="28"/>
          <w:sz w:val="28"/>
          <w:szCs w:val="28"/>
          <w:rtl w:val="true"/>
          <w:lang w:bidi="fa-IR"/>
        </w:rPr>
        <w:t>ما دل من الروایات علی أنّ المرأة 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 بسند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عن أبیه، عن ابن أبی عمیر، عن هشام بن سالم،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 عی وعورة، فاستروا العورات بالبیوت، واستروا العی بالسکوت</w:t>
      </w:r>
      <w:r>
        <w:rPr>
          <w:rFonts w:eastAsia="IRNazanin" w:cs="IRNazanin"/>
          <w:color w:val="111111"/>
          <w:sz w:val="28"/>
          <w:szCs w:val="28"/>
          <w:rtl w:val="true"/>
          <w:lang w:bidi="fa-IR"/>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أیضاً بسند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عن أحمد بن أبی عبد الله، عن عثمان بن عیسی، عن سماعة،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الله فی الضعیفین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بذلک الیتیم والنساء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هن عورة</w:t>
      </w:r>
      <w:r>
        <w:rPr>
          <w:rFonts w:eastAsia="IRNazanin" w:cs="IRNazanin"/>
          <w:color w:val="111111"/>
          <w:sz w:val="28"/>
          <w:szCs w:val="28"/>
          <w:rtl w:val="true"/>
          <w:lang w:bidi="fa-IR"/>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إلی غیرهما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المجلسی فی المرآة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العجز عن البیان، أی لا یمکنهن التکلم بما ینبغی فی أکثر المواطن، فاسعوا إلی سکوتهن لئلا یظهر منهن ما تکرهونه، فالمراد بالسکوت سکوتهن، ویحتمل أن یکون المراد سکوت الرجال المخاطبین، وعدم التکلم معهن؛ لئلا یتکلمن بما یؤذیهم</w:t>
      </w:r>
      <w:r>
        <w:rPr>
          <w:rFonts w:eastAsia="IRNazanin" w:cs="IRNazanin"/>
          <w:color w:val="111111"/>
          <w:sz w:val="28"/>
          <w:szCs w:val="28"/>
          <w:rtl w:val="true"/>
          <w:lang w:bidi="fa-IR"/>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التنزیل یقتضی ترتیب جمیع أحکام المنزّل علیه علی المنزّل، أو أظهر الأحکام، وحیث إنّ أظهر أحکام العورة وجوب الستر وحرمة النظر یجب علی المرأة ستر جمیع جسدها، ویحرم النظر إلی جمیع جسدها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العورة فی اللغة عبارة عما یستحیی منه وینبغی ستره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عورة، وهی کل ما یستحیا منه إذا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عورة، جعلها نفسها عورة لأنها إذا ظهرت یستحیا منها کما یستحیا من العورة إذا ظهرت</w:t>
      </w:r>
      <w:r>
        <w:rPr>
          <w:rFonts w:eastAsia="IRNazanin" w:cs="IRNazanin"/>
          <w:color w:val="111111"/>
          <w:sz w:val="28"/>
          <w:szCs w:val="28"/>
          <w:rtl w:val="true"/>
          <w:lang w:bidi="fa-IR"/>
        </w:rPr>
        <w:t>»(</w:t>
      </w:r>
      <w:r>
        <w:rPr>
          <w:rStyle w:val="FootnoteAnchor"/>
          <w:rtl w:val="true"/>
        </w:rPr>
        <w:footnoteReference w:id="9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ما فی المصباح المنیر</w:t>
      </w:r>
      <w:r>
        <w:rPr>
          <w:rFonts w:eastAsia="IRNazanin" w:cs="IRNazanin"/>
          <w:color w:val="111111"/>
          <w:sz w:val="28"/>
          <w:szCs w:val="28"/>
          <w:rtl w:val="true"/>
          <w:lang w:bidi="fa-IR"/>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یَقُولُونَ إِنَّ بُیُوتَنَا عَوْرَةٌ وَمَا هِیَ بِعَوْرَةٍ</w:t>
      </w:r>
      <w:r>
        <w:rPr>
          <w:rFonts w:eastAsia="Amiri" w:cs="Amiri" w:ascii="Amiri" w:hAnsi="Amiri"/>
          <w:color w:val="111111"/>
          <w:sz w:val="28"/>
          <w:szCs w:val="28"/>
          <w:rtl w:val="true"/>
          <w:lang w:bidi="ar-SA"/>
        </w:rPr>
        <w:t>}(</w:t>
      </w:r>
      <w:r>
        <w:rPr>
          <w:rStyle w:val="FootnoteAnchor"/>
          <w:rtl w:val="true"/>
        </w:rPr>
        <w:footnoteReference w:id="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والأصل بقاء اللفظ علی معناه اللغوی وعدم نقله إلی معنی جدید</w:t>
      </w:r>
      <w:r>
        <w:rPr>
          <w:rFonts w:eastAsia="IRNazanin" w:cs="IRNazanin"/>
          <w:color w:val="111111"/>
          <w:sz w:val="28"/>
          <w:szCs w:val="28"/>
          <w:rtl w:val="true"/>
          <w:lang w:bidi="fa-IR"/>
        </w:rPr>
        <w:t xml:space="preserve">. </w:t>
      </w:r>
      <w:bookmarkStart w:id="777" w:name="pg6289_42118"/>
    </w:p>
    <w:p>
      <w:pPr>
        <w:pStyle w:val="BookText"/>
        <w:rPr/>
      </w:pPr>
      <w:bookmarkEnd w:id="777"/>
      <w:r>
        <w:rPr>
          <w:rFonts w:ascii="IRNazanin" w:hAnsi="IRNazanin" w:eastAsia="IRNazanin"/>
          <w:color w:val="111111"/>
          <w:sz w:val="28"/>
          <w:sz w:val="28"/>
          <w:szCs w:val="28"/>
          <w:rtl w:val="true"/>
          <w:lang w:bidi="fa-IR"/>
        </w:rPr>
        <w:t>وهنالک روایات کثیرة تذکر فیها کلمة العورة بهذا المعنی مرویة فی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یدل دلیل علی وجوب ستر کل 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فرض وقوع الاشتراک بین المعنیین لم یمکن الاستدلال بهذه الأحادیث فی المقام لطروء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 نقل اللفظ للمعنی الجدید، وهجر المعنی القدیم فالظاهر إرادة المعنی اللغوی؛ لأنه المنساق من هذه الأخبار، ولو علی نحو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العورة وإن أرید بها معناها اللغوی لا معناها الاصطلاحی، إلا أنه ورد الأمر بسترها فی الصحیحة، وإن لم یرد الأمر فی الموثقة، والأمر ظاهر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سلم النقل فظاهره التنزیل المقتضی لترتیب کل الآثار أو أظهرها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شک فی کونه حکماً أخلاقیاً، فلا یستفاد منه حکم إلزامی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تخصیص هذه الروایات بأدلة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جریان بعض الأجوبة المتقدمة فی المقام أیضاً</w:t>
      </w:r>
      <w:r>
        <w:rPr>
          <w:rFonts w:eastAsia="IRNazanin" w:cs="IRNazanin"/>
          <w:color w:val="111111"/>
          <w:sz w:val="28"/>
          <w:szCs w:val="28"/>
          <w:rtl w:val="true"/>
          <w:lang w:bidi="fa-IR"/>
        </w:rPr>
        <w:t>.</w:t>
      </w:r>
    </w:p>
    <w:p>
      <w:pPr>
        <w:pStyle w:val="Heading6"/>
        <w:numPr>
          <w:ilvl w:val="5"/>
          <w:numId w:val="1"/>
        </w:numPr>
        <w:rPr/>
      </w:pPr>
      <w:bookmarkStart w:id="778" w:name="__RefHeading___Toc2133804_237004111"/>
      <w:bookmarkStart w:id="779" w:name="_Toc302"/>
      <w:bookmarkEnd w:id="778"/>
      <w:r>
        <w:rPr>
          <w:rtl w:val="true"/>
        </w:rPr>
        <w:t>الدلیل السابع والعشرون</w:t>
      </w:r>
      <w:r>
        <w:rPr>
          <w:rtl w:val="true"/>
        </w:rPr>
        <w:t xml:space="preserve">: </w:t>
      </w:r>
      <w:r>
        <w:rPr>
          <w:rtl w:val="true"/>
        </w:rPr>
        <w:t>الروایات الدالة علی وجوب الستر حال الإحرام</w:t>
      </w:r>
      <w:bookmarkEnd w:id="77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دل علی وجوب الستر فی حالة الإحرام، استدل بذلک فی المسائل الفقهیة</w:t>
      </w:r>
      <w:r>
        <w:rPr>
          <w:rFonts w:eastAsia="IRNazanin" w:cs="IRNazanin"/>
          <w:color w:val="111111"/>
          <w:sz w:val="28"/>
          <w:szCs w:val="28"/>
          <w:rtl w:val="true"/>
          <w:lang w:bidi="fa-IR"/>
        </w:rPr>
        <w:t>(</w:t>
      </w:r>
      <w:r>
        <w:rPr>
          <w:rStyle w:val="FootnoteAnchor"/>
          <w:rtl w:val="true"/>
        </w:rPr>
        <w:footnoteReference w:id="9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کقول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المحرمة تسدل الثوب علی وجهها إلی </w:t>
      </w:r>
      <w:bookmarkStart w:id="780" w:name="pg6289_42119"/>
    </w:p>
    <w:p>
      <w:pPr>
        <w:pStyle w:val="BookText"/>
        <w:rPr/>
      </w:pPr>
      <w:bookmarkEnd w:id="780"/>
      <w:r>
        <w:rPr>
          <w:rFonts w:ascii="IRNazanin" w:hAnsi="IRNazanin" w:eastAsia="IRNazanin"/>
          <w:color w:val="111111"/>
          <w:sz w:val="28"/>
          <w:sz w:val="28"/>
          <w:szCs w:val="28"/>
          <w:rtl w:val="true"/>
          <w:lang w:bidi="fa-IR"/>
        </w:rPr>
        <w:t>الذقن</w:t>
      </w:r>
      <w:r>
        <w:rPr>
          <w:rFonts w:eastAsia="IRNazanin" w:cs="IRNazanin"/>
          <w:color w:val="111111"/>
          <w:sz w:val="28"/>
          <w:szCs w:val="28"/>
          <w:rtl w:val="true"/>
          <w:lang w:bidi="fa-IR"/>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خبریة، فتفید الوجوب علی المعروف</w:t>
      </w:r>
      <w:r>
        <w:rPr>
          <w:rFonts w:eastAsia="IRNazanin" w:cs="IRNazanin"/>
          <w:color w:val="111111"/>
          <w:sz w:val="28"/>
          <w:szCs w:val="28"/>
          <w:rtl w:val="true"/>
          <w:lang w:bidi="fa-IR"/>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وردت فی مقام توهم الحظر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یمکن الإشکال فی الجواب بأنه وإن تمَّ فی بعض روایات الباب لا یتم فی بعضها الآخر، مثل ما رواه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سماعة،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عن المحرمة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مرّ بها رجل استترت منه بثوبها، ولا تستتر بیدها من الشمس</w:t>
      </w:r>
      <w:r>
        <w:rPr>
          <w:rFonts w:eastAsia="IRNazanin" w:cs="IRNazanin"/>
          <w:color w:val="111111"/>
          <w:sz w:val="28"/>
          <w:szCs w:val="28"/>
          <w:rtl w:val="true"/>
          <w:lang w:bidi="fa-IR"/>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تأتّی الجواب السابق یمکن حمله علی الأفضلیة بقرینة الأدلة المجوزة، علی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جریان بعض الأجوبة المتقدمة فی المقام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بعض الکلام فی ذلک</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1" w:name="__RefHeading___Toc2133806_237004111"/>
      <w:bookmarkStart w:id="782" w:name="_Toc303"/>
      <w:bookmarkEnd w:id="781"/>
      <w:r>
        <w:rPr>
          <w:rtl w:val="true"/>
        </w:rPr>
        <w:t>الدلیل الثامن والعشرون</w:t>
      </w:r>
      <w:r>
        <w:rPr>
          <w:rtl w:val="true"/>
        </w:rPr>
        <w:t xml:space="preserve">: </w:t>
      </w:r>
      <w:r>
        <w:rPr>
          <w:rtl w:val="true"/>
        </w:rPr>
        <w:t>الوجدان</w:t>
      </w:r>
      <w:bookmarkEnd w:id="782"/>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کل من رجع إلی وجدان کل ذی غیرة من العقلاء الذین یعتنون بعرضهم من جمیع أرباب الملل والأدیان یجد فی فطرة </w:t>
      </w:r>
      <w:bookmarkStart w:id="783" w:name="pg6289_42120"/>
    </w:p>
    <w:p>
      <w:pPr>
        <w:pStyle w:val="BookText"/>
        <w:rPr/>
      </w:pPr>
      <w:bookmarkEnd w:id="783"/>
      <w:r>
        <w:rPr>
          <w:rFonts w:ascii="IRNazanin" w:hAnsi="IRNazanin" w:eastAsia="IRNazanin"/>
          <w:color w:val="111111"/>
          <w:sz w:val="28"/>
          <w:sz w:val="28"/>
          <w:szCs w:val="28"/>
          <w:rtl w:val="true"/>
          <w:lang w:bidi="fa-IR"/>
        </w:rPr>
        <w:t>عقولهم أصالة العورتیة فی المرأة مطلقاً، إلا ما نصت الشریعة المقدسة علی الخلاف، والله جلّ جلاله غیور، ومن غیرته أنه حرم الفواحش کما فی الحدیث، فأصالة الستر فی النساء وجدانی لکل ذی فطرة سلیمة، یرجع إلی فطرته مع التفاته إلی تحفظ العرض، وهذا الأصل الفطری یکفی فی اعتباره عدم ثبوت الردع عنه</w:t>
      </w:r>
      <w:r>
        <w:rPr>
          <w:rFonts w:eastAsia="IRNazanin" w:cs="IRNazanin"/>
          <w:color w:val="111111"/>
          <w:sz w:val="28"/>
          <w:szCs w:val="28"/>
          <w:rtl w:val="true"/>
          <w:lang w:bidi="fa-IR"/>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إصالة العورتیة باعتبار اللوازم، أو باعتبار معرضیة النظر للفتنة والفساد، لا باعتبار ذاته، مع أنّ هذا الملاک یمکن أن یکون مزاحماً عند العقلاء بملاک مساوٍ أو أقوی،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ثبوت الردع عن هذا الأصل بالأدلة السابقة</w:t>
      </w:r>
      <w:r>
        <w:rPr>
          <w:rFonts w:eastAsia="IRNazanin" w:cs="IRNazanin"/>
          <w:color w:val="111111"/>
          <w:sz w:val="28"/>
          <w:szCs w:val="28"/>
          <w:rtl w:val="true"/>
          <w:lang w:bidi="fa-IR"/>
        </w:rPr>
        <w:t>.</w:t>
      </w:r>
    </w:p>
    <w:p>
      <w:pPr>
        <w:pStyle w:val="Heading5"/>
        <w:numPr>
          <w:ilvl w:val="4"/>
          <w:numId w:val="1"/>
        </w:numPr>
        <w:rPr/>
      </w:pPr>
      <w:bookmarkStart w:id="784" w:name="__RefHeading___Toc2133808_237004111"/>
      <w:bookmarkStart w:id="785" w:name="_Toc304"/>
      <w:bookmarkEnd w:id="784"/>
      <w:r>
        <w:rPr>
          <w:rtl w:val="true"/>
        </w:rPr>
        <w:t>القول الثالث</w:t>
      </w:r>
      <w:r>
        <w:rPr>
          <w:rtl w:val="true"/>
        </w:rPr>
        <w:t xml:space="preserve">: </w:t>
      </w:r>
      <w:r>
        <w:rPr>
          <w:rtl w:val="true"/>
        </w:rPr>
        <w:t>التفصیل بین النظرة الأولی وغیرها</w:t>
      </w:r>
      <w:bookmarkEnd w:id="785"/>
    </w:p>
    <w:p>
      <w:pPr>
        <w:pStyle w:val="Heading6"/>
        <w:numPr>
          <w:ilvl w:val="5"/>
          <w:numId w:val="1"/>
        </w:numPr>
        <w:rPr/>
      </w:pPr>
      <w:bookmarkStart w:id="786" w:name="__RefHeading___Toc2133810_237004111"/>
      <w:bookmarkStart w:id="787" w:name="_Toc305"/>
      <w:bookmarkEnd w:id="786"/>
      <w:r>
        <w:rPr>
          <w:rtl w:val="true"/>
        </w:rPr>
        <w:t>اشارة</w:t>
      </w:r>
      <w:bookmarkEnd w:id="787"/>
    </w:p>
    <w:p>
      <w:pPr>
        <w:pStyle w:val="BookText"/>
        <w:rPr/>
      </w:pPr>
      <w:r>
        <w:rPr>
          <w:rFonts w:ascii="IRNazanin" w:hAnsi="IRNazanin" w:eastAsia="IRNazanin"/>
          <w:color w:val="111111"/>
          <w:sz w:val="28"/>
          <w:sz w:val="28"/>
          <w:szCs w:val="28"/>
          <w:rtl w:val="true"/>
          <w:lang w:bidi="fa-IR"/>
        </w:rPr>
        <w:t>أما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التفصیل بین النظرة الأولی فتجوز، وغیرها فلا تجوز، وهو اختیار المحقق الحلی فی الشرائع</w:t>
      </w:r>
      <w:r>
        <w:rPr>
          <w:rFonts w:eastAsia="IRNazanin" w:cs="IRNazanin"/>
          <w:color w:val="111111"/>
          <w:sz w:val="28"/>
          <w:szCs w:val="28"/>
          <w:rtl w:val="true"/>
          <w:lang w:bidi="fa-IR"/>
        </w:rPr>
        <w:t>(</w:t>
      </w:r>
      <w:r>
        <w:rPr>
          <w:rStyle w:val="FootnoteAnchor"/>
          <w:rtl w:val="true"/>
        </w:rPr>
        <w:footnoteReference w:id="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والعلامة فی أکثر کتبه</w:t>
      </w:r>
      <w:r>
        <w:rPr>
          <w:rFonts w:eastAsia="IRNazanin" w:cs="IRNazanin"/>
          <w:color w:val="111111"/>
          <w:sz w:val="28"/>
          <w:szCs w:val="28"/>
          <w:rtl w:val="true"/>
          <w:lang w:bidi="fa-IR"/>
        </w:rPr>
        <w:t>(</w:t>
      </w:r>
      <w:r>
        <w:rPr>
          <w:rStyle w:val="FootnoteAnchor"/>
          <w:rtl w:val="true"/>
        </w:rPr>
        <w:footnoteReference w:id="9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والشهیدین فی اللمعة والروضة</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8" w:name="__RefHeading___Toc2133812_237004111"/>
      <w:bookmarkStart w:id="789" w:name="_Toc306"/>
      <w:bookmarkEnd w:id="788"/>
      <w:r>
        <w:rPr>
          <w:rtl w:val="true"/>
        </w:rPr>
        <w:t>أدلة القول الثالث</w:t>
      </w:r>
      <w:bookmarkEnd w:id="789"/>
    </w:p>
    <w:p>
      <w:pPr>
        <w:pStyle w:val="Heading6"/>
        <w:numPr>
          <w:ilvl w:val="5"/>
          <w:numId w:val="1"/>
        </w:numPr>
        <w:rPr/>
      </w:pPr>
      <w:bookmarkStart w:id="790" w:name="__RefHeading___Toc2133814_237004111"/>
      <w:bookmarkStart w:id="791" w:name="_Toc307"/>
      <w:bookmarkEnd w:id="790"/>
      <w:r>
        <w:rPr>
          <w:rtl w:val="true"/>
        </w:rPr>
        <w:t>اشارة</w:t>
      </w:r>
      <w:bookmarkEnd w:id="79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علی هذا القول بأدلة</w:t>
      </w:r>
      <w:r>
        <w:rPr>
          <w:rFonts w:eastAsia="IRNazanin" w:cs="IRNazanin"/>
          <w:color w:val="111111"/>
          <w:sz w:val="28"/>
          <w:szCs w:val="28"/>
          <w:rtl w:val="true"/>
          <w:lang w:bidi="fa-IR"/>
        </w:rPr>
        <w:t xml:space="preserve">: </w:t>
      </w:r>
      <w:bookmarkStart w:id="792" w:name="pg6289_42121"/>
    </w:p>
    <w:p>
      <w:pPr>
        <w:pStyle w:val="Heading6"/>
        <w:numPr>
          <w:ilvl w:val="5"/>
          <w:numId w:val="1"/>
        </w:numPr>
        <w:rPr/>
      </w:pPr>
      <w:bookmarkStart w:id="793" w:name="__RefHeading___Toc2133816_237004111"/>
      <w:bookmarkStart w:id="794" w:name="_Toc308"/>
      <w:bookmarkEnd w:id="792"/>
      <w:bookmarkEnd w:id="793"/>
      <w:r>
        <w:rPr>
          <w:rtl w:val="true"/>
        </w:rPr>
        <w:t>الدلیل الأول</w:t>
      </w:r>
      <w:r>
        <w:rPr>
          <w:rtl w:val="true"/>
        </w:rPr>
        <w:t xml:space="preserve">: </w:t>
      </w:r>
      <w:r>
        <w:rPr>
          <w:rtl w:val="true"/>
        </w:rPr>
        <w:t>المنساق من أدلة الجواز هو المرة الأولی</w:t>
      </w:r>
      <w:bookmarkEnd w:id="794"/>
    </w:p>
    <w:p>
      <w:pPr>
        <w:pStyle w:val="BookText"/>
        <w:rPr/>
      </w:pPr>
      <w:r>
        <w:rPr>
          <w:rFonts w:ascii="IRNazanin" w:hAnsi="IRNazanin" w:eastAsia="IRNazanin"/>
          <w:color w:val="111111"/>
          <w:sz w:val="28"/>
          <w:sz w:val="28"/>
          <w:szCs w:val="28"/>
          <w:rtl w:val="true"/>
          <w:lang w:bidi="fa-IR"/>
        </w:rPr>
        <w:t>ما ذکره فی المهذب،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لانّ المنساق من أدلة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تمامیة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هو المرة الأولی دون غیرها</w:t>
      </w:r>
      <w:r>
        <w:rPr>
          <w:rFonts w:eastAsia="IRNazanin" w:cs="IRNazanin"/>
          <w:color w:val="111111"/>
          <w:sz w:val="28"/>
          <w:szCs w:val="28"/>
          <w:rtl w:val="true"/>
          <w:lang w:bidi="fa-IR"/>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 لمکان الإطلاق فی تلک الأدلة</w:t>
      </w:r>
      <w:r>
        <w:rPr>
          <w:rFonts w:eastAsia="IRNazanin" w:cs="IRNazanin"/>
          <w:color w:val="111111"/>
          <w:sz w:val="28"/>
          <w:szCs w:val="28"/>
          <w:rtl w:val="true"/>
          <w:lang w:bidi="fa-IR"/>
        </w:rPr>
        <w:t>.</w:t>
      </w:r>
    </w:p>
    <w:p>
      <w:pPr>
        <w:pStyle w:val="Heading6"/>
        <w:numPr>
          <w:ilvl w:val="5"/>
          <w:numId w:val="1"/>
        </w:numPr>
        <w:rPr/>
      </w:pPr>
      <w:bookmarkStart w:id="795" w:name="__RefHeading___Toc2133818_237004111"/>
      <w:bookmarkStart w:id="796" w:name="_Toc309"/>
      <w:bookmarkEnd w:id="795"/>
      <w:r>
        <w:rPr>
          <w:rtl w:val="true"/>
        </w:rPr>
        <w:t>الدلیل الثانی</w:t>
      </w:r>
      <w:r>
        <w:rPr>
          <w:rtl w:val="true"/>
        </w:rPr>
        <w:t xml:space="preserve">: </w:t>
      </w:r>
      <w:r>
        <w:rPr>
          <w:rtl w:val="true"/>
        </w:rPr>
        <w:t>استنکار المتشرعة للمرة الثانیة</w:t>
      </w:r>
      <w:bookmarkEnd w:id="796"/>
    </w:p>
    <w:p>
      <w:pPr>
        <w:pStyle w:val="BookText"/>
        <w:rPr/>
      </w:pPr>
      <w:r>
        <w:rPr>
          <w:rFonts w:ascii="IRNazanin" w:hAnsi="IRNazanin" w:eastAsia="IRNazanin"/>
          <w:color w:val="111111"/>
          <w:sz w:val="28"/>
          <w:sz w:val="28"/>
          <w:szCs w:val="28"/>
          <w:rtl w:val="true"/>
          <w:lang w:bidi="fa-IR"/>
        </w:rPr>
        <w:t>ما ذکره فیه أیضاً،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ویشهد له استنکار المتشرعة للأولی فضلاً عن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حتّی الفساق یستنکرون ذلک من أهل الإیمان والدین، فضلاً عن المتشرعات والمتشرعین</w:t>
      </w:r>
      <w:r>
        <w:rPr>
          <w:rFonts w:eastAsia="IRNazanin" w:cs="IRNazanin"/>
          <w:color w:val="111111"/>
          <w:sz w:val="28"/>
          <w:szCs w:val="28"/>
          <w:rtl w:val="true"/>
          <w:lang w:bidi="fa-IR"/>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 إذ الاستنکار للوازم ونحوها علی ما تقدم</w:t>
      </w:r>
      <w:r>
        <w:rPr>
          <w:rFonts w:eastAsia="IRNazanin" w:cs="IRNazanin"/>
          <w:color w:val="111111"/>
          <w:sz w:val="28"/>
          <w:szCs w:val="28"/>
          <w:rtl w:val="true"/>
          <w:lang w:bidi="fa-IR"/>
        </w:rPr>
        <w:t>.</w:t>
      </w:r>
    </w:p>
    <w:p>
      <w:pPr>
        <w:pStyle w:val="Heading6"/>
        <w:numPr>
          <w:ilvl w:val="5"/>
          <w:numId w:val="1"/>
        </w:numPr>
        <w:rPr/>
      </w:pPr>
      <w:bookmarkStart w:id="797" w:name="__RefHeading___Toc2133820_237004111"/>
      <w:bookmarkStart w:id="798" w:name="_Toc310"/>
      <w:bookmarkEnd w:id="797"/>
      <w:r>
        <w:rPr>
          <w:rtl w:val="true"/>
        </w:rPr>
        <w:t>الدلیل الثالث</w:t>
      </w:r>
      <w:r>
        <w:rPr>
          <w:rtl w:val="true"/>
        </w:rPr>
        <w:t xml:space="preserve">: </w:t>
      </w:r>
      <w:r>
        <w:rPr>
          <w:rtl w:val="true"/>
        </w:rPr>
        <w:t>الروایات الواردة فی جواز النظرة الأولی</w:t>
      </w:r>
      <w:bookmarkEnd w:id="798"/>
    </w:p>
    <w:p>
      <w:pPr>
        <w:pStyle w:val="Heading6"/>
        <w:numPr>
          <w:ilvl w:val="5"/>
          <w:numId w:val="1"/>
        </w:numPr>
        <w:rPr/>
      </w:pPr>
      <w:bookmarkStart w:id="799" w:name="__RefHeading___Toc2133822_237004111"/>
      <w:bookmarkStart w:id="800" w:name="_Toc311"/>
      <w:bookmarkEnd w:id="799"/>
      <w:r>
        <w:rPr>
          <w:rtl w:val="true"/>
        </w:rPr>
        <w:t>اشارة</w:t>
      </w:r>
      <w:bookmarkEnd w:id="800"/>
    </w:p>
    <w:p>
      <w:pPr>
        <w:pStyle w:val="BookText"/>
        <w:rPr/>
      </w:pPr>
      <w:r>
        <w:rPr>
          <w:rFonts w:ascii="IRNazanin" w:hAnsi="IRNazanin" w:eastAsia="IRNazanin"/>
          <w:color w:val="111111"/>
          <w:sz w:val="28"/>
          <w:sz w:val="28"/>
          <w:szCs w:val="28"/>
          <w:rtl w:val="true"/>
          <w:lang w:bidi="fa-IR"/>
        </w:rPr>
        <w:t>الروایات الواردة فی المقام، وهذا هو العمدة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أول نظرة لک والثانیة علیک ولا لک، والثالثة فیها الهلاک</w:t>
      </w:r>
      <w:r>
        <w:rPr>
          <w:rFonts w:eastAsia="IRNazanin" w:cs="IRNazanin"/>
          <w:color w:val="111111"/>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مرسلة فینطبق علیها البحث فی مراسیل الصدوق</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نظر إلی امرأة فرفع بصره إلی السماء، أو غمض بصره لم یرتد إلیه بصره حتّی یزوجه الله من الحور </w:t>
      </w:r>
    </w:p>
    <w:p>
      <w:pPr>
        <w:pStyle w:val="BookText"/>
        <w:rPr/>
      </w:pP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الفقیه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یرتد إلیه طرفه حتّی یعقبه الله إیماناً یجد طعمه</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وهما مرسلتان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علی، لا تتبع النظرة النظرة، فلیس لک یا علی إلا أول نظرة</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وفیها بعض المجاهیل، کعبد الله بن محمّد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علی، أول النظرة لک والثانیة علیک لا لک</w:t>
      </w:r>
      <w:r>
        <w:rPr>
          <w:rFonts w:eastAsia="IRNazanin" w:cs="IRNazanin"/>
          <w:color w:val="111111"/>
          <w:sz w:val="28"/>
          <w:szCs w:val="28"/>
          <w:rtl w:val="true"/>
          <w:lang w:bidi="fa-IR"/>
        </w:rPr>
        <w:t>»(</w:t>
      </w:r>
      <w:r>
        <w:rPr>
          <w:rStyle w:val="FootnoteAnchor"/>
          <w:rtl w:val="true"/>
        </w:rPr>
        <w:footnoteReference w:id="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لک کنز فی الجنة وأنت ذو قرنیها، فلا تتبع النظرة النظرة، فإنّ لک الأولی ولیست لک الأخیرة</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وفیها بعض المجاهیل، کالحسین بن أحمد العدل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الخصال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الأربعمائة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لکم أول نظرة إلی المرأة، فلا تتبعوها بنظرة أخری، </w:t>
      </w:r>
    </w:p>
    <w:p>
      <w:pPr>
        <w:pStyle w:val="BookText"/>
        <w:rPr/>
      </w:pPr>
      <w:r>
        <w:rPr>
          <w:rFonts w:ascii="Amiri" w:hAnsi="Amiri" w:eastAsia="Amiri" w:cs="Amiri"/>
          <w:color w:val="111111"/>
          <w:sz w:val="28"/>
          <w:sz w:val="28"/>
          <w:szCs w:val="28"/>
          <w:rtl w:val="true"/>
          <w:lang w:bidi="ar-SA"/>
        </w:rPr>
        <w:t>واحذروا الفتنة</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سندها القاسم بن یحیی والحسن بن راشد، ولم یوثقا صریحاً، ولکنهما یوجدان فی أسناد کامل الزیارات، فمَن اعتبر وثاقة کل مَن ورد اسمه فی أسناده فیوثقان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المبنی محل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هنالک طرق لتصحیح الطریق ذکرها السید العم حفظه الله فی بیان الأصول</w:t>
      </w:r>
      <w:r>
        <w:rPr>
          <w:rFonts w:eastAsia="IRNazanin" w:cs="IRNazanin"/>
          <w:color w:val="111111"/>
          <w:sz w:val="28"/>
          <w:szCs w:val="28"/>
          <w:rtl w:val="true"/>
          <w:lang w:bidi="fa-IR"/>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والحدیث مهم جداً وذو برکات کثیرة، لکن فی السند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 نَظْرَةً فِی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إِنِّی سَقِیمٌ</w:t>
      </w:r>
      <w:r>
        <w:rPr>
          <w:rFonts w:eastAsia="Amiri" w:cs="Amiri" w:ascii="Amiri" w:hAnsi="Amiri"/>
          <w:color w:val="111111"/>
          <w:sz w:val="28"/>
          <w:szCs w:val="28"/>
          <w:rtl w:val="true"/>
          <w:lang w:bidi="ar-SA"/>
        </w:rPr>
        <w:t>}(</w:t>
      </w:r>
      <w:r>
        <w:rPr>
          <w:rStyle w:val="FootnoteAnchor"/>
          <w:rtl w:val="true"/>
        </w:rPr>
        <w:footnoteReference w:id="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قیده الله سبحانه بالنظرة الواحدة؛ لأنّ النظرة الواحدة لا توجب الخطأ إلا بعد النظرة الثانیة، بدلالة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قاله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علی، أول النظرة لک والثانیة علیک لا لک</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روایة صحیحة أو حسنة،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بإسناده عن ابن أبی عمیر</w:t>
      </w:r>
      <w:r>
        <w:rPr>
          <w:rFonts w:eastAsia="IRNazanin" w:cs="IRNazanin"/>
          <w:color w:val="111111"/>
          <w:sz w:val="28"/>
          <w:szCs w:val="28"/>
          <w:rtl w:val="true"/>
          <w:lang w:bidi="fa-IR"/>
        </w:rPr>
        <w:t>(</w:t>
      </w:r>
      <w:r>
        <w:rPr>
          <w:rStyle w:val="FootnoteAnchor"/>
          <w:rtl w:val="true"/>
        </w:rPr>
        <w:footnoteReference w:id="9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الکاهلی</w:t>
      </w:r>
      <w:r>
        <w:rPr>
          <w:rFonts w:eastAsia="IRNazanin" w:cs="IRNazanin"/>
          <w:color w:val="111111"/>
          <w:sz w:val="28"/>
          <w:szCs w:val="28"/>
          <w:rtl w:val="true"/>
          <w:lang w:bidi="fa-IR"/>
        </w:rPr>
        <w:t>(</w:t>
      </w:r>
      <w:r>
        <w:rPr>
          <w:rStyle w:val="FootnoteAnchor"/>
          <w:rtl w:val="true"/>
        </w:rPr>
        <w:footnoteReference w:id="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النظرة بعد </w:t>
      </w:r>
      <w:bookmarkStart w:id="801" w:name="pg6289_42124"/>
    </w:p>
    <w:p>
      <w:pPr>
        <w:pStyle w:val="BookText"/>
        <w:rPr/>
      </w:pPr>
      <w:bookmarkEnd w:id="801"/>
      <w:r>
        <w:rPr>
          <w:rFonts w:ascii="IRNazanin" w:hAnsi="IRNazanin" w:eastAsia="IRNazanin"/>
          <w:color w:val="111111"/>
          <w:sz w:val="28"/>
          <w:sz w:val="28"/>
          <w:szCs w:val="28"/>
          <w:rtl w:val="true"/>
          <w:lang w:bidi="fa-IR"/>
        </w:rPr>
        <w:t>النظرة تزرع فی القلب الشهوة، وکفی بها لصاحبها فتنة</w:t>
      </w:r>
      <w:r>
        <w:rPr>
          <w:rFonts w:eastAsia="IRNazanin" w:cs="IRNazanin"/>
          <w:color w:val="111111"/>
          <w:sz w:val="28"/>
          <w:szCs w:val="28"/>
          <w:rtl w:val="true"/>
          <w:lang w:bidi="fa-IR"/>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2" w:name="__RefHeading___Toc2133824_237004111"/>
      <w:bookmarkStart w:id="803" w:name="_Toc312"/>
      <w:bookmarkEnd w:id="802"/>
      <w:r>
        <w:rPr>
          <w:rtl w:val="true"/>
        </w:rPr>
        <w:t>الإشکالات علی الدلیل الثالث</w:t>
      </w:r>
      <w:bookmarkEnd w:id="803"/>
    </w:p>
    <w:p>
      <w:pPr>
        <w:pStyle w:val="Heading6"/>
        <w:numPr>
          <w:ilvl w:val="5"/>
          <w:numId w:val="1"/>
        </w:numPr>
        <w:rPr/>
      </w:pPr>
      <w:bookmarkStart w:id="804" w:name="__RefHeading___Toc2133826_237004111"/>
      <w:bookmarkStart w:id="805" w:name="_Toc313"/>
      <w:bookmarkEnd w:id="804"/>
      <w:r>
        <w:rPr>
          <w:rtl w:val="true"/>
        </w:rPr>
        <w:t>اشارة</w:t>
      </w:r>
      <w:bookmarkEnd w:id="805"/>
    </w:p>
    <w:p>
      <w:pPr>
        <w:pStyle w:val="BookText"/>
        <w:rPr/>
      </w:pPr>
      <w:r>
        <w:rPr>
          <w:rFonts w:ascii="IRNazanin" w:hAnsi="IRNazanin" w:eastAsia="IRNazanin"/>
          <w:color w:val="111111"/>
          <w:sz w:val="28"/>
          <w:sz w:val="28"/>
          <w:szCs w:val="28"/>
          <w:rtl w:val="true"/>
          <w:lang w:bidi="fa-IR"/>
        </w:rPr>
        <w:t>ویرد علی الاستدلال بهذه الروایات أمور</w:t>
      </w:r>
      <w:r>
        <w:rPr>
          <w:rFonts w:eastAsia="IRNazanin" w:cs="IRNazanin"/>
          <w:color w:val="111111"/>
          <w:sz w:val="28"/>
          <w:szCs w:val="28"/>
          <w:rtl w:val="true"/>
          <w:lang w:bidi="fa-IR"/>
        </w:rPr>
        <w:t>:</w:t>
      </w:r>
    </w:p>
    <w:p>
      <w:pPr>
        <w:pStyle w:val="Heading6"/>
        <w:numPr>
          <w:ilvl w:val="5"/>
          <w:numId w:val="1"/>
        </w:numPr>
        <w:rPr/>
      </w:pPr>
      <w:bookmarkStart w:id="806" w:name="__RefHeading___Toc2133828_237004111"/>
      <w:bookmarkStart w:id="807" w:name="_Toc314"/>
      <w:bookmarkEnd w:id="806"/>
      <w:r>
        <w:rPr>
          <w:rtl w:val="true"/>
        </w:rPr>
        <w:t>الإشکال الأول</w:t>
      </w:r>
      <w:r>
        <w:rPr>
          <w:rtl w:val="true"/>
        </w:rPr>
        <w:t xml:space="preserve">: </w:t>
      </w:r>
      <w:r>
        <w:rPr>
          <w:rtl w:val="true"/>
        </w:rPr>
        <w:t>الفرق بین النظرة الاتفاقیة والمقصودة</w:t>
      </w:r>
      <w:bookmarkEnd w:id="807"/>
    </w:p>
    <w:p>
      <w:pPr>
        <w:pStyle w:val="BookText"/>
        <w:rPr/>
      </w:pPr>
      <w:r>
        <w:rPr>
          <w:rFonts w:ascii="IRNazanin" w:hAnsi="IRNazanin" w:eastAsia="IRNazanin"/>
          <w:color w:val="111111"/>
          <w:sz w:val="28"/>
          <w:sz w:val="28"/>
          <w:szCs w:val="28"/>
          <w:rtl w:val="true"/>
          <w:lang w:bidi="fa-IR"/>
        </w:rPr>
        <w:t>إنّ الظاهر من هذه الروایات هو أنها بصدد الفرق بین النظرة الأولی والثانیة، من حیث إنّ الأولی اتفاقیة والثانیة مقصودة، فتحرم الثانیة دون الأولی، لا إنها بصدد الفرق بین الأولی والثانیة من حیث العدد، فلا تدل علی جواز النظرة الأولی إذا کانت مقصودة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إلی ذلک المحدث البحرانی</w:t>
      </w:r>
      <w:r>
        <w:rPr>
          <w:rFonts w:eastAsia="IRNazanin" w:cs="IRNazanin"/>
          <w:color w:val="111111"/>
          <w:sz w:val="28"/>
          <w:szCs w:val="28"/>
          <w:rtl w:val="true"/>
          <w:lang w:bidi="fa-IR"/>
        </w:rPr>
        <w:t>(</w:t>
      </w:r>
      <w:r>
        <w:rPr>
          <w:rStyle w:val="FootnoteAnchor"/>
          <w:rtl w:val="true"/>
        </w:rPr>
        <w:footnoteReference w:id="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الحکیم</w:t>
      </w:r>
      <w:r>
        <w:rPr>
          <w:rFonts w:eastAsia="IRNazanin" w:cs="IRNazanin"/>
          <w:color w:val="111111"/>
          <w:sz w:val="28"/>
          <w:szCs w:val="28"/>
          <w:rtl w:val="true"/>
          <w:lang w:bidi="fa-IR"/>
        </w:rPr>
        <w:t>(</w:t>
      </w:r>
      <w:r>
        <w:rPr>
          <w:rStyle w:val="FootnoteAnchor"/>
          <w:rtl w:val="true"/>
        </w:rPr>
        <w:footnoteReference w:id="9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الخوئی</w:t>
      </w:r>
      <w:r>
        <w:rPr>
          <w:rFonts w:eastAsia="IRNazanin" w:cs="IRNazanin"/>
          <w:color w:val="111111"/>
          <w:sz w:val="28"/>
          <w:szCs w:val="28"/>
          <w:rtl w:val="true"/>
          <w:lang w:bidi="fa-IR"/>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دعوی ظهورها فی إرادة النهی عن إتباع النظر الاتفاقی بالنظر العمدی کما هو الواقع غالباً</w:t>
      </w:r>
      <w:r>
        <w:rPr>
          <w:rFonts w:eastAsia="IRNazanin" w:cs="IRNazanin"/>
          <w:color w:val="111111"/>
          <w:sz w:val="28"/>
          <w:szCs w:val="28"/>
          <w:rtl w:val="true"/>
          <w:lang w:bidi="fa-IR"/>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النظرة فیها مجملة، فلعل المراد من النظرة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الاتفاقیة</w:t>
      </w:r>
      <w:r>
        <w:rPr>
          <w:rFonts w:eastAsia="IRNazanin" w:cs="IRNazanin"/>
          <w:color w:val="111111"/>
          <w:sz w:val="28"/>
          <w:szCs w:val="28"/>
          <w:rtl w:val="true"/>
          <w:lang w:bidi="fa-IR"/>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8" w:name="__RefHeading___Toc2133830_237004111"/>
      <w:bookmarkStart w:id="809" w:name="_Toc315"/>
      <w:bookmarkEnd w:id="808"/>
      <w:r>
        <w:rPr>
          <w:rtl w:val="true"/>
        </w:rPr>
        <w:t>الإشکال الثانی</w:t>
      </w:r>
      <w:r>
        <w:rPr>
          <w:rtl w:val="true"/>
        </w:rPr>
        <w:t xml:space="preserve">: </w:t>
      </w:r>
      <w:r>
        <w:rPr>
          <w:rtl w:val="true"/>
        </w:rPr>
        <w:t>ضعف سند الروایات المفصلة</w:t>
      </w:r>
      <w:bookmarkEnd w:id="80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معظم الروایات الدالة علی التفصیل المذکور ضعیفة السند، والمعتبرة </w:t>
      </w:r>
      <w:bookmarkStart w:id="810" w:name="pg6289_42125"/>
    </w:p>
    <w:p>
      <w:pPr>
        <w:pStyle w:val="BookText"/>
        <w:rPr/>
      </w:pPr>
      <w:bookmarkEnd w:id="810"/>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روایة الکاهلی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علی التفصیل المذکور؛ إذ إنها بینت الآثار المرتبة علی النظرة الثانیة، ولم تبین حکم النظرة الأولی من حیث الحلیة والحرمة، فلعلها محرمة أیضاً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الإصرار علی الکبائر یؤدی إلی سوء العاقبة، فإنه لا یدل علی جواز ارتکاب الکبیرة أول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الروایات متواترة بالتواتر المعنوی أو الإجمالی، وهی بمجموعها تدل علی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 باعتبار روایة الخصال، أو یقال بتکفل العمومات أو أصالة البراءة لحلّیة النظرة الأولی، فتأمّل</w:t>
      </w:r>
      <w:r>
        <w:rPr>
          <w:rFonts w:eastAsia="IRNazanin" w:cs="IRNazanin"/>
          <w:color w:val="111111"/>
          <w:sz w:val="28"/>
          <w:szCs w:val="28"/>
          <w:rtl w:val="true"/>
          <w:lang w:bidi="fa-IR"/>
        </w:rPr>
        <w:t>.</w:t>
      </w:r>
    </w:p>
    <w:p>
      <w:pPr>
        <w:pStyle w:val="Heading6"/>
        <w:numPr>
          <w:ilvl w:val="5"/>
          <w:numId w:val="1"/>
        </w:numPr>
        <w:rPr/>
      </w:pPr>
      <w:bookmarkStart w:id="811" w:name="__RefHeading___Toc2133832_237004111"/>
      <w:bookmarkStart w:id="812" w:name="_Toc316"/>
      <w:bookmarkEnd w:id="811"/>
      <w:r>
        <w:rPr>
          <w:rtl w:val="true"/>
        </w:rPr>
        <w:t>الإشکال الثالث</w:t>
      </w:r>
      <w:r>
        <w:rPr>
          <w:rtl w:val="true"/>
        </w:rPr>
        <w:t xml:space="preserve">: </w:t>
      </w:r>
      <w:r>
        <w:rPr>
          <w:rtl w:val="true"/>
        </w:rPr>
        <w:t>عدم قبول العقل للتفصیل بین النظرة الأولی والثانیة</w:t>
      </w:r>
      <w:bookmarkEnd w:id="812"/>
    </w:p>
    <w:p>
      <w:pPr>
        <w:pStyle w:val="BookText"/>
        <w:rPr/>
      </w:pPr>
      <w:r>
        <w:rPr>
          <w:rFonts w:ascii="IRNazanin" w:hAnsi="IRNazanin" w:eastAsia="IRNazanin"/>
          <w:color w:val="111111"/>
          <w:sz w:val="28"/>
          <w:sz w:val="28"/>
          <w:szCs w:val="28"/>
          <w:rtl w:val="true"/>
          <w:lang w:bidi="fa-IR"/>
        </w:rPr>
        <w:t xml:space="preserve">وهو 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التفصیل بین الأولی والثانیة بلحاظ 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الالتزام بالجواز فی النظرة الأُولی بما هی نظرة أولی حتی ولو کانت اختیاریة، وعدم الجواز فی الثانیة بما هی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یقبله العقل السلیم</w:t>
      </w:r>
      <w:r>
        <w:rPr>
          <w:rFonts w:eastAsia="IRNazanin" w:cs="IRNazanin"/>
          <w:color w:val="111111"/>
          <w:sz w:val="28"/>
          <w:szCs w:val="28"/>
          <w:rtl w:val="true"/>
          <w:lang w:bidi="fa-IR"/>
        </w:rPr>
        <w:t>(</w:t>
      </w:r>
      <w:r>
        <w:rPr>
          <w:rStyle w:val="FootnoteAnchor"/>
          <w:rtl w:val="true"/>
        </w:rPr>
        <w:footnoteReference w:id="9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یرد التشکیک فی النظرة الأولی من حیث مدتها وفترة صدقها، وذلک بمعنی أنه إلی متی یجوز الاستمرار فی النظرة الأولی؟ وهل یجوز النظر لمدة خمس دقائق مستمراً، فی حین لا یجوز إعادة النظر ولو لأقل من دقیقة؛ لأنه من النظرة الثانیة؟</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ما هی الفترة التی لا بد أن تمضی لتصدق ثانیاً النظرة الأولی؟ وهل </w:t>
      </w:r>
    </w:p>
    <w:p>
      <w:pPr>
        <w:pStyle w:val="BookText"/>
        <w:rPr/>
      </w:pPr>
      <w:r>
        <w:rPr>
          <w:rFonts w:ascii="IRNazanin" w:hAnsi="IRNazanin" w:eastAsia="IRNazanin"/>
          <w:color w:val="111111"/>
          <w:sz w:val="28"/>
          <w:sz w:val="28"/>
          <w:szCs w:val="28"/>
          <w:rtl w:val="true"/>
          <w:lang w:bidi="fa-IR"/>
        </w:rPr>
        <w:t>إذا نظر إلی المرأة فلا یجوز له النظر إلیها ثانیاً ما دام حیاً؛ لأنه من النظرة الثانیة، أو یکون المعیار فی کونها من النظرة الأولی أو الثانیة بالیوم الواحد، فتعتبر النظرة الواقعة فی الثانی النظرة الأولی أیضاً، أو أنه بالساعة أو الشهر أو السنة؟</w:t>
      </w:r>
      <w:r>
        <w:rPr>
          <w:rFonts w:eastAsia="IRNazanin" w:cs="IRNazanin"/>
          <w:color w:val="111111"/>
          <w:sz w:val="28"/>
          <w:szCs w:val="28"/>
          <w:rtl w:val="true"/>
          <w:lang w:bidi="fa-IR"/>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یبعد کون الاستمرار فی النظر فی حکم معاودة النظر بالملاک العرفی، ونحوه ما ذکروه فیما یعتبر فی طهره الغسل مرتین، حیث ذهب جملة من الفقهاء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فی الذکری والمحقق الیزدی فی العروة والسید الوالد فی الفقه إلی أنّ دوام الصب فی حکم الغسلة الثانیة</w:t>
      </w:r>
      <w:r>
        <w:rPr>
          <w:rFonts w:eastAsia="IRNazanin" w:cs="IRNazanin"/>
          <w:color w:val="111111"/>
          <w:sz w:val="28"/>
          <w:szCs w:val="28"/>
          <w:rtl w:val="true"/>
          <w:lang w:bidi="fa-IR"/>
        </w:rPr>
        <w:t>(</w:t>
      </w:r>
      <w:r>
        <w:rPr>
          <w:rStyle w:val="FootnoteAnchor"/>
          <w:rtl w:val="true"/>
        </w:rPr>
        <w:footnoteReference w:id="9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قال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أنّ المراد بالنظرة الثانیة هو الاستمرار علی النظرة والمداومة بعد النظرة الأولی، التی حصلت اتفاقاً، وکذا الثالثة، وهی طول النظر زیادة علی ذلک، واحتمال صرف بصره ثم عوده یمکن أیضاً</w:t>
      </w:r>
      <w:r>
        <w:rPr>
          <w:rFonts w:eastAsia="IRNazanin" w:cs="IRNazanin"/>
          <w:color w:val="111111"/>
          <w:sz w:val="28"/>
          <w:szCs w:val="28"/>
          <w:rtl w:val="true"/>
          <w:lang w:bidi="fa-IR"/>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لا یخلو عن نظر؛ لعدم صدق الثانیة علی الاستمرار فی النظرة، إلا أن یستفاد الملاک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الفترة التی لا بد من مضیها لتصدق ثانیاً النظرة الأولی فالملاک فیها العرف، کما هو الشأن فی سائر الألفاظ الواردة فی الروایات الشریفة، ولا یبعد عدم صدق الأولی ثانیاً مع وحدة المجلس، فتأمّل</w:t>
      </w:r>
      <w:r>
        <w:rPr>
          <w:rFonts w:eastAsia="IRNazanin" w:cs="IRNazanin"/>
          <w:color w:val="111111"/>
          <w:sz w:val="28"/>
          <w:szCs w:val="28"/>
          <w:rtl w:val="true"/>
          <w:lang w:bidi="fa-IR"/>
        </w:rPr>
        <w:t xml:space="preserve">. </w:t>
      </w:r>
      <w:bookmarkStart w:id="813" w:name="pg6289_42127"/>
    </w:p>
    <w:p>
      <w:pPr>
        <w:pStyle w:val="BookText"/>
        <w:rPr/>
      </w:pPr>
      <w:bookmarkEnd w:id="813"/>
      <w:r>
        <w:rPr>
          <w:rFonts w:ascii="IRNazanin" w:hAnsi="IRNazanin" w:eastAsia="IRNazanin"/>
          <w:color w:val="111111"/>
          <w:sz w:val="28"/>
          <w:sz w:val="28"/>
          <w:szCs w:val="28"/>
          <w:rtl w:val="true"/>
          <w:lang w:bidi="fa-IR"/>
        </w:rPr>
        <w:t>قال فی الجواهر شارحاً لکلام صاحب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معاودة النظر فی مجلس واحد، بل ولا إطالته</w:t>
      </w:r>
      <w:r>
        <w:rPr>
          <w:rFonts w:eastAsia="IRNazanin" w:cs="IRNazanin"/>
          <w:color w:val="111111"/>
          <w:sz w:val="28"/>
          <w:szCs w:val="28"/>
          <w:rtl w:val="true"/>
          <w:lang w:bidi="fa-IR"/>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لا نضایق عن وجود مصادیق مشتبهة، کما هو الشأن فی کثیر من المفاهیم، بل حتّی مفهوم الماء الذی هو من أوضح المفاهیم العرفیة لا یخلو من وجود مصادیق مشتبهة، کالمیاه الزاجیة والکبریتیة مثلاً، وحینئذٍ یکون المرجع الأصول العملیة مع فقد الأدلة الاجتهادیة</w:t>
      </w:r>
      <w:r>
        <w:rPr>
          <w:rFonts w:eastAsia="IRNazanin" w:cs="IRNazanin"/>
          <w:color w:val="111111"/>
          <w:sz w:val="28"/>
          <w:szCs w:val="28"/>
          <w:rtl w:val="true"/>
          <w:lang w:bidi="fa-IR"/>
        </w:rPr>
        <w:t>.</w:t>
      </w:r>
    </w:p>
    <w:p>
      <w:pPr>
        <w:pStyle w:val="Heading6"/>
        <w:numPr>
          <w:ilvl w:val="5"/>
          <w:numId w:val="1"/>
        </w:numPr>
        <w:rPr/>
      </w:pPr>
      <w:bookmarkStart w:id="814" w:name="__RefHeading___Toc2133834_237004111"/>
      <w:bookmarkStart w:id="815" w:name="_Toc317"/>
      <w:bookmarkEnd w:id="814"/>
      <w:r>
        <w:rPr>
          <w:rtl w:val="true"/>
        </w:rPr>
        <w:t>الإشکال الرابع</w:t>
      </w:r>
      <w:r>
        <w:rPr>
          <w:rtl w:val="true"/>
        </w:rPr>
        <w:t xml:space="preserve">: </w:t>
      </w:r>
      <w:r>
        <w:rPr>
          <w:rtl w:val="true"/>
        </w:rPr>
        <w:t>الروایات معللة فیدور الحکم مدارها</w:t>
      </w:r>
      <w:bookmarkEnd w:id="815"/>
    </w:p>
    <w:p>
      <w:pPr>
        <w:pStyle w:val="BookText"/>
        <w:rPr/>
      </w:pPr>
      <w:r>
        <w:rPr>
          <w:rFonts w:ascii="IRNazanin" w:hAnsi="IRNazanin" w:eastAsia="IRNazanin"/>
          <w:color w:val="111111"/>
          <w:sz w:val="28"/>
          <w:sz w:val="28"/>
          <w:szCs w:val="28"/>
          <w:rtl w:val="true"/>
          <w:lang w:bidi="fa-IR"/>
        </w:rPr>
        <w:t>إنّ الروایات معللة بزرع الشهوة فی القلب والفتنة والوقوع فی الخطأ، فیدور الحکم مدارها، فمع العلم أو الاطمئنان بانتفائها ینتفی الحکم بالتحریم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والروایات المطلقة تقید بالمقیدة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بقرینة الأخیرتین</w:t>
      </w:r>
      <w:r>
        <w:rPr>
          <w:rFonts w:eastAsia="IRNazanin" w:cs="IRNazanin"/>
          <w:color w:val="111111"/>
          <w:sz w:val="28"/>
          <w:szCs w:val="28"/>
          <w:rtl w:val="true"/>
          <w:lang w:bidi="fa-IR"/>
        </w:rPr>
        <w:t>(</w:t>
      </w:r>
      <w:r>
        <w:rPr>
          <w:rStyle w:val="FootnoteAnchor"/>
          <w:rtl w:val="true"/>
        </w:rPr>
        <w:footnoteReference w:id="97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تدل علی أن المسبب للفتنة محظور</w:t>
      </w:r>
      <w:r>
        <w:rPr>
          <w:rFonts w:eastAsia="IRNazanin" w:cs="IRNazanin"/>
          <w:color w:val="111111"/>
          <w:sz w:val="28"/>
          <w:szCs w:val="28"/>
          <w:rtl w:val="true"/>
          <w:lang w:bidi="fa-IR"/>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حکمة لا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العلیة، فتأمّل</w:t>
      </w:r>
      <w:r>
        <w:rPr>
          <w:rFonts w:eastAsia="IRNazanin" w:cs="IRNazanin"/>
          <w:color w:val="111111"/>
          <w:sz w:val="28"/>
          <w:szCs w:val="28"/>
          <w:rtl w:val="true"/>
          <w:lang w:bidi="fa-IR"/>
        </w:rPr>
        <w:t>.</w:t>
      </w:r>
    </w:p>
    <w:p>
      <w:pPr>
        <w:pStyle w:val="Heading6"/>
        <w:numPr>
          <w:ilvl w:val="5"/>
          <w:numId w:val="1"/>
        </w:numPr>
        <w:rPr/>
      </w:pPr>
      <w:bookmarkStart w:id="816" w:name="__RefHeading___Toc2133836_237004111"/>
      <w:bookmarkStart w:id="817" w:name="_Toc318"/>
      <w:bookmarkEnd w:id="816"/>
      <w:r>
        <w:rPr>
          <w:rtl w:val="true"/>
        </w:rPr>
        <w:t>الإشکال الخامس</w:t>
      </w:r>
      <w:r>
        <w:rPr>
          <w:rtl w:val="true"/>
        </w:rPr>
        <w:t xml:space="preserve">: </w:t>
      </w:r>
      <w:r>
        <w:rPr>
          <w:rtl w:val="true"/>
        </w:rPr>
        <w:t>حمل الروایات علی الکراهة</w:t>
      </w:r>
      <w:bookmarkEnd w:id="81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الروایات محمولة علی الکراهة بقرینة الروایات المجوزة، التی </w:t>
      </w:r>
      <w:bookmarkStart w:id="818" w:name="pg6289_42128"/>
    </w:p>
    <w:p>
      <w:pPr>
        <w:pStyle w:val="BookText"/>
        <w:rPr/>
      </w:pPr>
      <w:bookmarkEnd w:id="818"/>
      <w:r>
        <w:rPr>
          <w:rFonts w:ascii="IRNazanin" w:hAnsi="IRNazanin" w:eastAsia="IRNazanin"/>
          <w:color w:val="111111"/>
          <w:sz w:val="28"/>
          <w:sz w:val="28"/>
          <w:szCs w:val="28"/>
          <w:rtl w:val="true"/>
          <w:lang w:bidi="fa-IR"/>
        </w:rPr>
        <w:t>لا یمکن فیها التفصیل بین الأولی والثانیة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لإمکان تقیید الروایات المجوزة بکون النظرة فیها أولی، ومعه لا تصل النوبة إلی الحمل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الأدلة الدالة علی الجواز آبیة عن التقیید بالنظرة الأولی، کالسیرة مثلاً، وکذا بعض الروایات المجوزة، کصحیحة علی بن سوید، فتأمّل</w:t>
      </w:r>
      <w:r>
        <w:rPr>
          <w:rFonts w:eastAsia="IRNazanin" w:cs="IRNazanin"/>
          <w:color w:val="111111"/>
          <w:sz w:val="28"/>
          <w:szCs w:val="28"/>
          <w:rtl w:val="true"/>
          <w:lang w:bidi="fa-IR"/>
        </w:rPr>
        <w:t>.</w:t>
      </w:r>
    </w:p>
    <w:p>
      <w:pPr>
        <w:pStyle w:val="Heading6"/>
        <w:numPr>
          <w:ilvl w:val="5"/>
          <w:numId w:val="1"/>
        </w:numPr>
        <w:rPr/>
      </w:pPr>
      <w:bookmarkStart w:id="819" w:name="__RefHeading___Toc2133838_237004111"/>
      <w:bookmarkStart w:id="820" w:name="_Toc319"/>
      <w:bookmarkEnd w:id="819"/>
      <w:r>
        <w:rPr>
          <w:rtl w:val="true"/>
        </w:rPr>
        <w:t>الإشکال السادس</w:t>
      </w:r>
      <w:r>
        <w:rPr>
          <w:rtl w:val="true"/>
        </w:rPr>
        <w:t xml:space="preserve">: </w:t>
      </w:r>
      <w:r>
        <w:rPr>
          <w:rtl w:val="true"/>
        </w:rPr>
        <w:t>التعارض بین هذه الروایات وبین أدلة جواز النظر إلی الوجه والکفین</w:t>
      </w:r>
      <w:bookmarkEnd w:id="820"/>
    </w:p>
    <w:p>
      <w:pPr>
        <w:pStyle w:val="BookText"/>
        <w:rPr/>
      </w:pPr>
      <w:r>
        <w:rPr>
          <w:rFonts w:ascii="IRNazanin" w:hAnsi="IRNazanin" w:eastAsia="IRNazanin"/>
          <w:color w:val="111111"/>
          <w:sz w:val="28"/>
          <w:sz w:val="28"/>
          <w:szCs w:val="28"/>
          <w:rtl w:val="true"/>
          <w:lang w:bidi="fa-IR"/>
        </w:rPr>
        <w:t>إنّ الروایات الدالة علی حرمة النظرة الثانیة معارضة بالعموم من وجه، مع أدلة جواز النظر إلی الوجه والکفین فی مورد اجتماع الدلیلین،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والکفین فی النظرة الثانیة، مع افتراق الأولی فی سائر البدن فی الثانیة، وافتراق الأخیرة فی الوجه والکفین فی الأولی، وحینئذٍ یتساقط الدلیلان فی مورد الاجتماع، ویکون المرجع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لأنه علیه لا یبقی مورد لهذه الروایات المفصلة بین النظرة الأولی والثانیة؛ إذ لا شک فی حرمة النظر إلی سائر البدن ولو بالنظرة الأولی</w:t>
      </w:r>
      <w:r>
        <w:rPr>
          <w:rFonts w:eastAsia="IRNazanin" w:cs="IRNazanin"/>
          <w:color w:val="111111"/>
          <w:sz w:val="28"/>
          <w:szCs w:val="28"/>
          <w:rtl w:val="true"/>
          <w:lang w:bidi="fa-IR"/>
        </w:rPr>
        <w:t>.</w:t>
      </w:r>
    </w:p>
    <w:p>
      <w:pPr>
        <w:pStyle w:val="Heading6"/>
        <w:numPr>
          <w:ilvl w:val="5"/>
          <w:numId w:val="1"/>
        </w:numPr>
        <w:rPr/>
      </w:pPr>
      <w:bookmarkStart w:id="821" w:name="__RefHeading___Toc2133840_237004111"/>
      <w:bookmarkStart w:id="822" w:name="_Toc320"/>
      <w:bookmarkEnd w:id="821"/>
      <w:r>
        <w:rPr>
          <w:rtl w:val="true"/>
        </w:rPr>
        <w:t>الإشکال السابع</w:t>
      </w:r>
      <w:r>
        <w:rPr>
          <w:rtl w:val="true"/>
        </w:rPr>
        <w:t xml:space="preserve">: </w:t>
      </w:r>
      <w:r>
        <w:rPr>
          <w:rtl w:val="true"/>
        </w:rPr>
        <w:t>عدم صراحة الروایات فی التحریم</w:t>
      </w:r>
      <w:bookmarkEnd w:id="822"/>
    </w:p>
    <w:p>
      <w:pPr>
        <w:pStyle w:val="BookText"/>
        <w:rPr/>
      </w:pPr>
      <w:r>
        <w:rPr>
          <w:rFonts w:ascii="IRNazanin" w:hAnsi="IRNazanin" w:eastAsia="IRNazanin"/>
          <w:color w:val="111111"/>
          <w:sz w:val="28"/>
          <w:sz w:val="28"/>
          <w:szCs w:val="28"/>
          <w:rtl w:val="true"/>
          <w:lang w:bidi="fa-IR"/>
        </w:rPr>
        <w:t>وهو ما ذکره فی المستند</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قاصرة الدلالة</w:t>
      </w:r>
      <w:r>
        <w:rPr>
          <w:rFonts w:eastAsia="IRNazanin" w:cs="IRNazanin"/>
          <w:color w:val="111111"/>
          <w:sz w:val="28"/>
          <w:szCs w:val="28"/>
          <w:rtl w:val="true"/>
          <w:lang w:bidi="fa-IR"/>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xml:space="preserve">). </w:t>
      </w:r>
      <w:bookmarkStart w:id="823" w:name="pg6289_42129"/>
    </w:p>
    <w:p>
      <w:pPr>
        <w:pStyle w:val="BookText"/>
        <w:rPr/>
      </w:pPr>
      <w:bookmarkEnd w:id="823"/>
      <w:r>
        <w:rPr>
          <w:rFonts w:ascii="IRNazanin" w:hAnsi="IRNazanin" w:eastAsia="IRNazanin"/>
          <w:color w:val="111111"/>
          <w:sz w:val="28"/>
          <w:sz w:val="28"/>
          <w:szCs w:val="28"/>
          <w:rtl w:val="true"/>
          <w:lang w:bidi="fa-IR"/>
        </w:rPr>
        <w:t>وفیه نظر، إذ بعضها وإن کان قاصر الدلالة، إلا أنّ بعضها الآخر تضمن النهی، أو کون النظرة الثانیة علیک، أو لیست لک إلا الأولی، وهذه العبارات ظاهرة فی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المعتبر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روایة الکاهلی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علی التحریم؛ إذ لم یثبت کون مطلق الشهوة والفتنة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 باعتبار روایة الخصال کان ظاهر ما تضمنه من النهی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فی ذیله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واحذورا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بالعلیة، فیدور الأمر مدار خوف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قیل بتواتر الروایات معنی أو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قیل بحرمة إثارة الشهوة مطلقاً بالأجنبیة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یکون معلّلاً حینئذٍ، فتأمّل</w:t>
      </w:r>
      <w:r>
        <w:rPr>
          <w:rFonts w:eastAsia="IRNazanin" w:cs="IRNazanin"/>
          <w:color w:val="111111"/>
          <w:sz w:val="28"/>
          <w:szCs w:val="28"/>
          <w:rtl w:val="true"/>
          <w:lang w:bidi="fa-IR"/>
        </w:rPr>
        <w:t>.</w:t>
      </w:r>
    </w:p>
    <w:p>
      <w:pPr>
        <w:pStyle w:val="Heading6"/>
        <w:numPr>
          <w:ilvl w:val="5"/>
          <w:numId w:val="1"/>
        </w:numPr>
        <w:rPr/>
      </w:pPr>
      <w:bookmarkStart w:id="824" w:name="__RefHeading___Toc2133842_237004111"/>
      <w:bookmarkStart w:id="825" w:name="_Toc321"/>
      <w:bookmarkEnd w:id="824"/>
      <w:r>
        <w:rPr>
          <w:rtl w:val="true"/>
        </w:rPr>
        <w:t>الإشکال الثامن</w:t>
      </w:r>
      <w:r>
        <w:rPr>
          <w:rtl w:val="true"/>
        </w:rPr>
        <w:t xml:space="preserve">: </w:t>
      </w:r>
      <w:r>
        <w:rPr>
          <w:rtl w:val="true"/>
        </w:rPr>
        <w:t>إجمال المتعلق</w:t>
      </w:r>
      <w:bookmarkEnd w:id="825"/>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الروایات مجملة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لظهورها فی النظر إلی المرأة، مع صراحة بعضها فی کون المقصود ذلک، کروایة الخصال</w:t>
      </w:r>
      <w:r>
        <w:rPr>
          <w:rFonts w:eastAsia="IRNazanin" w:cs="IRNazanin"/>
          <w:color w:val="111111"/>
          <w:sz w:val="28"/>
          <w:szCs w:val="28"/>
          <w:rtl w:val="true"/>
          <w:lang w:bidi="fa-IR"/>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ویؤیده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الفقهاء، فتأمّل</w:t>
      </w:r>
      <w:r>
        <w:rPr>
          <w:rFonts w:eastAsia="IRNazanin" w:cs="IRNazanin"/>
          <w:color w:val="111111"/>
          <w:sz w:val="28"/>
          <w:szCs w:val="28"/>
          <w:rtl w:val="true"/>
          <w:lang w:bidi="fa-IR"/>
        </w:rPr>
        <w:t>.</w:t>
      </w:r>
    </w:p>
    <w:p>
      <w:pPr>
        <w:pStyle w:val="Heading6"/>
        <w:numPr>
          <w:ilvl w:val="5"/>
          <w:numId w:val="1"/>
        </w:numPr>
        <w:rPr/>
      </w:pPr>
      <w:bookmarkStart w:id="826" w:name="__RefHeading___Toc2133844_237004111"/>
      <w:bookmarkStart w:id="827" w:name="_Toc322"/>
      <w:bookmarkEnd w:id="826"/>
      <w:r>
        <w:rPr>
          <w:rtl w:val="true"/>
        </w:rPr>
        <w:t>الدلیل الرابع</w:t>
      </w:r>
      <w:r>
        <w:rPr>
          <w:rtl w:val="true"/>
        </w:rPr>
        <w:t xml:space="preserve">: </w:t>
      </w:r>
      <w:r>
        <w:rPr>
          <w:rtl w:val="true"/>
        </w:rPr>
        <w:t>کون النظرة الثانیة مظنة الفتنة</w:t>
      </w:r>
      <w:bookmarkEnd w:id="827"/>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النظرة الثانیة مظنة الفتنة، لأنّ شأنها أن یحدث عنها المیل القلبی وتترتب علیه الفتنة</w:t>
      </w:r>
      <w:r>
        <w:rPr>
          <w:rFonts w:eastAsia="IRNazanin" w:cs="IRNazanin"/>
          <w:color w:val="111111"/>
          <w:sz w:val="28"/>
          <w:szCs w:val="28"/>
          <w:rtl w:val="true"/>
          <w:lang w:bidi="fa-IR"/>
        </w:rPr>
        <w:t xml:space="preserve">. </w:t>
      </w:r>
      <w:bookmarkStart w:id="828" w:name="pg6289_42130"/>
    </w:p>
    <w:p>
      <w:pPr>
        <w:pStyle w:val="BookText"/>
        <w:rPr/>
      </w:pPr>
      <w:bookmarkEnd w:id="828"/>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جواز النظر مشروط بعدم خوف الفتنة، کما سیأتی قریباً إن شاء الله تعالی</w:t>
      </w:r>
      <w:r>
        <w:rPr>
          <w:rFonts w:eastAsia="IRNazanin" w:cs="IRNazanin"/>
          <w:color w:val="111111"/>
          <w:sz w:val="28"/>
          <w:szCs w:val="28"/>
          <w:rtl w:val="true"/>
          <w:lang w:bidi="fa-IR"/>
        </w:rPr>
        <w:t>.</w:t>
      </w:r>
    </w:p>
    <w:p>
      <w:pPr>
        <w:pStyle w:val="Heading6"/>
        <w:numPr>
          <w:ilvl w:val="5"/>
          <w:numId w:val="1"/>
        </w:numPr>
        <w:rPr/>
      </w:pPr>
      <w:bookmarkStart w:id="829" w:name="__RefHeading___Toc2133846_237004111"/>
      <w:bookmarkStart w:id="830" w:name="_Toc323"/>
      <w:bookmarkEnd w:id="829"/>
      <w:r>
        <w:rPr>
          <w:rtl w:val="true"/>
        </w:rPr>
        <w:t>الدلیل الخامس</w:t>
      </w:r>
      <w:r>
        <w:rPr>
          <w:rtl w:val="true"/>
        </w:rPr>
        <w:t xml:space="preserve">: </w:t>
      </w:r>
      <w:r>
        <w:rPr>
          <w:rtl w:val="true"/>
        </w:rPr>
        <w:t>مقتضی الجمع بین أدلة القولین هو التفصیل</w:t>
      </w:r>
      <w:bookmarkEnd w:id="830"/>
    </w:p>
    <w:p>
      <w:pPr>
        <w:pStyle w:val="BookText"/>
        <w:rPr/>
      </w:pPr>
      <w:r>
        <w:rPr>
          <w:rFonts w:ascii="IRNazanin" w:hAnsi="IRNazanin" w:eastAsia="IRNazanin"/>
          <w:color w:val="111111"/>
          <w:sz w:val="28"/>
          <w:sz w:val="28"/>
          <w:szCs w:val="28"/>
          <w:rtl w:val="true"/>
          <w:lang w:bidi="fa-IR"/>
        </w:rPr>
        <w:t>إنّ التفصیل بین النظرة الأولی والثانیة هو مقتضی الجمع بین أدلة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الأخبار الواردة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تبرعی لا شاهد له، وأولی منه الجمع بالحمل علی الکراهة، فإنه جمع عرفی، وهو الشأن فی نظائر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لأجل هذه الإیرادات ونحوها اعتبر صاحب الجواهر هذا القول أضعف قول فی المسألة</w:t>
      </w:r>
      <w:r>
        <w:rPr>
          <w:rFonts w:eastAsia="IRNazanin" w:cs="IRNazanin"/>
          <w:color w:val="111111"/>
          <w:sz w:val="28"/>
          <w:szCs w:val="28"/>
          <w:rtl w:val="true"/>
          <w:lang w:bidi="fa-IR"/>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ولکن یحتمل کون مراد المفصلین التفصیل بین النظرة الاتفاقیة وغیرها،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الاستمرار فی النظر</w:t>
      </w:r>
    </w:p>
    <w:p>
      <w:pPr>
        <w:pStyle w:val="BookText"/>
        <w:rPr/>
      </w:pPr>
      <w:r>
        <w:rPr>
          <w:rFonts w:ascii="IRNazanin" w:hAnsi="IRNazanin" w:eastAsia="IRNazanin"/>
          <w:color w:val="111111"/>
          <w:sz w:val="28"/>
          <w:sz w:val="28"/>
          <w:szCs w:val="28"/>
          <w:rtl w:val="true"/>
          <w:lang w:bidi="fa-IR"/>
        </w:rPr>
        <w:t>هل الاستمرار فی النظر فی حکم معاودة النظر؟</w:t>
      </w:r>
    </w:p>
    <w:p>
      <w:pPr>
        <w:pStyle w:val="BookText"/>
        <w:rPr/>
      </w:pPr>
      <w:r>
        <w:rPr>
          <w:rFonts w:ascii="IRNazanin" w:hAnsi="IRNazanin" w:eastAsia="IRNazanin"/>
          <w:color w:val="111111"/>
          <w:sz w:val="28"/>
          <w:sz w:val="28"/>
          <w:szCs w:val="28"/>
          <w:rtl w:val="true"/>
          <w:lang w:bidi="fa-IR"/>
        </w:rPr>
        <w:t>لا یبعد ذلک، وقد تقدّم تفصیل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انتهت الأقوال فی مسألة جواز النظر إلی الوجه والکفین</w:t>
      </w:r>
      <w:r>
        <w:rPr>
          <w:rFonts w:eastAsia="IRNazanin" w:cs="IRNazanin"/>
          <w:color w:val="111111"/>
          <w:sz w:val="28"/>
          <w:szCs w:val="28"/>
          <w:rtl w:val="true"/>
          <w:lang w:bidi="fa-IR"/>
        </w:rPr>
        <w:t>.</w:t>
      </w:r>
    </w:p>
    <w:p>
      <w:pPr>
        <w:pStyle w:val="Heading4"/>
        <w:numPr>
          <w:ilvl w:val="3"/>
          <w:numId w:val="1"/>
        </w:numPr>
        <w:rPr/>
      </w:pPr>
      <w:bookmarkStart w:id="831" w:name="__RefHeading___Toc2133848_237004111"/>
      <w:bookmarkStart w:id="832" w:name="_Toc324"/>
      <w:bookmarkEnd w:id="831"/>
      <w:r>
        <w:rPr>
          <w:rtl w:val="true"/>
        </w:rPr>
        <w:t>فروع</w:t>
      </w:r>
      <w:bookmarkEnd w:id="832"/>
    </w:p>
    <w:p>
      <w:pPr>
        <w:pStyle w:val="Heading5"/>
        <w:numPr>
          <w:ilvl w:val="4"/>
          <w:numId w:val="1"/>
        </w:numPr>
        <w:rPr/>
      </w:pPr>
      <w:bookmarkStart w:id="833" w:name="__RefHeading___Toc2133850_237004111"/>
      <w:bookmarkStart w:id="834" w:name="_Toc325"/>
      <w:bookmarkEnd w:id="833"/>
      <w:r>
        <w:rPr>
          <w:rtl w:val="true"/>
        </w:rPr>
        <w:t>اشارة</w:t>
      </w:r>
      <w:bookmarkEnd w:id="83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یقع الکلام فی بعض الفروع المتعلقة بالمسألة</w:t>
      </w:r>
      <w:r>
        <w:rPr>
          <w:rFonts w:eastAsia="IRNazanin" w:cs="IRNazanin"/>
          <w:color w:val="111111"/>
          <w:sz w:val="28"/>
          <w:szCs w:val="28"/>
          <w:rtl w:val="true"/>
          <w:lang w:bidi="fa-IR"/>
        </w:rPr>
        <w:t xml:space="preserve">: </w:t>
      </w:r>
      <w:bookmarkStart w:id="835" w:name="pg6289_42131"/>
    </w:p>
    <w:p>
      <w:pPr>
        <w:pStyle w:val="Heading5"/>
        <w:numPr>
          <w:ilvl w:val="4"/>
          <w:numId w:val="1"/>
        </w:numPr>
        <w:rPr/>
      </w:pPr>
      <w:bookmarkStart w:id="836" w:name="__RefHeading___Toc2133852_237004111"/>
      <w:bookmarkStart w:id="837" w:name="_Toc326"/>
      <w:bookmarkEnd w:id="835"/>
      <w:bookmarkEnd w:id="836"/>
      <w:r>
        <w:rPr>
          <w:rtl w:val="true"/>
        </w:rPr>
        <w:t>الفرع الأول</w:t>
      </w:r>
      <w:r>
        <w:rPr>
          <w:rtl w:val="true"/>
        </w:rPr>
        <w:t xml:space="preserve">: </w:t>
      </w:r>
      <w:r>
        <w:rPr>
          <w:rtl w:val="true"/>
        </w:rPr>
        <w:t>فی شروط جواز النظر إلی الوجه والکفین</w:t>
      </w:r>
      <w:bookmarkEnd w:id="837"/>
    </w:p>
    <w:p>
      <w:pPr>
        <w:pStyle w:val="BookText"/>
        <w:rPr/>
      </w:pPr>
      <w:r>
        <w:rPr>
          <w:rFonts w:ascii="IRNazanin" w:hAnsi="IRNazanin" w:eastAsia="IRNazanin"/>
          <w:color w:val="111111"/>
          <w:sz w:val="28"/>
          <w:sz w:val="28"/>
          <w:szCs w:val="28"/>
          <w:rtl w:val="true"/>
          <w:lang w:bidi="fa-IR"/>
        </w:rPr>
        <w:t>یشترط فی جواز النظر إلی الوجه والکفین 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التلذذ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خوف الافتتان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سبق الکلام فی ذلک</w:t>
      </w:r>
      <w:r>
        <w:rPr>
          <w:rFonts w:eastAsia="IRNazanin" w:cs="IRNazanin"/>
          <w:color w:val="111111"/>
          <w:sz w:val="28"/>
          <w:szCs w:val="28"/>
          <w:rtl w:val="true"/>
          <w:lang w:bidi="fa-IR"/>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8" w:name="__RefHeading___Toc2133854_237004111"/>
      <w:bookmarkStart w:id="839" w:name="_Toc327"/>
      <w:bookmarkEnd w:id="838"/>
      <w:r>
        <w:rPr>
          <w:rtl w:val="true"/>
        </w:rPr>
        <w:t>الفرع الثانی</w:t>
      </w:r>
      <w:r>
        <w:rPr>
          <w:rtl w:val="true"/>
        </w:rPr>
        <w:t xml:space="preserve">: </w:t>
      </w:r>
      <w:r>
        <w:rPr>
          <w:rtl w:val="true"/>
        </w:rPr>
        <w:t>حصول التلذذ فی أثناء النظر</w:t>
      </w:r>
      <w:bookmarkEnd w:id="839"/>
    </w:p>
    <w:p>
      <w:pPr>
        <w:pStyle w:val="BookText"/>
        <w:rPr/>
      </w:pPr>
      <w:r>
        <w:rPr>
          <w:rFonts w:ascii="IRNazanin" w:hAnsi="IRNazanin" w:eastAsia="IRNazanin"/>
          <w:color w:val="111111"/>
          <w:sz w:val="28"/>
          <w:sz w:val="28"/>
          <w:szCs w:val="28"/>
          <w:rtl w:val="true"/>
          <w:lang w:bidi="fa-IR"/>
        </w:rPr>
        <w:t>إذا لم یقصد التلذذ بالنظر، لکن وقع التلذذ فی الأثناء، فهل یجب الکف، کما مرّ، کما هو المحکی عن المشهور أو لا یجب، کما عن الشیخ الأعظم؟ وجهان،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استمرار النظر مع حصول التلذذ فی الأثناء، ووجوب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علیه الشیخ الأعظم بأدلة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أدلة جواز النظر</w:t>
      </w:r>
      <w:r>
        <w:rPr>
          <w:rFonts w:eastAsia="IRNazanin" w:cs="IRNazanin"/>
          <w:color w:val="111111"/>
          <w:sz w:val="28"/>
          <w:szCs w:val="28"/>
          <w:rtl w:val="true"/>
          <w:lang w:bidi="fa-IR"/>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انصراف الأدلة المجوزة عن صورة حصول </w:t>
      </w:r>
    </w:p>
    <w:p>
      <w:pPr>
        <w:pStyle w:val="BookText"/>
        <w:rPr/>
      </w:pPr>
      <w:r>
        <w:rPr>
          <w:rFonts w:ascii="IRNazanin" w:hAnsi="IRNazanin" w:eastAsia="IRNazanin"/>
          <w:color w:val="111111"/>
          <w:sz w:val="28"/>
          <w:sz w:val="28"/>
          <w:szCs w:val="28"/>
          <w:rtl w:val="true"/>
          <w:lang w:bidi="fa-IR"/>
        </w:rPr>
        <w:t>التلذذ فی الأثناء، فیکون المحکم العمومات الفوقانیة،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حرمة النظر إلی الأجنبیة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الإطلاق بالمرتکزات المتشرعیة، فإنها تقتضی حرمة النظر مع التلذذ، فیقید بها الإطلاق، ذکر هذا الجواب صاحب المستمسک</w:t>
      </w:r>
      <w:r>
        <w:rPr>
          <w:rFonts w:eastAsia="IRNazanin" w:cs="IRNazanin"/>
          <w:color w:val="111111"/>
          <w:sz w:val="28"/>
          <w:szCs w:val="28"/>
          <w:rtl w:val="true"/>
          <w:lang w:bidi="fa-IR"/>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علی عدم جواز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الإجماع دلیل لبی یقتصر فیه علی القدر المتیقن، إلا أن یضم إلیه ما سیأتی فی الجواب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أدلة حرمة التلذذ بالنظر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خبر الفضل وروایة الجعفریات وموثقة عباد وآیة الغض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تقتضی الحرمة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النظر بقصد اللذة حرام بلا إشکال للأدلة السابقة، ولا فرق فی نظر العرف بین النظر بقصد اللذة وحصول اللذة فی الأثناء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الوالد فی 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من تقیده بما تقدم من حرمة النظر بتلذذ، فإنّ العرف لا یکاد یعرف الفرق بین النظر بتلذذ بقصد فی الابتداء أو فی الأثناء، فلو لم یکن دلیل آخر لکان المناط کافیاً</w:t>
      </w:r>
      <w:r>
        <w:rPr>
          <w:rFonts w:eastAsia="IRNazanin" w:cs="IRNazanin"/>
          <w:color w:val="111111"/>
          <w:sz w:val="28"/>
          <w:szCs w:val="28"/>
          <w:rtl w:val="true"/>
          <w:lang w:bidi="fa-IR"/>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النظر بقصد اللذة أیضاً یغایر النظر بقصد آخر، وإن کان مصحوباً باللذة، والمحرم الأول، وقیاس الثانی علیه 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یجاب بأن مقتضی الأدلة المتقدمة حرمة النظر المصحوب باللذة، وحینئذٍ لا یفرق العرف بین الابتداء والأثناء، فتأمّل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النظر إلی حسان الوجوه من الذکور والإناث لا ینفک عن التلذذ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الطبیعة البشریة المجبولة علی ملاءمة الحسان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حرم النظر مع حصول التلذذ لوجب استثناء النظر إلی حسان </w:t>
      </w:r>
    </w:p>
    <w:p>
      <w:pPr>
        <w:pStyle w:val="BookText"/>
        <w:rPr/>
      </w:pPr>
      <w:r>
        <w:rPr>
          <w:rFonts w:ascii="IRNazanin" w:hAnsi="IRNazanin" w:eastAsia="IRNazanin"/>
          <w:color w:val="111111"/>
          <w:sz w:val="28"/>
          <w:sz w:val="28"/>
          <w:szCs w:val="28"/>
          <w:rtl w:val="true"/>
          <w:lang w:bidi="fa-IR"/>
        </w:rPr>
        <w:t>الوجه، مع أنه لا قائل بالفصل بینهم وبین غیرهم</w:t>
      </w:r>
      <w:r>
        <w:rPr>
          <w:rFonts w:eastAsia="IRNazanin" w:cs="IRNazanin"/>
          <w:color w:val="111111"/>
          <w:sz w:val="28"/>
          <w:szCs w:val="28"/>
          <w:rtl w:val="true"/>
          <w:lang w:bidi="fa-IR"/>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السید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فی 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أراد التلذذ الشهوانی فهو ممنوع، وان أراد مثل ما یحصل من النظر إلی الأوراد والأطیار الجمیلة ونحوها، فذلک جائز، ولیس من التلذذ الممنوع فی المقام</w:t>
      </w:r>
      <w:r>
        <w:rPr>
          <w:rFonts w:eastAsia="IRNazanin" w:cs="IRNazanin"/>
          <w:color w:val="111111"/>
          <w:sz w:val="28"/>
          <w:szCs w:val="28"/>
          <w:rtl w:val="true"/>
          <w:lang w:bidi="fa-IR"/>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سبق الکلام فی ذلک</w:t>
      </w:r>
      <w:r>
        <w:rPr>
          <w:rFonts w:eastAsia="IRNazanin" w:cs="IRNazanin"/>
          <w:color w:val="111111"/>
          <w:sz w:val="28"/>
          <w:szCs w:val="28"/>
          <w:rtl w:val="true"/>
          <w:lang w:bidi="fa-IR"/>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أنّ عدم القول بالفصل لیس بحجة علی ما قرر فی محله</w:t>
      </w:r>
      <w:r>
        <w:rPr>
          <w:rFonts w:eastAsia="IRNazanin" w:cs="IRNazanin"/>
          <w:color w:val="111111"/>
          <w:sz w:val="28"/>
          <w:szCs w:val="28"/>
          <w:rtl w:val="true"/>
          <w:lang w:bidi="fa-IR"/>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الثالث، ذکره بعنوان المؤید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بن سوید،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مراد السائل أنه کثیراً ما یتفق له الابتلاء بالنظر إلی المرأة الجمیلة، وأنه حین النظر إلیها والمکالمة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لمعاملة أو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یتلذذ لکمال حسنها</w:t>
      </w:r>
      <w:r>
        <w:rPr>
          <w:rFonts w:eastAsia="IRNazanin" w:cs="IRNazanin"/>
          <w:color w:val="111111"/>
          <w:sz w:val="28"/>
          <w:szCs w:val="28"/>
          <w:rtl w:val="true"/>
          <w:lang w:bidi="fa-IR"/>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یعجبنی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فعل خارجی، فلا ینعقد له إطلاق لیشمل الإعجاب الشهوی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فرض انعقاد الإطلاق یقید بالأدلة الخارجیة، کالارتکاز المتشرعی مثلاً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الدلیل لا وجه للتفصیل بین الأولی والثانیة</w:t>
      </w:r>
      <w:r>
        <w:rPr>
          <w:rFonts w:eastAsia="IRNazanin" w:cs="IRNazanin"/>
          <w:color w:val="111111"/>
          <w:sz w:val="28"/>
          <w:szCs w:val="28"/>
          <w:rtl w:val="true"/>
          <w:lang w:bidi="fa-IR"/>
        </w:rPr>
        <w:t xml:space="preserve">. </w:t>
      </w:r>
      <w:bookmarkStart w:id="840" w:name="pg6289_42134"/>
    </w:p>
    <w:p>
      <w:pPr>
        <w:pStyle w:val="BookText"/>
        <w:rPr/>
      </w:pPr>
      <w:bookmarkEnd w:id="840"/>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إشکال آخر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تفرد بذلک، ولم نعرف له موافقاً، ولعله غریب منه</w:t>
      </w:r>
      <w:r>
        <w:rPr>
          <w:rFonts w:eastAsia="IRNazanin" w:cs="IRNazanin"/>
          <w:color w:val="111111"/>
          <w:sz w:val="28"/>
          <w:szCs w:val="28"/>
          <w:rtl w:val="true"/>
          <w:lang w:bidi="fa-IR"/>
        </w:rPr>
        <w:t>.</w:t>
      </w:r>
    </w:p>
    <w:p>
      <w:pPr>
        <w:pStyle w:val="Heading5"/>
        <w:numPr>
          <w:ilvl w:val="4"/>
          <w:numId w:val="1"/>
        </w:numPr>
        <w:rPr/>
      </w:pPr>
      <w:bookmarkStart w:id="841" w:name="__RefHeading___Toc2133856_237004111"/>
      <w:bookmarkStart w:id="842" w:name="_Toc328"/>
      <w:bookmarkEnd w:id="841"/>
      <w:r>
        <w:rPr>
          <w:rtl w:val="true"/>
        </w:rPr>
        <w:t>الفرع الثالث</w:t>
      </w:r>
      <w:r>
        <w:rPr>
          <w:rtl w:val="true"/>
        </w:rPr>
        <w:t xml:space="preserve">: </w:t>
      </w:r>
      <w:r>
        <w:rPr>
          <w:rtl w:val="true"/>
        </w:rPr>
        <w:t>فی أنواع النظر</w:t>
      </w:r>
      <w:bookmarkEnd w:id="842"/>
    </w:p>
    <w:p>
      <w:pPr>
        <w:pStyle w:val="BookText"/>
        <w:rPr/>
      </w:pPr>
      <w:r>
        <w:rPr>
          <w:rFonts w:ascii="IRNazanin" w:hAnsi="IRNazanin" w:eastAsia="IRNazanin"/>
          <w:color w:val="111111"/>
          <w:sz w:val="28"/>
          <w:sz w:val="28"/>
          <w:szCs w:val="28"/>
          <w:rtl w:val="true"/>
          <w:lang w:bidi="fa-IR"/>
        </w:rPr>
        <w:t>قال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تارة التفاتی</w:t>
      </w:r>
      <w:r>
        <w:rPr>
          <w:rFonts w:eastAsia="IRNazanin" w:cs="IRNazanin"/>
          <w:color w:val="111111"/>
          <w:sz w:val="28"/>
          <w:szCs w:val="28"/>
          <w:rtl w:val="true"/>
          <w:lang w:bidi="fa-IR"/>
        </w:rPr>
        <w:t>(</w:t>
      </w:r>
      <w:r>
        <w:rPr>
          <w:rStyle w:val="FootnoteAnchor"/>
          <w:rtl w:val="true"/>
        </w:rPr>
        <w:footnoteReference w:id="9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وأُخری اختیاری عمدی إجمالی</w:t>
      </w:r>
      <w:r>
        <w:rPr>
          <w:rFonts w:eastAsia="IRNazanin" w:cs="IRNazanin"/>
          <w:color w:val="111111"/>
          <w:sz w:val="28"/>
          <w:szCs w:val="28"/>
          <w:rtl w:val="true"/>
          <w:lang w:bidi="fa-IR"/>
        </w:rPr>
        <w:t>(</w:t>
      </w:r>
      <w:r>
        <w:rPr>
          <w:rStyle w:val="FootnoteAnchor"/>
          <w:rtl w:val="true"/>
        </w:rPr>
        <w:footnoteReference w:id="9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وثالثة تفصیلی تعمقی لیمیز بین الخصوصیات، ومقتضی المرتکزات استقباح الأخیر واستنکاره، وفی شمول الأدلة علی فرض صحة الدلالة منع، وکذا الثانی أیضاً فیبقی الأول</w:t>
      </w:r>
      <w:r>
        <w:rPr>
          <w:rFonts w:eastAsia="IRNazanin" w:cs="IRNazanin"/>
          <w:color w:val="111111"/>
          <w:sz w:val="28"/>
          <w:szCs w:val="28"/>
          <w:rtl w:val="true"/>
          <w:lang w:bidi="fa-IR"/>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النظر إلی الوجه والکفین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الاتفاقی، ولا ریب فی عدم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الإجمالی الالتفاتی من غیر تکرار، بحیث لا یکون</w:t>
      </w:r>
      <w:r>
        <w:rPr>
          <w:rFonts w:eastAsia="IRNazanin" w:cs="IRNazanin"/>
          <w:color w:val="111111"/>
          <w:sz w:val="28"/>
          <w:szCs w:val="28"/>
          <w:rtl w:val="true"/>
          <w:lang w:bidi="fa-IR"/>
        </w:rPr>
        <w:t>(</w:t>
      </w:r>
      <w:r>
        <w:rPr>
          <w:rStyle w:val="FootnoteAnchor"/>
          <w:rtl w:val="true"/>
        </w:rPr>
        <w:footnoteReference w:id="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تمییز الجهات والخصوصیات، کالنظر العبوری بالنسبة إلی سائر الأشیاء، ویمکن دعوی انصراف الأدلة المانعة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التفصیلی الالتفاتی، کنظر المشتری إلی ما یرید شراءه، والرجل إلی امرأة یرید أن یتزوجها، ولا یجتری أحد علی القول بجوازه، وبذلک یمکن أن یجمع بین الکلمات</w:t>
      </w:r>
      <w:r>
        <w:rPr>
          <w:rFonts w:eastAsia="IRNazanin" w:cs="IRNazanin"/>
          <w:color w:val="111111"/>
          <w:sz w:val="28"/>
          <w:szCs w:val="28"/>
          <w:rtl w:val="true"/>
          <w:lang w:bidi="fa-IR"/>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نظر؛ لإطلاق الأدلة السابقة الدالة علی الجواز، ولم ینهض دلیل </w:t>
      </w:r>
      <w:bookmarkStart w:id="843" w:name="pg6289_42135"/>
    </w:p>
    <w:p>
      <w:pPr>
        <w:pStyle w:val="BookText"/>
        <w:rPr/>
      </w:pPr>
      <w:bookmarkEnd w:id="843"/>
      <w:r>
        <w:rPr>
          <w:rFonts w:ascii="IRNazanin" w:hAnsi="IRNazanin" w:eastAsia="IRNazanin"/>
          <w:color w:val="111111"/>
          <w:sz w:val="28"/>
          <w:sz w:val="28"/>
          <w:szCs w:val="28"/>
          <w:rtl w:val="true"/>
          <w:lang w:bidi="fa-IR"/>
        </w:rPr>
        <w:t>علی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یخفی أنّ النظر مزلق خطیر من مزالق الشیطان، فاللازم عقلاً الحذر مع عدم أمن الفتنة، بل ینبغی التجنب مطلقاً</w:t>
      </w:r>
      <w:r>
        <w:rPr>
          <w:rFonts w:eastAsia="IRNazanin" w:cs="IRNazanin"/>
          <w:color w:val="111111"/>
          <w:sz w:val="28"/>
          <w:szCs w:val="28"/>
          <w:rtl w:val="true"/>
          <w:lang w:bidi="fa-IR"/>
        </w:rPr>
        <w:t>.</w:t>
      </w:r>
    </w:p>
    <w:p>
      <w:pPr>
        <w:pStyle w:val="Heading5"/>
        <w:numPr>
          <w:ilvl w:val="4"/>
          <w:numId w:val="1"/>
        </w:numPr>
        <w:rPr/>
      </w:pPr>
      <w:bookmarkStart w:id="844" w:name="__RefHeading___Toc2133858_237004111"/>
      <w:bookmarkStart w:id="845" w:name="_Toc329"/>
      <w:bookmarkEnd w:id="844"/>
      <w:r>
        <w:rPr>
          <w:rtl w:val="true"/>
        </w:rPr>
        <w:t>الفرع الرابع</w:t>
      </w:r>
      <w:r>
        <w:rPr>
          <w:rtl w:val="true"/>
        </w:rPr>
        <w:t xml:space="preserve">: </w:t>
      </w:r>
      <w:r>
        <w:rPr>
          <w:rtl w:val="true"/>
        </w:rPr>
        <w:t>کفایة الوهم فی خوف الوقوع فی الحرام</w:t>
      </w:r>
      <w:bookmarkEnd w:id="845"/>
    </w:p>
    <w:p>
      <w:pPr>
        <w:pStyle w:val="BookText"/>
        <w:rPr/>
      </w:pPr>
      <w:r>
        <w:rPr>
          <w:rFonts w:ascii="IRNazanin" w:hAnsi="IRNazanin" w:eastAsia="IRNazanin"/>
          <w:color w:val="111111"/>
          <w:sz w:val="28"/>
          <w:sz w:val="28"/>
          <w:szCs w:val="28"/>
          <w:rtl w:val="true"/>
          <w:lang w:bidi="fa-IR"/>
        </w:rPr>
        <w:t>فی خوف الوقوع فی الحرام یکفی الوهم، ولو کان ضعیفاً؛ لإطلاق الأدلة السابقة علی شرطیة عدم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یشترط کون الاحتمال عقلائیاً، أما غیر العقلائی فهو مُطمأن بعدمه، والاطمئنان مرتبة من مراتب العلم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 الخوف فلا یکفی 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یجامع الوهم، وقد قال الفقهاء فی کتاب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خاف الضرر، وللضرر مراتب ویشمل مرتبة الوهم إلا إذا کان الاحتمال غیر 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 فی الخوف هو الخوف الشخصی، لا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مسائل الخوف فی کتاب الصوم، والأدلة المذکورة فیها تشمل الوهم، والخوف العقلائی یساوی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یبدو أنّ الخوف الشخصی إذا لم یکن نوعیاً فهو خوف غیر عقلائی، وهو مُطمأن بعدمه عقلائیاً، فلا یعتنی به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اختار السید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أنّ الخوف نوعی</w:t>
      </w:r>
      <w:r>
        <w:rPr>
          <w:rFonts w:eastAsia="IRNazanin" w:cs="IRNazanin"/>
          <w:color w:val="111111"/>
          <w:sz w:val="28"/>
          <w:szCs w:val="28"/>
          <w:rtl w:val="true"/>
          <w:lang w:bidi="fa-IR"/>
        </w:rPr>
        <w:t>(</w:t>
      </w:r>
      <w:r>
        <w:rPr>
          <w:rStyle w:val="FootnoteAnchor"/>
          <w:rtl w:val="true"/>
        </w:rPr>
        <w:footnoteReference w:id="9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وحیث إنّ </w:t>
      </w:r>
    </w:p>
    <w:p>
      <w:pPr>
        <w:pStyle w:val="BookText"/>
        <w:rPr/>
      </w:pPr>
      <w:r>
        <w:rPr>
          <w:rFonts w:ascii="IRNazanin" w:hAnsi="IRNazanin" w:eastAsia="IRNazanin"/>
          <w:color w:val="111111"/>
          <w:sz w:val="28"/>
          <w:sz w:val="28"/>
          <w:szCs w:val="28"/>
          <w:rtl w:val="true"/>
          <w:lang w:bidi="fa-IR"/>
        </w:rPr>
        <w:t xml:space="preserve">البحث له عرض عریض فینبغی مراجعة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لا ضرر</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مضت مجموعة من البحوث فی فروع المسألة الثانیة ترتبط بالمقام فراجع</w:t>
      </w:r>
      <w:r>
        <w:rPr>
          <w:rFonts w:eastAsia="IRNazanin" w:cs="IRNazanin"/>
          <w:color w:val="111111"/>
          <w:sz w:val="28"/>
          <w:szCs w:val="28"/>
          <w:rtl w:val="true"/>
          <w:lang w:bidi="fa-IR"/>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6" w:name="pg6289_42138"/>
      <w:bookmarkStart w:id="847" w:name="pg6289_42138"/>
      <w:bookmarkEnd w:id="847"/>
    </w:p>
    <w:p>
      <w:pPr>
        <w:pStyle w:val="Heading2"/>
        <w:numPr>
          <w:ilvl w:val="1"/>
          <w:numId w:val="1"/>
        </w:numPr>
        <w:rPr/>
      </w:pPr>
      <w:bookmarkStart w:id="848" w:name="pg6289_42138"/>
      <w:bookmarkStart w:id="849" w:name="__RefHeading___Toc2133860_237004111"/>
      <w:bookmarkStart w:id="850" w:name="_Toc330"/>
      <w:bookmarkEnd w:id="848"/>
      <w:bookmarkEnd w:id="849"/>
      <w:r>
        <w:rPr>
          <w:rtl w:val="true"/>
        </w:rPr>
        <w:t>المسألة الرابعة</w:t>
      </w:r>
      <w:r>
        <w:rPr>
          <w:rtl w:val="true"/>
        </w:rPr>
        <w:t xml:space="preserve">: </w:t>
      </w:r>
      <w:r>
        <w:rPr>
          <w:rtl w:val="true"/>
        </w:rPr>
        <w:t>نظر المرأة إلی الرجل</w:t>
      </w:r>
      <w:bookmarkEnd w:id="85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1" w:name="__RefHeading___Toc2133862_237004111"/>
      <w:bookmarkStart w:id="852" w:name="_Toc331"/>
      <w:bookmarkEnd w:id="851"/>
      <w:r>
        <w:rPr>
          <w:rtl w:val="true"/>
        </w:rPr>
        <w:t>اشارة</w:t>
      </w:r>
      <w:bookmarkEnd w:id="85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3" w:name="pg6289_42140"/>
      <w:bookmarkStart w:id="854" w:name="pg6289_42140"/>
      <w:bookmarkEnd w:id="854"/>
    </w:p>
    <w:p>
      <w:pPr>
        <w:pStyle w:val="Heading3"/>
        <w:numPr>
          <w:ilvl w:val="2"/>
          <w:numId w:val="1"/>
        </w:numPr>
        <w:rPr/>
      </w:pPr>
      <w:bookmarkStart w:id="855" w:name="pg6289_42140"/>
      <w:bookmarkStart w:id="856" w:name="__RefHeading___Toc2133864_237004111"/>
      <w:bookmarkStart w:id="857" w:name="_Toc332"/>
      <w:bookmarkEnd w:id="855"/>
      <w:bookmarkEnd w:id="856"/>
      <w:r>
        <w:rPr>
          <w:rtl w:val="true"/>
        </w:rPr>
        <w:t>المسألة الرابعة</w:t>
      </w:r>
      <w:r>
        <w:rPr>
          <w:rtl w:val="true"/>
        </w:rPr>
        <w:t xml:space="preserve">: </w:t>
      </w:r>
      <w:r>
        <w:rPr>
          <w:rtl w:val="true"/>
        </w:rPr>
        <w:t>نظر المرأة إلی الرجل</w:t>
      </w:r>
      <w:bookmarkEnd w:id="857"/>
    </w:p>
    <w:p>
      <w:pPr>
        <w:pStyle w:val="Heading4"/>
        <w:numPr>
          <w:ilvl w:val="3"/>
          <w:numId w:val="1"/>
        </w:numPr>
        <w:rPr/>
      </w:pPr>
      <w:bookmarkStart w:id="858" w:name="__RefHeading___Toc2133866_237004111"/>
      <w:bookmarkStart w:id="859" w:name="_Toc333"/>
      <w:bookmarkEnd w:id="858"/>
      <w:r>
        <w:rPr>
          <w:rtl w:val="true"/>
        </w:rPr>
        <w:t>اشارة</w:t>
      </w:r>
      <w:bookmarkEnd w:id="859"/>
    </w:p>
    <w:p>
      <w:pPr>
        <w:pStyle w:val="BookText"/>
        <w:rPr/>
      </w:pPr>
      <w:r>
        <w:rPr>
          <w:rFonts w:ascii="IRNazanin" w:hAnsi="IRNazanin" w:eastAsia="IRNazanin"/>
          <w:color w:val="111111"/>
          <w:sz w:val="28"/>
          <w:sz w:val="28"/>
          <w:szCs w:val="28"/>
          <w:rtl w:val="true"/>
          <w:lang w:bidi="fa-IR"/>
        </w:rPr>
        <w:t>ولا یخفی أنّ أصل حرمة نظر المرأة إلی الرجل مما لا إشکال فیه ولا خلاف، بل علیه الإجماع والتسالم، إنما الکلام فی حدود الحرمة</w:t>
      </w:r>
      <w:r>
        <w:rPr>
          <w:rFonts w:eastAsia="IRNazanin" w:cs="IRNazanin"/>
          <w:color w:val="111111"/>
          <w:sz w:val="28"/>
          <w:szCs w:val="28"/>
          <w:rtl w:val="true"/>
          <w:lang w:bidi="fa-IR"/>
        </w:rPr>
        <w:t>.</w:t>
      </w:r>
    </w:p>
    <w:p>
      <w:pPr>
        <w:pStyle w:val="Heading4"/>
        <w:numPr>
          <w:ilvl w:val="3"/>
          <w:numId w:val="1"/>
        </w:numPr>
        <w:rPr/>
      </w:pPr>
      <w:bookmarkStart w:id="860" w:name="__RefHeading___Toc2133868_237004111"/>
      <w:bookmarkStart w:id="861" w:name="_Toc334"/>
      <w:bookmarkEnd w:id="860"/>
      <w:r>
        <w:rPr>
          <w:rtl w:val="true"/>
        </w:rPr>
        <w:t>الأقوال فی حکم نظر المرأة إلی الرجل</w:t>
      </w:r>
      <w:bookmarkEnd w:id="861"/>
    </w:p>
    <w:p>
      <w:pPr>
        <w:pStyle w:val="Heading5"/>
        <w:numPr>
          <w:ilvl w:val="4"/>
          <w:numId w:val="1"/>
        </w:numPr>
        <w:rPr/>
      </w:pPr>
      <w:bookmarkStart w:id="862" w:name="__RefHeading___Toc2133870_237004111"/>
      <w:bookmarkStart w:id="863" w:name="_Toc335"/>
      <w:bookmarkEnd w:id="862"/>
      <w:r>
        <w:rPr>
          <w:rtl w:val="true"/>
        </w:rPr>
        <w:t>اشارة</w:t>
      </w:r>
      <w:bookmarkEnd w:id="863"/>
    </w:p>
    <w:p>
      <w:pPr>
        <w:pStyle w:val="BookText"/>
        <w:rPr/>
      </w:pPr>
      <w:r>
        <w:rPr>
          <w:rFonts w:ascii="IRNazanin" w:hAnsi="IRNazanin" w:eastAsia="IRNazanin"/>
          <w:color w:val="111111"/>
          <w:sz w:val="28"/>
          <w:sz w:val="28"/>
          <w:szCs w:val="28"/>
          <w:rtl w:val="true"/>
          <w:lang w:bidi="fa-IR"/>
        </w:rPr>
        <w:t>وفی المقام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النظر إلی جمیع الجسد حتّی الوجه والکفین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النظر إلی ما عدا الوجه والکفین مطلقاً، أو علی تفصیل بین النظرة الأولی والثانیة کالرجل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النظر إلی غیر ما جرت السیرة علی عدم ستره، أو علی النظر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النظر إلی خصوص العورتین فقط</w:t>
      </w:r>
      <w:r>
        <w:rPr>
          <w:rFonts w:eastAsia="IRNazanin" w:cs="IRNazanin"/>
          <w:color w:val="111111"/>
          <w:sz w:val="28"/>
          <w:szCs w:val="28"/>
          <w:rtl w:val="true"/>
          <w:lang w:bidi="fa-IR"/>
        </w:rPr>
        <w:t>.</w:t>
      </w:r>
    </w:p>
    <w:p>
      <w:pPr>
        <w:pStyle w:val="Heading5"/>
        <w:numPr>
          <w:ilvl w:val="4"/>
          <w:numId w:val="1"/>
        </w:numPr>
        <w:rPr/>
      </w:pPr>
      <w:bookmarkStart w:id="864" w:name="__RefHeading___Toc2133872_237004111"/>
      <w:bookmarkStart w:id="865" w:name="_Toc336"/>
      <w:bookmarkEnd w:id="864"/>
      <w:r>
        <w:rPr>
          <w:rtl w:val="true"/>
        </w:rPr>
        <w:t>القول الأول</w:t>
      </w:r>
      <w:r>
        <w:rPr>
          <w:rtl w:val="true"/>
        </w:rPr>
        <w:t xml:space="preserve">: </w:t>
      </w:r>
      <w:r>
        <w:rPr>
          <w:rtl w:val="true"/>
        </w:rPr>
        <w:t>حرمة النظر إلی جمیع الجسد</w:t>
      </w:r>
      <w:bookmarkEnd w:id="86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حرمة النظر إلی جمیع الجسد حتّی الوجه والکفین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اختاره فی الجواهر</w:t>
      </w:r>
      <w:r>
        <w:rPr>
          <w:rFonts w:eastAsia="IRNazanin" w:cs="IRNazanin"/>
          <w:color w:val="111111"/>
          <w:sz w:val="28"/>
          <w:szCs w:val="28"/>
          <w:rtl w:val="true"/>
          <w:lang w:bidi="fa-IR"/>
        </w:rPr>
        <w:t>(</w:t>
      </w:r>
      <w:r>
        <w:rPr>
          <w:rStyle w:val="FootnoteAnchor"/>
          <w:rtl w:val="true"/>
        </w:rPr>
        <w:footnoteReference w:id="9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والمهذب</w:t>
      </w:r>
      <w:r>
        <w:rPr>
          <w:rFonts w:eastAsia="IRNazanin" w:cs="IRNazanin"/>
          <w:color w:val="111111"/>
          <w:sz w:val="28"/>
          <w:szCs w:val="28"/>
          <w:rtl w:val="true"/>
          <w:lang w:bidi="fa-IR"/>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استدل علی تحریم النظر بأدلة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الدلیل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آیة الغض،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لِّلْمُؤْمِنَاتِ یَغْضُضْنَ مِنْ أَبْصَارِهِنَّ</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 به المهذب</w:t>
      </w:r>
      <w:r>
        <w:rPr>
          <w:rFonts w:eastAsia="IRNazanin" w:cs="IRNazanin"/>
          <w:color w:val="111111"/>
          <w:sz w:val="28"/>
          <w:szCs w:val="28"/>
          <w:rtl w:val="true"/>
          <w:lang w:bidi="fa-IR"/>
        </w:rPr>
        <w:t>(</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 الصادق</w:t>
      </w:r>
      <w:r>
        <w:rPr>
          <w:rFonts w:eastAsia="IRNazanin" w:cs="IRNazanin"/>
          <w:color w:val="111111"/>
          <w:sz w:val="28"/>
          <w:szCs w:val="28"/>
          <w:rtl w:val="true"/>
          <w:lang w:bidi="fa-IR"/>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التشکیک فی ثبوت الإطلاق للآیة الکریمة؛ إذ أصالة الإطلاق مستندة للظهورات النوعیة، ولا ظهور للآیة الکریمة عرفاً فی العموم، فتکون کأمر الوعاظ بالغض الذی لا یعین حدود ما یجب الغض عنه،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ثبوته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للتخصیص بالأدلة التی ستذکر لاحقاً،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مضت مجموعة من المناقشات فی دلالة الآیة الکریمة</w:t>
      </w:r>
      <w:r>
        <w:rPr>
          <w:rFonts w:eastAsia="IRNazanin" w:cs="IRNazanin"/>
          <w:color w:val="111111"/>
          <w:sz w:val="28"/>
          <w:szCs w:val="28"/>
          <w:rtl w:val="true"/>
          <w:lang w:bidi="fa-IR"/>
        </w:rPr>
        <w:t>(</w:t>
      </w:r>
      <w:r>
        <w:rPr>
          <w:rStyle w:val="FootnoteAnchor"/>
          <w:rtl w:val="true"/>
        </w:rPr>
        <w:footnoteReference w:id="1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الصدیقة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للنساء أن لا یرین الرجال ولا یراهن الرجال،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فاطمة منی</w:t>
      </w:r>
      <w:r>
        <w:rPr>
          <w:rFonts w:eastAsia="IRNazanin" w:cs="IRNazanin"/>
          <w:color w:val="111111"/>
          <w:sz w:val="28"/>
          <w:szCs w:val="28"/>
          <w:rtl w:val="true"/>
          <w:lang w:bidi="fa-IR"/>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مرسلة، وقد مضی تفصیل الکلام عن ذلک</w:t>
      </w:r>
      <w:r>
        <w:rPr>
          <w:rFonts w:eastAsia="IRNazanin" w:cs="IRNazanin"/>
          <w:color w:val="111111"/>
          <w:sz w:val="28"/>
          <w:szCs w:val="28"/>
          <w:rtl w:val="true"/>
          <w:lang w:bidi="fa-IR"/>
        </w:rPr>
        <w:t>(</w:t>
      </w:r>
      <w:r>
        <w:rPr>
          <w:rStyle w:val="FootnoteAnchor"/>
          <w:rtl w:val="true"/>
        </w:rPr>
        <w:footnoteReference w:id="10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تصلح لإثبات حکم إلزامی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فی اعتبار الروایة صحة السند فقط، وإنما تکفی قوة المضمون، ومثل هذا المضمون لا یصدر إلا عن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وهذه الروایة لو أعطیت للمتشرعة لأذعنوا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اطمأنّ إلی ذلک فاطمئنانه حجة علیه، وإذا ثبت الاطمئنان النوعی نسلم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یکون المراد الخیر فی مقابل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أنّ کل شر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الإطلاق قابل للتقیید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أبی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استأذن ابن أم مکتوم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عائشة وحفصة،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فادخلا البیت، فقالتا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أعمی، فقال إن لم یرکما فإنکما تریانه</w:t>
      </w:r>
      <w:r>
        <w:rPr>
          <w:rFonts w:eastAsia="IRNazanin" w:cs="IRNazanin"/>
          <w:color w:val="111111"/>
          <w:sz w:val="28"/>
          <w:szCs w:val="28"/>
          <w:rtl w:val="true"/>
          <w:lang w:bidi="fa-IR"/>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ونحوها ما رواه الطبرسی فی مکام الأخلاق عن أم سلمة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میمونة، فاقبل ابن أم مکتوم، وذلک بعد أن أمر </w:t>
      </w:r>
    </w:p>
    <w:p>
      <w:pPr>
        <w:pStyle w:val="BookText"/>
        <w:rPr/>
      </w:pPr>
      <w:r>
        <w:rPr>
          <w:rFonts w:ascii="IRNazanin" w:hAnsi="IRNazanin" w:eastAsia="IRNazanin"/>
          <w:color w:val="111111"/>
          <w:sz w:val="28"/>
          <w:sz w:val="28"/>
          <w:szCs w:val="28"/>
          <w:rtl w:val="true"/>
          <w:lang w:bidi="fa-IR"/>
        </w:rPr>
        <w:t>بالحجاب،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احتجبا،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ألیس أعمی لا یبصرنا؟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أفعمیاوان أنتما؟ ألستما تبصرانه؟</w:t>
      </w:r>
      <w:r>
        <w:rPr>
          <w:rFonts w:eastAsia="IRNazanin" w:cs="IRNazanin"/>
          <w:color w:val="111111"/>
          <w:sz w:val="28"/>
          <w:szCs w:val="28"/>
          <w:rtl w:val="true"/>
          <w:lang w:bidi="fa-IR"/>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مرسلتان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الخوئی، حیث قال فی رد روایة الشیخ الکلینی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إنها تکفلت بیان فعل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لا یدل علی اللزوم</w:t>
      </w:r>
      <w:r>
        <w:rPr>
          <w:rFonts w:eastAsia="IRNazanin" w:cs="IRNazanin"/>
          <w:color w:val="111111"/>
          <w:sz w:val="28"/>
          <w:szCs w:val="28"/>
          <w:rtl w:val="true"/>
          <w:lang w:bidi="fa-IR"/>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 فی رد روایة مکارم الأخلاق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مرسلة، علی أنه لا دلالة فیها علی اللزوم</w:t>
      </w:r>
      <w:r>
        <w:rPr>
          <w:rFonts w:eastAsia="IRNazanin" w:cs="IRNazanin"/>
          <w:color w:val="111111"/>
          <w:sz w:val="28"/>
          <w:szCs w:val="28"/>
          <w:rtl w:val="true"/>
          <w:lang w:bidi="fa-IR"/>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 لأنه أمر بالفعل لا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الفقه،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w:t>
      </w:r>
      <w:r>
        <w:rPr>
          <w:rStyle w:val="FootnoteAnchor"/>
          <w:rtl w:val="true"/>
        </w:rPr>
        <w:footnoteReference w:id="10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فی الکراهة؛ إذ لا یحتاج الأمر إلی دخول الغرفة</w:t>
      </w:r>
      <w:r>
        <w:rPr>
          <w:rFonts w:eastAsia="IRNazanin" w:cs="IRNazanin"/>
          <w:color w:val="111111"/>
          <w:sz w:val="28"/>
          <w:szCs w:val="28"/>
          <w:rtl w:val="true"/>
          <w:lang w:bidi="fa-IR"/>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تأمل؛ إذ الأمر بالدخول مقدمی لعدم الرؤیة، وعدم الرؤیة وإن أمکن بالغض، إلا أنه إذا کان الملاک فی الطبیعی یمکن اختیار أیة حصة من حصصه؛ لإمکان الترجیح بلا مرجح علی المعروف</w:t>
      </w:r>
      <w:r>
        <w:rPr>
          <w:rFonts w:eastAsia="IRNazanin" w:cs="IRNazanin"/>
          <w:color w:val="111111"/>
          <w:sz w:val="28"/>
          <w:szCs w:val="28"/>
          <w:rtl w:val="true"/>
          <w:lang w:bidi="fa-IR"/>
        </w:rPr>
        <w:t>(</w:t>
      </w:r>
      <w:r>
        <w:rPr>
          <w:rStyle w:val="FootnoteAnchor"/>
          <w:rtl w:val="true"/>
        </w:rPr>
        <w:footnoteReference w:id="10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 الامتناع إذا کان فی أحد الطرفین مزیة، کما فیما نحن فیه، فإنّ الدخول آکد فی </w:t>
      </w:r>
    </w:p>
    <w:p>
      <w:pPr>
        <w:pStyle w:val="BookText"/>
        <w:rPr/>
      </w:pPr>
      <w:r>
        <w:rPr>
          <w:rFonts w:ascii="IRNazanin" w:hAnsi="IRNazanin" w:eastAsia="IRNazanin"/>
          <w:color w:val="111111"/>
          <w:sz w:val="28"/>
          <w:sz w:val="28"/>
          <w:szCs w:val="28"/>
          <w:rtl w:val="true"/>
          <w:lang w:bidi="fa-IR"/>
        </w:rPr>
        <w:t>عدم النظر،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هنالک جواب آخر، وهو أنّ الحدیث یتضمن أمراً ونهیاً،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فإنکما تریانه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قوة لا تنظرا إلیه، فإن کان الأول ظاهراً فی الکراهة فلا وجه لظهور الثانی فی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جید کما یبدو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الفقه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ألیست المرأة تخرج إلی خارج البیت فتری الرجال</w:t>
      </w:r>
      <w:r>
        <w:rPr>
          <w:rFonts w:eastAsia="IRNazanin" w:cs="IRNazanin"/>
          <w:color w:val="111111"/>
          <w:sz w:val="28"/>
          <w:szCs w:val="28"/>
          <w:rtl w:val="true"/>
          <w:lang w:bidi="fa-IR"/>
        </w:rPr>
        <w:t>»(</w:t>
      </w:r>
      <w:r>
        <w:rPr>
          <w:rStyle w:val="FootnoteAnchor"/>
          <w:rtl w:val="true"/>
        </w:rPr>
        <w:footnoteReference w:id="10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المراد أنه لو کان النظر حراماً لنهیت النساء عن الخروج إلی خارج البیت، الذی یلازم النظر إلی الرجال عادة، فعدم النهی وجریان سیرة النساء علی الخروج وعلی النظر دلیل جواز النظر، وسیأتی تفصیل الکلام فی ذلک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حبس النساء فی البیوت</w:t>
      </w:r>
      <w:r>
        <w:rPr>
          <w:rFonts w:eastAsia="IRNazanin" w:cs="IRNazanin"/>
          <w:color w:val="111111"/>
          <w:sz w:val="28"/>
          <w:szCs w:val="28"/>
          <w:rtl w:val="true"/>
          <w:lang w:bidi="fa-IR"/>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مضت المناقشة فی ذلک</w:t>
      </w:r>
      <w:r>
        <w:rPr>
          <w:rFonts w:eastAsia="IRNazanin" w:cs="IRNazanin"/>
          <w:color w:val="111111"/>
          <w:sz w:val="28"/>
          <w:szCs w:val="28"/>
          <w:rtl w:val="true"/>
          <w:lang w:bidi="fa-IR"/>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من الروایات علی أنّ المرأة عورة</w:t>
      </w:r>
      <w:r>
        <w:rPr>
          <w:rFonts w:eastAsia="IRNazanin" w:cs="IRNazanin"/>
          <w:color w:val="111111"/>
          <w:sz w:val="28"/>
          <w:szCs w:val="28"/>
          <w:rtl w:val="true"/>
          <w:lang w:bidi="fa-IR"/>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مضت المناقشة فی ذلک</w:t>
      </w:r>
      <w:r>
        <w:rPr>
          <w:rFonts w:eastAsia="IRNazanin" w:cs="IRNazanin"/>
          <w:color w:val="111111"/>
          <w:sz w:val="28"/>
          <w:szCs w:val="28"/>
          <w:rtl w:val="true"/>
          <w:lang w:bidi="fa-IR"/>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التنزل انما یکون باعتبار أظهر الآثار، وأظهر آثار العورة</w:t>
      </w:r>
      <w:r>
        <w:rPr>
          <w:rFonts w:eastAsia="IRNazanin" w:cs="IRNazanin"/>
          <w:color w:val="111111"/>
          <w:sz w:val="28"/>
          <w:szCs w:val="28"/>
          <w:rtl w:val="true"/>
          <w:lang w:bidi="fa-IR"/>
        </w:rPr>
        <w:t>(</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w:t>
      </w:r>
    </w:p>
    <w:p>
      <w:pPr>
        <w:pStyle w:val="BookText"/>
        <w:rPr/>
      </w:pPr>
      <w:r>
        <w:rPr>
          <w:rFonts w:ascii="IRNazanin" w:hAnsi="IRNazanin" w:eastAsia="IRNazanin"/>
          <w:color w:val="111111"/>
          <w:sz w:val="28"/>
          <w:sz w:val="28"/>
          <w:szCs w:val="28"/>
          <w:rtl w:val="true"/>
          <w:lang w:bidi="fa-IR"/>
        </w:rPr>
        <w:t>النظر إلیها، ووجوب سترها، لا حرمة نظر العورة إلی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المستدل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تنزیل، والتنزیل مبتنٍ علی التشبیه، والعورة یجب سترها فلا ینظرون إلیها، لا أنها لا تری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من الروایات علی عدم إنزالهن الغرف</w:t>
      </w:r>
      <w:r>
        <w:rPr>
          <w:rFonts w:eastAsia="IRNazanin" w:cs="IRNazanin"/>
          <w:color w:val="111111"/>
          <w:sz w:val="28"/>
          <w:szCs w:val="28"/>
          <w:rtl w:val="true"/>
          <w:lang w:bidi="fa-IR"/>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ویظهر الجواب عنه مما تقدّم</w:t>
      </w:r>
      <w:r>
        <w:rPr>
          <w:rFonts w:eastAsia="IRNazanin" w:cs="IRNazanin"/>
          <w:color w:val="111111"/>
          <w:sz w:val="28"/>
          <w:szCs w:val="28"/>
          <w:rtl w:val="true"/>
          <w:lang w:bidi="fa-IR"/>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علی صلوات الله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علیها أعمی فحجبته، فقال لها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حجبته وهو لا یراک؟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لم یکن یرانی فأنا أراه، وهو یشم الریح،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أشهد أنک بضعة منی</w:t>
      </w:r>
      <w:r>
        <w:rPr>
          <w:rFonts w:eastAsia="IRNazanin" w:cs="IRNazanin"/>
          <w:color w:val="111111"/>
          <w:sz w:val="28"/>
          <w:szCs w:val="28"/>
          <w:rtl w:val="true"/>
          <w:lang w:bidi="fa-IR"/>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الإشکال السندی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لا یدل علی الوجوب</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علی بن الحسین فی عقاب الأعمال، کما فی الوسائل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اشتد غضب الله علی امرأة ذات بعل ملأت عینها من غیر زوجها، أو غیر ذی محرم منها، فإنها إن فعلت ذلک أحبط الله عزّ وجلّ کل عمل عملته</w:t>
      </w:r>
      <w:r>
        <w:rPr>
          <w:rFonts w:eastAsia="IRNazanin" w:cs="IRNazanin"/>
          <w:color w:val="111111"/>
          <w:sz w:val="28"/>
          <w:szCs w:val="28"/>
          <w:rtl w:val="true"/>
          <w:lang w:bidi="fa-IR"/>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ضعیفة السند؛ لوجود عدة مجاهیل فی سندها</w:t>
      </w:r>
      <w:r>
        <w:rPr>
          <w:rFonts w:eastAsia="IRNazanin" w:cs="IRNazanin"/>
          <w:color w:val="111111"/>
          <w:sz w:val="28"/>
          <w:szCs w:val="28"/>
          <w:rtl w:val="true"/>
          <w:lang w:bidi="fa-IR"/>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أخص من المدعی؛ لأنّ موردها ذات البعل</w:t>
      </w:r>
      <w:r>
        <w:rPr>
          <w:rFonts w:eastAsia="IRNazanin" w:cs="IRNazanin"/>
          <w:color w:val="111111"/>
          <w:sz w:val="28"/>
          <w:szCs w:val="28"/>
          <w:rtl w:val="true"/>
          <w:lang w:bidi="fa-IR"/>
        </w:rPr>
        <w:t>(</w:t>
      </w:r>
      <w:r>
        <w:rPr>
          <w:rStyle w:val="FootnoteAnchor"/>
          <w:rtl w:val="true"/>
        </w:rPr>
        <w:footnoteReference w:id="10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ذکره بعضهم،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أنّ النظر سهم من سهام إبلیس ونحو ذلک</w:t>
      </w:r>
      <w:r>
        <w:rPr>
          <w:rFonts w:eastAsia="IRNazanin" w:cs="IRNazanin"/>
          <w:color w:val="111111"/>
          <w:sz w:val="28"/>
          <w:szCs w:val="28"/>
          <w:rtl w:val="true"/>
          <w:lang w:bidi="fa-IR"/>
        </w:rPr>
        <w:t>(</w:t>
      </w:r>
      <w:r>
        <w:rPr>
          <w:rStyle w:val="FootnoteAnchor"/>
          <w:rtl w:val="true"/>
        </w:rPr>
        <w:footnoteReference w:id="10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بإطلاقها تشمل نظر المرأة إلی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تقدّم</w:t>
      </w:r>
      <w:r>
        <w:rPr>
          <w:rFonts w:eastAsia="IRNazanin" w:cs="IRNazanin"/>
          <w:color w:val="111111"/>
          <w:sz w:val="28"/>
          <w:szCs w:val="28"/>
          <w:rtl w:val="true"/>
          <w:lang w:bidi="fa-IR"/>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الدلیل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التعلیل الوارد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أَزْکَی لَهُمْ</w:t>
      </w:r>
      <w:r>
        <w:rPr>
          <w:rFonts w:eastAsia="Amiri" w:cs="Amiri" w:ascii="Amiri" w:hAnsi="Amiri"/>
          <w:color w:val="111111"/>
          <w:sz w:val="28"/>
          <w:szCs w:val="28"/>
          <w:rtl w:val="true"/>
          <w:lang w:bidi="ar-SA"/>
        </w:rPr>
        <w:t>}(</w:t>
      </w:r>
      <w:r>
        <w:rPr>
          <w:rStyle w:val="FootnoteAnchor"/>
          <w:rtl w:val="true"/>
        </w:rPr>
        <w:footnoteReference w:id="10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یدل علی أنّ المصلحة الداعیة إلی إیجاب الغض علی الرجال عدم تحریک الشهوة، وعدم التلوث بالذنوب، وهذا الملاک بعینه موجود فی عدم نظر المرأة إلی الرجل، بل هو أشدّ، کما یظهر من الروایات الدالة علی همّة النساء فی الرجال</w:t>
      </w:r>
      <w:r>
        <w:rPr>
          <w:rFonts w:eastAsia="IRNazanin" w:cs="IRNazanin"/>
          <w:color w:val="111111"/>
          <w:sz w:val="28"/>
          <w:szCs w:val="28"/>
          <w:rtl w:val="true"/>
          <w:lang w:bidi="fa-IR"/>
        </w:rPr>
        <w:t>(</w:t>
      </w:r>
      <w:r>
        <w:rPr>
          <w:rStyle w:val="FootnoteAnchor"/>
          <w:rtl w:val="true"/>
        </w:rPr>
        <w:footnoteReference w:id="10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شهوة المرأة أکثر من الرجل، وأنّ للشهوة عشرة أجزاء تسعة منها فی النساء</w:t>
      </w:r>
      <w:r>
        <w:rPr>
          <w:rFonts w:eastAsia="IRNazanin" w:cs="IRNazanin"/>
          <w:color w:val="111111"/>
          <w:sz w:val="28"/>
          <w:szCs w:val="28"/>
          <w:rtl w:val="true"/>
          <w:lang w:bidi="fa-IR"/>
        </w:rPr>
        <w:t>(</w:t>
      </w:r>
      <w:r>
        <w:rPr>
          <w:rStyle w:val="FootnoteAnchor"/>
          <w:rtl w:val="true"/>
        </w:rPr>
        <w:footnoteReference w:id="10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 ذلک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وأقرب من ذلک الاستدلال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سَأَلْتُمُوهُنَّ مَتَاعاً فَاسْأَلُوهُنَّ مِن وَرَاء حِجَابٍ ذَلِکُمْ أَطْهَرُ لِقُلُوبِکُمْ وَقُلُوبِهِنَّ</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العلة یدور مدارها الحکم وجوداً وعدماً، فإذا فرض عدم کون نظرها إلیه فی معرض التحریک والتلوث جاز النظر؛ لانتفاء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الظاهر کون العلة علة للجعل لا للمجعول، ولذلک لا یدور الحکم مدارها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مضی من الدلیل الثانی والعشرین</w:t>
      </w:r>
      <w:r>
        <w:rPr>
          <w:rFonts w:eastAsia="IRNazanin" w:cs="IRNazanin"/>
          <w:color w:val="111111"/>
          <w:sz w:val="28"/>
          <w:szCs w:val="28"/>
          <w:rtl w:val="true"/>
          <w:lang w:bidi="fa-IR"/>
        </w:rPr>
        <w:t>(</w:t>
      </w:r>
      <w:r>
        <w:rPr>
          <w:rStyle w:val="FootnoteAnchor"/>
          <w:rtl w:val="true"/>
        </w:rPr>
        <w:footnoteReference w:id="10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أدلة القول بحرمة نظر الرجل إلی وجه المرأة وکفیها، من أنه علم من مذاق الشارع التضییق فی شأن الأعراض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Style w:val="FootnoteAnchor"/>
          <w:rtl w:val="true"/>
        </w:rPr>
        <w:footnoteReference w:id="10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واعتمد علیه وعلی الدلیل اللاحق فی الاحتیاط الوجوبی بعدم نظر المرأة الرجل مطلقاً، مع اعترافه بعدم دلالة نفس أدلة الباب علی الحرمة؛ لضعفها سنداً أو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الجواب السابق، وسیأتی إن شاء الله تعالی مزید بیان لذلک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مضی من الدلیل الثالث والعشرین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لو کان الجواز ثابتاً فی هذه المسألة الکثیرة الدوران لکان من الواضحات </w:t>
      </w:r>
      <w:bookmarkStart w:id="866" w:name="pg6289_42148"/>
    </w:p>
    <w:p>
      <w:pPr>
        <w:pStyle w:val="BookText"/>
        <w:rPr/>
      </w:pPr>
      <w:bookmarkEnd w:id="866"/>
      <w:r>
        <w:rPr>
          <w:rFonts w:ascii="IRNazanin" w:hAnsi="IRNazanin" w:eastAsia="IRNazanin"/>
          <w:color w:val="111111"/>
          <w:sz w:val="28"/>
          <w:sz w:val="28"/>
          <w:szCs w:val="28"/>
          <w:rtl w:val="true"/>
          <w:lang w:bidi="fa-IR"/>
        </w:rPr>
        <w:t>المشهورات</w:t>
      </w:r>
      <w:r>
        <w:rPr>
          <w:rFonts w:eastAsia="IRNazanin" w:cs="IRNazanin"/>
          <w:color w:val="111111"/>
          <w:sz w:val="28"/>
          <w:szCs w:val="28"/>
          <w:rtl w:val="true"/>
          <w:lang w:bidi="fa-IR"/>
        </w:rPr>
        <w:t>»(</w:t>
      </w:r>
      <w:r>
        <w:rPr>
          <w:rStyle w:val="FootnoteAnchor"/>
          <w:rtl w:val="true"/>
        </w:rPr>
        <w:footnoteReference w:id="10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الجواب السابق، وسیأتی توضیحه أکثر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ادعاه فی المهذب</w:t>
      </w:r>
      <w:r>
        <w:rPr>
          <w:rFonts w:eastAsia="IRNazanin" w:cs="IRNazanin"/>
          <w:color w:val="111111"/>
          <w:sz w:val="28"/>
          <w:szCs w:val="28"/>
          <w:rtl w:val="true"/>
          <w:lang w:bidi="fa-IR"/>
        </w:rPr>
        <w:t>(</w:t>
      </w:r>
      <w:r>
        <w:rPr>
          <w:rStyle w:val="FootnoteAnchor"/>
          <w:rtl w:val="true"/>
        </w:rPr>
        <w:footnoteReference w:id="10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الحدائق</w:t>
      </w:r>
      <w:r>
        <w:rPr>
          <w:rFonts w:eastAsia="IRNazanin" w:cs="IRNazanin"/>
          <w:color w:val="111111"/>
          <w:sz w:val="28"/>
          <w:szCs w:val="28"/>
          <w:rtl w:val="true"/>
          <w:lang w:bidi="fa-IR"/>
        </w:rPr>
        <w:t>(</w:t>
      </w:r>
      <w:r>
        <w:rPr>
          <w:rStyle w:val="FootnoteAnchor"/>
          <w:rtl w:val="true"/>
        </w:rPr>
        <w:footnoteReference w:id="10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عدم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وجود الإجماع، کیف ولم یتعرض للمسألة کثیر من القدماء والمتأخرین، بل ثبت وجود الخلاف فی المسألة، کما سوف 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 محتمل الاستناد علی القول بقادحیة الاحتمال فی الحجیة، وإن کان لا یخلو من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ذکره فی المهذب</w:t>
      </w:r>
      <w:r>
        <w:rPr>
          <w:rFonts w:eastAsia="IRNazanin" w:cs="IRNazanin"/>
          <w:color w:val="111111"/>
          <w:sz w:val="28"/>
          <w:szCs w:val="28"/>
          <w:rtl w:val="true"/>
          <w:lang w:bidi="fa-IR"/>
        </w:rPr>
        <w:t>(</w:t>
      </w:r>
      <w:r>
        <w:rPr>
          <w:rStyle w:val="FootnoteAnchor"/>
          <w:rtl w:val="true"/>
        </w:rPr>
        <w:footnoteReference w:id="10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أنّ الحرمة مقتضی مرتکزات المتشرعین والمتشرعات قدیماً وحدیثاً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ارتکاز الحرمة نظر، بل یمکن عکس الدعوی،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الجواز مقتضی المرتکزات قدیماً وحدیثاً، وسیأتی توضیحه إن شاء الله تعالی</w:t>
      </w:r>
      <w:r>
        <w:rPr>
          <w:rFonts w:eastAsia="IRNazanin" w:cs="IRNazanin"/>
          <w:color w:val="111111"/>
          <w:sz w:val="28"/>
          <w:szCs w:val="28"/>
          <w:rtl w:val="true"/>
          <w:lang w:bidi="fa-IR"/>
        </w:rPr>
        <w:t>.</w:t>
      </w:r>
    </w:p>
    <w:p>
      <w:pPr>
        <w:pStyle w:val="Heading5"/>
        <w:numPr>
          <w:ilvl w:val="4"/>
          <w:numId w:val="1"/>
        </w:numPr>
        <w:rPr/>
      </w:pPr>
      <w:bookmarkStart w:id="867" w:name="__RefHeading___Toc2133874_237004111"/>
      <w:bookmarkStart w:id="868" w:name="_Toc337"/>
      <w:bookmarkEnd w:id="867"/>
      <w:r>
        <w:rPr>
          <w:rtl w:val="true"/>
        </w:rPr>
        <w:t>القول الثانی</w:t>
      </w:r>
      <w:r>
        <w:rPr>
          <w:rtl w:val="true"/>
        </w:rPr>
        <w:t xml:space="preserve">: </w:t>
      </w:r>
      <w:r>
        <w:rPr>
          <w:rtl w:val="true"/>
        </w:rPr>
        <w:t>حرمة النظر فی الجملة</w:t>
      </w:r>
      <w:bookmarkEnd w:id="868"/>
    </w:p>
    <w:p>
      <w:pPr>
        <w:pStyle w:val="Heading6"/>
        <w:numPr>
          <w:ilvl w:val="5"/>
          <w:numId w:val="1"/>
        </w:numPr>
        <w:rPr/>
      </w:pPr>
      <w:bookmarkStart w:id="869" w:name="__RefHeading___Toc2133876_237004111"/>
      <w:bookmarkStart w:id="870" w:name="_Toc338"/>
      <w:bookmarkEnd w:id="869"/>
      <w:r>
        <w:rPr>
          <w:rtl w:val="true"/>
        </w:rPr>
        <w:t>اشارة</w:t>
      </w:r>
      <w:bookmarkEnd w:id="87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النظر إلی ما عدا الوجه والکفین 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الحرمة فیما عدا الوجه والکفین فقد انقدح مما تقدّم فی أدلة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الجواز فیدل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وتتحد المرأة مع الرجل، فتمنع فی محل المنع لا فی غیره إجماعاً</w:t>
      </w:r>
      <w:r>
        <w:rPr>
          <w:rFonts w:eastAsia="IRNazanin" w:cs="IRNazanin"/>
          <w:color w:val="111111"/>
          <w:sz w:val="28"/>
          <w:szCs w:val="28"/>
          <w:rtl w:val="true"/>
          <w:lang w:bidi="fa-IR"/>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کلام الشیخ الأعظم فی الرسالة علی ما حکی عنه</w:t>
      </w:r>
      <w:r>
        <w:rPr>
          <w:rFonts w:eastAsia="IRNazanin" w:cs="IRNazanin"/>
          <w:color w:val="111111"/>
          <w:sz w:val="28"/>
          <w:szCs w:val="28"/>
          <w:rtl w:val="true"/>
          <w:lang w:bidi="fa-IR"/>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ذکر فیه جواز نظر الرجل إلی المرأة یجوز فیه العکس بالإجماع المرکب، فی غیر الزوجة التی یراد تزویجها، أو الأمة التی یراد شراؤها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وبالأصل فیهما وفی البواقی أیضاً، لفقد الصارف عنه، سوی الإجماع المرکب المنتفی فی المقام</w:t>
      </w:r>
      <w:r>
        <w:rPr>
          <w:rFonts w:eastAsia="IRNazanin" w:cs="IRNazanin"/>
          <w:color w:val="111111"/>
          <w:sz w:val="28"/>
          <w:szCs w:val="28"/>
          <w:rtl w:val="true"/>
          <w:lang w:bidi="fa-IR"/>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یظهر من کلماتهم مساواة المرأة للرجل فی المستثنی والمستثنی منه</w:t>
      </w:r>
      <w:r>
        <w:rPr>
          <w:rFonts w:eastAsia="IRNazanin" w:cs="IRNazanin"/>
          <w:color w:val="111111"/>
          <w:sz w:val="28"/>
          <w:szCs w:val="28"/>
          <w:rtl w:val="true"/>
          <w:lang w:bidi="fa-IR"/>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فکل مَن قال بعدم جواز نظر الرجل إلی المرأة قال فی المرأة بذلک، وکل مَن قال بالجواز قال فی المرأة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المرکب لیس بحجة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نهوضه بإثبات التلازم فلنا أن نمنع جواز نظره إلی وجهها وکفیها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مضی اختیار القول بالجواز،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العسر والحرج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شخصیان ویتقدران بقدرهما، مع أنهما لا یرفعان التحریم علی قول مضی التأمل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فی فقه الصادق</w:t>
      </w:r>
      <w:r>
        <w:rPr>
          <w:rFonts w:eastAsia="IRNazanin" w:cs="IRNazanin"/>
          <w:color w:val="111111"/>
          <w:sz w:val="28"/>
          <w:szCs w:val="28"/>
          <w:rtl w:val="true"/>
          <w:lang w:bidi="fa-IR"/>
        </w:rPr>
        <w:t>(</w:t>
      </w:r>
      <w:r>
        <w:rPr>
          <w:rStyle w:val="FootnoteAnchor"/>
          <w:rtl w:val="true"/>
        </w:rPr>
        <w:footnoteReference w:id="10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وسیأتی الکلام فی ذلک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الأولویة، فإنه إذا جاز نظر الرجل إلی وجه المرأة وکفیها، مع کونها مصدر الفتنة والإثارة جاز نظرها إلیهما منه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مع ملاحظة الروایات الدالة علی زیادة شهوة المرأة علی الرجل،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الجواز لو فرض عدم نهوض الأدلة الاجتهادیة علی الحرمة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الدلیل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انسیاق اتحاد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أَبْصَارِهِمْ</w:t>
      </w:r>
      <w:r>
        <w:rPr>
          <w:rFonts w:eastAsia="Amiri" w:cs="Amiri" w:ascii="Amiri" w:hAnsi="Amiri"/>
          <w:color w:val="111111"/>
          <w:sz w:val="28"/>
          <w:szCs w:val="28"/>
          <w:rtl w:val="true"/>
          <w:lang w:bidi="ar-SA"/>
        </w:rPr>
        <w:t>}(</w:t>
      </w:r>
      <w:r>
        <w:rPr>
          <w:rStyle w:val="FootnoteAnchor"/>
          <w:rtl w:val="true"/>
        </w:rPr>
        <w:footnoteReference w:id="10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أَبْصَارِهِنَّ</w:t>
      </w:r>
      <w:r>
        <w:rPr>
          <w:rFonts w:eastAsia="Amiri" w:cs="Amiri" w:ascii="Amiri" w:hAnsi="Amiri"/>
          <w:color w:val="111111"/>
          <w:sz w:val="28"/>
          <w:szCs w:val="28"/>
          <w:rtl w:val="true"/>
          <w:lang w:bidi="ar-SA"/>
        </w:rPr>
        <w:t>}(</w:t>
      </w:r>
      <w:r>
        <w:rPr>
          <w:rStyle w:val="FootnoteAnchor"/>
          <w:rtl w:val="true"/>
        </w:rPr>
        <w:footnoteReference w:id="10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کان المراد فی المؤمنین ما عدا الوجه والکفین کان کذلک فی المؤمنات؛ لوحدة السیاق</w:t>
      </w:r>
      <w:r>
        <w:rPr>
          <w:rFonts w:eastAsia="IRNazanin" w:cs="IRNazanin"/>
          <w:color w:val="111111"/>
          <w:sz w:val="28"/>
          <w:szCs w:val="28"/>
          <w:rtl w:val="true"/>
          <w:lang w:bidi="fa-IR"/>
        </w:rPr>
        <w:t xml:space="preserve">. </w:t>
      </w:r>
      <w:bookmarkStart w:id="871" w:name="pg6289_42151"/>
    </w:p>
    <w:p>
      <w:pPr>
        <w:pStyle w:val="BookText"/>
        <w:rPr/>
      </w:pPr>
      <w:bookmarkEnd w:id="871"/>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 التبعیض بلحاظ نفس النظر لا بلحاظ المنظور إلیه، وحذف المتعلق یفید العموم، والاستثناء الخارجی فی جانب نظر الرجل لا یلازم الاستثناء فی جانب نظر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سیأتی عدم اختصاص الجواز بهذا المقدار</w:t>
      </w:r>
      <w:r>
        <w:rPr>
          <w:rFonts w:eastAsia="IRNazanin" w:cs="IRNazanin"/>
          <w:color w:val="111111"/>
          <w:sz w:val="28"/>
          <w:szCs w:val="28"/>
          <w:rtl w:val="true"/>
          <w:lang w:bidi="fa-IR"/>
        </w:rPr>
        <w:t>.</w:t>
      </w:r>
    </w:p>
    <w:p>
      <w:pPr>
        <w:pStyle w:val="Heading6"/>
        <w:numPr>
          <w:ilvl w:val="5"/>
          <w:numId w:val="1"/>
        </w:numPr>
        <w:rPr/>
      </w:pPr>
      <w:bookmarkStart w:id="872" w:name="__RefHeading___Toc2133878_237004111"/>
      <w:bookmarkStart w:id="873" w:name="_Toc339"/>
      <w:bookmarkEnd w:id="872"/>
      <w:r>
        <w:rPr>
          <w:rtl w:val="true"/>
        </w:rPr>
        <w:t>التفصیل بین النظرة الأولی والثانیة</w:t>
      </w:r>
      <w:bookmarkEnd w:id="873"/>
    </w:p>
    <w:p>
      <w:pPr>
        <w:pStyle w:val="BookText"/>
        <w:rPr/>
      </w:pPr>
      <w:r>
        <w:rPr>
          <w:rFonts w:ascii="IRNazanin" w:hAnsi="IRNazanin" w:eastAsia="IRNazanin"/>
          <w:color w:val="111111"/>
          <w:sz w:val="28"/>
          <w:sz w:val="28"/>
          <w:szCs w:val="28"/>
          <w:rtl w:val="true"/>
          <w:lang w:bidi="fa-IR"/>
        </w:rPr>
        <w:t>ثم إنّ المحقق فی الشرائع ومن وافقه</w:t>
      </w:r>
      <w:r>
        <w:rPr>
          <w:rFonts w:eastAsia="IRNazanin" w:cs="IRNazanin"/>
          <w:color w:val="111111"/>
          <w:sz w:val="28"/>
          <w:szCs w:val="28"/>
          <w:rtl w:val="true"/>
          <w:lang w:bidi="fa-IR"/>
        </w:rPr>
        <w:t>(</w:t>
      </w:r>
      <w:r>
        <w:rPr>
          <w:rStyle w:val="FootnoteAnchor"/>
          <w:rtl w:val="true"/>
        </w:rPr>
        <w:footnoteReference w:id="10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اختار التفصیل بین النظرة الأولی والثانیة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لإطلاق الأدلة، مثل معتبرة الکاهلی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النظرة بعد النظرة تزرع فی القلب الشهوة</w:t>
      </w:r>
      <w:r>
        <w:rPr>
          <w:rFonts w:eastAsia="IRNazanin" w:cs="IRNazanin"/>
          <w:color w:val="111111"/>
          <w:sz w:val="28"/>
          <w:szCs w:val="28"/>
          <w:rtl w:val="true"/>
          <w:lang w:bidi="fa-IR"/>
        </w:rPr>
        <w:t>»(</w:t>
      </w:r>
      <w:r>
        <w:rPr>
          <w:rStyle w:val="FootnoteAnchor"/>
          <w:rtl w:val="true"/>
        </w:rPr>
        <w:footnoteReference w:id="10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یقیدها ما ذکر فیه المرأة، مثل روایة الخصال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أول نظرة إلی المرأة، فلا تتبعوها نظرة أخری</w:t>
      </w:r>
      <w:r>
        <w:rPr>
          <w:rFonts w:eastAsia="IRNazanin" w:cs="IRNazanin"/>
          <w:color w:val="111111"/>
          <w:sz w:val="28"/>
          <w:szCs w:val="28"/>
          <w:rtl w:val="true"/>
          <w:lang w:bidi="fa-IR"/>
        </w:rPr>
        <w:t>»(</w:t>
      </w:r>
      <w:r>
        <w:rPr>
          <w:rStyle w:val="FootnoteAnchor"/>
          <w:rtl w:val="true"/>
        </w:rPr>
        <w:footnoteReference w:id="10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التنافی بینهما فی مثل المقام عرفاً، أو لإلغاء خصوصیة نظر الرجل إلی المرأة، وقد مضی البحث فی استدلاله</w:t>
      </w:r>
      <w:r>
        <w:rPr>
          <w:rFonts w:eastAsia="IRNazanin" w:cs="IRNazanin"/>
          <w:color w:val="111111"/>
          <w:sz w:val="28"/>
          <w:szCs w:val="28"/>
          <w:rtl w:val="true"/>
          <w:lang w:bidi="fa-IR"/>
        </w:rPr>
        <w:t>.</w:t>
      </w:r>
    </w:p>
    <w:p>
      <w:pPr>
        <w:pStyle w:val="Heading5"/>
        <w:numPr>
          <w:ilvl w:val="4"/>
          <w:numId w:val="1"/>
        </w:numPr>
        <w:rPr/>
      </w:pPr>
      <w:bookmarkStart w:id="874" w:name="__RefHeading___Toc2133880_237004111"/>
      <w:bookmarkStart w:id="875" w:name="_Toc340"/>
      <w:bookmarkEnd w:id="874"/>
      <w:r>
        <w:rPr>
          <w:rtl w:val="true"/>
        </w:rPr>
        <w:t>القول الثالث</w:t>
      </w:r>
      <w:r>
        <w:rPr>
          <w:rtl w:val="true"/>
        </w:rPr>
        <w:t xml:space="preserve">: </w:t>
      </w:r>
      <w:r>
        <w:rPr>
          <w:rtl w:val="true"/>
        </w:rPr>
        <w:t>حرمة النظر إلی غیر ما جرت السیرة علی عدم ستره أو علی النظر إلیه</w:t>
      </w:r>
      <w:bookmarkEnd w:id="875"/>
    </w:p>
    <w:p>
      <w:pPr>
        <w:pStyle w:val="BookText"/>
        <w:rPr/>
      </w:pPr>
      <w:r>
        <w:rPr>
          <w:rFonts w:ascii="IRNazanin" w:hAnsi="IRNazanin" w:eastAsia="IRNazanin"/>
          <w:color w:val="111111"/>
          <w:sz w:val="28"/>
          <w:sz w:val="28"/>
          <w:szCs w:val="28"/>
          <w:rtl w:val="true"/>
          <w:lang w:bidi="fa-IR"/>
        </w:rPr>
        <w:t xml:space="preserve">واختار هذا القول السید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جواز نظر المرأة إلی الرجل فیما تعارف من رأسه ورقبته ووجهه ویده ورجله</w:t>
      </w:r>
      <w:r>
        <w:rPr>
          <w:rFonts w:eastAsia="IRNazanin" w:cs="IRNazanin"/>
          <w:color w:val="111111"/>
          <w:sz w:val="28"/>
          <w:szCs w:val="28"/>
          <w:rtl w:val="true"/>
          <w:lang w:bidi="fa-IR"/>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ذلک أدلّة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الجواز، ذکره فی الفقه</w:t>
      </w:r>
      <w:r>
        <w:rPr>
          <w:rFonts w:eastAsia="IRNazanin" w:cs="IRNazanin"/>
          <w:color w:val="111111"/>
          <w:sz w:val="28"/>
          <w:szCs w:val="28"/>
          <w:rtl w:val="true"/>
          <w:lang w:bidi="fa-IR"/>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حاشیة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یبعد الجواز لمثل الوجه والرأس والرقبة والیدین والرجلین مما جرت علیه السیرة فی عهد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منع ظاهر</w:t>
      </w:r>
      <w:r>
        <w:rPr>
          <w:rFonts w:eastAsia="IRNazanin" w:cs="IRNazanin"/>
          <w:color w:val="111111"/>
          <w:sz w:val="28"/>
          <w:szCs w:val="28"/>
          <w:rtl w:val="true"/>
          <w:lang w:bidi="fa-IR"/>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المراد جریان سیرة المتشرعة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تام مع عدم ثبوت دلیل اجتهادی علی المنع، کإطلاق آیة الغض، وقد مضی الکلام فی الأدلة الاجتهادیة المستدل بها علی المنع</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القطعیة، استدل به السید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الفقه،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وللسیرة القطعیة، فإنّ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یخطبون فوق المنبر، وکانت النساء حاضرات وینظرن إلیهم، ولم یکن إنکار، بل فی قصة الغدیر بان بیاض إبطیهما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والنساء کن حاضرات، وعند بیعتهن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الغدیر کنّ یبایعن ویتکلمن، ولا إشکال فی نظرهن إلیهما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هو المتعارف، وکذلک فی أیام الحج تنظر النساء إلی رؤوس الحجاج ووجوههم، ولو کان الأمر کما ذکروا لزم أن یمنع من ذلک أشد المنع فی روایات متواترات، فعدم الورود دلیل العدم، بل روی الکلینی</w:t>
      </w:r>
      <w:r>
        <w:rPr>
          <w:rFonts w:eastAsia="IRNazanin" w:cs="IRNazanin"/>
          <w:color w:val="111111"/>
          <w:sz w:val="28"/>
          <w:szCs w:val="28"/>
          <w:rtl w:val="true"/>
          <w:lang w:bidi="fa-IR"/>
        </w:rPr>
        <w:t>(</w:t>
      </w:r>
      <w:r>
        <w:rPr>
          <w:rStyle w:val="FootnoteAnchor"/>
          <w:rtl w:val="true"/>
        </w:rPr>
        <w:footnoteReference w:id="1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إلی جابر الجعفی</w:t>
      </w:r>
      <w:r>
        <w:rPr>
          <w:rFonts w:eastAsia="IRNazanin" w:cs="IRNazanin"/>
          <w:color w:val="111111"/>
          <w:sz w:val="28"/>
          <w:szCs w:val="28"/>
          <w:rtl w:val="true"/>
          <w:lang w:bidi="fa-IR"/>
        </w:rPr>
        <w:t>(</w:t>
      </w:r>
      <w:r>
        <w:rPr>
          <w:rStyle w:val="FootnoteAnchor"/>
          <w:rtl w:val="true"/>
        </w:rPr>
        <w:footnoteReference w:id="10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النحر إلی ظهر المدینة علی جبل</w:t>
      </w:r>
      <w:r>
        <w:rPr>
          <w:rFonts w:eastAsia="IRNazanin" w:cs="IRNazanin"/>
          <w:color w:val="111111"/>
          <w:sz w:val="28"/>
          <w:szCs w:val="28"/>
          <w:rtl w:val="true"/>
          <w:lang w:bidi="fa-IR"/>
        </w:rPr>
        <w:t>(</w:t>
      </w:r>
      <w:r>
        <w:rPr>
          <w:rStyle w:val="FootnoteAnchor"/>
          <w:rtl w:val="true"/>
        </w:rPr>
        <w:footnoteReference w:id="10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 الجسم</w:t>
      </w:r>
      <w:r>
        <w:rPr>
          <w:rFonts w:eastAsia="IRNazanin" w:cs="IRNazanin"/>
          <w:color w:val="111111"/>
          <w:sz w:val="28"/>
          <w:szCs w:val="28"/>
          <w:rtl w:val="true"/>
          <w:lang w:bidi="fa-IR"/>
        </w:rPr>
        <w:t>(</w:t>
      </w:r>
      <w:r>
        <w:rPr>
          <w:rStyle w:val="FootnoteAnchor"/>
          <w:rtl w:val="true"/>
        </w:rPr>
        <w:footnoteReference w:id="10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فمرّ بالنساء، فوقف علیهن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النساء، تصدقن وأطعن أزواجکن، فإنّ أکثرکن فی النار، فلما سمعن ذلک بکین، ثم قامت إلیه امرأة منهن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فی النار مع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نحن بکفار،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إنکن کافرات بحق أزواجکن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عری جسم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وتکلمه مع النساء فی تلک الحالة دلیل علی أنه لیس بمثل ذلک</w:t>
      </w:r>
      <w:r>
        <w:rPr>
          <w:rFonts w:eastAsia="IRNazanin" w:cs="IRNazanin"/>
          <w:color w:val="111111"/>
          <w:sz w:val="28"/>
          <w:szCs w:val="28"/>
          <w:rtl w:val="true"/>
          <w:lang w:bidi="fa-IR"/>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ویضاف إلی ذلک شواهد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الکافی</w:t>
      </w:r>
      <w:r>
        <w:rPr>
          <w:rFonts w:eastAsia="IRNazanin" w:cs="IRNazanin"/>
          <w:color w:val="111111"/>
          <w:sz w:val="28"/>
          <w:szCs w:val="28"/>
          <w:rtl w:val="true"/>
          <w:lang w:bidi="fa-IR"/>
        </w:rPr>
        <w:t>(</w:t>
      </w:r>
      <w:r>
        <w:rPr>
          <w:rStyle w:val="FootnoteAnchor"/>
          <w:rtl w:val="true"/>
        </w:rPr>
        <w:footnoteReference w:id="10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صلاة عید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قعد الناس له فی الطرقات والسطوح الرجال والنساء والصبیان، قد شمر سراویله إلی نصف الساق وعلیه ثیاب مشمرة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المستدرک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یخرج من القصر، وعلیه قطریتان، إزار إلی نصف الساق، ورداؤه مشمر قریب منه</w:t>
      </w:r>
      <w:r>
        <w:rPr>
          <w:rFonts w:eastAsia="IRNazanin" w:cs="IRNazanin"/>
          <w:color w:val="111111"/>
          <w:sz w:val="28"/>
          <w:szCs w:val="28"/>
          <w:rtl w:val="true"/>
          <w:lang w:bidi="fa-IR"/>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الاختصاص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علیه هشام وعلیه قمیص إلی الرکبة، </w:t>
      </w:r>
    </w:p>
    <w:p>
      <w:pPr>
        <w:pStyle w:val="BookText"/>
        <w:rPr/>
      </w:pPr>
      <w:r>
        <w:rPr>
          <w:rFonts w:ascii="IRNazanin" w:hAnsi="IRNazanin" w:eastAsia="IRNazanin"/>
          <w:color w:val="111111"/>
          <w:sz w:val="28"/>
          <w:sz w:val="28"/>
          <w:szCs w:val="28"/>
          <w:rtl w:val="true"/>
          <w:lang w:bidi="fa-IR"/>
        </w:rPr>
        <w:t>وسراویل إلی نصف الساق</w:t>
      </w:r>
      <w:r>
        <w:rPr>
          <w:rFonts w:eastAsia="IRNazanin" w:cs="IRNazanin"/>
          <w:color w:val="111111"/>
          <w:sz w:val="28"/>
          <w:szCs w:val="28"/>
          <w:rtl w:val="true"/>
          <w:lang w:bidi="fa-IR"/>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واتزر إلی نصف الساق</w:t>
      </w:r>
      <w:r>
        <w:rPr>
          <w:rFonts w:eastAsia="IRNazanin" w:cs="IRNazanin"/>
          <w:color w:val="111111"/>
          <w:sz w:val="28"/>
          <w:szCs w:val="28"/>
          <w:rtl w:val="true"/>
          <w:lang w:bidi="fa-IR"/>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البرهان</w:t>
      </w:r>
      <w:r>
        <w:rPr>
          <w:rFonts w:eastAsia="IRNazanin" w:cs="IRNazanin"/>
          <w:color w:val="111111"/>
          <w:sz w:val="28"/>
          <w:szCs w:val="28"/>
          <w:rtl w:val="true"/>
          <w:lang w:bidi="fa-IR"/>
        </w:rPr>
        <w:t>(</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روایات متعددة تبیّن أن المراد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وَثِیَابَکَ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وفیها صحیحة السند کهذه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عبد الله بن سنان،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وَثِیَابَکَ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فشمر</w:t>
      </w:r>
      <w:r>
        <w:rPr>
          <w:rFonts w:eastAsia="Amiri" w:cs="Amiri" w:ascii="Amiri" w:hAnsi="Amiri"/>
          <w:color w:val="111111"/>
          <w:sz w:val="28"/>
          <w:szCs w:val="28"/>
          <w:rtl w:val="true"/>
          <w:lang w:bidi="ar-SA"/>
        </w:rPr>
        <w:t>»(</w:t>
      </w:r>
      <w:r>
        <w:rPr>
          <w:rStyle w:val="FootnoteAnchor"/>
          <w:rtl w:val="true"/>
        </w:rPr>
        <w:footnoteReference w:id="10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بعض الأخبار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وأمرته أن یقصّر، 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ثِیابَکَ فَطَهِّرْ</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تقریر هذا الدلیل بهذا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النساء حین تحدثهن مع الرجال، أو استماعهن إلیهم ونحو ذلک لا یخلو أمرهن من 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إنهن کن یغضضن البصر عن النظر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إنهن کن ینظرن إلیهم، والحالة الأولی ظاهرة مناقضة للطبیعة، فإنّ طبع المرأة کالرجل أن تنظر إلی الخطیب، وإلی مَن تسأل منه الأحکام الشرعیة، وإلی الرجال فی الطریق، والظواهر غیر الطبیعیة تنعکس عادة فی التاریخ وتتناقلها الأجیال المتعاقبة، وحیث لم ترد فی الروایات والتواریخ </w:t>
      </w:r>
    </w:p>
    <w:p>
      <w:pPr>
        <w:pStyle w:val="BookText"/>
        <w:rPr/>
      </w:pPr>
      <w:r>
        <w:rPr>
          <w:rFonts w:ascii="IRNazanin" w:hAnsi="IRNazanin" w:eastAsia="IRNazanin"/>
          <w:color w:val="111111"/>
          <w:sz w:val="28"/>
          <w:sz w:val="28"/>
          <w:szCs w:val="28"/>
          <w:rtl w:val="true"/>
          <w:lang w:bidi="fa-IR"/>
        </w:rPr>
        <w:t xml:space="preserve">والمنقولات المتوارثة أیة إشارة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ذلک علی أنهنّ کن ینظرن إلیهم، وحینئذٍ لا یخلو الأمر من حصول الردع من قبل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النظر، أو عدم حصول الردع، وحصول الردع عن مثل هذه الظاهرة المستحکمة یستلزم وصوله إلینا، وحیث لم یصل دل علی عدم الردع، وهو آیة التقریر، وهذا یعنی أن السیرة المزبورة ممضاة من قبل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السیرة القطعیة قائمة علی الجواز بالنسبة إلیها من عصر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زماننا هذا، فإنهنّ کنّ ینظرن إلی الرجال فی حین التکلم معهم أو غیره، ولو من وراء الحجاب</w:t>
      </w:r>
      <w:r>
        <w:rPr>
          <w:rFonts w:eastAsia="IRNazanin" w:cs="IRNazanin"/>
          <w:color w:val="111111"/>
          <w:sz w:val="28"/>
          <w:szCs w:val="28"/>
          <w:rtl w:val="true"/>
          <w:lang w:bidi="fa-IR"/>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مضی کلام السید الروحانی فی خصوص الوجه والکفین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النظر فی ما أجاب به فی المسائل الفقهیة،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عن سیرة المسلمات علی نظرهن إلی الرجال لا لحاجة ولا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کون السیرة سیرة المتدینات غیر معلوم، مع شدة احتجاب النساء عن الرجال فی بعض البلاد العربیة فی العصر الحاضر أیضاً</w:t>
      </w:r>
      <w:r>
        <w:rPr>
          <w:rFonts w:eastAsia="IRNazanin" w:cs="IRNazanin"/>
          <w:color w:val="111111"/>
          <w:sz w:val="28"/>
          <w:szCs w:val="28"/>
          <w:rtl w:val="true"/>
          <w:lang w:bidi="fa-IR"/>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وسیأتی ما یزید الأمر وضوحاً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العرفیة بین جواز کشف الرجل بدنه وجواز النظر، إما مطلقاً أو مقیداً بفعلیة الکشف</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ومقتضی التقریر الأول جواز النظر إلی ما عدا العورتین إن لم یقم دلیل </w:t>
      </w:r>
    </w:p>
    <w:p>
      <w:pPr>
        <w:pStyle w:val="BookText"/>
        <w:rPr/>
      </w:pPr>
      <w:r>
        <w:rPr>
          <w:rFonts w:ascii="IRNazanin" w:hAnsi="IRNazanin" w:eastAsia="IRNazanin"/>
          <w:color w:val="111111"/>
          <w:sz w:val="28"/>
          <w:sz w:val="28"/>
          <w:szCs w:val="28"/>
          <w:rtl w:val="true"/>
          <w:lang w:bidi="fa-IR"/>
        </w:rPr>
        <w:t>علی الخلاف، ومقتضی التقریر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 النظر إلی ما تعارف کشفه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مضی بیان الملازمة</w:t>
      </w:r>
      <w:r>
        <w:rPr>
          <w:rFonts w:eastAsia="IRNazanin" w:cs="IRNazanin"/>
          <w:color w:val="111111"/>
          <w:sz w:val="28"/>
          <w:szCs w:val="28"/>
          <w:rtl w:val="true"/>
          <w:lang w:bidi="fa-IR"/>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ما ذکر هو مراد من استدل علی جواز النظر بأنه لو استویا لأمر الرجل بالاحتجاب کالنساء</w:t>
      </w:r>
      <w:r>
        <w:rPr>
          <w:rFonts w:eastAsia="IRNazanin" w:cs="IRNazanin"/>
          <w:color w:val="111111"/>
          <w:sz w:val="28"/>
          <w:szCs w:val="28"/>
          <w:rtl w:val="true"/>
          <w:lang w:bidi="fa-IR"/>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وأجاب عنه فی المستمسک</w:t>
      </w:r>
      <w:r>
        <w:rPr>
          <w:rFonts w:eastAsia="IRNazanin" w:cs="IRNazanin"/>
          <w:color w:val="111111"/>
          <w:sz w:val="28"/>
          <w:szCs w:val="28"/>
          <w:rtl w:val="true"/>
          <w:lang w:bidi="fa-IR"/>
        </w:rPr>
        <w:t>(</w:t>
      </w:r>
      <w:r>
        <w:rPr>
          <w:rStyle w:val="FootnoteAnchor"/>
          <w:rtl w:val="true"/>
        </w:rPr>
        <w:footnoteReference w:id="10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مراده عدم الملازمة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الظاهر وجود الملازمة بین جواز الإظهار، وجواز النظر عرفاً، مطلقاً أو بالقید المزبور، خاصة أن المسألة محل الابتلاء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بعنوان التأیید،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ویؤید ذلک مجیء الأسراء إلی المدینة واعتاقهن واختیار بنات کسری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بسبب نظرهن إلیهم</w:t>
      </w:r>
      <w:r>
        <w:rPr>
          <w:rFonts w:eastAsia="IRNazanin" w:cs="IRNazanin"/>
          <w:color w:val="111111"/>
          <w:sz w:val="28"/>
          <w:szCs w:val="28"/>
          <w:rtl w:val="true"/>
          <w:lang w:bidi="fa-IR"/>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وأجاب عنه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من باب نظر المرأة إلی الرجل عند إرادة الزواج</w:t>
      </w:r>
      <w:r>
        <w:rPr>
          <w:rFonts w:eastAsia="IRNazanin" w:cs="IRNazanin"/>
          <w:color w:val="111111"/>
          <w:sz w:val="28"/>
          <w:szCs w:val="28"/>
          <w:rtl w:val="true"/>
          <w:lang w:bidi="fa-IR"/>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جواز نظر المرأة إلی رجل ترید الزواج به محل کلام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وعلیه، یدل نظرهن علی الجواز لتقریر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ثبوت أصل القضیة بحاجة إلی تتبع،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ویؤیده ملاحظة أنّ نظر المرأة إلی الرجل من حیث الحکم فی عصرهم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حالات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أن یکون واضح الحرمة، وإمّا أن یکون واضح الجواز، وإمّا أن یکون مشتبهاً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بعید جداً؛ إذ لا یحتمل أن تکون حرمة نظر المرأة إلی الرجل أوضح من حرمة نظر الرجل إلیها، بحیث یرد السؤال عن الثانی ولا یرد عن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یدفعه عدم السؤال عنه، ولا فی روایة واحدة، فإنّه لو کان الحکم مشکوکاً ومشتبهاً فکیف لم یُسأل عنه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وکیف لم ینبّه علیه هو، بعدما عرفت أن المتعارف فی الخارج ذلک؟</w:t>
      </w:r>
    </w:p>
    <w:p>
      <w:pPr>
        <w:pStyle w:val="BookText"/>
        <w:rPr/>
      </w:pPr>
      <w:r>
        <w:rPr>
          <w:rFonts w:ascii="IRNazanin" w:hAnsi="IRNazanin" w:eastAsia="IRNazanin"/>
          <w:color w:val="111111"/>
          <w:sz w:val="28"/>
          <w:sz w:val="28"/>
          <w:szCs w:val="28"/>
          <w:rtl w:val="true"/>
          <w:lang w:bidi="fa-IR"/>
        </w:rPr>
        <w:t xml:space="preserve">ومن هنا یتعیّن الاحتمال الثانی، وأنّ الحکم بالجواز کان واضحاً لدی المتشرعة فی عصرهم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حد لم تکن هناک حاجة للسؤال عنه</w:t>
      </w:r>
      <w:r>
        <w:rPr>
          <w:rFonts w:eastAsia="IRNazanin" w:cs="IRNazanin"/>
          <w:color w:val="111111"/>
          <w:sz w:val="28"/>
          <w:szCs w:val="28"/>
          <w:rtl w:val="true"/>
          <w:lang w:bidi="fa-IR"/>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اعتماد الدلیل المذکور علی قاعدة لو کان لبان، ومع ملاحظة تلف الکثیر من کتب الشیعة وروایاتهم تکون القاعدة محل تأمل</w:t>
      </w:r>
      <w:r>
        <w:rPr>
          <w:rFonts w:eastAsia="IRNazanin" w:cs="IRNazanin"/>
          <w:color w:val="111111"/>
          <w:sz w:val="28"/>
          <w:szCs w:val="28"/>
          <w:rtl w:val="true"/>
          <w:lang w:bidi="fa-IR"/>
        </w:rPr>
        <w:t xml:space="preserve">. </w:t>
      </w:r>
      <w:bookmarkStart w:id="876" w:name="pg6289_42158"/>
    </w:p>
    <w:p>
      <w:pPr>
        <w:pStyle w:val="BookText"/>
        <w:rPr/>
      </w:pPr>
      <w:bookmarkEnd w:id="876"/>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من الکتب حفظت ثم أتلفت، فالکافی احتوی علی کثیر من تلک الکتب، وکثیر من الروایات وصلت عبر الحفظ لا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أنّ جمیع الروایات المتعلقة بنظر المرأة إلی الرجل أتلفت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کانت روایة واحدة، حیث تکفینا لإثبات الحکم الشرعی فتلفت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الأمر مشتبهاً لتکرر السؤال عنه کالتظلیل فی الحج، وحیث لم یتکرر السؤال فهو إمّا واضح الجواز أو واضح الحرمة، والثانی غیر معقول؛ لأنّ فی نظر الرجل إلی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هو أشد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الأسئلة فوردت روایات متعددة، فلا یبقی إلا الأول</w:t>
      </w:r>
      <w:r>
        <w:rPr>
          <w:rFonts w:eastAsia="IRNazanin" w:cs="IRNazanin"/>
          <w:color w:val="111111"/>
          <w:sz w:val="28"/>
          <w:szCs w:val="28"/>
          <w:rtl w:val="true"/>
          <w:lang w:bidi="fa-IR"/>
        </w:rPr>
        <w:t>.</w:t>
      </w:r>
    </w:p>
    <w:p>
      <w:pPr>
        <w:pStyle w:val="Heading5"/>
        <w:numPr>
          <w:ilvl w:val="4"/>
          <w:numId w:val="1"/>
        </w:numPr>
        <w:rPr/>
      </w:pPr>
      <w:bookmarkStart w:id="877" w:name="__RefHeading___Toc2133882_237004111"/>
      <w:bookmarkStart w:id="878" w:name="_Toc341"/>
      <w:bookmarkEnd w:id="877"/>
      <w:r>
        <w:rPr>
          <w:rtl w:val="true"/>
        </w:rPr>
        <w:t>القول الرابع</w:t>
      </w:r>
      <w:r>
        <w:rPr>
          <w:rtl w:val="true"/>
        </w:rPr>
        <w:t xml:space="preserve">: </w:t>
      </w:r>
      <w:r>
        <w:rPr>
          <w:rtl w:val="true"/>
        </w:rPr>
        <w:t>حرمة النظر إلی خصوص العورتین</w:t>
      </w:r>
      <w:bookmarkEnd w:id="878"/>
    </w:p>
    <w:p>
      <w:pPr>
        <w:pStyle w:val="Heading6"/>
        <w:numPr>
          <w:ilvl w:val="5"/>
          <w:numId w:val="1"/>
        </w:numPr>
        <w:rPr/>
      </w:pPr>
      <w:bookmarkStart w:id="879" w:name="__RefHeading___Toc2133884_237004111"/>
      <w:bookmarkStart w:id="880" w:name="_Toc342"/>
      <w:bookmarkEnd w:id="879"/>
      <w:r>
        <w:rPr>
          <w:rtl w:val="true"/>
        </w:rPr>
        <w:t>اشارة</w:t>
      </w:r>
      <w:bookmarkEnd w:id="880"/>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w:t>
      </w:r>
      <w:r>
        <w:rPr>
          <w:rStyle w:val="FootnoteAnchor"/>
          <w:rtl w:val="true"/>
        </w:rPr>
        <w:footnoteReference w:id="10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النظر إلی خصوص العورتین</w:t>
      </w:r>
    </w:p>
    <w:p>
      <w:pPr>
        <w:pStyle w:val="BookText"/>
        <w:rPr/>
      </w:pPr>
      <w:r>
        <w:rPr>
          <w:rFonts w:ascii="IRNazanin" w:hAnsi="IRNazanin" w:eastAsia="IRNazanin"/>
          <w:color w:val="111111"/>
          <w:sz w:val="28"/>
          <w:sz w:val="28"/>
          <w:szCs w:val="28"/>
          <w:rtl w:val="true"/>
          <w:lang w:bidi="fa-IR"/>
        </w:rPr>
        <w:t>ویدل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مقتضی للتحریم فیما عدا العورتین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إنه لیس هناک أی روایة معتبرة تدل علی حرمة نظر المرأة إلی الرجل، وعلیه فالحکم بالمنع مبنی علی الاحتیاط</w:t>
      </w:r>
      <w:r>
        <w:rPr>
          <w:rFonts w:eastAsia="IRNazanin" w:cs="IRNazanin"/>
          <w:color w:val="111111"/>
          <w:sz w:val="28"/>
          <w:szCs w:val="28"/>
          <w:rtl w:val="true"/>
          <w:lang w:bidi="fa-IR"/>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مبانی المنهاج</w:t>
      </w:r>
      <w:r>
        <w:rPr>
          <w:rFonts w:eastAsia="IRNazanin" w:cs="IRNazanin"/>
          <w:color w:val="111111"/>
          <w:sz w:val="28"/>
          <w:szCs w:val="28"/>
          <w:rtl w:val="true"/>
          <w:lang w:bidi="fa-IR"/>
        </w:rPr>
        <w:t>(</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 أدلة الحرمة وردها بأجمعها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آیة الغض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مضی التأمل فی ثبوت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مستنکر عند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یناقش فیه بأنّ الاستنکار للوازم الغالبیة لا للعمل فی حد نفسه،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الضعیفة المنجبرة بالإجماع المدعی</w:t>
      </w:r>
      <w:r>
        <w:rPr>
          <w:rFonts w:eastAsia="IRNazanin" w:cs="IRNazanin"/>
          <w:color w:val="111111"/>
          <w:sz w:val="28"/>
          <w:szCs w:val="28"/>
          <w:rtl w:val="true"/>
          <w:lang w:bidi="fa-IR"/>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یعلم استناد المجمعین إلی هذه الروایات،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العثور علی قائل بالجواز کذلک مما یوهن الاحتمال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مضی ادعاء الإجماع من المهذب وعدم الخلاف من الحدائق علی القول بالحرمة مطلقاً، کما مضت دعوی الإجماع علی القول الثانی من صاحب الریاض والمحقق النراقی والشیخ الأعظم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علی بن جعفر فی کتابه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المرأة یکون بها الجرح فی فخذها أو بطنها أو عضدها، هل یصلح للرجل أن ینظر إلیه ویعالجه؟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الرجل یکون ببطن فخذه أو إلیته الجرح هل یصلح للمرأة أن تنظر إلیه وتداویه؟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عورة فلا بأس</w:t>
      </w:r>
      <w:r>
        <w:rPr>
          <w:rFonts w:eastAsia="IRNazanin" w:cs="IRNazanin"/>
          <w:color w:val="111111"/>
          <w:sz w:val="28"/>
          <w:szCs w:val="28"/>
          <w:rtl w:val="true"/>
          <w:lang w:bidi="fa-IR"/>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سند کتاب قرب الإسناد وکتاب مسائل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اللذین وردت فیهما هذه الروایة</w:t>
      </w:r>
      <w:r>
        <w:rPr>
          <w:rFonts w:eastAsia="IRNazanin" w:cs="IRNazanin"/>
          <w:color w:val="111111"/>
          <w:sz w:val="28"/>
          <w:szCs w:val="28"/>
          <w:rtl w:val="true"/>
          <w:lang w:bidi="fa-IR"/>
        </w:rPr>
        <w:t>(</w:t>
      </w:r>
      <w:r>
        <w:rPr>
          <w:rStyle w:val="FootnoteAnchor"/>
          <w:rtl w:val="true"/>
        </w:rPr>
        <w:footnoteReference w:id="10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هذا الإشکال فی المسائل الفقهیة</w:t>
      </w:r>
      <w:r>
        <w:rPr>
          <w:rFonts w:eastAsia="IRNazanin" w:cs="IRNazanin"/>
          <w:color w:val="111111"/>
          <w:sz w:val="28"/>
          <w:szCs w:val="28"/>
          <w:rtl w:val="true"/>
          <w:lang w:bidi="fa-IR"/>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قد مضی الکلام فی الإشکال فی سند کتاب قرب الإسناد</w:t>
      </w:r>
      <w:r>
        <w:rPr>
          <w:rFonts w:eastAsia="IRNazanin" w:cs="IRNazanin"/>
          <w:color w:val="111111"/>
          <w:sz w:val="28"/>
          <w:szCs w:val="28"/>
          <w:rtl w:val="true"/>
          <w:lang w:bidi="fa-IR"/>
        </w:rPr>
        <w:t>(</w:t>
      </w:r>
      <w:r>
        <w:rPr>
          <w:rStyle w:val="FootnoteAnchor"/>
          <w:rtl w:val="true"/>
        </w:rPr>
        <w:footnoteReference w:id="10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مضی الکلام فی الإشکال فی سند کتاب مسائل علی بن جعفر</w:t>
      </w:r>
      <w:r>
        <w:rPr>
          <w:rFonts w:eastAsia="IRNazanin" w:cs="IRNazanin"/>
          <w:color w:val="111111"/>
          <w:sz w:val="28"/>
          <w:szCs w:val="28"/>
          <w:rtl w:val="true"/>
          <w:lang w:bidi="fa-IR"/>
        </w:rPr>
        <w:t>(</w:t>
      </w:r>
      <w:r>
        <w:rPr>
          <w:rStyle w:val="FootnoteAnchor"/>
          <w:rtl w:val="true"/>
        </w:rPr>
        <w:footnoteReference w:id="10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المسائل الفقهیة،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مطلق وشامل لصورتی الاضطرار وعدمه، فیمکن تقییده بصورة الاضطرار</w:t>
      </w:r>
      <w:r>
        <w:rPr>
          <w:rFonts w:eastAsia="IRNazanin" w:cs="IRNazanin"/>
          <w:color w:val="111111"/>
          <w:sz w:val="28"/>
          <w:szCs w:val="28"/>
          <w:rtl w:val="true"/>
          <w:lang w:bidi="fa-IR"/>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 إذ إنه تقیید بلا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الجواب بعدم الجواز فی المسألة الأولی وارد فی صورة عدم الاضطرار، وإلا فلا إشکال فی الجواز فی صورة الاضطرار، فیکون کذلک فی المسألة الثانیة، فیدل علی الجواز وإن لم یکن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یقال بعدم وجود دلیل علی ورود الجوابین فی مجلس واحد، فلا یصح الاستدلال بوحدة السیاق، فتأمّل</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ذیل الروایة دلیل علی أخفیة نظرها إلیه من نظره إلیها، ورد </w:t>
      </w:r>
      <w:bookmarkStart w:id="881" w:name="pg6289_42161"/>
    </w:p>
    <w:p>
      <w:pPr>
        <w:pStyle w:val="BookText"/>
        <w:rPr/>
      </w:pPr>
      <w:bookmarkEnd w:id="881"/>
      <w:r>
        <w:rPr>
          <w:rFonts w:ascii="IRNazanin" w:hAnsi="IRNazanin" w:eastAsia="IRNazanin"/>
          <w:color w:val="111111"/>
          <w:sz w:val="28"/>
          <w:sz w:val="28"/>
          <w:szCs w:val="28"/>
          <w:rtl w:val="true"/>
          <w:lang w:bidi="fa-IR"/>
        </w:rPr>
        <w:t>ذلک فی الفقه</w:t>
      </w:r>
      <w:r>
        <w:rPr>
          <w:rFonts w:eastAsia="IRNazanin" w:cs="IRNazanin"/>
          <w:color w:val="111111"/>
          <w:sz w:val="28"/>
          <w:szCs w:val="28"/>
          <w:rtl w:val="true"/>
          <w:lang w:bidi="fa-IR"/>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تأمل؛ إذ ظاهرها نفی البأس المطلق لا نفی البأس النسبی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یدل علی الجواز فی مورد الحاجة، التی هی أعم من الاضطرار، فلا یمکن التعدی إلی غیر موارد الحاجة، اللهم إلا أن یفهم عدم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نظر؛ إذ لعل مقام العلاج ونحوه من موارد الحاجة یختلف عن غیره فی الحکم، وقد استثنی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جواز النظر مقام المعالجة فی عرض استثناء مقام الضرورة فی أوائل کتاب النکاح</w:t>
      </w:r>
      <w:r>
        <w:rPr>
          <w:rFonts w:eastAsia="IRNazanin" w:cs="IRNazanin"/>
          <w:color w:val="111111"/>
          <w:sz w:val="28"/>
          <w:szCs w:val="28"/>
          <w:rtl w:val="true"/>
          <w:lang w:bidi="fa-IR"/>
        </w:rPr>
        <w:t>(</w:t>
      </w:r>
      <w:r>
        <w:rPr>
          <w:rStyle w:val="FootnoteAnchor"/>
          <w:rtl w:val="true"/>
        </w:rPr>
        <w:footnoteReference w:id="10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Heading6"/>
        <w:numPr>
          <w:ilvl w:val="5"/>
          <w:numId w:val="1"/>
        </w:numPr>
        <w:rPr/>
      </w:pPr>
      <w:bookmarkStart w:id="882" w:name="__RefHeading___Toc2133886_237004111"/>
      <w:bookmarkStart w:id="883" w:name="_Toc343"/>
      <w:bookmarkEnd w:id="882"/>
      <w:r>
        <w:rPr>
          <w:rtl w:val="true"/>
        </w:rPr>
        <w:t>شرط عدم اللذة والریبة</w:t>
      </w:r>
      <w:bookmarkEnd w:id="883"/>
    </w:p>
    <w:p>
      <w:pPr>
        <w:pStyle w:val="BookText"/>
        <w:rPr/>
      </w:pPr>
      <w:r>
        <w:rPr>
          <w:rFonts w:ascii="IRNazanin" w:hAnsi="IRNazanin" w:eastAsia="IRNazanin"/>
          <w:color w:val="111111"/>
          <w:sz w:val="28"/>
          <w:sz w:val="28"/>
          <w:szCs w:val="28"/>
          <w:rtl w:val="true"/>
          <w:lang w:bidi="fa-IR"/>
        </w:rPr>
        <w:t>ثم إنّ هنالک فروعاً فی نظر المرأة إلی الرجل،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عدم اللذة وعدم الریبة، ویظهر الحال فیها مما تقدّم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ویبقی الکلام فی الاستدلال بمداواة الجرحی، راجع فی ذلک المسائل</w:t>
      </w:r>
      <w:r>
        <w:rPr>
          <w:rFonts w:eastAsia="IRNazanin" w:cs="IRNazanin"/>
          <w:color w:val="111111"/>
          <w:sz w:val="28"/>
          <w:szCs w:val="28"/>
          <w:rtl w:val="true"/>
          <w:lang w:bidi="fa-IR"/>
        </w:rPr>
        <w:t>(</w:t>
      </w:r>
      <w:r>
        <w:rPr>
          <w:rStyle w:val="FootnoteAnchor"/>
          <w:rtl w:val="true"/>
        </w:rPr>
        <w:footnoteReference w:id="1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والفقه فیما استثنی من النظر</w:t>
      </w:r>
      <w:r>
        <w:rPr>
          <w:rFonts w:eastAsia="IRNazanin" w:cs="IRNazanin"/>
          <w:color w:val="111111"/>
          <w:sz w:val="28"/>
          <w:szCs w:val="28"/>
          <w:rtl w:val="true"/>
          <w:lang w:bidi="fa-IR"/>
        </w:rPr>
        <w:t>(</w:t>
      </w:r>
      <w:r>
        <w:rPr>
          <w:rStyle w:val="FootnoteAnchor"/>
          <w:rtl w:val="true"/>
        </w:rPr>
        <w:footnoteReference w:id="1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وروایات الموت</w:t>
      </w:r>
      <w:r>
        <w:rPr>
          <w:rFonts w:eastAsia="IRNazanin" w:cs="IRNazanin"/>
          <w:color w:val="111111"/>
          <w:sz w:val="28"/>
          <w:szCs w:val="28"/>
          <w:rtl w:val="true"/>
          <w:lang w:bidi="fa-IR"/>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 xml:space="preserve">). </w:t>
      </w:r>
      <w:bookmarkStart w:id="884" w:name="pg6289_42162"/>
    </w:p>
    <w:p>
      <w:pPr>
        <w:pStyle w:val="Heading2"/>
        <w:numPr>
          <w:ilvl w:val="1"/>
          <w:numId w:val="1"/>
        </w:numPr>
        <w:rPr/>
      </w:pPr>
      <w:bookmarkStart w:id="885" w:name="__RefHeading___Toc2133888_237004111"/>
      <w:bookmarkStart w:id="886" w:name="_Toc344"/>
      <w:bookmarkEnd w:id="884"/>
      <w:bookmarkEnd w:id="885"/>
      <w:r>
        <w:rPr>
          <w:rtl w:val="true"/>
        </w:rPr>
        <w:t>المسألة الخامسة</w:t>
      </w:r>
      <w:r>
        <w:rPr>
          <w:rtl w:val="true"/>
        </w:rPr>
        <w:t xml:space="preserve">: </w:t>
      </w:r>
      <w:r>
        <w:rPr>
          <w:rtl w:val="true"/>
        </w:rPr>
        <w:t>النظر إلی من یرید الزواج منها</w:t>
      </w:r>
      <w:bookmarkEnd w:id="88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7" w:name="__RefHeading___Toc2133890_237004111"/>
      <w:bookmarkStart w:id="888" w:name="_Toc345"/>
      <w:bookmarkEnd w:id="887"/>
      <w:r>
        <w:rPr>
          <w:rtl w:val="true"/>
        </w:rPr>
        <w:t>اشارة</w:t>
      </w:r>
      <w:bookmarkEnd w:id="888"/>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9" w:name="pg6289_42164"/>
      <w:bookmarkStart w:id="890" w:name="pg6289_42164"/>
      <w:bookmarkEnd w:id="890"/>
    </w:p>
    <w:p>
      <w:pPr>
        <w:pStyle w:val="Heading3"/>
        <w:numPr>
          <w:ilvl w:val="2"/>
          <w:numId w:val="1"/>
        </w:numPr>
        <w:rPr/>
      </w:pPr>
      <w:bookmarkStart w:id="891" w:name="pg6289_42164"/>
      <w:bookmarkStart w:id="892" w:name="__RefHeading___Toc2133892_237004111"/>
      <w:bookmarkStart w:id="893" w:name="_Toc346"/>
      <w:bookmarkEnd w:id="891"/>
      <w:bookmarkEnd w:id="892"/>
      <w:r>
        <w:rPr>
          <w:rtl w:val="true"/>
        </w:rPr>
        <w:t>المسألة الخامسة</w:t>
      </w:r>
      <w:r>
        <w:rPr>
          <w:rtl w:val="true"/>
        </w:rPr>
        <w:t xml:space="preserve">: </w:t>
      </w:r>
      <w:r>
        <w:rPr>
          <w:rtl w:val="true"/>
        </w:rPr>
        <w:t>النظر إلی من یرید الزواج منها</w:t>
      </w:r>
      <w:bookmarkEnd w:id="893"/>
    </w:p>
    <w:p>
      <w:pPr>
        <w:pStyle w:val="BookText"/>
        <w:rPr/>
      </w:pPr>
      <w:r>
        <w:rPr>
          <w:rFonts w:ascii="IRNazanin" w:hAnsi="IRNazanin" w:eastAsia="IRNazanin"/>
          <w:color w:val="111111"/>
          <w:sz w:val="28"/>
          <w:sz w:val="28"/>
          <w:szCs w:val="28"/>
          <w:rtl w:val="true"/>
          <w:lang w:bidi="fa-IR"/>
        </w:rPr>
        <w:t>ولا إشکال فی أصل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الریاض</w:t>
      </w:r>
      <w:r>
        <w:rPr>
          <w:rFonts w:eastAsia="IRNazanin" w:cs="IRNazanin"/>
          <w:color w:val="111111"/>
          <w:sz w:val="28"/>
          <w:szCs w:val="28"/>
          <w:rtl w:val="true"/>
          <w:lang w:bidi="fa-IR"/>
        </w:rPr>
        <w:t>(</w:t>
      </w:r>
      <w:r>
        <w:rPr>
          <w:rStyle w:val="FootnoteAnchor"/>
          <w:rtl w:val="true"/>
        </w:rPr>
        <w:footnoteReference w:id="10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خلاف فی جواز النظر إلی وجهها ویدیها إلی الزند، واستفاضت علیه حکایة الإجماع بل تحقق، فهو الحجة فیه</w:t>
      </w:r>
      <w:r>
        <w:rPr>
          <w:rFonts w:eastAsia="IRNazanin" w:cs="IRNazanin"/>
          <w:color w:val="111111"/>
          <w:sz w:val="28"/>
          <w:szCs w:val="28"/>
          <w:rtl w:val="true"/>
          <w:lang w:bidi="fa-IR"/>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بین المسلمین فی أنه یجوز أن ینظر إلی وجه امرأة یرید نکاحها وإن لم یستأذنها، وکفیها، بل الإجماع بقسمیه علیه، بل المحکی منهما مستفیض أو متواتر</w:t>
      </w:r>
      <w:r>
        <w:rPr>
          <w:rFonts w:eastAsia="IRNazanin" w:cs="IRNazanin"/>
          <w:color w:val="111111"/>
          <w:sz w:val="28"/>
          <w:szCs w:val="28"/>
          <w:rtl w:val="true"/>
          <w:lang w:bidi="fa-IR"/>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الفقه</w:t>
      </w:r>
      <w:r>
        <w:rPr>
          <w:rFonts w:eastAsia="IRNazanin" w:cs="IRNazanin"/>
          <w:color w:val="111111"/>
          <w:sz w:val="28"/>
          <w:szCs w:val="28"/>
          <w:rtl w:val="true"/>
          <w:lang w:bidi="fa-IR"/>
        </w:rPr>
        <w:t>(</w:t>
      </w:r>
      <w:r>
        <w:rPr>
          <w:rStyle w:val="FootnoteAnchor"/>
          <w:rtl w:val="true"/>
        </w:rPr>
        <w:footnoteReference w:id="10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علیه الإجماع مستفیضاً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الإجماع فی الجملة فی المهذب</w:t>
      </w:r>
      <w:r>
        <w:rPr>
          <w:rFonts w:eastAsia="IRNazanin" w:cs="IRNazanin"/>
          <w:color w:val="111111"/>
          <w:sz w:val="28"/>
          <w:szCs w:val="28"/>
          <w:rtl w:val="true"/>
          <w:lang w:bidi="fa-IR"/>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فقه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فی الجملة</w:t>
      </w:r>
      <w:r>
        <w:rPr>
          <w:rFonts w:eastAsia="IRNazanin" w:cs="IRNazanin"/>
          <w:color w:val="111111"/>
          <w:sz w:val="28"/>
          <w:szCs w:val="28"/>
          <w:rtl w:val="true"/>
          <w:lang w:bidi="fa-IR"/>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وتدل علیه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مستفیضة</w:t>
      </w:r>
      <w:r>
        <w:rPr>
          <w:rFonts w:eastAsia="IRNazanin" w:cs="IRNazanin"/>
          <w:color w:val="111111"/>
          <w:sz w:val="28"/>
          <w:szCs w:val="28"/>
          <w:rtl w:val="true"/>
          <w:lang w:bidi="fa-IR"/>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متواترة</w:t>
      </w:r>
      <w:r>
        <w:rPr>
          <w:rFonts w:eastAsia="IRNazanin" w:cs="IRNazanin"/>
          <w:color w:val="111111"/>
          <w:sz w:val="28"/>
          <w:szCs w:val="28"/>
          <w:rtl w:val="true"/>
          <w:lang w:bidi="fa-IR"/>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أبی أیوب الخزاز، عن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یرید أن یتزوج المرأة أینظر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یشتریها بأغلی الثمن</w:t>
      </w:r>
      <w:r>
        <w:rPr>
          <w:rFonts w:eastAsia="IRNazanin" w:cs="IRNazanin"/>
          <w:color w:val="111111"/>
          <w:sz w:val="28"/>
          <w:szCs w:val="28"/>
          <w:rtl w:val="true"/>
          <w:lang w:bidi="fa-IR"/>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صحیحة، لکن عبر عنها فی الریاض بالحسنة</w:t>
      </w:r>
      <w:r>
        <w:rPr>
          <w:rFonts w:eastAsia="IRNazanin" w:cs="IRNazanin"/>
          <w:color w:val="111111"/>
          <w:sz w:val="28"/>
          <w:szCs w:val="28"/>
          <w:rtl w:val="true"/>
          <w:lang w:bidi="fa-IR"/>
        </w:rPr>
        <w:t>(</w:t>
      </w:r>
      <w:r>
        <w:rPr>
          <w:rStyle w:val="FootnoteAnchor"/>
          <w:rtl w:val="true"/>
        </w:rPr>
        <w:footnoteReference w:id="10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الحدائق عبر عنها بالصحیح أو الحسن</w:t>
      </w:r>
      <w:r>
        <w:rPr>
          <w:rFonts w:eastAsia="IRNazanin" w:cs="IRNazanin"/>
          <w:color w:val="111111"/>
          <w:sz w:val="28"/>
          <w:szCs w:val="28"/>
          <w:rtl w:val="true"/>
          <w:lang w:bidi="fa-IR"/>
        </w:rPr>
        <w:t>(</w:t>
      </w:r>
      <w:r>
        <w:rPr>
          <w:rStyle w:val="FootnoteAnchor"/>
          <w:rtl w:val="true"/>
        </w:rPr>
        <w:footnoteReference w:id="10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کل حال فهی معتبرة، والمختار أنها صحیحة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تولد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إشکالاً عند البعض، وللسید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تعلیقة علی هذه العبارة،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أن یراد بالثمن نفس الرجل؛ لأنّ العوضین فی النکاح الرجل والمرأة، وإنما المهر حلاوة، وإن کان قد یطلق علی المهر بأنه بدل البضع</w:t>
      </w:r>
      <w:r>
        <w:rPr>
          <w:rFonts w:eastAsia="IRNazanin" w:cs="IRNazanin"/>
          <w:color w:val="111111"/>
          <w:sz w:val="28"/>
          <w:szCs w:val="28"/>
          <w:rtl w:val="true"/>
          <w:lang w:bidi="fa-IR"/>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وعلی ما ببالی فی بعض الکتب الفقهیة</w:t>
      </w:r>
      <w:r>
        <w:rPr>
          <w:rFonts w:eastAsia="IRNazanin" w:cs="IRNazanin"/>
          <w:color w:val="111111"/>
          <w:sz w:val="28"/>
          <w:szCs w:val="28"/>
          <w:rtl w:val="true"/>
          <w:lang w:bidi="fa-IR"/>
        </w:rPr>
        <w:t>(</w:t>
      </w:r>
      <w:r>
        <w:rPr>
          <w:rStyle w:val="FootnoteAnchor"/>
          <w:rtl w:val="true"/>
        </w:rPr>
        <w:footnoteReference w:id="1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البضع إنما هو فی قبال البضع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لیس نکاح الشغار الباطل عندنا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عن أبیه، عن محمّد بن أبی عمیر، عن هشام بن سالم، وحماد بن عثمان، وحفص بن البختری، کلهم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ینظر إلی وجهها ومعاصمها إذا أراد أن یتزوجها</w:t>
      </w:r>
      <w:r>
        <w:rPr>
          <w:rFonts w:eastAsia="IRNazanin" w:cs="IRNazanin"/>
          <w:color w:val="111111"/>
          <w:sz w:val="28"/>
          <w:szCs w:val="28"/>
          <w:rtl w:val="true"/>
          <w:lang w:bidi="fa-IR"/>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صحیحة وفی الریاض</w:t>
      </w:r>
      <w:r>
        <w:rPr>
          <w:rFonts w:eastAsia="IRNazanin" w:cs="IRNazanin"/>
          <w:color w:val="111111"/>
          <w:sz w:val="28"/>
          <w:szCs w:val="28"/>
          <w:rtl w:val="true"/>
          <w:lang w:bidi="fa-IR"/>
        </w:rPr>
        <w:t>(</w:t>
      </w:r>
      <w:r>
        <w:rPr>
          <w:rStyle w:val="FootnoteAnchor"/>
          <w:rtl w:val="true"/>
        </w:rPr>
        <w:footnoteReference w:id="1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أو الصحیح، وکذا فی الحدائق</w:t>
      </w:r>
      <w:r>
        <w:rPr>
          <w:rFonts w:eastAsia="IRNazanin" w:cs="IRNazanin"/>
          <w:color w:val="111111"/>
          <w:sz w:val="28"/>
          <w:szCs w:val="28"/>
          <w:rtl w:val="true"/>
          <w:lang w:bidi="fa-IR"/>
        </w:rPr>
        <w:t>(</w:t>
      </w:r>
      <w:r>
        <w:rPr>
          <w:rStyle w:val="FootnoteAnchor"/>
          <w:rtl w:val="true"/>
        </w:rPr>
        <w:footnoteReference w:id="1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المستند حسنة</w:t>
      </w:r>
      <w:r>
        <w:rPr>
          <w:rFonts w:eastAsia="IRNazanin" w:cs="IRNazanin"/>
          <w:color w:val="111111"/>
          <w:sz w:val="28"/>
          <w:szCs w:val="28"/>
          <w:rtl w:val="true"/>
          <w:lang w:bidi="fa-IR"/>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أو صحیح ابن السری،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محمّد بن عبد الجبار، عن صفوان</w:t>
      </w:r>
      <w:r>
        <w:rPr>
          <w:rFonts w:eastAsia="IRNazanin" w:cs="IRNazanin"/>
          <w:color w:val="111111"/>
          <w:sz w:val="28"/>
          <w:szCs w:val="28"/>
          <w:rtl w:val="true"/>
          <w:lang w:bidi="fa-IR"/>
        </w:rPr>
        <w:t>(</w:t>
      </w:r>
      <w:r>
        <w:rPr>
          <w:rStyle w:val="FootnoteAnchor"/>
          <w:rtl w:val="true"/>
        </w:rPr>
        <w:footnoteReference w:id="1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مسکان، عن الحسن بن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الرجل یرید أن یتزوج المرأة یتأملها وینظر إلی خلفها وإلی وجهها؟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أن ینظر الرجل إلی المرأة إذا أراد أن یتزوجها، ینظر إلی خلقها وإلی وجهها</w:t>
      </w:r>
      <w:r>
        <w:rPr>
          <w:rFonts w:eastAsia="IRNazanin" w:cs="IRNazanin"/>
          <w:color w:val="111111"/>
          <w:sz w:val="28"/>
          <w:szCs w:val="28"/>
          <w:rtl w:val="true"/>
          <w:lang w:bidi="fa-IR"/>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هنالک إشکال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عبر عن هذه الروایة بعضهم بالصحیحة، إلا أنّ الأمر لیس کذلک، فإنّ الحسن بن السری قد ورد توثیقه عن النجاشی فی کلمات ابن داود والعلامة والمیرزا الاسترابادی، غیر أنّ السید التفرشی قد ذکر بأنّ ذلک غیر موجود فی کلمات النجاشی، مع أنّ لدیه أربع نسخ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وکذلک لم نعثر علیه عند مراجعتنا للنسخة الصحیحة، وعلی هذا فلا تثبت وثاقة الرجل، ولا یمکن العمل بروایته</w:t>
      </w:r>
      <w:r>
        <w:rPr>
          <w:rFonts w:eastAsia="IRNazanin" w:cs="IRNazanin"/>
          <w:color w:val="111111"/>
          <w:sz w:val="28"/>
          <w:szCs w:val="28"/>
          <w:rtl w:val="true"/>
          <w:lang w:bidi="fa-IR"/>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 لأنّ أصالة عدم الزیادة مقدمة علی أصالة عدم النقیصة، فإنّ لرجال النجاشی نسخاً متعددة، وقد وصلت إلی السید التفرشی أربع نسخ لم یوجد فیها التوثیق، لکن النسخة التی وصلت إلی العلامة وابن داود والاسترابادی کان فیها التوثیق، ونضیف أیضاً النسخة التی وصلت إلی الحر العاملی، حیث إنه وثقه عن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النسخ التی وصلت إلی السید التفرشی کان فیها نقیصة، أو النسخ التی وصلت إلی هؤلاء کان فیها زیادة، وأصالة عدم الزیادة مقدمة علی أصالة عدم النقیصة من الناحیة العقلائیة؛ لأنّ النقیصة ممکنة، حیث قد یزیغ القلم أو النظر عن کلمة بخلاف الزیادة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فرض القبول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یکفی فی وثاقته توثیق العلامة له صریحاً فی الخلاصة</w:t>
      </w:r>
      <w:r>
        <w:rPr>
          <w:rFonts w:eastAsia="IRNazanin" w:cs="IRNazanin"/>
          <w:color w:val="111111"/>
          <w:sz w:val="28"/>
          <w:szCs w:val="28"/>
          <w:rtl w:val="true"/>
          <w:lang w:bidi="fa-IR"/>
        </w:rPr>
        <w:t>(</w:t>
      </w:r>
      <w:r>
        <w:rPr>
          <w:rStyle w:val="FootnoteAnchor"/>
          <w:rtl w:val="true"/>
        </w:rPr>
        <w:footnoteReference w:id="1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قبول توثیقات المتأخرین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وثقه الطریحی فی مشترکاته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أن یقال بوثاقته لروایة جعفر بن بشیر عنه، وإن کان المبنی</w:t>
      </w:r>
      <w:r>
        <w:rPr>
          <w:rFonts w:eastAsia="IRNazanin" w:cs="IRNazanin"/>
          <w:color w:val="111111"/>
          <w:sz w:val="28"/>
          <w:szCs w:val="28"/>
          <w:rtl w:val="true"/>
          <w:lang w:bidi="fa-IR"/>
        </w:rPr>
        <w:t>(</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یمکن أن یقال بوثاقته لروایة الأجلاء عنه، کزرارة ویونس بن عبد الرحمن والبرقی وغیرهم، وإن کان فی المبنی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هنالک روایتان یظهر منهما ذم الرجل</w:t>
      </w:r>
      <w:r>
        <w:rPr>
          <w:rFonts w:eastAsia="IRNazanin" w:cs="IRNazanin"/>
          <w:color w:val="111111"/>
          <w:sz w:val="28"/>
          <w:szCs w:val="28"/>
          <w:rtl w:val="true"/>
          <w:lang w:bidi="fa-IR"/>
        </w:rPr>
        <w:t>(</w:t>
      </w:r>
      <w:r>
        <w:rPr>
          <w:rStyle w:val="FootnoteAnchor"/>
          <w:rtl w:val="true"/>
        </w:rPr>
        <w:footnoteReference w:id="1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ضعف سندهما أسقطهما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لما ذکرناه عبّر عن هذه الروایة بالصحیحة فی الحدائق والریاض والمستند والمستمسک والفقه والمهذب وفقه الصادق</w:t>
      </w:r>
      <w:r>
        <w:rPr>
          <w:rFonts w:eastAsia="IRNazanin" w:cs="IRNazanin"/>
          <w:color w:val="111111"/>
          <w:sz w:val="28"/>
          <w:szCs w:val="28"/>
          <w:rtl w:val="true"/>
          <w:lang w:bidi="fa-IR"/>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والمتحصل أنّ الروایة صحیحة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ابن سنان أو ضعیفته،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أحمد بن محمد بن عیسی، عن الهیثم بن أبی مسروق النهدی، عن الحکم بن مسکین،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الرجل یرید أن یتزوج المرأة، أینظر إلی شعرها،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یرید أن یشتریها بأغلی الثمن</w:t>
      </w:r>
      <w:r>
        <w:rPr>
          <w:rFonts w:eastAsia="IRNazanin" w:cs="IRNazanin"/>
          <w:color w:val="111111"/>
          <w:sz w:val="28"/>
          <w:szCs w:val="28"/>
          <w:rtl w:val="true"/>
          <w:lang w:bidi="fa-IR"/>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عبر عن هذه الروایة بالصحیحة فی الفقه وشرح العروة والمهذب وفقه </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والضعیفة بجهالة الراوی فی الشعر خاصة</w:t>
      </w:r>
      <w:r>
        <w:rPr>
          <w:rFonts w:eastAsia="IRNazanin" w:cs="IRNazanin"/>
          <w:color w:val="111111"/>
          <w:sz w:val="28"/>
          <w:szCs w:val="28"/>
          <w:rtl w:val="true"/>
          <w:lang w:bidi="fa-IR"/>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المجهول فی الهامش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الحکم بن مسکین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النظر فی سند هذه الروایة،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وهو الشیخ الطوسی، بإسناده عن أحمد بن محمد بن عیسی الأشعری القمی، وهو ثقة، وطریق الطوسی إلیه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الهیثم بن أبی مسروق النهدی، وفیه بحث، أنه الهیثم أو الهاشم؟ والأول ثقة والثانی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الحکم بن مسکین،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سنان،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السند مشکلتان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جهالة الحکم بن مسکین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التهذیب الطبعة القدیمة الهاشم بن أبی مسروق النهدی بدل هیثم، وهو مجهول غیر مذکور فی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کیف عبر هؤلاء الأعلام عنها بالصحیحة؟</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أنّ المذکور</w:t>
      </w:r>
      <w:r>
        <w:rPr>
          <w:rFonts w:eastAsia="IRNazanin" w:cs="IRNazanin"/>
          <w:color w:val="111111"/>
          <w:sz w:val="28"/>
          <w:szCs w:val="28"/>
          <w:rtl w:val="true"/>
          <w:lang w:bidi="fa-IR"/>
        </w:rPr>
        <w:t>(</w:t>
      </w:r>
      <w:r>
        <w:rPr>
          <w:rStyle w:val="FootnoteAnchor"/>
          <w:rtl w:val="true"/>
        </w:rPr>
        <w:footnoteReference w:id="1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للطبعة الحدیثة من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الصحیح، فإن الهاشم بن أبی مسروق النهدی لا وجود له فی کتب الأخبار والرجال</w:t>
      </w:r>
      <w:r>
        <w:rPr>
          <w:rFonts w:eastAsia="IRNazanin" w:cs="IRNazanin"/>
          <w:color w:val="111111"/>
          <w:sz w:val="28"/>
          <w:szCs w:val="28"/>
          <w:rtl w:val="true"/>
          <w:lang w:bidi="fa-IR"/>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أفاد ذلک الیقین أو الاطمئنان فبها، وإلا فیمکن التغلب علی کلتا المشکلتین بالتعویض عن هذا الطریق بطریق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بإسناده عن عبد الله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مراجعة المشیخة یتبین أن طریق الصدوق إلی عبد الله بن سنان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فیه عن عبد الله بن سنان، فقد رویته عن أبی رضی الله عنه، عن عبد الله بن جعفر الحمیری، عن أیوب بن نوح، عن محمّد بن أبی عمیر، عن عبد الله بن سنان</w:t>
      </w:r>
      <w:r>
        <w:rPr>
          <w:rFonts w:eastAsia="IRNazanin" w:cs="IRNazanin"/>
          <w:color w:val="111111"/>
          <w:sz w:val="28"/>
          <w:szCs w:val="28"/>
          <w:rtl w:val="true"/>
          <w:lang w:bidi="fa-IR"/>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وکلهم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صحة الروایة، وکأنّ صاحب الریاض لم یلتفت إلی وجود الطریق الآخر، فعبر عنها بالضعیفة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السید الخوئی ذکر الطریق غیر المعتبر، وعبر عنه بالصحیحة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أو موثق أو صحیح غیاث،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أحمد بن محمّد بن عیسی عن محمّد بن یحیی</w:t>
      </w:r>
      <w:r>
        <w:rPr>
          <w:rFonts w:eastAsia="IRNazanin" w:cs="IRNazanin"/>
          <w:color w:val="111111"/>
          <w:sz w:val="28"/>
          <w:szCs w:val="28"/>
          <w:rtl w:val="true"/>
          <w:lang w:bidi="fa-IR"/>
        </w:rPr>
        <w:t>(</w:t>
      </w:r>
      <w:r>
        <w:rPr>
          <w:rStyle w:val="FootnoteAnchor"/>
          <w:rtl w:val="true"/>
        </w:rPr>
        <w:footnoteReference w:id="1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غیاث بن إبراهیم، عن جعفر،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فی رجل ینظر إلی محاسن </w:t>
      </w:r>
    </w:p>
    <w:p>
      <w:pPr>
        <w:pStyle w:val="BookText"/>
        <w:rPr/>
      </w:pPr>
      <w:r>
        <w:rPr>
          <w:rFonts w:ascii="IRNazanin" w:hAnsi="IRNazanin" w:eastAsia="IRNazanin"/>
          <w:color w:val="111111"/>
          <w:sz w:val="28"/>
          <w:sz w:val="28"/>
          <w:szCs w:val="28"/>
          <w:rtl w:val="true"/>
          <w:lang w:bidi="fa-IR"/>
        </w:rPr>
        <w:t>امرأة یرید أن یتزوجها،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إنما هو مستام، فإن یُقض أمر یکون</w:t>
      </w:r>
      <w:r>
        <w:rPr>
          <w:rFonts w:eastAsia="IRNazanin" w:cs="IRNazanin"/>
          <w:color w:val="111111"/>
          <w:sz w:val="28"/>
          <w:szCs w:val="28"/>
          <w:rtl w:val="true"/>
          <w:lang w:bidi="fa-IR"/>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وعبر عنها فی الفقه بالخبر، وفی الریاض والمستند بالموثق، وفی شرح العروة بالصحیحة</w:t>
      </w:r>
      <w:r>
        <w:rPr>
          <w:rFonts w:eastAsia="IRNazanin" w:cs="IRNazanin"/>
          <w:color w:val="111111"/>
          <w:sz w:val="28"/>
          <w:szCs w:val="28"/>
          <w:rtl w:val="true"/>
          <w:lang w:bidi="fa-IR"/>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یبدو لنا أنّ الروایة صحیحة؛ لتوثیق النجاشی لغیاث بن إبراهیم</w:t>
      </w:r>
      <w:r>
        <w:rPr>
          <w:rFonts w:eastAsia="IRNazanin" w:cs="IRNazanin"/>
          <w:color w:val="111111"/>
          <w:sz w:val="28"/>
          <w:szCs w:val="28"/>
          <w:rtl w:val="true"/>
          <w:lang w:bidi="fa-IR"/>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التعبیر بالموثق؛ لاشتراک غیاث بن إبراهیم مع رجل آخر بتری، وقد رجح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غیره بلحاظ الطبقات</w:t>
      </w:r>
      <w:r>
        <w:rPr>
          <w:rFonts w:eastAsia="IRNazanin" w:cs="IRNazanin"/>
          <w:color w:val="111111"/>
          <w:sz w:val="28"/>
          <w:szCs w:val="28"/>
          <w:rtl w:val="true"/>
          <w:lang w:bidi="fa-IR"/>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فی العلل عن أبیه، عن سعد، عن أحمد بن محمّد، عن البزنطی، عن یونس بن یعقوب،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الرجل یرید أن یتزوج المرأة یجوز له أن ینظر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وترقق له الثیاب؛ لأنه یرید أن یشتریها بأغلی الثمن</w:t>
      </w:r>
      <w:r>
        <w:rPr>
          <w:rFonts w:eastAsia="IRNazanin" w:cs="IRNazanin"/>
          <w:color w:val="111111"/>
          <w:sz w:val="28"/>
          <w:szCs w:val="28"/>
          <w:rtl w:val="true"/>
          <w:lang w:bidi="fa-IR"/>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عبر عنها فی الفقه بموثق یونس بن یعقوب، وکذا فی الریاض وفقه الصادق</w:t>
      </w:r>
      <w:r>
        <w:rPr>
          <w:rFonts w:eastAsia="IRNazanin" w:cs="IRNazanin"/>
          <w:color w:val="111111"/>
          <w:sz w:val="28"/>
          <w:szCs w:val="28"/>
          <w:rtl w:val="true"/>
          <w:lang w:bidi="fa-IR"/>
        </w:rPr>
        <w:t>(</w:t>
      </w:r>
      <w:r>
        <w:rPr>
          <w:rStyle w:val="FootnoteAnchor"/>
          <w:rtl w:val="true"/>
        </w:rPr>
        <w:footnoteReference w:id="1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ویمکن التعبیر عنها بالصحیحة أیضاً؛ وذلک للکلام فی یونس بن یعقوب، حیث کان فطحیاً ثم رجع</w:t>
      </w:r>
      <w:r>
        <w:rPr>
          <w:rFonts w:eastAsia="IRNazanin" w:cs="IRNazanin"/>
          <w:color w:val="111111"/>
          <w:sz w:val="28"/>
          <w:szCs w:val="28"/>
          <w:rtl w:val="true"/>
          <w:lang w:bidi="fa-IR"/>
        </w:rPr>
        <w:t>(</w:t>
      </w:r>
      <w:r>
        <w:rPr>
          <w:rStyle w:val="FootnoteAnchor"/>
          <w:rtl w:val="true"/>
        </w:rPr>
        <w:footnoteReference w:id="1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التعبیر عنها بالموثقة لأجل </w:t>
      </w:r>
    </w:p>
    <w:p>
      <w:pPr>
        <w:pStyle w:val="BookText"/>
        <w:rPr/>
      </w:pPr>
      <w:r>
        <w:rPr>
          <w:rFonts w:ascii="IRNazanin" w:hAnsi="IRNazanin" w:eastAsia="IRNazanin"/>
          <w:color w:val="111111"/>
          <w:sz w:val="28"/>
          <w:sz w:val="28"/>
          <w:szCs w:val="28"/>
          <w:rtl w:val="true"/>
          <w:lang w:bidi="fa-IR"/>
        </w:rPr>
        <w:t>ذلک ولأجل رجوعه یمکن التعبیر بالصحیحة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وهنالک روایات أخری کثیرة، لعل معظمها أو کلها لا یخلو من تأمل فی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 الحکم مما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قال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والظاهر أن الحکم من الأمور العقلائیة حین الزواج إن کان بلا تلذذ وکما یأتی، لا أن یکون تعبداً شرعیاً، ویشهد له التعلیل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یشتریها بأغلی الثمن، فإنه تعلیل بالمرتکزات العقلائیة</w:t>
      </w:r>
      <w:r>
        <w:rPr>
          <w:rFonts w:eastAsia="IRNazanin" w:cs="IRNazanin"/>
          <w:color w:val="111111"/>
          <w:sz w:val="28"/>
          <w:szCs w:val="28"/>
          <w:rtl w:val="true"/>
          <w:lang w:bidi="fa-IR"/>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تأمل؛ إذ ورود الدلیل الشرعی فی مورد البناء العقلائی لا یخرجه عن ظهوره فی التعبدیة إلی الإرشادیة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الیقین لا ینقض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یحمل علی الإرشادیة؟</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r>
        <w:rPr>
          <w:rStyle w:val="FootnoteAnchor"/>
          <w:rtl w:val="true"/>
        </w:rPr>
        <w:footnoteReference w:id="1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یحمل علی الإرشادیة؛ لوروده فی مورد الأمر العقلائی ووجود التعلیل؟</w:t>
      </w:r>
    </w:p>
    <w:p>
      <w:pPr>
        <w:pStyle w:val="BookText"/>
        <w:rPr/>
      </w:pPr>
      <w:r>
        <w:rPr>
          <w:rFonts w:ascii="Amiri" w:hAnsi="Amiri" w:eastAsia="Amiri" w:cs="Amiri"/>
          <w:color w:val="111111"/>
          <w:sz w:val="28"/>
          <w:sz w:val="28"/>
          <w:szCs w:val="28"/>
          <w:rtl w:val="true"/>
          <w:lang w:bidi="ar-SA"/>
        </w:rPr>
        <w:t>وکذا فی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تَضِلَّ إْحْدَاهُمَا فَتُذَکِّرَ إِحْدَاهُمَا الأُخْرَی</w:t>
      </w:r>
      <w:r>
        <w:rPr>
          <w:rFonts w:eastAsia="Amiri" w:cs="Amiri" w:ascii="Amiri" w:hAnsi="Amiri"/>
          <w:color w:val="111111"/>
          <w:sz w:val="28"/>
          <w:szCs w:val="28"/>
          <w:rtl w:val="true"/>
          <w:lang w:bidi="ar-SA"/>
        </w:rPr>
        <w:t>}(</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تختلف حدود التعبد الشرعی عن حدود البناء العقلائی، فإذا صرفنا الدلیل الشرعی عن المولویة إلی الإرشادیة کان المدار البناء </w:t>
      </w:r>
    </w:p>
    <w:p>
      <w:pPr>
        <w:pStyle w:val="BookText"/>
        <w:rPr/>
      </w:pPr>
      <w:r>
        <w:rPr>
          <w:rFonts w:ascii="IRNazanin" w:hAnsi="IRNazanin" w:eastAsia="IRNazanin"/>
          <w:color w:val="111111"/>
          <w:sz w:val="28"/>
          <w:sz w:val="28"/>
          <w:szCs w:val="28"/>
          <w:rtl w:val="true"/>
          <w:lang w:bidi="fa-IR"/>
        </w:rPr>
        <w:t>العقلائی، وقد یکون بینه وبین الدلیل الشرعی عموم مطلق أو 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فی المقام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والروایات وبناء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أفاده السید الأستاذ فی بحثه، نسأل الله أن یتغمده بواسع رحمته، وأن یسکنه مع محمد وآله الأطهار</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رب العالمین </w:t>
      </w:r>
      <w:bookmarkStart w:id="894" w:name="pg6289_42174"/>
    </w:p>
    <w:p>
      <w:pPr>
        <w:pStyle w:val="Heading2"/>
        <w:numPr>
          <w:ilvl w:val="1"/>
          <w:numId w:val="1"/>
        </w:numPr>
        <w:rPr/>
      </w:pPr>
      <w:bookmarkStart w:id="895" w:name="__RefHeading___Toc2133894_237004111"/>
      <w:bookmarkStart w:id="896" w:name="_Toc347"/>
      <w:bookmarkEnd w:id="894"/>
      <w:bookmarkEnd w:id="895"/>
      <w:r>
        <w:rPr>
          <w:rtl w:val="true"/>
        </w:rPr>
        <w:t>مصادر التحقیق</w:t>
      </w:r>
      <w:bookmarkEnd w:id="8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التقریرات، تقریرات الشیخ محمد حسین النائینی، منشورات المصطفوی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الشیخ أحمد بن علی الطبرسی، مطبعة النعمان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 الشیخ المفید محمد بن محمد بن النعمان البغدادی،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محمد بن الحسن الطوسی،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السائل، السید محمد رضا الموسوی الگلپایگانی، دار الصفوة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فی معرفة حجج الله علی العباد، الشیخ المفید محمد بن محمد بن النعمان البغدادی،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فیما اختلف من الأخبار، الشیخ محمد بن الحسن الطوسی، دار 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الفقه، الشیخ محمد رضا المظفر، مؤسسة النشر الإسلامی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إقبال الأعمال، السید علی بن موسی بن جعفر بن طاووس الحلّی، </w:t>
      </w:r>
    </w:p>
    <w:p>
      <w:pPr>
        <w:pStyle w:val="BookText"/>
        <w:rPr/>
      </w:pPr>
      <w:r>
        <w:rPr>
          <w:rFonts w:ascii="IRNazanin" w:hAnsi="IRNazanin" w:eastAsia="IRNazanin"/>
          <w:color w:val="111111"/>
          <w:sz w:val="28"/>
          <w:sz w:val="28"/>
          <w:szCs w:val="28"/>
          <w:rtl w:val="true"/>
          <w:lang w:bidi="fa-IR"/>
        </w:rPr>
        <w:t>مکتب الإعلام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الشیخ الصدوق محمد بن علی القمّی، مؤسسة البعثة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الفوائد فی شرح إشکالات القواعد، فخر المحققین الشیخ محمد بن الحسن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الجامعة لدرر أخبار الأئمة الأطهار، الشیخ محمد باقر المجلسی، مؤسسة الوفاء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علم الأصول، تقریرات السید محمد باقر الصدر، مؤسسة دائرة معارف الفقه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بدائع الأفکار، الشیخ حبیب الله الرشتی،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تفسیر القرآن، السید هاشم الحسینی البحرانی، مؤسسة البعثة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الکبری فی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الشیخ محمد بن الحسن الصفار، منشورات الأعلمی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الأصول، السید صادق الحسینی الشیرازی، دار الأنصار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تفسیر القرآن، الشیخ محمد بن الحسن الطوسی، مکتب الإعلام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تبیین الأصول، السید محمد رضا الحسینی الشیرازی، یاس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القرآن، السید محمد الحسینی الشیرازی، دار العلوم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الأحکام الشرعیة علی مذهب الإمامیة، العلاّمة الحسن بن </w:t>
      </w:r>
    </w:p>
    <w:p>
      <w:pPr>
        <w:pStyle w:val="BookText"/>
        <w:rPr/>
      </w:pPr>
      <w:r>
        <w:rPr>
          <w:rFonts w:ascii="IRNazanin" w:hAnsi="IRNazanin" w:eastAsia="IRNazanin"/>
          <w:color w:val="111111"/>
          <w:sz w:val="28"/>
          <w:sz w:val="28"/>
          <w:szCs w:val="28"/>
          <w:rtl w:val="true"/>
          <w:lang w:bidi="fa-IR"/>
        </w:rPr>
        <w:t xml:space="preserve">یوسف الحلّی،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عن آل الرسول، الشیخ الحسن بن علی الحرّانی،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 العلامة الحسن بن یوسف الحلی، 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الفقهاء، العلامة الحسن بن یوسف الحلی،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علی معالم الأصول، السید علی الموسوی القزوینی،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علی منهج المقال، الشیخ محمد باقر الوحید البهبهانی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 علی بن إبراهیم القمی، مؤسسة دار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القرآن إلی الأذهان، السید محمد الحسینی الشیرازی، دار 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العروة الوثقی، السید محمد کاظم الطباطبائی الیزدی، مکتبة الداوری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 الرائع لمختصر الشرائع، الشیخ المقداد بن عبد الله السیوری، مکتبة السید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 الشیخ محمد بن الحسن الطوسی، دار الکتب الإسلامیة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أحادیث الشیعة، السید حسین الطباطبائی البروجردی، المطبعة العلمیة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 وإزاحة الاشتباهات عن الطرق والأسناد، الشیخ محمد بن علی الأردبیلی، مکتبة المحمدی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المدارک فی شرح المختصر النافع، السید أحمد الموسوی الخوانساری، مکتبة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المقاصد فی شرح القواعد، الشیخ علی بن الحسین الکرکی،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جوابات أهل الموصل فی العدد والرؤیة، الشیخ المفید محمد بن محمد بن النعمان البغدادی، دار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الجامع، الشیخ الفضل بن الحسن الطبرسی،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 فی شرح شرائع الإسلام، الشیخ محمد حسن النجفی، دار 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 فی أحکام العترة الطاهرة، الشیخ یوسف البحرانی،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الشیخ الصدوق محمد بن علی القمّی،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 فی معرفة الرجال، العلامة الحسن بن یوسف الحلی، مؤسسة الفقاهة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 الشیخ محمد بن الحسن الطوسی، مؤسسة النشر الإسلامی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 الشیخ محمد بن جریر الطبری، مؤسسة البعثة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ذکری الشیعة فی أحکام الشریعة، الشهید الشیخ محمد بن جمال الدین العاملی،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 الشیخ أحمد بن علی النجاشی،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ابن داود الحلی، المطبعة الحیدریة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أحمد بن الحسین الغضائری،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الرجالیة، الشیخ محمّد بن محمّد إبراهیم الکلباسی،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الرعایة فی علم الدرایة، الشهید الشیخ زین الدین بن علی العاملی، مکتبة السید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 فی شرح اللمعة الدمشقیة، الشهید الشیخ زین الدین بن علی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 السید علی الطباطبائی،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التفاسیر، الشیخ فتح الله الکاشانی، مؤسسة المعارف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 الحاوی لتحریر الفتاوی، الشیخ محمد بن منصور بن أحمد بن إدریس الحلی،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 فی مسائل الحلال والحرام، المحقق الشیخ جعفر بن الحسن الحلی، منشورات استقلال</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العروة الوثقی، تقریرات السید أبو القاسم الموسوی الخوئی، مؤسسة الخوئی الإسلامیة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عبدالحمید بن هبة الله بن محمد بن محمد بن محمد بن حسین بن أبی الحدید المعتزلی، دار إحیاء الکتب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 إسماعیل بن حمّاد الجوهری، دار العلم للملایین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استفتاءات السید الخوئی مع تعلیقة الشیخ التبریزی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 فی أصول الفقه، الشیخ محمد بن الحسن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 السید محمد کاظم الطباطبائی الیزدی، مؤسسة الأعلمی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 السید محمد کاظم الطباطبائی الیزدی،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الشیخ الصدوق محمد بن علی القمّی، المکتبة الحیدریة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الشیخ الصدوق محمد بن علی القمی، مؤسسة الأعلمی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النزوع إلی علمی الأصول والفروع، السید حمزة بن علی بن زهرة الحلبی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الأصول، الشیخ مرتضی الأنصاری، مجمع الفکر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الغرویة فی الأصول الفقهیة، الشیخ محمد حسین الإصفهانی، دار إحیاء العلوم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السید محمد الحسینی الشیرازی، مرکز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استدلالیة فی الفقه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السید محمد الحسینی الشیرازی، دار العلوم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السید محمد صادق الحسینی الروحانی، مدرسة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 الشیخ محمد بن الحسن الطوسی، مؤسسة الفقاهة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الرجالیة، السید محمد مهدی بحر العلوم، مکتبة الصادق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الإسناد، الشیخ عبد الله بن جعفر الحمیری،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الأحکام، العلامة الشیخ الحسن بن یوسف الحلی،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الفقهیة، السید حسن الموسوی البجنوردی، نشر الهادی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الأصول، الشیخ أبو القاسم القمی، المکتبة العلمیة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فی الفقه، الشیخ تقی الدین أبی الصلاح الحلبی، مکتبة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ثقة الإسلام الشیخ محمد بن یعقوب الکلینی، دار 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 الشیخ جعفر بن محمد بن قولویه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 تقریرات السید محمد المحقق الداماد،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 الشیخ مرتضی الأنصاری، مجمع الفکر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 الخلیل بن أحمد الفراهیدی، دار الهجرة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 الشیخ مرتضی الأنصاری، مجمع الفکر الإسلامی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 عن حقائق التنزیل وعیون الأقاویل فی وجوه التأویل، محمود بن عمر الزمخشری، مکتبة البابی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 عن قواعد الأحکام، الشیخ محمد بن الحسن الإصفهانی،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الأصول، الشیخ محمد کاظم الخراسانی،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الفقه المشتهر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کفایة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محمد باقر السبزواری،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التقوی، الشیخ محمد أمین زین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 فی فقه القرآن، الشیخ المقداد بن عبد الله السیوری، المکتبة المرتضویة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محمد بن مکرم بن منظور الإفریقی، أدب الحوزة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 الشهید الشیخ محمد بن جمال الدین العاملی،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العروة الوثقی، تقریرات السید أبو القاسم الموسوی الخوئی، مدرسة دار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منهاج الصالحین، السید تقی الطباطبائی القمّی، منشورات المحلاتی</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 فی فقه الإمامیة، الشیخ محمد بن الحسن الطوسی، المکتبة المرتضویة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الأفکار ومطرح الأنظار، تقریرات الشیخ هاشم الآملی، المطبعة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 الشیخ فخر الدین بن محمد علی الطریحی، مکتبة المرتضوی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فی تفسیر القرآن، الشیخ الفضل بن الحسن الطبرسی، مؤسسة الأعلمی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فی أصول الفقه، تقریرات السید أبو القاسم الموسوی الخوئی،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 فی أصول الفقه، السید محمد سعید الطباطبائی الحکیم، مؤسسة المنار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الشیعة، العلامة الشیخ الحسن بن یوسف الحلی،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 فی شرح أخبار آل الرسول، الشیخ محمد باقر المجلسی، دار 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 إلی تنقیح شرائع إسلام، الشهید الشیخ زین الدین بن علی العاملی، مؤسسة المعارف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الصاغانیة، الشیخ المفید محمد بن محمد بن النعمان البغدادی، المؤتمر العالمی لألفیة الشیخ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الفقهیة، السید محمد الرجائی</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المسائل المتجددة، السید محمد الحسینی الشیرازی، مؤسسة </w:t>
      </w:r>
    </w:p>
    <w:p>
      <w:pPr>
        <w:pStyle w:val="BookText"/>
        <w:rPr/>
      </w:pP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المستحدثة، السید محمد صادق الحسینی الروحانی، دار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علی بن جعفر، المؤتمر العالمی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ومستنبط المسائل، الشیخ حسین النوری الطبرسی،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 العروة الوثقی، السید محسن الطباطبائی الحکیم، مطبعة الآداب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مستند الشیعة فی أحکام الشریعة، الشیخ أحمد بن محمد مهدی النراقی،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مشارق الشموس فی شرح الدروس، الشیخ الحسین بن جمال الدین الخوانساری،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الأصول، تقریرات السید أبو القاسم الموسوی الخوئی، مکتبة الداوری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 الشیخ رضا بن محمد هادی الهمدانی، المؤسسة الجعفریة 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 الشیخ رضا بن محمد هادی الهمدانی، مکتبة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 فی غریب الشرح الکبیر، أحمد بن محمد الفیومی، دار الفکر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الدین وملاذ المجتهدین، الشیخ الحسن بن زین الدین </w:t>
      </w:r>
    </w:p>
    <w:p>
      <w:pPr>
        <w:pStyle w:val="BookText"/>
        <w:rPr/>
      </w:pPr>
      <w:r>
        <w:rPr>
          <w:rFonts w:ascii="IRNazanin" w:hAnsi="IRNazanin" w:eastAsia="IRNazanin"/>
          <w:color w:val="111111"/>
          <w:sz w:val="28"/>
          <w:sz w:val="28"/>
          <w:szCs w:val="28"/>
          <w:rtl w:val="true"/>
          <w:lang w:bidi="fa-IR"/>
        </w:rPr>
        <w:t>العاملی،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 الشیخ الصدوق محمّد بن علی القمّی،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المعتبر فی شرح المختصر، المحقق الشیخ جعفر بن الحسن الحلی، مؤسسة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 وتفصیل طبقات الرواة، السید أبو القاسم الموسوی الخوئی، دار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اللغة، أحمد بن فارس، مکتب الإعلام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عبد الله بن أحمد، دار 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الأصول، السید محمد الطباطبائی المجاهد، 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 فی غریب القرآن، الحسین بن محمد الراغب الإصفهانی، مکتب نشر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 الشیخ المفید محمد بن محمد بن النعمان البغدادی،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 الشیخ الحسن بن الفضل الطبرسی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 الشیخ الصدوق محمّد بن علیّ القمّی،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الجمان فی الأحادیث الصحاح والحسان، الشیخ الحسن بن زین الدین العاملی، مؤسسة النشر الإسلامی</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الأصول، السید حسن الموسوی البجنوردی، مؤسسة العروج</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المقال فی أحوال الرجال، الشیخ محمد بن إسماعیل المازندرانی،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 فی اللغة والأعلام، لویس معلوف، دار المشرق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 الشیخ محمد رضا المظفر،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 السید علی الحسینی السیستانی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السائل، السید أبو القاسم الموسوی الخوئی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الأحکام فی بیان الحلال والحرام، السید عبد الأعلی الموسوی السبزواری، مؤسسة المنار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 فی شرح المختصر النافع، الشیخ أحمد بن محمد الحلی،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الرجال، السید مصطفی الحسینی التفرشی،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الأفکار، تقریرات الشیخ ضیاء الدین العراقی،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نهایة الدرایة فی شرح الکفایة، الشیخ محمد حسین الإصفهانی، منشورات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نهایة المرام فی علم الکلام، العلامة الحسن بن یوسف الحلّی،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النهایة فی شرح الکفایة، الشیخ علی الإیروانی، مکتب الإعلام الإسلامی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 والأثر، المبارک بن محمّد الجزری، مؤسّسة إسماعیلیان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مجرد الفقه والفتاوی، الشیخ محمد بن الحسن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 الشیخ محمد تقی الإصفهانی،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 فی علم الرجال، الشیخ محمد باقر المجلسی، مؤسسة الأعلمی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إلی تحصیل مسائل الشریعة، الشیخ محمد بن الحسن الحر العاملی،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 إلی نیل الفضیلة، الشیخ محمد بن علی الطوسی، مکتبة السید المرعشی</w:t>
      </w:r>
      <w:r>
        <w:rPr>
          <w:rFonts w:eastAsia="IRNazanin" w:cs="IRNazanin"/>
          <w:color w:val="111111"/>
          <w:sz w:val="28"/>
          <w:szCs w:val="28"/>
          <w:rtl w:val="true"/>
          <w:lang w:bidi="fa-IR"/>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7" w:name="pg6289_42188"/>
      <w:bookmarkStart w:id="898" w:name="pg6289_42188"/>
      <w:bookmarkEnd w:id="898"/>
    </w:p>
    <w:p>
      <w:pPr>
        <w:pStyle w:val="Heading2"/>
        <w:numPr>
          <w:ilvl w:val="1"/>
          <w:numId w:val="1"/>
        </w:numPr>
        <w:rPr/>
      </w:pPr>
      <w:bookmarkStart w:id="899" w:name="pg6289_42188"/>
      <w:bookmarkStart w:id="900" w:name="__RefHeading___Toc2133896_237004111"/>
      <w:bookmarkStart w:id="901" w:name="_Toc348"/>
      <w:bookmarkEnd w:id="899"/>
      <w:bookmarkEnd w:id="900"/>
      <w:r>
        <w:rPr>
          <w:rtl w:val="true"/>
        </w:rPr>
        <w:t>فهرس المحتویات</w:t>
      </w:r>
      <w:bookmarkEnd w:id="901"/>
    </w:p>
    <w:p>
      <w:pPr>
        <w:pStyle w:val="BookText"/>
        <w:rPr/>
      </w:pPr>
      <w:r>
        <w:rPr>
          <w:rFonts w:ascii="IRNazanin" w:hAnsi="IRNazanin" w:eastAsia="IRNazanin"/>
          <w:color w:val="111111"/>
          <w:sz w:val="28"/>
          <w:sz w:val="28"/>
          <w:szCs w:val="28"/>
          <w:rtl w:val="true"/>
          <w:lang w:bidi="fa-IR"/>
        </w:rPr>
        <w:t>کلمة المؤسسة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المسألة الأولی</w:t>
      </w:r>
    </w:p>
    <w:p>
      <w:pPr>
        <w:pStyle w:val="BookText"/>
        <w:rPr/>
      </w:pPr>
      <w:r>
        <w:rPr>
          <w:rFonts w:ascii="IRNazanin" w:hAnsi="IRNazanin" w:eastAsia="IRNazanin"/>
          <w:color w:val="111111"/>
          <w:sz w:val="28"/>
          <w:sz w:val="28"/>
          <w:szCs w:val="28"/>
          <w:rtl w:val="true"/>
          <w:lang w:bidi="fa-IR"/>
        </w:rPr>
        <w:t>المبتذلات اللاتی إذا نهین لا ینتهین</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المبتذلات اللاتی إذا نهین لا ینتهین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فروع المسألة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النظر إلیهن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أدلة جواز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عباد بن صهیب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الإشکالات علی الدلیل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سندی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مجهولیة عدة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طرق توثیق العدة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عباد بن صهیب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المراد من الحدیث عدم وجوب الغض</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الجواز علی النظر القهری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الروایة بأهل الذمة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الإشکال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بالتعلیل أشکل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الإشکال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إعراض المشهور عن العمل بالروایة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الحرج</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المتشرعة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التردد فی الأسواق</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أدلة جواز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العسر والحرج</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القدر المتیقن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القطعیة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حدود المنظور إلیه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الانتهاء المقید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بعدم الانتهاء</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جواز النظر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الفرع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اللمس 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المسألة الثانیة</w:t>
      </w:r>
    </w:p>
    <w:p>
      <w:pPr>
        <w:pStyle w:val="BookText"/>
        <w:rPr/>
      </w:pPr>
      <w:r>
        <w:rPr>
          <w:rFonts w:ascii="IRNazanin" w:hAnsi="IRNazanin" w:eastAsia="IRNazanin"/>
          <w:color w:val="111111"/>
          <w:sz w:val="28"/>
          <w:sz w:val="28"/>
          <w:szCs w:val="28"/>
          <w:rtl w:val="true"/>
          <w:lang w:bidi="fa-IR"/>
        </w:rPr>
        <w:t>النظر إلی نساء أهل الذمة ومطلق الکوافر</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نساء أهل الذمة ومطلق الکوافر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فروع المسألة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جواز النظر إلی نساء أهل الذمة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أدلة جواز النظر إلی نساء أهل الذمة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عباد بن صهیب المتقدمة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السکونی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الحرج</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الذمة ممالیک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أهل الذمة ممالیک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النظر إلی أمة الغیر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الخثعمی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زرعة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ستر الأمة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الواردة فی مملوکة الوالد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عدم وجوب تغطیة الأمة رأسها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الدلیل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جاریة علی النظر إلی الإماء</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الدلیل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فحوی ما دلّ علی جواز النظر إلی عورة غیر المسلم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الدلیل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الکافرات فیء للمسلمین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الدلیل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الإلزام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الدلیل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الکافرات للشیعة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الدلیل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الدلیل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الجعفریات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جواز النظر إلی سائر الکافرات غیر أهل الذمة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لفظ العلوج للکافرات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التعلیل فی موثقة عباد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فحوی موثقة السکونی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الإلزام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حدود المنظور إلیه بلحاظ الجواز والحرمة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الإلزام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التعلیل فی موثقة عباد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الخوئی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الروحانی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کونهن بمنزلة الإماء یقتضی العموم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النظر إلی ما جرت عادتهن من کشفه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النظر إلی ما کانت عادتهن علی عدم ستره زمن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الاحتمال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الاقتصار علی خصوص الشعور والأیدی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عدم الستر مطلقاً أو مقیداً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شروط جواز النظر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اللذة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خوف الوقوع فی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الریبة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الریبة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الدلیل علی حرمة النظر بریبة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الالتذاذ غیر الشهوی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الفرع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الالتذاذ 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الفرع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الوقوع بالحرام بسبب النظر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الفرع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المراد بالنهی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نهین لا ینتهین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الفرع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النظر إلی الفرق المحکوم بکفرهم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الفرع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النظر إلی المرتد والمرتدة</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الفرع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نظر المسلمة للکافر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الفرع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النظر إلی الصور التلفزیونیة والفوتوغرافیة ونحوها</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النظر إلی الصور التلفزیونیة والفوتوغرافیة</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الغض</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الأدلة الناهیة عن النظر للمرأة للنظر إلی صورتها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المناط</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النظر إلی المرأة وإلی صورتها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المرأة المعروفة وغیرها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البث المباشر 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النظر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صور استثناءات الحکم بجواز النظر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فی المرآة ونحوها</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للصور الخلاعیة</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الصورة عند مقارنته للمحرمات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استفتاءات تتعلق بالمقام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الفرع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لمس الکافرة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المسألة الثالثة</w:t>
      </w:r>
    </w:p>
    <w:p>
      <w:pPr>
        <w:pStyle w:val="BookText"/>
        <w:rPr/>
      </w:pPr>
      <w:r>
        <w:rPr>
          <w:rFonts w:ascii="IRNazanin" w:hAnsi="IRNazanin" w:eastAsia="IRNazanin"/>
          <w:color w:val="111111"/>
          <w:sz w:val="28"/>
          <w:sz w:val="28"/>
          <w:szCs w:val="28"/>
          <w:rtl w:val="true"/>
          <w:lang w:bidi="fa-IR"/>
        </w:rPr>
        <w:t>النظر إلی الوجه والکفین من المسلمات</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الوجه والکفین من المسلمات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الأقوال فی المسألة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النظر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أدلة القول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معنی الزینة</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الإشکالات علی الدلیل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الملازمة بین جواز الإبداء وجواز النظر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الظهور الاتفاقی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التخصیص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الروایات المفسرة للزینة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بالزینة الثیاب</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الدلیل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وَلْیَضْرِبْنَ بِخُمُرِهِنَّ عَلَی جُیُوبِهِنَّ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زرارة</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الإشکالات علی الدلیل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السندی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الروایات المفسرة للزینة</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ملازمة بین جواز الإبداء وجواز النظر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جملة إلا ما ظهر بالبعولة</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الإشکال الخامس 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المهذب</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الإشکال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إلی الکحل والخاتم أعم من النظر إلی الوجه والکفین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بصیر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الإشکالات علی الدلیل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جهالة سعدان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مختص بالید فلا یشمل 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مخالف للإجماع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مروک بن عبید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الإشکالات علی الدلیل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مرسلة</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الروایة علی جواز النظر إلی القدمین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محتملة للنظر الاتفاقی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لبیان الحلیة فی الجملة</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مسعدة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الإشکالات علی الدلیل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السندی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مضطربة المتن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کون السؤال عما تظهره المرأة للمحارم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معارضة بغیرها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الدلیل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الفضیل</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الإشکالات علی الدلیل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الشیء لا ینفی ما عداه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کون السؤال عن الزینة السائغ إبداؤها للمحارم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صحیحة الفضیل فی الحرمة لا الجواز</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الدلیل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علی بن سوید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الإشکالات علی الدلیل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الصحیحة فی النظر الاتفاقی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الروایة للشعر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جلالة ابن سوید تمنعه من النظر العمدی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ظاهرة فی صورة الاضطرار للنظر</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الدلیل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زرعة</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الدلیل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الجارود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الإشکالات علی الدلیل العاشر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السند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إرسال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إعراض الأصحاب عن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الرجائی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الدلیل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الإشکالات علی الدلیل الحادی عشر</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السند</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فی کتاب 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واردة فی المرأة التی یحرم نکاحها</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اشتمالها علی ما لم یُفت به أحد</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الدلیل الثانی عشر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الدلیل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جابر بن عبد الله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الإشکالات علی الدلیل الثالث عشر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السندی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الدلالی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تکون الحادثة قبل نزول آیة الحجاب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معارض بغیره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الدلیل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رؤیة سلمان لید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إدارة الرحی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الدلیل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الدلیل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کشف المرأة وجهها حال الإحرام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الدلیل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تغسیل الأجانب وجه المرأة وکفیها</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الدلیل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حمزة الثمالی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الدلیل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المتعرضة لستر الشعر عن الغلام إذا احتلم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الدلیل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النظر لشعر المرأة جوازاً ومنعاً</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الدلیل 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سماع صوت الأجنبیة</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الدلیل الثانی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کراهة القنازع</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الدلیل 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قائمة علی عدم ستر 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الإشکالات علی الدلیل الثالث والعشرین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معارضة بمثلها</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اتصال السیرة بزمن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جواز الکشف لا یستلزم جواز النظر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الدلیل 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الدالة علی جواز وضع القواعد جلابیبهن وخمرهن </w:t>
      </w:r>
      <w:r>
        <w:rPr>
          <w:rFonts w:eastAsia="IRNazanin" w:cs="IRNazanin"/>
          <w:color w:val="111111"/>
          <w:sz w:val="28"/>
          <w:szCs w:val="28"/>
          <w:lang w:bidi="fa-IR"/>
        </w:rPr>
        <w:t>247</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العسر والحرج فی اجتناب النظر</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الدلیل السادس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إجراء أصالة البراءة</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النظر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الغض</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الإشکالات علی الدلیل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الآیة بالنظر إلی العورة</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إرادة المعنی الحقیقی للغض</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 فی الآیة إرشاد إلی ترک النظر إلی ما ثبتت حرمته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غض النظر أعم من ترک النظر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الإشکال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الغض عدم التحدیق</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الإشکال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الآیة علی حرمة بعض أفراد النظر</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الإشکال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إحراز کون الآیة فی مقام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الإشکال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الإطلاق للتخصیص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الدلیل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سَأَلْتُمُوهُنَّ مَتاعاً فَسْئَلُوهُنَّ مِنْ وَراءِ حِجابٍ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الدلیل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یُبْدینَ زینَتَهُنَّ إِلاَّ لِبُعُولَتِهِنَّ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القواعد من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الدلیل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لْیَضْرِبْنَ بِخُمُرِهِنَّ عَلی جُیُوبِهِنَّ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الحجاب</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الدلیل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الدالة علی جواز النظر إلی وجه المرأة ویدیها إذا أراد الزواج بها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الإشکالات علی الدلیل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أجنبیة عما نحن فیه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الروایات عدم جواز النظر عند عدم إرادة التزویج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الروایات المانعة علی الکراهة</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روایات جواز النظر</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روایات الجواز لمخالفتها للعامة</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الإشکال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روایات الجواز للأحدثیة</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الإشکال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التعارض نختار روایات الجواز</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الإشکال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الأصل الأولی هو البراءة</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الدلیل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جواز النظر إلی وجه الذمیة ویدیها</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الدلیل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الصفار</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الدلیل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الفضیل</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الدلیل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الدالة علی أن النظر إلی الأجنبیة سهم من سهام إبلیس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الدلیل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الفضیل</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الدلیل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الدالة علی ذم أهل الکوفة ویزید لإبدائهم المخدرات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الدلیل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الدلیل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الدلیل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المستمرة علی الستر وعدم النظر</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الدلیل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مقتضی مرتکزات المتشرعة</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الدلیل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النبی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واتباعهم عن النظر</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الدلیل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المسلمین والمسلمات بالتستر</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الدلیل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کون النظر معصیة توجب 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الدلیل الواحد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أدلة جواز النظر عن الدلالة</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الدلیل الثانی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الأخبار یؤذن بالمنع من النظر</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الدلیل 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جواز النظر ثابتاً لکان من الواضحات المشهورات</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الدلیل 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بین القدماء</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الدلیل 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حبس النساء فی البیوت</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الدلیل السادس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أن المرأة عورة</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الدلیل السابع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وجوب الستر حال الإحرام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الدلیل الثامن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الوجدان</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النظرة الأولی وغیرها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أدلة القول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المنساق من أدلة الجواز هو المرة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استنکار المتشرعة للمرة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 جواز النظرة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الإشکالات علی الدلیل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النظرة الاتفاقیة والمقصودة</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 الروایات المفصلة</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قبول العقل للتفصیل بین النظرة الأولی والثانیة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معللة فیدور الحکم مدارها</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الإشکال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الروایات علی الکراهة</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الإشکال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التعارض بین هذه الروایات وبین أدلة جواز النظر إلی الوجه والکفین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الإشکال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صراحة الروایات فی التحریم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الإشکال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إجمال المتعلق</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النظرة الثانیة مظنة الفتنة</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الجمع بین أدلة القولین هو التفصیل</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الاستمرار فی النظر</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شروط جواز النظر إلی الوجه والکفین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التلذذ فی أثناء النظر</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أنواع النظر</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الوهم فی خوف الوقوع فی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المسألة الرابعة</w:t>
      </w:r>
    </w:p>
    <w:p>
      <w:pPr>
        <w:pStyle w:val="BookText"/>
        <w:rPr/>
      </w:pPr>
      <w:r>
        <w:rPr>
          <w:rFonts w:ascii="IRNazanin" w:hAnsi="IRNazanin" w:eastAsia="IRNazanin"/>
          <w:color w:val="111111"/>
          <w:sz w:val="28"/>
          <w:sz w:val="28"/>
          <w:szCs w:val="28"/>
          <w:rtl w:val="true"/>
          <w:lang w:bidi="fa-IR"/>
        </w:rPr>
        <w:t>نظر المرأة إلی الرجل</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المرأة إلی 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الأقوال فی حکم نظر المرأة إلی 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النظر إلی جمیع الجسد</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النظر فی الجملة</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التفصیل بین النظرة الأولی والثانیة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النظر إلی غیر ما جرت السیرة علی عدم ستره أو علی النظر إلیه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النظر إلی خصوص العورتین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شرط عدم اللذة والریبة</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المسألة الخامسة</w:t>
      </w:r>
    </w:p>
    <w:p>
      <w:pPr>
        <w:pStyle w:val="BookText"/>
        <w:rPr/>
      </w:pPr>
      <w:r>
        <w:rPr>
          <w:rFonts w:ascii="IRNazanin" w:hAnsi="IRNazanin" w:eastAsia="IRNazanin"/>
          <w:color w:val="111111"/>
          <w:sz w:val="28"/>
          <w:sz w:val="28"/>
          <w:szCs w:val="28"/>
          <w:rtl w:val="true"/>
          <w:lang w:bidi="fa-IR"/>
        </w:rPr>
        <w:t>النظر إلی من یرید الزواج منها</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من یرید الزواج منها</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مصادر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التقریر فی مدینة قم المقدّسة وتمّت المراجعة فی مدینة کربلاء المقدّسة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منهاج الصالحین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موسی بن المتوکل، ثقة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الحمیری، ثقة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ثقة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عیسی، ثقة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محبوب، ثقة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الخارج عن مقام التخاطب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مجمع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المحکم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لأنهنّ إذا نهین لا ینتهین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المرتضی و ابن زهرة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و العلامة الحلی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یوجد فی المجامع الشیعیة وغیرها بهذا اللفظ بل هنالک قریب منه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أربعمائة حدیث من أبواب العلوم ذکرها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مکان واحد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یجوز النظر إلی نساء أهل الذمة، بل مطلق الکفار مع عدم التلذذ والریبة، أی خوف الوقوع فی الحرام، والأحوط الاقتصار علی المقدار الذی جرت عادتهن علی عدم ستره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روایة عباد ولا حرج وسیرة المتشرعة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بحوث فی علم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الحکم فیها لا یدور مدار العادة، وسیأتی بحثه إن شاء الله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قال صاحب العروة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فرق فی الحرمة بین عورة المسلم والکافر علی الأقوی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علیه السید الخوئی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القوة إشکال وإن کان هو الأحوط</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منهاج الصالحین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وتوثیق النوفلی مهم؛ لأنه روی أکثر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غالبها عن السکونی، فلو تمکنا من توثیقه أصبح الکثیر من الروایات معتبراً، و قد استظهر البعض أنه کان شیعیاً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تعلیقة علی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علی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فالشهرة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روائیة، وإما عملیة، وإما فتوائیة، فهل الشهرة الفتوائیة تجبر الروایة مع عدم العلم باستنادهم إلیها؟</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موالیه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طریق الشیخ الطوسی إلی سعد بن عبد الله صحیح</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الأشعری القمی، ثقة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عیسی،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عیسی، مجهول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محبوب، ثقة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العلاء بن رزین، ثقة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النظر إلی أمة الغیر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 کشف الأمة رأسها وجواز النظر إلیها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أن الذمیات إماء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ثبت بالأدلة المعتبرة، وأما جواز النظر إلی أمة الغیر فقد ثبت بالدلیل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زرعة بن محمد، وبالدلیل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المتضمنة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لأنهن ممالیک للإمام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صحیحة أبی بصیر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زیاد، عن علی بن الحکم، عن رفاعة، عن رجل،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علی أبی العباس بالحیرة،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عبد الله، ما تقول فی الصیام الیوم؟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إلی الإمام إن صمت صمنا وإن أفطرت أفطرنا،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غلام، علیَّ بالمائدة فأکلت معه وأنا أعلم والله إنه یوم من شهر رمضان، فکان إفطاری یوماً وقضاؤه أیسر علی من أن یضرب عنقی ولا یعبد الله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بن یحیی وأحمد بن محمد بن أبی نصر جمیعاً، عن 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الرجل یستکره علی الیمن فیحلف بالطلاق والعتاق وصدقة ما یملک، أیلزمه ذلک؟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قال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وضع عن أمتی ما أکرهوا علیه وما لم یطیقوا وما أخطأوا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بین الدلیلین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الأول یری تحقق المقتضی لکن مفهوم اللقب یقیده، وأما الثانی فیری عدم وجود دلیل علی حرمة النظر إلی عورة کل واحد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وتفصیله فی علم الدرایة ومجمله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الصحة فی اصطلاح المتأخرین ما کان کل واحدٍ من رواتها عدلاً إمامیاً ضابطاً، وأمّا فی اصطلاح المتقدمین ما دلت القرائن علی وجوب العمل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علی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علی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ووجه التأمل أنه لو قال 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له أربعمائة مصدراً لأخباره، وخمسة منهم ضعاف،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ثلاثة من مصادری، فهل یمکن القول إنّ احتمال کون الثلاثة من الخمسة احتمال ضعیف، بحیث لا یعتنی به العقلاء، أو الاحتمال قائم علی أنهم منهم؟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الإیراد الثانی علی کلام الشهید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إنهن ملک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 بذلک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مراده من الروایة 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إنهن إماء للإمام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الأحکام،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تجوز علی أهل کل ذوی دین ما یستحلون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معتبرة السکونی المتقدمة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المشهور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رأی المشهور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رأی السید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ونتیجته جواز النظر إن کان مقصوداً تبعیاً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رأی السید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ما نسب إلی السید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هدایة العباد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والأحوط الاقتصار علی ما کانت عادتهن علی عدم ستره فی زمان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ما استحدث فی زماننا من عدم ستر المحاسن، بل والقبائح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نعوذ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فالأحوط ترک النظر، بل الأقوی فی بعضها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بینهما أنّ الأول استدلال بالأولویة والثانی بوحدة المناط</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لیس لنساء أهل الذمة حرمة، لا بأس بالنظر إلی وجوههن وشعورهن ونحورهن وبدنهن، ما لم یتعمد ذلک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فی الدلیل الرابع من الفرع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فی الدلیل الثالث عشر من الفرع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عباد بن صهیب</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منهاج الصالحین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وظاهر شیخنا فی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وضوح حرمة النظر مع خوف الوقوع فی الحرام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معنی الریبة خوف الوقوع فی الحرام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معناها ما یخطر بالبال من النظر دون التلذذ به أو خوف افتتان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تحریر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التقوی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خبر الفضل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لم یکن متلذذاً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والجعفریات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لم یتعمد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وموثقة عباد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لم یتعمد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وآیة الغض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لِّلْمُؤْمِنِینَ یَغُضُّوا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کون المراد عدم الطمع الشهوی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الدلیل الثالث من الفرع الأول من المسألة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الملاک واحد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أکرم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تکرم الفسّاق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شک أن مرتکب الصغیرة فاسق أم لا، فمرتکب الکبیرة یخرج قطعاً، ومرتکب الصغیرة یبقی تحت عموم أکرم العلماء</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لِّلْمُؤْمِنِینَ یَغُضُّوا مِنْ أَبْصَارِهِمْ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نهایة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المستحدثة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المستحدثة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الدلیل الثامن من الشرط الأول من الفرع الخامس من المسألة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وینظر قوم عدول یأخذ کل واحد منهم مرآة، وتقوم الخنثی خلفهم عریانة، فینظرون فی المرایا فیرون شبحاً فیحکمون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 بنصبه مرآتین إحداهما مقابلة لفرج الشخص، والأخری مقابلة للمرآة الأخری، وأمر الشخص بالکشف عن عورته فی مقابلة المرآة، حیث لا یراه العدلان، وأمر العدلین بالنظر فی المرآة المقابلة لهما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یجمل یعنی غیر جمیل، فتارة یکون الشیء حلالاً لکنه غیر جمیل، وخلاف المروءة مثلاً، فلیس عطفاً تفسیریاً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هنالک بحث فی معنی أول نظرة، والذی یتبادر إلی الذهن هو النظرة الاتفاقیة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المرآة والصور الخلاعیة وما طرأ علیه عنوان ثانوی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فهنالک خلاف بین الفلاسفة أنّ الرؤیة هل هی بخروج الشعاع أم بالانطباع؟</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تسلیم المبنی أنها انطباع لا انکسار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النَّبِیُّ قُل لِأَزْوَاجِکَ وَبَنَاتِکَ وَنِسَاء الْمُؤْمِنِینَ یُدْنِینَ عَلَیْهِنَّ مِن جَلابِیبِهِنَّ ذَلِکَ أَدْنَی أَن یُعْرَفْنَ فَلا یُؤْذَیْنَ وَکَانَ اللَّهُ غَفُوراً رَّحِیماً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کالمرآة المتصدئة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حکم النظر إلی الصورة التلفزیونیة والفوتوغرافیة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الاستفتاءات، المسألة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الاستفتاءات، المسألة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الاستفتاءات، المسألة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الاستفتاءات، المسألة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الاستفتاءات، المسألة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والصحیح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الخلاعیة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بکیر، عن زرارة،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ظَهَرَ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الزینة الظاهرة الکحل والخاتم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محبوب عن جمیل، عن الفضیل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الذراعین من المرأة، هما من الزینة التی 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یُبْدینَ زینَتَهُنَّ إِلاَّ لِبُعُولَتِهِنَّ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وما دون الخمار من الزینة، وما دون السوارین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المعضد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یُبْدینَ زینَتَهُنَّ إِلاَّ ما ظَهَرَ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 والمسکة وهی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الذبل والأسورة والخلاخیل من القرون والعاجل، والقلب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السوار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 قول الله تبارک وتعالی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ما ظَهَرَ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الزینة الظاهرة الکحل والخاتم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روایة أبی الجارود،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یُبْدینَ زینَتَهُنَّ إِلاَّ ما ظَهَرَ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الثیاب والکحل والخاتم وخضاب الکف والسوار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جل ثناؤه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ما ظَهَرَ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والذراعان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القری والقصبات والبلدان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التستر عن الأجنبی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علی التستر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بدء السفور فی بغداد واضح، وقد ذکر السید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بقایا حضارة الإسلام کما رأیت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علی زینة الثیاب</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المراد الثیاب حصراً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إنی تارک فیکم الثقلین، کتاب الله وعترتی، ما إن تمسکتم بهما لن تضلوا بعدی أبداً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إشکال فی بقیة السند، إلا أن عبد الله بن بکیر فطحی، فتکون الروایة موثقة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 الدواب تصیب الثوب، الحمرة، قضاء الفوائت، قراءة العزائم فی المکتوبة، السجود علی الأرض، صلاة الجمعة، صلاة المرأة تطوعاً، المتعة من الأربع أم لا، زواج المملوک، خروج المطلقة، تزین المطلقة، تزین المتوفی عنها زوجها، الأکل من بیوت من تضمنته الآیة، لبس لباس دود القز، میراث العم، توارث الزوجین الصبیین، حکم قتل عدة رجال، دیة الید والرجل وغیرها، شهادة المملوک</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الصاغانیة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سائر الرواة المذکورین فهم ثقات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الوجیزة فی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الوجیزة فی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قرب الإسناد للحمیری</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والصحیح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المحصورة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والصحیح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المتعلقة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ضابط الشبهة غیر المحصورة أن یکون الاحتمال ضعیفاً بحیث لا یعتنی به العقلاء، أو ملازمته للعناوین الطارئة، کالحرج علی ما بیّن فی مباحث الشبهة غیر المحصورة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مضی الکلام فی اعتبار العدة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صحیحة الفضیل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منهاج الصالحین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منهاج الصالحین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زرعة بن محمد، واقفی ثقة ومن قبله کلهم ثقات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منهاج الصالحین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منهاج الصالحین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یلبس فی المعصم کالسوار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أهل الموصل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الوجیزة فی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علی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منهاج الصالحین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شیخ الشیخ الصدوق</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مبانی منهاج الصالحین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منهاج الصالحین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جابر بن یزید الجعفی بقرینة الراوی عنه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الهلکة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مبانی منهاج الصالحین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المسائل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یجاب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المعصوم لا یفعل المکروه الواقعی، لا المکروه الثابت بأدلة التسامح</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معمر بن خلاد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أرسل إلی أبو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حاجة فدخلت علیه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 فإذا کان غداً فتعال، ولا تجئ إلا بعد طلوع الشمس، فإنی أنام إذا صلیت الفجر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رسول الله صلی الله علیه و آله أتی بکتف جزور مشویة، وقد أذن بلال، فأمره فکف هنیهة، حتی أکل وأکلنا معه، ثم دعا بلبن فشرب وشربنا معه، ثم أمر بلالاً فأقام، فصلی وصلینا معه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سلیمان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الجبن،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سألتنی عن طعام یعجبنی ثم أعطی الغلام درهماً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غلام، ابتع لنا جبناً، ودعا بالغداء فتغدینا معه وأتی بالجبن فأکل وأکلنا معه، فلما فرغنا من الغداء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فی الجبن؟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 ترنی أکلته؟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ولکنی أحب أن أسمعه منک،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سأخبرک عن الجبن وغیره، کل ما کان فیه حلال وحرام فهو لک حلال حتی تعرف الحرام بعینه فتدعه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أصابها القرحة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حماد مشترک بین حماد بن عثمان وحماد بن عیسی، وکلاهما ثقة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 یطلق علی جماعة، أشهرهم محمد وعبید الله، وکلّ الحلبیین ثقات، فالروایة إمّا صحیحة وإمّا حسنة بإبراهیم بن هاشم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 الصدوق إلی سماعة صحیح</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 الطوسی إلی الحسین بن سعید صحیح، و الرواة ثقات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یغسل منها ما أوجب الله علیه التیمم، ولا تمس ولا یکشف لها شیء من محاسنها التی أمر الله بسترها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الخبر مشعر بأن الوجه والکفین لم یأمر الله بسترهما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بعبد الرحمن بن سالم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منهاج الصالحین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 الشیخ الصدوق إلی أحمد بن محمد بن أبی نصر صحیح</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مشترک، بعضهم ثقات وبعضهم مجاهیل، لکن یمکن توثیقه بأنه شیخ ابن أبی عمیر علی المبنی، فتکون الروایة معتبرة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الوضوء بالفتح آلة الوضوء، وبالضم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والإبریق، کسحور آلة السحور، وطهور آلة التطهر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صحیحة أو حسنة بإبراهیم بن هاشم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القنزعة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والزای وسکون النون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واحدة القنازع، وهی أن یحلق الرأس إلا قلیلاً ویترک وسط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 الناصیة یزین بنوعیة خاصة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الرسائل الرجالیة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زیاد، محل کلام شدید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شمون، ضعیف جداً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عبد الرحمن، ضعیف</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مسمع، ثقة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الحیض کنایة عن البلوغ، فیدل علی أنه لا بأس للصبیة فی ذلک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مجتمع شعر الرأس</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والکفین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 سهم من سهام إبلیس مسموم، وکم من نظرة أورثت حسرة طویلة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النظرة لک، والثانیة علیک ولا لک، والثالثة فیها الهلاک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علی کشف الوجه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التفاسیر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النظر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خبر عباد بن صهیب</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الخلاف المبنوی فی جریان أیهما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منهاج الصالحین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التفصیل بین النظرة الأولی والثانیة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برید، ثقة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الثانیة، فی الدلیل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سبب نزولها أنه لما 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النَّبِیُّ أَوْلی بِالْمُؤْمِنینَ مِنْ أَنْفُسِهِمْ وَ أَزْواجُهُ أُمَّهاتُهُمْ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وحرم الله نساء النبی علی المسلمین غضب طلحة،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محمد علینا نساءه ویتزوج هو نساءنا، لئن أمات الله محمداً لنفعلن کذا وکذا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کانَ لَکُمْ أَنْ تُؤْذُوا رَسُولَ اللَّهِ وَ لا أَنْ تَنْکِحُوا أَزْواجَهُ مِنْ بَعْدِهِ أَبَداً إِنَّ ذلِکُمْ کانَ عِنْدَ اللَّهِ عَظیما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تَخْضَعْنَ بِالْقَوْلِ فَیَطْمَعَ الَّذی فی قَلْبِهِ مَرَضٌ</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وقریب منه فی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أخری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خلقها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وغیره أیضاً روی هذه الروایة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السوار من الساعد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الدلیل الثانی من المسألة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ثقة، وطریق الطوسی إلیه صحیح</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منهاج الصالحین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واللطیف أن هذه الروایة استدل بها القائلون بالتحریم والقائلون بالجواز معاً، وقد استظهرنا أن ما دون السوارین هو الکف، وما دون الخمار لا یدلّ علی الوجه وإنما فتحة الصدر وما أشبه، ولکن مضی أنّ المطلق قابل للتقیید والجمع</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إمّا یتحرّک أو إمّا یفعل أو لا یظهر الأثر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نظر إلی امرأة فرفع بصره إلی السماء، أو غمض بصره لم یرتد إلیه بصره حتی یزوجه الله من الحور العین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الإشکال السابع علی الدلیل الأول من أدلة القول بالحرمة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اللام وتشدید المیم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 المتدلی الذی یجاوز شحمة الأذنین، فإذا بلغ المنکبین فهو جمة، والجمع لم ولام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البحث لم یبحث فی الأصول ظاهراً،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الردع العملی هل یدل علی التحریم أم لا؟ فینبغی علی بعض الفضلاء أن یخصّصوا جزءاً من وقتهم لکتابة بحث فی هذا الموضوع</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تحریر الأحکام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کفایة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مفاتیح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بالتحریم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الدلیل الثالث والعشرین من أدلة القول بالجواز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علی الخروج کاشفات والإجماع علی عدم الخروج کذلک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الدلیل الثالث والعشرین من أدلة القول بالجواز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یعددن</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الدلیل السابع عشر من أدلة القول بالتحریم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الدلیل السادس والعشرین من أدلة القول بالجواز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منه الغرف الفوقانیة حتی لا ینظرون إلی الشارع مثلاً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احتبی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جمع ظهره وساقیه بعمامته، وقد یحتبی بیدیه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المراد الخلوة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جامع أحادیث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یلبث</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الدلیل الرابع عشر من أدلة القول بالحرمة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من المتأخرین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الدلیل الخامس عشر من أدلة القول بالتحریم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الدلیل الثالث والعشرین من أدلة القول بالجواز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 بحث، وهو هل انّ مفهوم هذه الروایات احبسوهنّ فی البیوت أو زوجوهنّ؛ فلأنّ همتها فی الرجل فزوجوها حتی تکون محصنة؟</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الدلیل السادس عشر من أدلة القول بالجواز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الشیخ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 صحیح</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الکاهلی،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ممدوح، لکنه عندنا ثقة لأنهم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 وجهاً عند 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وهذه العبارة تدلّ ما علی فوق التوثیق، لا أقلّ من التوثیق، لا أقلّ من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محلّ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قبله المحقق والعلامة والشهیدان؟</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الفقه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الکاهلی وحدیث الأربعمائة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الفرع الخامس من المسألة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الفرع السادس من المسألة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هدایة المسترشدین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اتفاقی</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الإجمالی بمعنی ملاحظة المجموع من حیث المجموع وعدم التدقیق فی الخصوصیات</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سقوط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الدلیل الأول من أدلة القول بحرمة النظر إلی الوجه والکفین من المسألة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الإشکال الرابع علی الدلیل الثالث عشر من أدلة جواز النظر إلی الوجه والکفین فی المسألة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وقد استدل به فی 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الأولی</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علی معالم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الدلیل الخامس والعشرین من أدلة حرمة النظر إلی الوجه والکفین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الدلیل السادس والعشرین من أدلة حرمة النظر إلی الوجه والکفین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أحکامها</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ما ذکرناه فی الدلیلین الماضیین فإنه ینفع المقام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الدلیل الحادی عشر من أدلة حرمة النظر إلی الوجه والکفین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تحریر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صحیح</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الفقه، وأمّا الوسائل فنسخه مختلفة، ففی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الکافی، والظاهر أنه بالمیم</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فالمراد أن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عاری الجسم، 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فنستظهر أنه صفة الجمل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الدلیل الأول من أدلة القول بجواز النظر إلی الوجه والکفین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یثبت أنهن أسلمن حین نظرهن، فلعلّ عدم الردع کان من باب الإلزام، کما إذا لبس کافر ذهباً فلم یردع لحلیته فی دینه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السید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بالاحتمال الرابع، فأبدلناه إلی القول حفظاً للسیاق</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منهاج الصالحین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لا تری رجلاً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الدلیل السادس من أدلة القول بجواز النظر إلی الوجه والکفین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الدلیل الحادی عشر من أدلة القول بالجواز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ویؤیده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بأغلی الثمن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یتناسب مع المهر، خاصة مع تأکید الإسلام علی قلة المهر، کخاتم من حدید، والأغلی یناسب نفس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والتوجیه المذکور لهذه الروایات هو مما تفرد به السید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نعلم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فهو إما صفوان بن مهران أو صفوان بن یحیی، وکلاهما ثقة، والأغلب غلبة عظمی أن یراد صفوان بن یحیی</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 خلفها</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وثاقة جمیع مشایخ جعفر بن بشیر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 بن أبی مسروق</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 الخثعمی أو الخزاز، وکلاهما ثقة، کما ذکره فی المشترکات</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فقه الصادق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411</Pages>
  <Words>29897</Words>
  <Characters>151079</Characters>
  <CharactersWithSpaces>179464</CharactersWithSpaces>
  <Paragraphs>1701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2026-08-19T20:36:43Z</dcterms:created>
  <dc:creator>ghaemiyeh.com</dc:creator>
  <dc:description/>
  <dc:language>en-US</dc:language>
  <cp:lastModifiedBy/>
  <dcterms:modified xsi:type="dcterms:W3CDTF">2026-08-20T00:06:57Z</dcterms:modified>
  <cp:revision>1</cp:revision>
  <dc:subject/>
  <dc:title>بحوث فقه فی النظر</dc:title>
</cp:coreProperties>
</file>

<file path=docProps/custom.xml><?xml version="1.0" encoding="utf-8"?>
<Properties xmlns="http://schemas.openxmlformats.org/officeDocument/2006/custom-properties" xmlns:vt="http://schemas.openxmlformats.org/officeDocument/2006/docPropsVTypes"/>
</file>