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23</w:t>
      </w:r>
      <w:r>
        <w:rPr>
          <w:rtl w:val="true"/>
        </w:rPr>
        <w:t xml:space="preserve"> </w:t>
      </w:r>
      <w:r>
        <w:rPr>
          <w:rtl w:val="true"/>
        </w:rPr>
        <w:t>احکام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263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6263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62637_581953129">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4162639_581953129">
            <w:r>
              <w:rPr>
                <w:webHidden/>
                <w:rStyle w:val="IndexLink"/>
              </w:rPr>
              <w:t>1</w:t>
            </w:r>
            <w:r>
              <w:rPr>
                <w:rStyle w:val="IndexLink"/>
                <w:rtl w:val="true"/>
              </w:rPr>
              <w:t xml:space="preserve">- </w:t>
            </w:r>
            <w:r>
              <w:rPr>
                <w:rStyle w:val="IndexLink"/>
                <w:rtl w:val="true"/>
              </w:rPr>
              <w:t>اصطلاح شناسی</w:t>
            </w:r>
            <w:r>
              <w:rPr>
                <w:rStyle w:val="IndexLink"/>
                <w:rtl w:val="true"/>
              </w:rPr>
              <w:tab/>
            </w:r>
            <w:r>
              <w:rPr>
                <w:rStyle w:val="IndexLink"/>
              </w:rPr>
              <w:t>10</w:t>
            </w:r>
          </w:hyperlink>
        </w:p>
        <w:p>
          <w:pPr>
            <w:pStyle w:val="Contents3"/>
            <w:tabs>
              <w:tab w:val="clear" w:pos="8459"/>
              <w:tab w:val="right" w:pos="9026" w:leader="dot"/>
            </w:tabs>
            <w:rPr/>
          </w:pPr>
          <w:hyperlink w:anchor="__RefHeading___Toc4162641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162643_581953129">
            <w:r>
              <w:rPr>
                <w:webHidden/>
                <w:rStyle w:val="IndexLink"/>
                <w:rtl w:val="true"/>
              </w:rPr>
              <w:t>حیض وتعریف آن‌</w:t>
            </w:r>
            <w:r>
              <w:rPr>
                <w:rStyle w:val="IndexLink"/>
                <w:rtl w:val="true"/>
              </w:rPr>
              <w:tab/>
            </w:r>
            <w:r>
              <w:rPr>
                <w:rStyle w:val="IndexLink"/>
              </w:rPr>
              <w:t>12</w:t>
            </w:r>
          </w:hyperlink>
        </w:p>
        <w:p>
          <w:pPr>
            <w:pStyle w:val="Contents3"/>
            <w:tabs>
              <w:tab w:val="clear" w:pos="8459"/>
              <w:tab w:val="right" w:pos="9026" w:leader="dot"/>
            </w:tabs>
            <w:rPr/>
          </w:pPr>
          <w:hyperlink w:anchor="__RefHeading___Toc4162645_581953129">
            <w:r>
              <w:rPr>
                <w:webHidden/>
                <w:rStyle w:val="IndexLink"/>
                <w:rtl w:val="true"/>
              </w:rPr>
              <w:t>استحاضه وتعریف آن</w:t>
            </w:r>
            <w:r>
              <w:rPr>
                <w:rStyle w:val="IndexLink"/>
                <w:rtl w:val="true"/>
              </w:rPr>
              <w:tab/>
            </w:r>
            <w:r>
              <w:rPr>
                <w:rStyle w:val="IndexLink"/>
              </w:rPr>
              <w:t>13</w:t>
            </w:r>
          </w:hyperlink>
        </w:p>
        <w:p>
          <w:pPr>
            <w:pStyle w:val="Contents3"/>
            <w:tabs>
              <w:tab w:val="clear" w:pos="8459"/>
              <w:tab w:val="right" w:pos="9026" w:leader="dot"/>
            </w:tabs>
            <w:rPr/>
          </w:pPr>
          <w:hyperlink w:anchor="__RefHeading___Toc4162647_581953129">
            <w:r>
              <w:rPr>
                <w:webHidden/>
                <w:rStyle w:val="IndexLink"/>
                <w:rtl w:val="true"/>
              </w:rPr>
              <w:t>استحاضه قلیله وتعریف آن‌</w:t>
            </w:r>
            <w:r>
              <w:rPr>
                <w:rStyle w:val="IndexLink"/>
                <w:rtl w:val="true"/>
              </w:rPr>
              <w:tab/>
            </w:r>
            <w:r>
              <w:rPr>
                <w:rStyle w:val="IndexLink"/>
              </w:rPr>
              <w:t>14</w:t>
            </w:r>
          </w:hyperlink>
        </w:p>
        <w:p>
          <w:pPr>
            <w:pStyle w:val="Contents3"/>
            <w:tabs>
              <w:tab w:val="clear" w:pos="8459"/>
              <w:tab w:val="right" w:pos="9026" w:leader="dot"/>
            </w:tabs>
            <w:rPr/>
          </w:pPr>
          <w:hyperlink w:anchor="__RefHeading___Toc4162649_581953129">
            <w:r>
              <w:rPr>
                <w:webHidden/>
                <w:rStyle w:val="IndexLink"/>
                <w:rtl w:val="true"/>
              </w:rPr>
              <w:t>استحاضه متوسطه وتعریف آن‌</w:t>
            </w:r>
            <w:r>
              <w:rPr>
                <w:rStyle w:val="IndexLink"/>
                <w:rtl w:val="true"/>
              </w:rPr>
              <w:tab/>
            </w:r>
            <w:r>
              <w:rPr>
                <w:rStyle w:val="IndexLink"/>
              </w:rPr>
              <w:t>14</w:t>
            </w:r>
          </w:hyperlink>
        </w:p>
        <w:p>
          <w:pPr>
            <w:pStyle w:val="Contents3"/>
            <w:tabs>
              <w:tab w:val="clear" w:pos="8459"/>
              <w:tab w:val="right" w:pos="9026" w:leader="dot"/>
            </w:tabs>
            <w:rPr/>
          </w:pPr>
          <w:hyperlink w:anchor="__RefHeading___Toc4162651_581953129">
            <w:r>
              <w:rPr>
                <w:webHidden/>
                <w:rStyle w:val="IndexLink"/>
                <w:rtl w:val="true"/>
              </w:rPr>
              <w:t>استحاضه کثیره وتعریف آن‌</w:t>
            </w:r>
            <w:r>
              <w:rPr>
                <w:rStyle w:val="IndexLink"/>
                <w:rtl w:val="true"/>
              </w:rPr>
              <w:tab/>
            </w:r>
            <w:r>
              <w:rPr>
                <w:rStyle w:val="IndexLink"/>
              </w:rPr>
              <w:t>17</w:t>
            </w:r>
          </w:hyperlink>
        </w:p>
        <w:p>
          <w:pPr>
            <w:pStyle w:val="Contents3"/>
            <w:tabs>
              <w:tab w:val="clear" w:pos="8459"/>
              <w:tab w:val="right" w:pos="9026" w:leader="dot"/>
            </w:tabs>
            <w:rPr/>
          </w:pPr>
          <w:hyperlink w:anchor="__RefHeading___Toc4162653_581953129">
            <w:r>
              <w:rPr>
                <w:webHidden/>
                <w:rStyle w:val="IndexLink"/>
                <w:rtl w:val="true"/>
              </w:rPr>
              <w:t>نفاس وتعریف آن‌</w:t>
            </w:r>
            <w:r>
              <w:rPr>
                <w:rStyle w:val="IndexLink"/>
                <w:rtl w:val="true"/>
              </w:rPr>
              <w:tab/>
            </w:r>
            <w:r>
              <w:rPr>
                <w:rStyle w:val="IndexLink"/>
              </w:rPr>
              <w:t>20</w:t>
            </w:r>
          </w:hyperlink>
        </w:p>
        <w:p>
          <w:pPr>
            <w:pStyle w:val="Contents2"/>
            <w:tabs>
              <w:tab w:val="clear" w:pos="8743"/>
              <w:tab w:val="right" w:pos="9026" w:leader="dot"/>
            </w:tabs>
            <w:rPr/>
          </w:pPr>
          <w:hyperlink w:anchor="__RefHeading___Toc4162655_581953129">
            <w:r>
              <w:rPr>
                <w:webHidden/>
                <w:rStyle w:val="IndexLink"/>
              </w:rPr>
              <w:t>2</w:t>
            </w:r>
            <w:r>
              <w:rPr>
                <w:rStyle w:val="IndexLink"/>
                <w:rtl w:val="true"/>
              </w:rPr>
              <w:t xml:space="preserve">. </w:t>
            </w:r>
            <w:r>
              <w:rPr>
                <w:rStyle w:val="IndexLink"/>
                <w:rtl w:val="true"/>
              </w:rPr>
              <w:t>احکام حرم</w:t>
            </w:r>
            <w:r>
              <w:rPr>
                <w:rStyle w:val="IndexLink"/>
                <w:rtl w:val="true"/>
              </w:rPr>
              <w:tab/>
            </w:r>
            <w:r>
              <w:rPr>
                <w:rStyle w:val="IndexLink"/>
              </w:rPr>
              <w:t>22</w:t>
            </w:r>
          </w:hyperlink>
        </w:p>
        <w:p>
          <w:pPr>
            <w:pStyle w:val="Contents3"/>
            <w:tabs>
              <w:tab w:val="clear" w:pos="8459"/>
              <w:tab w:val="right" w:pos="9026" w:leader="dot"/>
            </w:tabs>
            <w:rPr/>
          </w:pPr>
          <w:hyperlink w:anchor="__RefHeading___Toc4162657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162659_581953129">
            <w:r>
              <w:rPr>
                <w:webHidden/>
                <w:rStyle w:val="IndexLink"/>
                <w:rtl w:val="true"/>
              </w:rPr>
              <w:t>احکام جنب، حائض و نفساء درحرم</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0_37503"/>
      <w:bookmarkStart w:id="1" w:name="pg5760_37503"/>
      <w:bookmarkEnd w:id="1"/>
    </w:p>
    <w:p>
      <w:pPr>
        <w:pStyle w:val="Heading2"/>
        <w:numPr>
          <w:ilvl w:val="1"/>
          <w:numId w:val="1"/>
        </w:numPr>
        <w:rPr/>
      </w:pPr>
      <w:bookmarkStart w:id="2" w:name="pg5760_37503"/>
      <w:bookmarkStart w:id="3" w:name="__RefHeading___Toc416263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ضیائی، سیدمحمد،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ضیائی، سیدمجتبی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و ارتباطات اسلامی آستان قدس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خونریزی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سیدمجتبی،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۲۸۶۹۶۲۸</w:t>
      </w:r>
      <w:bookmarkStart w:id="5" w:name="pg5760_37505"/>
    </w:p>
    <w:p>
      <w:pPr>
        <w:pStyle w:val="Heading2"/>
        <w:numPr>
          <w:ilvl w:val="1"/>
          <w:numId w:val="1"/>
        </w:numPr>
        <w:rPr/>
      </w:pPr>
      <w:bookmarkStart w:id="6" w:name="__RefHeading___Toc4162635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760_37511"/>
    </w:p>
    <w:p>
      <w:pPr>
        <w:pStyle w:val="BookText"/>
        <w:rPr/>
      </w:pPr>
      <w:bookmarkEnd w:id="8"/>
      <w:r>
        <w:rPr>
          <w:rFonts w:ascii="IRNazanin" w:hAnsi="IRNazanin" w:eastAsia="IRNazanin"/>
          <w:color w:val="111111"/>
          <w:sz w:val="28"/>
          <w:sz w:val="28"/>
          <w:szCs w:val="28"/>
          <w:rtl w:val="true"/>
          <w:lang w:bidi="fa-IR"/>
        </w:rPr>
        <w:t>احکام بانوان</w:t>
      </w:r>
    </w:p>
    <w:p>
      <w:pPr>
        <w:pStyle w:val="Heading2"/>
        <w:numPr>
          <w:ilvl w:val="1"/>
          <w:numId w:val="1"/>
        </w:numPr>
        <w:rPr/>
      </w:pPr>
      <w:bookmarkStart w:id="9" w:name="__RefHeading___Toc4162637_581953129"/>
      <w:bookmarkStart w:id="10" w:name="_Toc3"/>
      <w:bookmarkEnd w:id="9"/>
      <w:r>
        <w:rPr>
          <w:rtl w:val="true"/>
        </w:rPr>
        <w:t>درآمد</w:t>
      </w:r>
      <w:bookmarkEnd w:id="10"/>
    </w:p>
    <w:p>
      <w:pPr>
        <w:pStyle w:val="BookText"/>
        <w:rPr/>
      </w:pPr>
      <w:r>
        <w:rPr>
          <w:rFonts w:ascii="IRNazanin" w:hAnsi="IRNazanin" w:eastAsia="IRNazanin"/>
          <w:color w:val="111111"/>
          <w:sz w:val="28"/>
          <w:sz w:val="28"/>
          <w:szCs w:val="28"/>
          <w:rtl w:val="true"/>
          <w:lang w:bidi="fa-IR"/>
        </w:rPr>
        <w:t xml:space="preserve">زیارت پیامبر اسلام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برقراری ارتباط روحی و بوجود آوردن پیوند قلبی با آن بزرگواران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برقراری ارتباط، حضور در مرقد پاک و مقدس آنان بوده، و بی شک این حضور و میهمانی ارزشمند دارای آداب و شرایطی است که رعایت آن، آثار گرانبهایی در سازندگی و تربیت نفس و ارتقای روح و اکتساب والاترین ارزش های اخلاقی و معنوی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آداب مهم، طهارت روح و جسم است که شخص در این خصوص باید نسبت به یادگیری و عمل به احکام شرعی و وظایف دینی خود، اهتمام جدی ورزد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جهت اطلاع شما زائران گرامی برخی از احکام ورود و توقف معذورین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حائض و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و حرم مقدس ائمه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شده است، اما لازم است، قبل از بیان این احکام، برخی از اصطلاحات مربوط به این موضوع توضیح داده شود</w:t>
      </w:r>
      <w:r>
        <w:rPr>
          <w:rFonts w:eastAsia="IRNazanin" w:cs="IRNazanin"/>
          <w:color w:val="111111"/>
          <w:sz w:val="28"/>
          <w:szCs w:val="28"/>
          <w:rtl w:val="true"/>
          <w:lang w:bidi="fa-IR"/>
        </w:rPr>
        <w:t>:</w:t>
      </w:r>
      <w:bookmarkStart w:id="11" w:name="pg5760_37514"/>
    </w:p>
    <w:p>
      <w:pPr>
        <w:pStyle w:val="Heading2"/>
        <w:numPr>
          <w:ilvl w:val="1"/>
          <w:numId w:val="1"/>
        </w:numPr>
        <w:rPr/>
      </w:pPr>
      <w:bookmarkStart w:id="12" w:name="__RefHeading___Toc4162639_581953129"/>
      <w:bookmarkStart w:id="13" w:name="_Toc4"/>
      <w:bookmarkEnd w:id="11"/>
      <w:bookmarkEnd w:id="12"/>
      <w:r>
        <w:rPr/>
        <w:t>1</w:t>
      </w:r>
      <w:r>
        <w:rPr>
          <w:rtl w:val="true"/>
        </w:rPr>
        <w:t xml:space="preserve">- </w:t>
      </w:r>
      <w:r>
        <w:rPr>
          <w:rtl w:val="true"/>
        </w:rPr>
        <w:t>اصطلاح شناسی</w:t>
      </w:r>
      <w:bookmarkEnd w:id="13"/>
    </w:p>
    <w:p>
      <w:pPr>
        <w:pStyle w:val="Heading3"/>
        <w:numPr>
          <w:ilvl w:val="2"/>
          <w:numId w:val="1"/>
        </w:numPr>
        <w:rPr/>
      </w:pPr>
      <w:bookmarkStart w:id="14" w:name="__RefHeading___Toc4162641_581953129"/>
      <w:bookmarkStart w:id="15" w:name="_Toc5"/>
      <w:bookmarkEnd w:id="14"/>
      <w:r>
        <w:rPr>
          <w:rtl w:val="true"/>
        </w:rPr>
        <w:t>اشاره</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 w:name="pg5760_37517"/>
    </w:p>
    <w:p>
      <w:pPr>
        <w:pStyle w:val="Heading3"/>
        <w:numPr>
          <w:ilvl w:val="2"/>
          <w:numId w:val="1"/>
        </w:numPr>
        <w:rPr/>
      </w:pPr>
      <w:bookmarkStart w:id="17" w:name="__RefHeading___Toc4162643_581953129"/>
      <w:bookmarkStart w:id="18" w:name="_Toc6"/>
      <w:bookmarkEnd w:id="16"/>
      <w:bookmarkEnd w:id="17"/>
      <w:r>
        <w:rPr>
          <w:rtl w:val="true"/>
        </w:rPr>
        <w:t>حیض وتعریف آن‌</w:t>
      </w:r>
      <w:bookmarkEnd w:id="18"/>
    </w:p>
    <w:p>
      <w:pPr>
        <w:pStyle w:val="BookText"/>
        <w:rPr/>
      </w:pPr>
      <w:r>
        <w:rPr>
          <w:rFonts w:ascii="IRNazanin" w:hAnsi="IRNazanin" w:eastAsia="IRNazanin"/>
          <w:color w:val="111111"/>
          <w:sz w:val="28"/>
          <w:sz w:val="28"/>
          <w:szCs w:val="28"/>
          <w:rtl w:val="true"/>
          <w:lang w:bidi="fa-IR"/>
        </w:rPr>
        <w:t xml:space="preserve">حیض، در اصطلاح خونی است که به طور معمول، هر ماه به مدت چند روز از رحم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تأثیر هورمون‌های تخمدان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به هنگام انعقادنطفه، غذای جنین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خون‌ریزی، از سن بلوغ تا سن یائسگی زن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حیض به قاعدگی، رگل، عادت ماهانه، پریود هم تعبیر می‌شود و زن را در این حالت، حائض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به طور مختصر درباره آن سخن گفته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برای خون حیض، نشانه‌ها و شرایطی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آن به طور غالب، آن است که غلیظ، گرم، به رنگ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مایل به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سرخ، همراه فشار و کمی سوزش می‌باشد و شرایط آن عبارتند از بلوغ، مشاهده پیش از سن یائسگی، کمتر از سه روز نبوده</w:t>
      </w:r>
      <w:bookmarkStart w:id="19" w:name="pg5760_37519"/>
    </w:p>
    <w:p>
      <w:pPr>
        <w:pStyle w:val="BookText"/>
        <w:rPr/>
      </w:pPr>
      <w:bookmarkEnd w:id="19"/>
      <w:r>
        <w:rPr>
          <w:rFonts w:ascii="IRNazanin" w:hAnsi="IRNazanin" w:eastAsia="IRNazanin"/>
          <w:color w:val="111111"/>
          <w:sz w:val="28"/>
          <w:sz w:val="28"/>
          <w:szCs w:val="28"/>
          <w:rtl w:val="true"/>
          <w:lang w:bidi="fa-IR"/>
        </w:rPr>
        <w:t>و بیشتر از ده روز</w:t>
      </w:r>
      <w:r>
        <w:rPr>
          <w:rStyle w:val="FootnoteAnchor"/>
          <w:rtl w:val="true"/>
        </w:rPr>
        <w:footnoteReference w:id="2"/>
      </w:r>
      <w:r>
        <w:rPr>
          <w:rFonts w:ascii="IRNazanin" w:hAnsi="IRNazanin" w:eastAsia="IRNazanin"/>
          <w:color w:val="111111"/>
          <w:sz w:val="28"/>
          <w:sz w:val="28"/>
          <w:szCs w:val="28"/>
          <w:rtl w:val="true"/>
          <w:lang w:bidi="fa-IR"/>
        </w:rPr>
        <w:t>نباشد، پی در پی بودن سه روز اول، استمرار خون در تمام سه روز و فاصله شدن دست کم ده روز بین دوحیض</w:t>
      </w:r>
      <w:r>
        <w:rPr>
          <w:rFonts w:eastAsia="IRNazanin" w:cs="IRNazanin"/>
          <w:color w:val="111111"/>
          <w:sz w:val="28"/>
          <w:szCs w:val="28"/>
          <w:rtl w:val="true"/>
          <w:lang w:bidi="fa-IR"/>
        </w:rPr>
        <w:t>.</w:t>
      </w:r>
    </w:p>
    <w:p>
      <w:pPr>
        <w:pStyle w:val="Heading3"/>
        <w:numPr>
          <w:ilvl w:val="2"/>
          <w:numId w:val="1"/>
        </w:numPr>
        <w:rPr/>
      </w:pPr>
      <w:bookmarkStart w:id="20" w:name="__RefHeading___Toc4162645_581953129"/>
      <w:bookmarkStart w:id="21" w:name="_Toc7"/>
      <w:bookmarkEnd w:id="20"/>
      <w:r>
        <w:rPr>
          <w:rtl w:val="true"/>
        </w:rPr>
        <w:t>استحاضه وتعریف آن</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استحاضه از ماده حیض گرفته شده است و در اصطلاح، یکی از خون‌هایی است که از رحم زن خارج می‌شود و زن را در این هنگام، مستحاضه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خونی که غیر از حیض، نفاس، زخم، دمل و مانند آن باشد، خون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آن به طور غالب این است که رقیق، سرد، زرد رنگ ،بدون فشار و سوزش است، البته گاهی ممکن است سیاه و سرخ و گرم و غلیظ و با فشار و سوزش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هیچ شرطی ندارد و مانند خون حیض نیست</w:t>
      </w:r>
      <w:r>
        <w:rPr>
          <w:rFonts w:eastAsia="IRNazanin" w:cs="IRNazanin"/>
          <w:color w:val="111111"/>
          <w:sz w:val="28"/>
          <w:szCs w:val="28"/>
          <w:rtl w:val="true"/>
          <w:lang w:bidi="fa-IR"/>
        </w:rPr>
        <w:t>.</w:t>
      </w:r>
      <w:bookmarkStart w:id="22" w:name="pg5760_37521"/>
    </w:p>
    <w:p>
      <w:pPr>
        <w:pStyle w:val="Heading3"/>
        <w:numPr>
          <w:ilvl w:val="2"/>
          <w:numId w:val="1"/>
        </w:numPr>
        <w:rPr/>
      </w:pPr>
      <w:bookmarkStart w:id="23" w:name="__RefHeading___Toc4162647_581953129"/>
      <w:bookmarkStart w:id="24" w:name="_Toc8"/>
      <w:bookmarkEnd w:id="22"/>
      <w:bookmarkEnd w:id="23"/>
      <w:r>
        <w:rPr>
          <w:rtl w:val="true"/>
        </w:rPr>
        <w:t>استحاضه قلیله وتعریف آن‌</w:t>
      </w:r>
      <w:bookmarkEnd w:id="24"/>
    </w:p>
    <w:p>
      <w:pPr>
        <w:pStyle w:val="BookText"/>
        <w:rPr/>
      </w:pPr>
      <w:r>
        <w:rPr>
          <w:rFonts w:ascii="IRNazanin" w:hAnsi="IRNazanin" w:eastAsia="IRNazanin"/>
          <w:color w:val="111111"/>
          <w:sz w:val="28"/>
          <w:sz w:val="28"/>
          <w:szCs w:val="28"/>
          <w:rtl w:val="true"/>
          <w:lang w:bidi="fa-IR"/>
        </w:rPr>
        <w:t>استحاضه قلیله آن است که هرگاه زن، پنبه را داخل کند، خون، ظاهرش را آلوده کند؛ ولی در پنبه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قلیله، سه وظیفه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خون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وضو بگیرد؛ به عنوان مثال، برای نماز ظهر، یک وضو وبرای نماز عصر، وضوی دیگری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نماز، بنابر احتیاط واجب،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فرج را اگر خون به آن رسیده، تطهیرکند</w:t>
      </w:r>
      <w:r>
        <w:rPr>
          <w:rFonts w:eastAsia="IRNazanin" w:cs="IRNazanin"/>
          <w:color w:val="111111"/>
          <w:sz w:val="28"/>
          <w:szCs w:val="28"/>
          <w:rtl w:val="true"/>
          <w:lang w:bidi="fa-IR"/>
        </w:rPr>
        <w:t>.</w:t>
      </w:r>
    </w:p>
    <w:p>
      <w:pPr>
        <w:pStyle w:val="Heading3"/>
        <w:numPr>
          <w:ilvl w:val="2"/>
          <w:numId w:val="1"/>
        </w:numPr>
        <w:rPr/>
      </w:pPr>
      <w:bookmarkStart w:id="25" w:name="__RefHeading___Toc4162649_581953129"/>
      <w:bookmarkStart w:id="26" w:name="_Toc9"/>
      <w:bookmarkEnd w:id="25"/>
      <w:r>
        <w:rPr>
          <w:rtl w:val="true"/>
        </w:rPr>
        <w:t>استحاضه متوسطه وتعریف آن‌</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استحاضه متوسطه آن است که هرگاه زن، پنبه را داخل کند، خون، در پنبه فرو رفته، از طرف دیگر ظاهر شود؛ ولی به دستمال و مانند آن که به طور معمول خانم‌ها برای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جلوگیری از خون می‌بندند،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چهار وظیفه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نماز،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فرج را اگر خون به آن رسیده، تطهیر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نماز، یک وضو بگیرد؛ به عنوان مثال، برای نماز ظهر، یک وضو و برای نماز عصر،</w:t>
      </w:r>
    </w:p>
    <w:p>
      <w:pPr>
        <w:pStyle w:val="BookText"/>
        <w:rPr/>
      </w:pPr>
      <w:r>
        <w:rPr>
          <w:rFonts w:ascii="IRNazanin" w:hAnsi="IRNazanin" w:eastAsia="IRNazanin"/>
          <w:color w:val="111111"/>
          <w:sz w:val="28"/>
          <w:sz w:val="28"/>
          <w:szCs w:val="28"/>
          <w:rtl w:val="true"/>
          <w:lang w:bidi="fa-IR"/>
        </w:rPr>
        <w:t>وضوی دیگری بگیرد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شبانه روز، یک غسل پیش از نماز صبح به جا آورد؛ بدین ترتیب که اگر پیش از نماز صبح، خون استحاضه متوسطه دیده، باید برای نماز صبح غسل کند تا صبح دیگر و اگر این حالت در ابتدا پیش از نماز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ظهر و عصر یا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آید، باید برای آن نماز، غسل کند؛ ولی از فردای آن روز، اگر به همان حالت متوسطه باقی بماند، باید پیش از هر نماز صبح، غسل کند</w:t>
      </w:r>
      <w:r>
        <w:rPr>
          <w:rFonts w:eastAsia="IRNazanin" w:cs="IRNazanin"/>
          <w:color w:val="111111"/>
          <w:sz w:val="28"/>
          <w:szCs w:val="28"/>
          <w:rtl w:val="true"/>
          <w:lang w:bidi="fa-IR"/>
        </w:rPr>
        <w:t>.</w:t>
      </w:r>
      <w:bookmarkStart w:id="27" w:name="pg5760_37527"/>
    </w:p>
    <w:p>
      <w:pPr>
        <w:pStyle w:val="Heading3"/>
        <w:numPr>
          <w:ilvl w:val="2"/>
          <w:numId w:val="1"/>
        </w:numPr>
        <w:rPr/>
      </w:pPr>
      <w:bookmarkStart w:id="28" w:name="__RefHeading___Toc4162651_581953129"/>
      <w:bookmarkStart w:id="29" w:name="_Toc10"/>
      <w:bookmarkEnd w:id="27"/>
      <w:bookmarkEnd w:id="28"/>
      <w:r>
        <w:rPr>
          <w:rtl w:val="true"/>
        </w:rPr>
        <w:t>استحاضه کثیره وتعریف آن‌</w:t>
      </w:r>
      <w:bookmarkEnd w:id="29"/>
    </w:p>
    <w:p>
      <w:pPr>
        <w:pStyle w:val="BookText"/>
        <w:rPr/>
      </w:pPr>
      <w:r>
        <w:rPr>
          <w:rFonts w:ascii="IRNazanin" w:hAnsi="IRNazanin" w:eastAsia="IRNazanin"/>
          <w:color w:val="111111"/>
          <w:sz w:val="28"/>
          <w:sz w:val="28"/>
          <w:szCs w:val="28"/>
          <w:rtl w:val="true"/>
          <w:lang w:bidi="fa-IR"/>
        </w:rPr>
        <w:t>استحاضه کثیره آن است که هرگاه زن، پنبه را داخل کند، خون، پنبه را فرا گرفته، به دستمال و مانند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کثیره، چند وظیفه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نماز،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فرج را اگر خون به آن رسیده، تطهیر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نماز، یک وضو بگیرد؛ به عنوان مثال، برای نماز ظهر، یک وضو و برای نماز عصر، وضوی دیگری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یک غسل پیش از نماز صبح و یکی پیش از نماز ظهر وعصر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پیش از نماز مغرب و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هم بخواند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نماز ظهر و عصر و نماز مغرب و عشافاصله بیندازد، باید برای نماز عصر و نماز</w:t>
      </w:r>
    </w:p>
    <w:p>
      <w:pPr>
        <w:pStyle w:val="BookText"/>
        <w:rPr/>
      </w:pPr>
      <w:r>
        <w:rPr>
          <w:rFonts w:ascii="IRNazanin" w:hAnsi="IRNazanin" w:eastAsia="IRNazanin"/>
          <w:color w:val="111111"/>
          <w:sz w:val="28"/>
          <w:sz w:val="28"/>
          <w:szCs w:val="28"/>
          <w:rtl w:val="true"/>
          <w:lang w:bidi="fa-IR"/>
        </w:rPr>
        <w:t>عشا دوباره غسل کند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یائسه وتعریف 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یائسه، از ماده یأس، به معنای زن مأیوس و ناامید است و در اصطلاح، به زنی گفته می‌شود که سنش، به حدی رسیده که دیگر عادت ماهیانه نمی‌بیند و اگر خونی ببیند، خون حیض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طور قطعی، پس از تمام شدن شصت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یائسه و کمتر از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یائسه است و بین پنجاه تا شصت سال، میان مراجع تقلید اختلاف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اکثر فقیهان این است که زن سیده، با تمام شدن شصت سال و زن غیرسیده، با تمام شدن پنجاه سال قمری، یائسه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بیشتر وظیفه خود لازم است به فتوای مرجع خود مراجعه نمایید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 w:name="pg5760_37533"/>
    </w:p>
    <w:p>
      <w:pPr>
        <w:pStyle w:val="Heading3"/>
        <w:numPr>
          <w:ilvl w:val="2"/>
          <w:numId w:val="1"/>
        </w:numPr>
        <w:rPr/>
      </w:pPr>
      <w:bookmarkStart w:id="31" w:name="__RefHeading___Toc4162653_581953129"/>
      <w:bookmarkStart w:id="32" w:name="_Toc11"/>
      <w:bookmarkEnd w:id="30"/>
      <w:bookmarkEnd w:id="31"/>
      <w:r>
        <w:rPr>
          <w:rtl w:val="true"/>
        </w:rPr>
        <w:t>نفاس وتعریف آن‌</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نفاس در اصطلاح، به خونی گفته می‌شود که پس از زایمان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بچه سقط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رحم زن خارج می‌شود و زن را در این هنگام، نفساء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خون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اس،از زمانی است که اولین جزء بچه از شکم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خونی که پیش از آن دیده می‌شود، خون نفاس محسوب نمی‌شود و حداقل خون نفاس، یک لحظه و حداکثر آن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پاک شدن، باید غسل نفاس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برخی عوام مشهور است که زنی که تازه زایمان کرده، باید روز چهلم،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که این سخن، هیچ ارزش و اعتباری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 w:name="pg5760_37537"/>
    </w:p>
    <w:p>
      <w:pPr>
        <w:pStyle w:val="Heading2"/>
        <w:numPr>
          <w:ilvl w:val="1"/>
          <w:numId w:val="1"/>
        </w:numPr>
        <w:rPr/>
      </w:pPr>
      <w:bookmarkStart w:id="34" w:name="__RefHeading___Toc4162655_581953129"/>
      <w:bookmarkStart w:id="35" w:name="_Toc12"/>
      <w:bookmarkEnd w:id="33"/>
      <w:bookmarkEnd w:id="34"/>
      <w:r>
        <w:rPr/>
        <w:t>2</w:t>
      </w:r>
      <w:r>
        <w:rPr>
          <w:rtl w:val="true"/>
        </w:rPr>
        <w:t xml:space="preserve">. </w:t>
      </w:r>
      <w:r>
        <w:rPr>
          <w:rtl w:val="true"/>
        </w:rPr>
        <w:t>احکام حرم</w:t>
      </w:r>
      <w:bookmarkEnd w:id="35"/>
    </w:p>
    <w:p>
      <w:pPr>
        <w:pStyle w:val="Heading3"/>
        <w:numPr>
          <w:ilvl w:val="2"/>
          <w:numId w:val="1"/>
        </w:numPr>
        <w:rPr/>
      </w:pPr>
      <w:bookmarkStart w:id="36" w:name="__RefHeading___Toc4162657_581953129"/>
      <w:bookmarkStart w:id="37" w:name="_Toc13"/>
      <w:bookmarkEnd w:id="36"/>
      <w:r>
        <w:rPr>
          <w:rtl w:val="true"/>
        </w:rPr>
        <w:t>اشاره</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 w:name="pg5760_37538"/>
    </w:p>
    <w:p>
      <w:pPr>
        <w:pStyle w:val="Heading3"/>
        <w:numPr>
          <w:ilvl w:val="2"/>
          <w:numId w:val="1"/>
        </w:numPr>
        <w:rPr/>
      </w:pPr>
      <w:bookmarkStart w:id="39" w:name="__RefHeading___Toc4162659_581953129"/>
      <w:bookmarkStart w:id="40" w:name="_Toc14"/>
      <w:bookmarkEnd w:id="38"/>
      <w:bookmarkEnd w:id="39"/>
      <w:r>
        <w:rPr>
          <w:rtl w:val="true"/>
        </w:rPr>
        <w:t>احکام جنب، حائض و نفساء درحرم</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همه مراجع عظام تقلید، ایستادن، توقف و مکث نمودن شخص جنب، حائض و نفساء حتی برای زیارت، زیر گنبد طلا و اطراف ضریح مطهر جایز نیست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و تردد کردن در اطراف ضریح مقدس بدون توقف نیز به نظر بعضی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تردد در رواق ها به فتوای عده ای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آیات عظام خامنه ای، خویی، سیستانی، صافی، فاضل، بهجت و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فتوای بعضی</w:t>
      </w:r>
    </w:p>
    <w:p>
      <w:pPr>
        <w:pStyle w:val="BookText"/>
        <w:rPr/>
      </w:pP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کردن و توقف در صحن ها و رفت و آمد در آن، طبق نظر جمیع فقها ی عظام،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معذورین در مسجد گوهرشاد و صحن آن، مسجد بالاسر مردانه و مسجد بالاسر زنانه و مسجدی که تقریباً در رواق پشت سر ضریح مقدس است، برای افراد مذکور جایز نبوده و اشکال شرعی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نقشه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نامه، فرستادن صلوات، گفتن اذکار و خواندن دعا در مکان هایی که بودن در آنجا مانعی ندارد، مثل صحن ها و رواق ها با تفصیلی که گذشت، اشکالی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ضریح مقدس از داخل صحن ها و رواق ها با توضیحی که گذشت</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غیر از سوره هایی که سجده ی واجب دارند،</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نجم، سجده و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حائض به فتوای برخی از مراجع، کراهت</w:t>
      </w:r>
      <w:r>
        <w:rPr>
          <w:rStyle w:val="FootnoteAnchor"/>
          <w:rtl w:val="true"/>
        </w:rPr>
        <w:footnoteReference w:id="7"/>
      </w:r>
      <w:r>
        <w:rPr>
          <w:rFonts w:ascii="IRNazanin" w:hAnsi="IRNazanin" w:eastAsia="IRNazanin"/>
          <w:color w:val="111111"/>
          <w:sz w:val="28"/>
          <w:sz w:val="28"/>
          <w:szCs w:val="28"/>
          <w:rtl w:val="true"/>
          <w:lang w:bidi="fa-IR"/>
        </w:rPr>
        <w:t>دارد و برای جنب، خواندن بیش از هفت آیه کراهت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روز این است که، اگر روز اول شروع شود ، تا روز چهارم حداقل ادامه پیدا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آیةالله وحید، توضیح المسائل، 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دفتر آیةالله خامنه‌ای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احتیاط واجب یا به فتوا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خمینی و نوری همدانی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خواندن سوره یا آیه سجده اختلاف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در عبارت به معنی ثواب کمتر می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1491</Words>
  <Characters>5839</Characters>
  <CharactersWithSpaces>7212</CharactersWithSpaces>
  <Paragraphs>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2026-08-19T04:30:14Z</dcterms:created>
  <dc:creator>ghaemiyeh.com</dc:creator>
  <dc:description/>
  <dc:language>en-US</dc:language>
  <cp:lastModifiedBy/>
  <dcterms:modified xsi:type="dcterms:W3CDTF">2026-08-19T08:00:15Z</dcterms:modified>
  <cp:revision>1</cp:revision>
  <dc:subject/>
  <dc:title>رهنما 23 احکام بانوان</dc:title>
</cp:coreProperties>
</file>

<file path=docProps/custom.xml><?xml version="1.0" encoding="utf-8"?>
<Properties xmlns="http://schemas.openxmlformats.org/officeDocument/2006/custom-properties" xmlns:vt="http://schemas.openxmlformats.org/officeDocument/2006/docPropsVTypes"/>
</file>