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9.xml" ContentType="application/vnd.openxmlformats-officedocument.wordprocessingml.footer+xml"/>
  <Override PartName="/word/numbering.xml" ContentType="application/vnd.openxmlformats-officedocument.wordprocessingml.numbering+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19</w:t>
      </w:r>
      <w:r>
        <w:rPr>
          <w:rtl w:val="true"/>
        </w:rPr>
        <w:t xml:space="preserve"> </w:t>
      </w:r>
      <w:r>
        <w:rPr>
          <w:rtl w:val="true"/>
        </w:rPr>
        <w:t>زمینه سازان ظهور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00743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900745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900747_581953129">
            <w:r>
              <w:rPr>
                <w:webHidden/>
                <w:rStyle w:val="IndexLink"/>
                <w:rtl w:val="true"/>
              </w:rPr>
              <w:t>زمینه سازان ظهور</w:t>
            </w:r>
            <w:r>
              <w:rPr>
                <w:rStyle w:val="IndexLink"/>
                <w:rtl w:val="true"/>
              </w:rPr>
              <w:tab/>
            </w:r>
            <w:r>
              <w:rPr>
                <w:rStyle w:val="IndexLink"/>
              </w:rPr>
              <w:t>8</w:t>
            </w:r>
          </w:hyperlink>
        </w:p>
        <w:p>
          <w:pPr>
            <w:pStyle w:val="Contents2"/>
            <w:tabs>
              <w:tab w:val="clear" w:pos="8743"/>
              <w:tab w:val="right" w:pos="9026" w:leader="dot"/>
            </w:tabs>
            <w:rPr/>
          </w:pPr>
          <w:hyperlink w:anchor="__RefHeading___Toc3900749_581953129">
            <w:r>
              <w:rPr>
                <w:webHidden/>
                <w:rStyle w:val="IndexLink"/>
                <w:rtl w:val="true"/>
              </w:rPr>
              <w:t>درآمد</w:t>
            </w:r>
            <w:r>
              <w:rPr>
                <w:rStyle w:val="IndexLink"/>
                <w:rtl w:val="true"/>
              </w:rPr>
              <w:tab/>
            </w:r>
            <w:r>
              <w:rPr>
                <w:rStyle w:val="IndexLink"/>
              </w:rPr>
              <w:t>10</w:t>
            </w:r>
          </w:hyperlink>
        </w:p>
        <w:p>
          <w:pPr>
            <w:pStyle w:val="Contents2"/>
            <w:tabs>
              <w:tab w:val="clear" w:pos="8743"/>
              <w:tab w:val="right" w:pos="9026" w:leader="dot"/>
            </w:tabs>
            <w:rPr/>
          </w:pPr>
          <w:hyperlink w:anchor="__RefHeading___Toc3900751_581953129">
            <w:r>
              <w:rPr>
                <w:webHidden/>
                <w:rStyle w:val="IndexLink"/>
              </w:rPr>
              <w:t>۱</w:t>
            </w:r>
            <w:r>
              <w:rPr>
                <w:rStyle w:val="IndexLink"/>
                <w:rtl w:val="true"/>
              </w:rPr>
              <w:t xml:space="preserve">. </w:t>
            </w:r>
            <w:r>
              <w:rPr>
                <w:rStyle w:val="IndexLink"/>
                <w:rtl w:val="true"/>
              </w:rPr>
              <w:t>شناخت پروردگار</w:t>
            </w:r>
            <w:r>
              <w:rPr>
                <w:rStyle w:val="IndexLink"/>
                <w:rtl w:val="true"/>
              </w:rPr>
              <w:tab/>
            </w:r>
            <w:r>
              <w:rPr>
                <w:rStyle w:val="IndexLink"/>
              </w:rPr>
              <w:t>11</w:t>
            </w:r>
          </w:hyperlink>
        </w:p>
        <w:p>
          <w:pPr>
            <w:pStyle w:val="Contents2"/>
            <w:tabs>
              <w:tab w:val="clear" w:pos="8743"/>
              <w:tab w:val="right" w:pos="9026" w:leader="dot"/>
            </w:tabs>
            <w:rPr/>
          </w:pPr>
          <w:hyperlink w:anchor="__RefHeading___Toc3900753_581953129">
            <w:r>
              <w:rPr>
                <w:webHidden/>
                <w:rStyle w:val="IndexLink"/>
              </w:rPr>
              <w:t>۲</w:t>
            </w:r>
            <w:r>
              <w:rPr>
                <w:rStyle w:val="IndexLink"/>
                <w:rtl w:val="true"/>
              </w:rPr>
              <w:t xml:space="preserve">. </w:t>
            </w:r>
            <w:r>
              <w:rPr>
                <w:rStyle w:val="IndexLink"/>
                <w:rtl w:val="true"/>
              </w:rPr>
              <w:t>شناخت امام زمان عجل الله تعالی فرجه الشریف</w:t>
            </w:r>
            <w:r>
              <w:rPr>
                <w:rStyle w:val="IndexLink"/>
              </w:rPr>
              <w:t></w:t>
            </w:r>
            <w:r>
              <w:rPr>
                <w:rStyle w:val="IndexLink"/>
                <w:rtl w:val="true"/>
              </w:rPr>
              <w:tab/>
            </w:r>
            <w:r>
              <w:rPr>
                <w:rStyle w:val="IndexLink"/>
              </w:rPr>
              <w:t>13</w:t>
            </w:r>
          </w:hyperlink>
        </w:p>
        <w:p>
          <w:pPr>
            <w:pStyle w:val="Contents2"/>
            <w:tabs>
              <w:tab w:val="clear" w:pos="8743"/>
              <w:tab w:val="right" w:pos="9026" w:leader="dot"/>
            </w:tabs>
            <w:rPr/>
          </w:pPr>
          <w:hyperlink w:anchor="__RefHeading___Toc3900755_581953129">
            <w:r>
              <w:rPr>
                <w:webHidden/>
                <w:rStyle w:val="IndexLink"/>
              </w:rPr>
              <w:t>۳</w:t>
            </w:r>
            <w:r>
              <w:rPr>
                <w:rStyle w:val="IndexLink"/>
                <w:rtl w:val="true"/>
              </w:rPr>
              <w:t xml:space="preserve">. </w:t>
            </w:r>
            <w:r>
              <w:rPr>
                <w:rStyle w:val="IndexLink"/>
                <w:rtl w:val="true"/>
              </w:rPr>
              <w:t>سرسپردگی محض</w:t>
            </w:r>
            <w:r>
              <w:rPr>
                <w:rStyle w:val="IndexLink"/>
                <w:rtl w:val="true"/>
              </w:rPr>
              <w:tab/>
            </w:r>
            <w:r>
              <w:rPr>
                <w:rStyle w:val="IndexLink"/>
              </w:rPr>
              <w:t>17</w:t>
            </w:r>
          </w:hyperlink>
        </w:p>
        <w:p>
          <w:pPr>
            <w:pStyle w:val="Contents2"/>
            <w:tabs>
              <w:tab w:val="clear" w:pos="8743"/>
              <w:tab w:val="right" w:pos="9026" w:leader="dot"/>
            </w:tabs>
            <w:rPr/>
          </w:pPr>
          <w:hyperlink w:anchor="__RefHeading___Toc3900757_581953129">
            <w:r>
              <w:rPr>
                <w:webHidden/>
                <w:rStyle w:val="IndexLink"/>
              </w:rPr>
              <w:t>۴</w:t>
            </w:r>
            <w:r>
              <w:rPr>
                <w:rStyle w:val="IndexLink"/>
                <w:rtl w:val="true"/>
              </w:rPr>
              <w:t xml:space="preserve">. </w:t>
            </w:r>
            <w:r>
              <w:rPr>
                <w:rStyle w:val="IndexLink"/>
                <w:rtl w:val="true"/>
              </w:rPr>
              <w:t>احترام خالصانه</w:t>
            </w:r>
            <w:r>
              <w:rPr>
                <w:rStyle w:val="IndexLink"/>
                <w:rtl w:val="true"/>
              </w:rPr>
              <w:tab/>
            </w:r>
            <w:r>
              <w:rPr>
                <w:rStyle w:val="IndexLink"/>
              </w:rPr>
              <w:t>19</w:t>
            </w:r>
          </w:hyperlink>
        </w:p>
        <w:p>
          <w:pPr>
            <w:pStyle w:val="Contents2"/>
            <w:tabs>
              <w:tab w:val="clear" w:pos="8743"/>
              <w:tab w:val="right" w:pos="9026" w:leader="dot"/>
            </w:tabs>
            <w:rPr/>
          </w:pPr>
          <w:hyperlink w:anchor="__RefHeading___Toc3900759_581953129">
            <w:r>
              <w:rPr>
                <w:webHidden/>
                <w:rStyle w:val="IndexLink"/>
              </w:rPr>
              <w:t>۵</w:t>
            </w:r>
            <w:r>
              <w:rPr>
                <w:rStyle w:val="IndexLink"/>
                <w:rtl w:val="true"/>
              </w:rPr>
              <w:t xml:space="preserve">. </w:t>
            </w:r>
            <w:r>
              <w:rPr>
                <w:rStyle w:val="IndexLink"/>
                <w:rtl w:val="true"/>
              </w:rPr>
              <w:t>انتظار راستین</w:t>
            </w:r>
            <w:r>
              <w:rPr>
                <w:rStyle w:val="IndexLink"/>
                <w:rtl w:val="true"/>
              </w:rPr>
              <w:tab/>
            </w:r>
            <w:r>
              <w:rPr>
                <w:rStyle w:val="IndexLink"/>
              </w:rPr>
              <w:t>23</w:t>
            </w:r>
          </w:hyperlink>
        </w:p>
        <w:p>
          <w:pPr>
            <w:pStyle w:val="Contents2"/>
            <w:tabs>
              <w:tab w:val="clear" w:pos="8743"/>
              <w:tab w:val="right" w:pos="9026" w:leader="dot"/>
            </w:tabs>
            <w:rPr/>
          </w:pPr>
          <w:hyperlink w:anchor="__RefHeading___Toc3900761_581953129">
            <w:r>
              <w:rPr>
                <w:webHidden/>
                <w:rStyle w:val="IndexLink"/>
              </w:rPr>
              <w:t>۶</w:t>
            </w:r>
            <w:r>
              <w:rPr>
                <w:rStyle w:val="IndexLink"/>
                <w:rtl w:val="true"/>
              </w:rPr>
              <w:t xml:space="preserve">. </w:t>
            </w:r>
            <w:r>
              <w:rPr>
                <w:rStyle w:val="IndexLink"/>
                <w:rtl w:val="true"/>
              </w:rPr>
              <w:t>آمادگی برای خدمت به مهدی</w:t>
            </w:r>
            <w:r>
              <w:rPr>
                <w:rStyle w:val="IndexLink"/>
              </w:rPr>
              <w:t></w:t>
            </w:r>
            <w:r>
              <w:rPr>
                <w:rStyle w:val="IndexLink"/>
                <w:rtl w:val="true"/>
              </w:rPr>
              <w:tab/>
            </w:r>
            <w:r>
              <w:rPr>
                <w:rStyle w:val="IndexLink"/>
              </w:rPr>
              <w:t>26</w:t>
            </w:r>
          </w:hyperlink>
        </w:p>
        <w:p>
          <w:pPr>
            <w:pStyle w:val="Contents2"/>
            <w:tabs>
              <w:tab w:val="clear" w:pos="8743"/>
              <w:tab w:val="right" w:pos="9026" w:leader="dot"/>
            </w:tabs>
            <w:rPr/>
          </w:pPr>
          <w:hyperlink w:anchor="__RefHeading___Toc3900763_581953129">
            <w:r>
              <w:rPr>
                <w:webHidden/>
                <w:rStyle w:val="IndexLink"/>
              </w:rPr>
              <w:t>۷</w:t>
            </w:r>
            <w:r>
              <w:rPr>
                <w:rStyle w:val="IndexLink"/>
                <w:rtl w:val="true"/>
              </w:rPr>
              <w:t xml:space="preserve">. </w:t>
            </w:r>
            <w:r>
              <w:rPr>
                <w:rStyle w:val="IndexLink"/>
                <w:rtl w:val="true"/>
              </w:rPr>
              <w:t>خودسازی و دیگرسازی</w:t>
            </w:r>
            <w:r>
              <w:rPr>
                <w:rStyle w:val="IndexLink"/>
                <w:rtl w:val="true"/>
              </w:rPr>
              <w:tab/>
            </w:r>
            <w:r>
              <w:rPr>
                <w:rStyle w:val="IndexLink"/>
              </w:rPr>
              <w:t>28</w:t>
            </w:r>
          </w:hyperlink>
        </w:p>
        <w:p>
          <w:pPr>
            <w:pStyle w:val="Contents2"/>
            <w:tabs>
              <w:tab w:val="clear" w:pos="8743"/>
              <w:tab w:val="right" w:pos="9026" w:leader="dot"/>
            </w:tabs>
            <w:rPr/>
          </w:pPr>
          <w:hyperlink w:anchor="__RefHeading___Toc3900765_581953129">
            <w:r>
              <w:rPr>
                <w:webHidden/>
                <w:rStyle w:val="IndexLink"/>
                <w:rtl w:val="true"/>
              </w:rPr>
              <w:t>برای مطالعه بیشتر</w:t>
            </w:r>
            <w:r>
              <w:rPr>
                <w:rStyle w:val="IndexLink"/>
                <w:rtl w:val="true"/>
              </w:rPr>
              <w:tab/>
            </w:r>
            <w:r>
              <w:rPr>
                <w:rStyle w:val="IndexLink"/>
              </w:rPr>
              <w:t>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06_84556"/>
      <w:bookmarkStart w:id="1" w:name="pg10606_84556"/>
      <w:bookmarkEnd w:id="1"/>
    </w:p>
    <w:p>
      <w:pPr>
        <w:pStyle w:val="Heading2"/>
        <w:numPr>
          <w:ilvl w:val="1"/>
          <w:numId w:val="1"/>
        </w:numPr>
        <w:rPr/>
      </w:pPr>
      <w:bookmarkStart w:id="2" w:name="pg10606_84556"/>
      <w:bookmarkStart w:id="3" w:name="__RefHeading___Toc3900743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سلیمان‌ریزی، خدامراد، </w:t>
      </w:r>
      <w:r>
        <w:rPr>
          <w:rFonts w:ascii="IRNazanin" w:hAnsi="IRNazanin" w:eastAsia="IRNazanin"/>
          <w:color w:val="111111"/>
          <w:sz w:val="28"/>
          <w:sz w:val="28"/>
          <w:szCs w:val="28"/>
          <w:lang w:bidi="fa-IR"/>
        </w:rPr>
        <w:t>۱۳۴۶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زمینه‌سازان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خدامراد سلیمان‌ریزی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6543</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۲۸۷۰۵۴۵</w:t>
      </w:r>
      <w:bookmarkStart w:id="5" w:name="pg10606_84557"/>
    </w:p>
    <w:p>
      <w:pPr>
        <w:pStyle w:val="Heading2"/>
        <w:numPr>
          <w:ilvl w:val="1"/>
          <w:numId w:val="1"/>
        </w:numPr>
        <w:rPr/>
      </w:pPr>
      <w:bookmarkStart w:id="6" w:name="__RefHeading___Toc3900745_581953129"/>
      <w:bookmarkStart w:id="7" w:name="_Toc2"/>
      <w:bookmarkEnd w:id="5"/>
      <w:bookmarkEnd w:id="6"/>
      <w:r>
        <w:rPr>
          <w:rtl w:val="true"/>
        </w:rPr>
        <w:t>اشاره</w:t>
      </w:r>
      <w:bookmarkEnd w:id="7"/>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8" w:name="pg10606_84560"/>
    </w:p>
    <w:p>
      <w:pPr>
        <w:pStyle w:val="Heading2"/>
        <w:numPr>
          <w:ilvl w:val="1"/>
          <w:numId w:val="1"/>
        </w:numPr>
        <w:rPr/>
      </w:pPr>
      <w:bookmarkStart w:id="9" w:name="__RefHeading___Toc3900747_581953129"/>
      <w:bookmarkStart w:id="10" w:name="_Toc3"/>
      <w:bookmarkEnd w:id="8"/>
      <w:bookmarkEnd w:id="9"/>
      <w:r>
        <w:rPr>
          <w:rtl w:val="true"/>
        </w:rPr>
        <w:t>زمینه سازان ظهور</w:t>
      </w:r>
      <w:bookmarkEnd w:id="10"/>
    </w:p>
    <w:p>
      <w:pPr>
        <w:pStyle w:val="BookText"/>
        <w:rPr/>
      </w:pPr>
      <w:r>
        <w:rPr>
          <w:rFonts w:ascii="IRNazanin" w:hAnsi="IRNazanin" w:eastAsia="IRNazanin"/>
          <w:color w:val="111111"/>
          <w:sz w:val="28"/>
          <w:sz w:val="28"/>
          <w:szCs w:val="28"/>
          <w:rtl w:val="true"/>
          <w:lang w:bidi="fa-IR"/>
        </w:rPr>
        <w:t>انگیزۀ نگارش متن حاضر برخاسته از پاسخ به این پرسش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میتوان برای ظهور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زمینه سازی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سازان ظهور چه ویژگی هایی 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قرن بیست ویکم، معنای مُردن به مرگ زمان جاهلیت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با شنیدن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خیزیم؟ تعبیر جالب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دراین باره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مؤمنان و شیعیان واقعی در عصر غیبت اجر بیشتری از مؤمنانِ زمان حضور معصوم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دارند؟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1" w:name="pg10606_84562"/>
    </w:p>
    <w:p>
      <w:pPr>
        <w:pStyle w:val="Heading2"/>
        <w:numPr>
          <w:ilvl w:val="1"/>
          <w:numId w:val="1"/>
        </w:numPr>
        <w:rPr/>
      </w:pPr>
      <w:bookmarkStart w:id="12" w:name="__RefHeading___Toc3900749_581953129"/>
      <w:bookmarkStart w:id="13" w:name="_Toc4"/>
      <w:bookmarkEnd w:id="11"/>
      <w:bookmarkEnd w:id="12"/>
      <w:r>
        <w:rPr>
          <w:rtl w:val="true"/>
        </w:rPr>
        <w:t>درآمد</w:t>
      </w:r>
      <w:bookmarkEnd w:id="13"/>
    </w:p>
    <w:p>
      <w:pPr>
        <w:pStyle w:val="BookText"/>
        <w:rPr/>
      </w:pPr>
      <w:r>
        <w:rPr>
          <w:rFonts w:ascii="IRNazanin" w:hAnsi="IRNazanin" w:eastAsia="IRNazanin"/>
          <w:color w:val="111111"/>
          <w:sz w:val="28"/>
          <w:sz w:val="28"/>
          <w:szCs w:val="28"/>
          <w:rtl w:val="true"/>
          <w:lang w:bidi="fa-IR"/>
        </w:rPr>
        <w:t>تحقق انقلاب عظیم حضرت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به عنوان بزرگ‌ترین تحولی که تاریخ بشر در تمام حیات خود خواهد دید، بر پایه‌هایی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پایه های مهم، فراهم شدن یاران و همراهان و هم رزمانی است که تا پای جان، برای اجرای اهداف ایشان ازپای ننشینند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بازشناسی این عامل، ما را در راه شناخت آن حاکمیت سترگ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که درپی شناخت، سر در جِیب تفکر فرو خواهیم برد و خویشتن را با آن شرط ها و ویژگی‌ها محک خواهیم زد و از خود خواهیم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خود را برای آن روزگار آماده ساخته‌ایم؟ شاید آن روز، همین فردا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فهم این ویژگی‌ها درمی یابیم که پای رفتن به این راه را داریم یا خیر و در آن روز موعود، در مقابلۀ حق و باطل، در کدامین جبهه خواهیم بود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سیری در بوستان کلام معصومان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این ویژگی‌ها بهخوبی فرا روی ما قرار خواهد</w:t>
      </w:r>
      <w:bookmarkStart w:id="14" w:name="pg10606_84563"/>
    </w:p>
    <w:p>
      <w:pPr>
        <w:pStyle w:val="BookText"/>
        <w:rPr/>
      </w:pPr>
      <w:bookmarkEnd w:id="14"/>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بیاییم وضوی عشق و دلدادگی بگیریم، پای‌افزار تعلقات از جان خویش برگیریم و قدم در این گلستان پرگُل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پایان، دسته‌گلی خوشبو حاصل این گشت وگذار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ره منزل لیلی که خطرهاست در آن شرط اول قدم آن است که مجنون باشی</w:t>
      </w:r>
    </w:p>
    <w:p>
      <w:pPr>
        <w:pStyle w:val="BookText"/>
        <w:rPr/>
      </w:pPr>
      <w:r>
        <w:rPr>
          <w:rFonts w:ascii="IRNazanin" w:hAnsi="IRNazanin" w:eastAsia="IRNazanin"/>
          <w:color w:val="111111"/>
          <w:sz w:val="28"/>
          <w:sz w:val="28"/>
          <w:szCs w:val="28"/>
          <w:rtl w:val="true"/>
          <w:lang w:bidi="fa-IR"/>
        </w:rPr>
        <w:t>این ویژگی‌ها را می‌توان اینگونه برشمرد</w:t>
      </w:r>
      <w:r>
        <w:rPr>
          <w:rFonts w:eastAsia="IRNazanin" w:cs="IRNazanin"/>
          <w:color w:val="111111"/>
          <w:sz w:val="28"/>
          <w:szCs w:val="28"/>
          <w:rtl w:val="true"/>
          <w:lang w:bidi="fa-IR"/>
        </w:rPr>
        <w:t>:</w:t>
      </w:r>
    </w:p>
    <w:p>
      <w:pPr>
        <w:pStyle w:val="Heading2"/>
        <w:numPr>
          <w:ilvl w:val="1"/>
          <w:numId w:val="1"/>
        </w:numPr>
        <w:rPr/>
      </w:pPr>
      <w:bookmarkStart w:id="15" w:name="__RefHeading___Toc3900751_581953129"/>
      <w:bookmarkStart w:id="16" w:name="_Toc5"/>
      <w:bookmarkEnd w:id="15"/>
      <w:r>
        <w:rPr/>
        <w:t>۱</w:t>
      </w:r>
      <w:r>
        <w:rPr>
          <w:rtl w:val="true"/>
        </w:rPr>
        <w:t xml:space="preserve">. </w:t>
      </w:r>
      <w:r>
        <w:rPr>
          <w:rtl w:val="true"/>
        </w:rPr>
        <w:t>شناخت پروردگار</w:t>
      </w:r>
      <w:bookmarkEnd w:id="16"/>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فلسفۀ اساسی آفرینش انسان‌ها را عبادت و بندگی معرفی کرده است</w:t>
      </w:r>
      <w:r>
        <w:rPr>
          <w:rStyle w:val="FootnoteAnchor"/>
          <w:rtl w:val="true"/>
        </w:rPr>
        <w:footnoteReference w:id="2"/>
      </w:r>
      <w:r>
        <w:rPr>
          <w:rFonts w:ascii="IRNazanin" w:hAnsi="IRNazanin" w:eastAsia="IRNazanin"/>
          <w:color w:val="111111"/>
          <w:sz w:val="28"/>
          <w:sz w:val="28"/>
          <w:szCs w:val="28"/>
          <w:rtl w:val="true"/>
          <w:lang w:bidi="fa-IR"/>
        </w:rPr>
        <w:t>و این مهم، تنها زمانی حاصل می‌شود که شناخت آن ذات مقدس</w:t>
      </w:r>
    </w:p>
    <w:p>
      <w:pPr>
        <w:pStyle w:val="BookText"/>
        <w:rPr/>
      </w:pPr>
      <w:r>
        <w:rPr>
          <w:rFonts w:ascii="IRNazanin" w:hAnsi="IRNazanin" w:eastAsia="IRNazanin"/>
          <w:color w:val="111111"/>
          <w:sz w:val="28"/>
          <w:sz w:val="28"/>
          <w:szCs w:val="28"/>
          <w:rtl w:val="true"/>
          <w:lang w:bidi="fa-IR"/>
        </w:rPr>
        <w:t>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شناخت خداوند است که راه، هموار شده و موانع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کسانی هستند که خداوند را آنگونه که درخور است، 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شناخت والای خداوند را در این افراد، اینگونه توصیف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 مؤمن که خدا را چنانکه شایسته است، شناخته‌اند و آنان، یاران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آخرالزمان اند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ششمین ستارۀ فروزان سپهر ولایت، قلب‌های آنان را به سانِ پولاد می دانند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مردانی‌اند که دل‌هایشان، گویا پاره‌های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تردیدی به ذات خداوند، قلب‌هایشان را نیالاید و قلب‌هایشان از سنگ سخت‌تر است</w:t>
      </w:r>
      <w:r>
        <w:rPr>
          <w:rFonts w:eastAsia="IRNazanin" w:cs="IRNazanin"/>
          <w:color w:val="111111"/>
          <w:sz w:val="28"/>
          <w:szCs w:val="28"/>
          <w:rtl w:val="true"/>
          <w:lang w:bidi="fa-IR"/>
        </w:rPr>
        <w:t>.»</w:t>
      </w:r>
      <w:r>
        <w:rPr>
          <w:rStyle w:val="FootnoteAnchor"/>
          <w:rtl w:val="true"/>
        </w:rPr>
        <w:footnoteReference w:id="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اولین قدم برای قرارگرفتن در صف یاران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شناخت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قدم برداشته شود، نوبت گام بعدی فرامیرسد که معرفت به معصومان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bookmarkStart w:id="17" w:name="pg10606_84565"/>
    </w:p>
    <w:p>
      <w:pPr>
        <w:pStyle w:val="Heading2"/>
        <w:numPr>
          <w:ilvl w:val="1"/>
          <w:numId w:val="1"/>
        </w:numPr>
        <w:rPr/>
      </w:pPr>
      <w:bookmarkStart w:id="18" w:name="__RefHeading___Toc3900753_581953129"/>
      <w:bookmarkStart w:id="19" w:name="_Toc6"/>
      <w:bookmarkEnd w:id="17"/>
      <w:bookmarkEnd w:id="18"/>
      <w:r>
        <w:rPr/>
        <w:t>۲</w:t>
      </w:r>
      <w:r>
        <w:rPr>
          <w:rtl w:val="true"/>
        </w:rPr>
        <w:t xml:space="preserve">. </w:t>
      </w:r>
      <w:r>
        <w:rPr>
          <w:rtl w:val="true"/>
        </w:rPr>
        <w:t>شناخت امام زمان عجل الله تعالی فرجه الشریف</w:t>
      </w:r>
      <w:r>
        <w:rPr/>
        <w:t></w:t>
      </w:r>
      <w:bookmarkEnd w:id="19"/>
    </w:p>
    <w:p>
      <w:pPr>
        <w:pStyle w:val="BookText"/>
        <w:rPr/>
      </w:pPr>
      <w:r>
        <w:rPr>
          <w:rFonts w:ascii="IRNazanin" w:hAnsi="IRNazanin" w:eastAsia="IRNazanin"/>
          <w:color w:val="111111"/>
          <w:sz w:val="28"/>
          <w:sz w:val="28"/>
          <w:szCs w:val="28"/>
          <w:rtl w:val="true"/>
          <w:lang w:bidi="fa-IR"/>
        </w:rPr>
        <w:t>شناخت امام، در هر زمان، بر پیروان ضروری است؛ ولی آنچه شناخت آخرین رهبر را از اهمیتی دوچندان برخوردار می‌سازد، موقعیت ویژۀ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پنهان و زیست مخفی و امتحان های دشوار بر حساسیت و سختی این معرفت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پس از شناخت خداوند، اصل شناخت امام، بسیار دشوار و طاقت‌فرساست و پرندۀ اندیشۀ عمومِ مردم را توان پرواز تا آن قلۀ رفیع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از یاران حضرت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باشد، ناگزیر باید قدم دوم را نیز ثابت و استوار بردارد و شناخت آن حضرت را در رأس برنامه‌های خود قرار دهد؛ به گونه‌ای که حاصل این معرفت و شناخت، آن باشد که آن حضرت را همواره ناظر و شاهد اَعمال و رفتار خود بداند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امام خویش را به بهترین وجه می‌شناسند و این شناخت آگاهانه، در تمامی وجودشان رسوخ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یار مهدی شدن، بدون شناخت آن حضرت</w:t>
      </w:r>
    </w:p>
    <w:p>
      <w:pPr>
        <w:pStyle w:val="BookText"/>
        <w:rPr/>
      </w:pPr>
      <w:r>
        <w:rPr>
          <w:rFonts w:ascii="IRNazanin" w:hAnsi="IRNazanin" w:eastAsia="IRNazanin"/>
          <w:color w:val="111111"/>
          <w:sz w:val="28"/>
          <w:sz w:val="28"/>
          <w:szCs w:val="28"/>
          <w:rtl w:val="true"/>
          <w:lang w:bidi="fa-IR"/>
        </w:rPr>
        <w:t>امکان‌پذیر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فراوانی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بمیرد و امام زمان خویش را نشناسد، مرگش مرگ جاهلیت باشد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دنیا رود، درحالی که آشنا به امام خویش باشد، همانند کسی است که در خیمۀ قائم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خدمت آن حضرت باشد</w:t>
      </w:r>
      <w:r>
        <w:rPr>
          <w:rFonts w:eastAsia="IRNazanin" w:cs="IRNazanin"/>
          <w:color w:val="111111"/>
          <w:sz w:val="28"/>
          <w:szCs w:val="28"/>
          <w:rtl w:val="true"/>
          <w:lang w:bidi="fa-IR"/>
        </w:rPr>
        <w:t>.»</w:t>
      </w:r>
      <w:r>
        <w:rPr>
          <w:rStyle w:val="FootnoteAnchor"/>
          <w:rtl w:val="true"/>
        </w:rPr>
        <w:footnoteReference w:id="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حضرت در پس پردۀ غیبت و پنهان‌زیستی هستند، هرگز از چشم معرفت و شناخت انسان‌ها پنهان و غایب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ما خواسته شده، دیدن آن حضرت با بصیرت و آگاهی است، نه با چشم سر؛ آنگونه که عده‌ای تمام همتشان ملاقات با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غافل از این هستیم که اگر معرفت به آن حضرت نباشد، دیدن ایشان فایدۀ کاملی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نبودند کسانی که همواره جمال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زیارت می‌کردند؛ ولی بهرۀ معرفتی چندانی از آن معصومان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آنکس که امامش را شناخت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و قبل از قیام او چهره در خاک کشید، به سانِ کسی است که در سپاه آن حضرت، خدمتگزاری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به سانِ کسی است که زیر پرچم آن حضرت 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شوق دیدار آن حضرت و سعادت دیدن ایشان، اهمیت بسیاری دارد؛ ولی از آن مهم‌تر، شناخت و معرفت امام است که حاصل آن، ارتباط روحی با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تأکید، شیعیان را به شناخت خداوند و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حجت‌های الهی فرا خوانده و اینگونه توصیه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خویشتن را بر من آشنا ساز که اگر خود را به من نشناسانی، فرستادۀ تو را نتوانم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رسول خویش را به من بشناسان که اگر او را به من نشناسانی، هرگز از حجت تو آگاه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از حجت خویش آگاه ساز که اگر حجت خود را به من نشناسانی، در دینم دچار گمراهی خواهم گشت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این دعا از حضرت مهدی</w:t>
      </w:r>
      <w:r>
        <w:rPr>
          <w:rFonts w:ascii="IRNazanin" w:hAnsi="IRNazanin" w:eastAsia="IRNazanin"/>
          <w:color w:val="111111"/>
          <w:sz w:val="28"/>
          <w:sz w:val="28"/>
          <w:szCs w:val="28"/>
          <w:lang w:bidi="fa-IR"/>
        </w:rPr>
        <w:t></w:t>
      </w:r>
      <w:bookmarkStart w:id="20" w:name="pg10606_84569"/>
    </w:p>
    <w:p>
      <w:pPr>
        <w:pStyle w:val="BookText"/>
        <w:rPr/>
      </w:pPr>
      <w:bookmarkEnd w:id="20"/>
      <w:r>
        <w:rPr>
          <w:rFonts w:ascii="IRNazanin" w:hAnsi="IRNazanin" w:eastAsia="IRNazanin"/>
          <w:color w:val="111111"/>
          <w:sz w:val="28"/>
          <w:sz w:val="28"/>
          <w:szCs w:val="28"/>
          <w:rtl w:val="true"/>
          <w:lang w:bidi="fa-IR"/>
        </w:rPr>
        <w:t>نیز نقل شده که نشان دهندۀ اهمیت آن است</w:t>
      </w:r>
      <w:r>
        <w:rPr>
          <w:rFonts w:eastAsia="IRNazanin" w:cs="IRNazanin"/>
          <w:color w:val="111111"/>
          <w:sz w:val="28"/>
          <w:szCs w:val="28"/>
          <w:rtl w:val="true"/>
          <w:lang w:bidi="fa-IR"/>
        </w:rPr>
        <w:t>.</w:t>
      </w:r>
      <w:r>
        <w:rPr>
          <w:rStyle w:val="FootnoteAnchor"/>
          <w:rtl w:val="true"/>
        </w:rPr>
        <w:footnoteReference w:id="9"/>
      </w:r>
    </w:p>
    <w:p>
      <w:pPr>
        <w:pStyle w:val="Heading2"/>
        <w:numPr>
          <w:ilvl w:val="1"/>
          <w:numId w:val="1"/>
        </w:numPr>
        <w:rPr/>
      </w:pPr>
      <w:bookmarkStart w:id="21" w:name="__RefHeading___Toc3900755_581953129"/>
      <w:bookmarkStart w:id="22" w:name="_Toc7"/>
      <w:bookmarkEnd w:id="21"/>
      <w:r>
        <w:rPr/>
        <w:t>۳</w:t>
      </w:r>
      <w:r>
        <w:rPr>
          <w:rtl w:val="true"/>
        </w:rPr>
        <w:t xml:space="preserve">. </w:t>
      </w:r>
      <w:r>
        <w:rPr>
          <w:rtl w:val="true"/>
        </w:rPr>
        <w:t>سرسپردگی محض</w:t>
      </w:r>
      <w:bookmarkEnd w:id="22"/>
    </w:p>
    <w:p>
      <w:pPr>
        <w:pStyle w:val="BookText"/>
        <w:rPr/>
      </w:pPr>
      <w:r>
        <w:rPr>
          <w:rFonts w:ascii="IRNazanin" w:hAnsi="IRNazanin" w:eastAsia="IRNazanin"/>
          <w:color w:val="111111"/>
          <w:sz w:val="28"/>
          <w:sz w:val="28"/>
          <w:szCs w:val="28"/>
          <w:rtl w:val="true"/>
          <w:lang w:bidi="fa-IR"/>
        </w:rPr>
        <w:t>پس از شناخت خداوند و امامزمان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زمان عملیاتی ساختن اعتقاد و تبلور حقیقی آن، در اطاعت محض از آن انوار پاک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سوکردن رفتارها و نیت‌ها و جهت‌گیری‌ها طبق خواست رهبر، یکی از ویژگی‌های مهم رهروان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مرحلۀ شناخت، تاحدّامکان معرفت کسب کند، در مرحلۀ اطاعت نیز دچار تردید نخواهد شد؛ حال آنکه اگر کسی در آن مرحله، دچار تردید و نقصان شود، در مرحلۀ اطاعت، هرگز پیرو خوبی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امام از جنس اطاعت از</w:t>
      </w:r>
    </w:p>
    <w:p>
      <w:pPr>
        <w:pStyle w:val="BookText"/>
        <w:rPr/>
      </w:pPr>
      <w:r>
        <w:rPr>
          <w:rFonts w:ascii="IRNazanin" w:hAnsi="IRNazanin" w:eastAsia="IRNazanin"/>
          <w:color w:val="111111"/>
          <w:sz w:val="28"/>
          <w:sz w:val="28"/>
          <w:szCs w:val="28"/>
          <w:rtl w:val="true"/>
          <w:lang w:bidi="fa-IR"/>
        </w:rPr>
        <w:t>خداوند متعال است؛ زیرا وقتی کلام الهی در دشت جان مؤمنان طنین اندازد، خداوند اطاعت پیامبر و امامان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هم ردیف اطاعت از خود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 اطاعت کنید و همچنین، پیامبر و اولی الامر خود را</w:t>
      </w:r>
      <w:r>
        <w:rPr>
          <w:rFonts w:eastAsia="IRNazanin" w:cs="IRNazanin"/>
          <w:color w:val="111111"/>
          <w:sz w:val="28"/>
          <w:szCs w:val="28"/>
          <w:rtl w:val="true"/>
          <w:lang w:bidi="fa-IR"/>
        </w:rPr>
        <w:t>.»</w:t>
      </w:r>
      <w:r>
        <w:rPr>
          <w:rStyle w:val="FootnoteAnchor"/>
          <w:rtl w:val="true"/>
        </w:rPr>
        <w:footnoteReference w:id="10"/>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اکنون حضرت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پس پردۀ غیبت هستند، می‌بایست به اراده و فرمان ایشان گردن نهاد؛ زیرا اگر کسی اکنون از دستورهای آن حضرت اطاعت کند، در زمان ظهور نیز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دراین 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به حضور قائم باریابد و حال آنکه پیش از قیام نیز پیرو او باشد؛ با دوست او، دوست و با دشمن او، دشمن و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رهبران و پیشوایان هدایت گر پیش از او نیز دوست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همنشین و دوستان من و گرامی‌ترین امت من نزد من هستند</w:t>
      </w:r>
      <w:r>
        <w:rPr>
          <w:rFonts w:eastAsia="IRNazanin" w:cs="IRNazanin"/>
          <w:color w:val="111111"/>
          <w:sz w:val="28"/>
          <w:szCs w:val="28"/>
          <w:rtl w:val="true"/>
          <w:lang w:bidi="fa-IR"/>
        </w:rPr>
        <w:t>.»</w:t>
      </w:r>
      <w:r>
        <w:rPr>
          <w:rStyle w:val="FootnoteAnchor"/>
          <w:rtl w:val="true"/>
        </w:rPr>
        <w:footnoteReference w:id="11"/>
      </w:r>
      <w:bookmarkStart w:id="23" w:name="pg10606_84571"/>
    </w:p>
    <w:p>
      <w:pPr>
        <w:pStyle w:val="Heading2"/>
        <w:numPr>
          <w:ilvl w:val="1"/>
          <w:numId w:val="1"/>
        </w:numPr>
        <w:rPr/>
      </w:pPr>
      <w:bookmarkStart w:id="24" w:name="__RefHeading___Toc3900757_581953129"/>
      <w:bookmarkStart w:id="25" w:name="_Toc8"/>
      <w:bookmarkEnd w:id="23"/>
      <w:bookmarkEnd w:id="24"/>
      <w:r>
        <w:rPr/>
        <w:t>۴</w:t>
      </w:r>
      <w:r>
        <w:rPr>
          <w:rtl w:val="true"/>
        </w:rPr>
        <w:t xml:space="preserve">. </w:t>
      </w:r>
      <w:r>
        <w:rPr>
          <w:rtl w:val="true"/>
        </w:rPr>
        <w:t>احترام خالصانه</w:t>
      </w:r>
      <w:bookmarkEnd w:id="25"/>
    </w:p>
    <w:p>
      <w:pPr>
        <w:pStyle w:val="BookText"/>
        <w:rPr/>
      </w:pPr>
      <w:r>
        <w:rPr>
          <w:rFonts w:ascii="IRNazanin" w:hAnsi="IRNazanin" w:eastAsia="IRNazanin"/>
          <w:color w:val="111111"/>
          <w:sz w:val="28"/>
          <w:sz w:val="28"/>
          <w:szCs w:val="28"/>
          <w:rtl w:val="true"/>
          <w:lang w:bidi="fa-IR"/>
        </w:rPr>
        <w:t>ازآنجاکه امام حقّ بزرگی بر گردن پیروان دارند، خداوند احترام ایشان را بر پیروان لازم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هر آنچه مایۀ بزرگداشت ایشان می‌شود، یاران آن حضرت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روحیه را در زمان غیبت در خود ایجاد کرده‌اند تا در زمان ظهور نیز با این ملکۀ نفسانی، همواره و در همۀ لحظات، احترام آن حضرت را نگاه دارند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به عنوان معلمان انسان‌ها، هرگز از این مهم غفلت نکرده‌اند و عظمت آخرین معصوم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آن بزرگواران را به تکریم و احترام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دعبل خزاعی قصیده‌ای برای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خواند که در فرازهایی از آن، به حضرت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اشاره شده بود، 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احترام ذکر نام مقدس ایشان متواضعانه برخاستند، دست بر سر نهادند و</w:t>
      </w:r>
    </w:p>
    <w:p>
      <w:pPr>
        <w:pStyle w:val="BookText"/>
        <w:rPr/>
      </w:pPr>
      <w:r>
        <w:rPr>
          <w:rFonts w:ascii="IRNazanin" w:hAnsi="IRNazanin" w:eastAsia="IRNazanin"/>
          <w:color w:val="111111"/>
          <w:sz w:val="28"/>
          <w:sz w:val="28"/>
          <w:szCs w:val="28"/>
          <w:rtl w:val="true"/>
          <w:lang w:bidi="fa-IR"/>
        </w:rPr>
        <w:t>برای فرج قائم آل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دعا کردند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به راستی، کسی که از احترام اندکی مثل برپاخاستن هنگام شنیدن نام آن حضرت کوتاهی می کند، چگونه ممکن است در عصر ظهور، به تکریم آن حضرت بپردازد و از جان خود بگذرد؟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هنگام شنیدن نام قائم، لازم است برخیزیم؟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 حضرت، غیبتی طولانی است و این لقب، یادآور دولت برحقّ آن حضرت و ابراز تأسف بر غربت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آن حضرت از فرط محبت و مرحمتی که به دوستانش دارد، به هرکس که حضرتش را به این لقب یاد کند، نگاه محبت‌آمیزی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تجلیل و تعظیم دربرابر آن حضرت این است که هر بندۀ خاضعی، درمقابل صاحب عصر خود، هنگامی که مولای بزرگوارش به سوی او بنگرد، ازجای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برخیزد و تعجیل در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فرج امر مولایش را از خداوند طلب کند</w:t>
      </w:r>
      <w:r>
        <w:rPr>
          <w:rFonts w:eastAsia="IRNazanin" w:cs="IRNazanin"/>
          <w:color w:val="111111"/>
          <w:sz w:val="28"/>
          <w:szCs w:val="28"/>
          <w:rtl w:val="true"/>
          <w:lang w:bidi="fa-IR"/>
        </w:rPr>
        <w:t>.»</w:t>
      </w:r>
      <w:r>
        <w:rPr>
          <w:rStyle w:val="FootnoteAnchor"/>
          <w:rtl w:val="true"/>
        </w:rPr>
        <w:footnoteReference w:id="1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حکمت یادشده، از حکمت اجتماعی نیز نباید غفلت شود و آن، آمادگی افراد در هر لحظه، برای قیام و مبارزه و جهاد در راه تحکیم عدالت اجتماعی و حفظ حقوق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شیعۀ منتظر، بلکه هر مسلمان، در عصر غیبت باید همواره چنین هدفی داشته باشد و در راه تحقق آن، به شیوه های گوناگون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آمادگی را داشته باشد که هرگاه، نام پیشوای قیام ذکر می‌شود، به پا خیزد و آمادگی همه جانبۀ خود را نشان دهد و این آمادگی را همیشه به خود و دیگران تلقین و در خود و دیگران تحکیم کند</w:t>
      </w:r>
      <w:r>
        <w:rPr>
          <w:rFonts w:eastAsia="IRNazanin" w:cs="IRNazanin"/>
          <w:color w:val="111111"/>
          <w:sz w:val="28"/>
          <w:szCs w:val="28"/>
          <w:rtl w:val="true"/>
          <w:lang w:bidi="fa-IR"/>
        </w:rPr>
        <w:t>.</w:t>
      </w:r>
      <w:r>
        <w:rPr>
          <w:rStyle w:val="FootnoteAnchor"/>
          <w:rtl w:val="true"/>
        </w:rPr>
        <w:footnoteReference w:id="14"/>
      </w:r>
      <w:bookmarkStart w:id="26" w:name="pg10606_84575"/>
    </w:p>
    <w:p>
      <w:pPr>
        <w:pStyle w:val="Heading2"/>
        <w:numPr>
          <w:ilvl w:val="1"/>
          <w:numId w:val="1"/>
        </w:numPr>
        <w:rPr/>
      </w:pPr>
      <w:bookmarkStart w:id="27" w:name="__RefHeading___Toc3900759_581953129"/>
      <w:bookmarkStart w:id="28" w:name="_Toc9"/>
      <w:bookmarkEnd w:id="26"/>
      <w:bookmarkEnd w:id="27"/>
      <w:r>
        <w:rPr/>
        <w:t>۵</w:t>
      </w:r>
      <w:r>
        <w:rPr>
          <w:rtl w:val="true"/>
        </w:rPr>
        <w:t xml:space="preserve">. </w:t>
      </w:r>
      <w:r>
        <w:rPr>
          <w:rtl w:val="true"/>
        </w:rPr>
        <w:t>انتظار راستین</w:t>
      </w:r>
      <w:bookmarkEnd w:id="28"/>
    </w:p>
    <w:p>
      <w:pPr>
        <w:pStyle w:val="BookText"/>
        <w:rPr/>
      </w:pPr>
      <w:r>
        <w:rPr>
          <w:rFonts w:ascii="IRNazanin" w:hAnsi="IRNazanin" w:eastAsia="IRNazanin"/>
          <w:color w:val="111111"/>
          <w:sz w:val="28"/>
          <w:sz w:val="28"/>
          <w:szCs w:val="28"/>
          <w:rtl w:val="true"/>
          <w:lang w:bidi="fa-IR"/>
        </w:rPr>
        <w:t>باورداشتن به انتظار راستین که اساس شخصیت یاران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شکل می‌دهد، پیشینه‌ای بس طولانی در تاریخ شیعه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انتظارِ حیات‌بخش در فرهنگ‌ها و ادیان گذشته نیز توجه و اهتمام میشده است؛ ولی زمانی جهت گرفت و مصداق یافت که آخرین فرستادۀ الهی، بر بام نبوت بانگ برآورد و انسان‌ها را به روزگاری سراسر نور نوید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پایان نرسد؛ مگر آنکه امتِ مرا مردی رهبری کند که از اهل‌بیت من است و به او مهدی می گویند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قرن‌ها از آن بانگ ملکوتی می‌گذرد؛ ولی همچنان طنین دل‌نشین و امیدبخش آن ندای ملکوتی، در گوش انسان‌هاست و این بشارت بزرگ، زندگی مردمان را در عصر پایدار و بلند انتظار، با تاریخی روشن از نمودها و جلوه‌های فکری و عملی، روزبه روز، به آن دروازۀ روشنایی نزدیک‌تر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رهیافت، ارزشی بس والا دارد، زمینه‌سازی برای ایجاد آن حکومت موعود است؛ اگرچه زمان برپایی آن، از اسرار الهی بوده و فقط در ارادۀ</w:t>
      </w:r>
    </w:p>
    <w:p>
      <w:pPr>
        <w:pStyle w:val="BookText"/>
        <w:rPr/>
      </w:pP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به معنای چشم به راه بودن و درنگ کردن به امید پیشامدی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کیفیتی روحی است که موجب به وجودآمدن حالت آمادگی برای چیزی میشود که انتظار آن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انتظار، یأس و ناامیدی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در فرهنگ مهدویت، بیش از هر چیز، مشتمل بر عنصر خوش‌بینی به روند کلّی نظام طبیعت و سِیر تکاملی تاریخ و اطمینان به آینده است و نیز طرد عنصر بدبینی دربارۀ پایان کار بشر که طبق بسیاری از نظریه‌ها و فرضیه‌ها، فوق‌العاده تاریک و ظلمانی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و آرزوی تحقق این نوید کلّیِ جهانی و انسانی، در روایات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و عبادت، بلکه برترین عبادات، شمرده شده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 انتظار آن روز موعود و لحظه‌شماری در فرارسیدن حکومت حق که فقط به دست آن حضرت تشکیل می‌شود، تأکید فراوانی کرده، آنرا از اصول اساسی</w:t>
      </w:r>
    </w:p>
    <w:p>
      <w:pPr>
        <w:pStyle w:val="BookText"/>
        <w:rPr/>
      </w:pPr>
      <w:r>
        <w:rPr>
          <w:rFonts w:ascii="IRNazanin" w:hAnsi="IRNazanin" w:eastAsia="IRNazanin"/>
          <w:color w:val="111111"/>
          <w:sz w:val="28"/>
          <w:sz w:val="28"/>
          <w:szCs w:val="28"/>
          <w:rtl w:val="true"/>
          <w:lang w:bidi="fa-IR"/>
        </w:rPr>
        <w:t>دین‌داری شمرده و پاداش‌های بزرگی برای منتظران آن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ازهمین رو، عالمانِ بزرگ، انتظار را یکی از وظایف مهم مردم در عصر غیبت و عنصری اساسی در زمینه‌سازی و حفظ روحیۀ مناسب برای درک زمان ظهور می دانند و همواره مؤمنان را به رعایت این وظیفۀ خطیر، با گفتار و کردار، ترغیب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انتظار فرج و ارج و اهمیت آن، احادیث فراوانی از پیشوایان معصوم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کارهای امت من، انتظار فرج از خدای عزّوجل است</w:t>
      </w:r>
      <w:r>
        <w:rPr>
          <w:rFonts w:eastAsia="IRNazanin" w:cs="IRNazanin"/>
          <w:color w:val="111111"/>
          <w:sz w:val="28"/>
          <w:szCs w:val="28"/>
          <w:rtl w:val="true"/>
          <w:lang w:bidi="fa-IR"/>
        </w:rPr>
        <w:t>.»</w:t>
      </w:r>
      <w:r>
        <w:rPr>
          <w:rStyle w:val="FootnoteAnchor"/>
          <w:rtl w:val="true"/>
        </w:rPr>
        <w:footnoteReference w:id="1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انتظار از نوع عمل و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بخواهد از یاران قائم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شود، باید منتظر باشد و با خوی‌های پسندیده عمل کند و با چنین حالی منتظر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بمیرد و پس از مردنش، قائم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پا خیزد، پاداش او همچون کسی خواهد</w:t>
      </w:r>
      <w:bookmarkStart w:id="29" w:name="pg10606_84578"/>
    </w:p>
    <w:p>
      <w:pPr>
        <w:pStyle w:val="BookText"/>
        <w:rPr/>
      </w:pPr>
      <w:bookmarkEnd w:id="29"/>
      <w:r>
        <w:rPr>
          <w:rFonts w:ascii="IRNazanin" w:hAnsi="IRNazanin" w:eastAsia="IRNazanin"/>
          <w:color w:val="111111"/>
          <w:sz w:val="28"/>
          <w:sz w:val="28"/>
          <w:szCs w:val="28"/>
          <w:rtl w:val="true"/>
          <w:lang w:bidi="fa-IR"/>
        </w:rPr>
        <w:t>بود که در دوران حکومت، آن حضرت را درک کرده باشد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احادیث فراوانی آمده است که انتظار فرج و چشمداشتن به ظهور، باید با مواظبت بر وظایف شرعی و فضایل اخلاقی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درک ظهور حضرت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مفهوم انتظار نهفته است و این، کاملاً با برداشت ناصحیح از انتظار که ثمره‌اش رخوت و سستی جامعه است، متضاد خواهد بود</w:t>
      </w:r>
      <w:r>
        <w:rPr>
          <w:rFonts w:eastAsia="IRNazanin" w:cs="IRNazanin"/>
          <w:color w:val="111111"/>
          <w:sz w:val="28"/>
          <w:szCs w:val="28"/>
          <w:rtl w:val="true"/>
          <w:lang w:bidi="fa-IR"/>
        </w:rPr>
        <w:t>.</w:t>
      </w:r>
    </w:p>
    <w:p>
      <w:pPr>
        <w:pStyle w:val="Heading2"/>
        <w:numPr>
          <w:ilvl w:val="1"/>
          <w:numId w:val="1"/>
        </w:numPr>
        <w:rPr/>
      </w:pPr>
      <w:bookmarkStart w:id="30" w:name="__RefHeading___Toc3900761_581953129"/>
      <w:bookmarkStart w:id="31" w:name="_Toc10"/>
      <w:bookmarkEnd w:id="30"/>
      <w:r>
        <w:rPr/>
        <w:t>۶</w:t>
      </w:r>
      <w:r>
        <w:rPr>
          <w:rtl w:val="true"/>
        </w:rPr>
        <w:t xml:space="preserve">. </w:t>
      </w:r>
      <w:r>
        <w:rPr>
          <w:rtl w:val="true"/>
        </w:rPr>
        <w:t>آمادگی برای خدمت به مهدی</w:t>
      </w:r>
      <w:r>
        <w:rPr/>
        <w:t></w:t>
      </w:r>
      <w:bookmarkEnd w:id="3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وجودشان سرشار از عشق خداوند و اولیای اوست، اگر عصر ظهور را درک کنند، بزرگ‌ترین افتخارشان خدمت به مهدی آل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باورکردن این سخن</w:t>
      </w:r>
    </w:p>
    <w:p>
      <w:pPr>
        <w:pStyle w:val="BookText"/>
        <w:rPr/>
      </w:pPr>
      <w:r>
        <w:rPr>
          <w:rFonts w:ascii="IRNazanin" w:hAnsi="IRNazanin" w:eastAsia="IRNazanin"/>
          <w:color w:val="111111"/>
          <w:sz w:val="28"/>
          <w:sz w:val="28"/>
          <w:szCs w:val="28"/>
          <w:rtl w:val="true"/>
          <w:lang w:bidi="fa-IR"/>
        </w:rPr>
        <w:t>مشکل باشد که رئیس مذهب شیعه که هزاران دانشمند، زانوی ادب و دانشجویی در محضر کلامشان بر زمین می‌نهادند و شاگردان اَدبستان ایشان، عقابان تیزپرواز آسمان اندیشه و علم بودند، آنگاه که نام آخرین ذخیرۀ الهی را نزد ایشان می بردند، با حسرتی برآمده از عمق جان و آرزویی بی‌مانند، آهی از نهاد برمی آوردند 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درک کنم، در تمام روزهای زندگانی‌ام، خدمتگزار او خواهم بود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هرکس بخواهد در آن روزگار، خدمت به آن حضرت نصیبش شود، می‌بایست در دوران غیبت، خدمت به آن حضرت و یاران ایشان را سرلوحۀ کارهای خود قرار دهد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خادمان دوران ظهور، همان خادمان دوران غیبت اند و خشنودکردن آن حضرت، با هر رفتاری که انجام شود، بزرگ‌ترین خدمت به ایشان است؛ همان‌گونه که نگران کردن</w:t>
      </w:r>
      <w:bookmarkStart w:id="32" w:name="pg10606_84580"/>
    </w:p>
    <w:p>
      <w:pPr>
        <w:pStyle w:val="BookText"/>
        <w:rPr/>
      </w:pPr>
      <w:bookmarkEnd w:id="32"/>
      <w:r>
        <w:rPr>
          <w:rFonts w:ascii="IRNazanin" w:hAnsi="IRNazanin" w:eastAsia="IRNazanin"/>
          <w:color w:val="111111"/>
          <w:sz w:val="28"/>
          <w:sz w:val="28"/>
          <w:szCs w:val="28"/>
          <w:rtl w:val="true"/>
          <w:lang w:bidi="fa-IR"/>
        </w:rPr>
        <w:t>و اذیت و آزار ایشان، با رفتاری ناشایست، خیانتی بس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راستین و علاقه‌مند به حضرت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باید تمامی لحظه‌های زندگی‌اش را در خدمت به ایشان سپری کند</w:t>
      </w:r>
      <w:r>
        <w:rPr>
          <w:rFonts w:eastAsia="IRNazanin" w:cs="IRNazanin"/>
          <w:color w:val="111111"/>
          <w:sz w:val="28"/>
          <w:szCs w:val="28"/>
          <w:rtl w:val="true"/>
          <w:lang w:bidi="fa-IR"/>
        </w:rPr>
        <w:t>.</w:t>
      </w:r>
    </w:p>
    <w:p>
      <w:pPr>
        <w:pStyle w:val="Heading2"/>
        <w:numPr>
          <w:ilvl w:val="1"/>
          <w:numId w:val="1"/>
        </w:numPr>
        <w:rPr/>
      </w:pPr>
      <w:bookmarkStart w:id="33" w:name="__RefHeading___Toc3900763_581953129"/>
      <w:bookmarkStart w:id="34" w:name="_Toc11"/>
      <w:bookmarkEnd w:id="33"/>
      <w:r>
        <w:rPr/>
        <w:t>۷</w:t>
      </w:r>
      <w:r>
        <w:rPr>
          <w:rtl w:val="true"/>
        </w:rPr>
        <w:t xml:space="preserve">. </w:t>
      </w:r>
      <w:r>
        <w:rPr>
          <w:rtl w:val="true"/>
        </w:rPr>
        <w:t>خودسازی و دیگرسازی</w:t>
      </w:r>
      <w:bookmarkEnd w:id="3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دین‌داری در عصر غیبت حضرت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هر زمان دیگری مشکل‌تر و طاقت فرساتر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آن سوی قرن‌ها، سختی این دوران را اینگونه تصویر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امر را غیبتی است که در آن، هرکس از دین خود دست برندارد، همانند کسی است که با کشیدن دست خود به ساقۀ فتاد که بوته‌ای تیغ‌دار است، خارهای آنرا بستُرَد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مدتی سر به زیر افکندند و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امر، دارای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غیبتی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بندۀ خدا باید پرهیزکاری و تقوا پیشه کند و به دین خود پایدار باشد</w:t>
      </w:r>
      <w:r>
        <w:rPr>
          <w:rFonts w:eastAsia="IRNazanin" w:cs="IRNazanin"/>
          <w:color w:val="111111"/>
          <w:sz w:val="28"/>
          <w:szCs w:val="28"/>
          <w:rtl w:val="true"/>
          <w:lang w:bidi="fa-IR"/>
        </w:rPr>
        <w:t>... .»</w:t>
      </w:r>
      <w:r>
        <w:rPr>
          <w:rStyle w:val="FootnoteAnchor"/>
          <w:rtl w:val="true"/>
        </w:rPr>
        <w:footnoteReference w:id="18"/>
      </w:r>
      <w:r>
        <w:rPr>
          <w:rFonts w:ascii="IRNazanin" w:hAnsi="IRNazanin" w:eastAsia="IRNazanin"/>
          <w:color w:val="111111"/>
          <w:sz w:val="28"/>
          <w:sz w:val="28"/>
          <w:szCs w:val="28"/>
          <w:rtl w:val="true"/>
          <w:lang w:bidi="fa-IR"/>
        </w:rPr>
        <w:t>آزمایش‌های دینی برای همۀ ایمان آورندگان و در همۀ زمان‌ها، قانونی الهی است؛ اما در عصر غیبت، تمامی عوامل دست به دست هم داده و این آزمایش را به کمال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نگه داشتن دین بسیار دشوار است و بیشتر مردم، به انگیزه‌های گوناگون، ایمان دینی خود را در زندگی ازدست می‌دهند و دین را کنار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زمینه‌های ناباوری و افزایش انگیزه‌های انحراف و گریز از دین و نیز ستیزه‌جویی‌های دشمنان با دین‌دارای، از عوامل بسیار مهم این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این گرداب‌های ترسناک، دین خود را حفظ می‌کنند، از شأن و رتبه‌ای بس رفیع برخوردار خواهند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بزرگ‌ترین مردمان در ایمان و یقین، کسانی هستند</w:t>
      </w:r>
    </w:p>
    <w:p>
      <w:pPr>
        <w:pStyle w:val="BookText"/>
        <w:rPr/>
      </w:pPr>
      <w:r>
        <w:rPr>
          <w:rFonts w:ascii="IRNazanin" w:hAnsi="IRNazanin" w:eastAsia="IRNazanin"/>
          <w:color w:val="111111"/>
          <w:sz w:val="28"/>
          <w:sz w:val="28"/>
          <w:szCs w:val="28"/>
          <w:rtl w:val="true"/>
          <w:lang w:bidi="fa-IR"/>
        </w:rPr>
        <w:t>که در واپسین روزگار می‌زیند؛ پیامبرشان را مشاهده نکرده اند و امامشان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سبب خواندن خطی بر روی کاغذ ایمان می‌آورند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انسانِ این دوران، برخلاف انسان معاصر با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از تمامی دریافت‌های حسی به دور است و فقط براساس درک عقلی و تاریخی،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می‌شناسد و به رسالت و امامت آنان ایمان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دراین 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مردمان زمان غیبت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امامتش را باور دارند و منتظر ظهور اویند، از مردمان همۀ زمان‌ها برترند؛ زیرا چنان عقل‌ها و فهم‌ها و شناخت آنان قوت بخشیده شده است که غیبت نزد آنان، همچون دیدن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به حق، اخلاص‌ورزان اند</w:t>
      </w:r>
      <w:r>
        <w:rPr>
          <w:rFonts w:eastAsia="IRNazanin" w:cs="IRNazanin"/>
          <w:color w:val="111111"/>
          <w:sz w:val="28"/>
          <w:szCs w:val="28"/>
          <w:rtl w:val="true"/>
          <w:lang w:bidi="fa-IR"/>
        </w:rPr>
        <w:t>.»</w:t>
      </w:r>
      <w:r>
        <w:rPr>
          <w:rStyle w:val="FootnoteAnchor"/>
          <w:rtl w:val="true"/>
        </w:rPr>
        <w:footnoteReference w:id="2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موفقیت در این آزمایش، نیازمند بینشی است که انسان دین‌دار در پرتو آن بتواند دربرابر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تحریف‌ها و شُبهه‌ها و تردیدها، دین خود را حفظ کند و با هیچیک از عوامل انحراف، خلوص دینی و دین‌داری خود را در فکر و عمل ازدست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مصداق این سخن رسول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خواهد بود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پس از شما کسانی می‌آیند که یک نفر از آنان، پاداش پنجاه نفر از شما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ما در جنگ بدر و اُحد و حنین، در رکاب شما جهاد کردیم و دربارۀ ما آیۀ قرآن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آنچه از آزارها و رنج‌ها که بر آنان می‌رسد، بر شما آید، به سانِ آنان شکیبایی نخواهید داشت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آری، پایداری بر دین در روزگار غیبت، به تحمل سختی‌ها، ترس‌ها، محرومیت‌ها و تنگناهای مادی خلاصه نمی‌شود؛ بلکه تحمل فشارهای سخت روحی و معنوی نیز بر آنها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دین‌داری با صبر و شکیباییِ درست و آگاهانه ای توأم نباشد، به تدریج،</w:t>
      </w:r>
      <w:bookmarkStart w:id="35" w:name="pg10606_84585"/>
    </w:p>
    <w:p>
      <w:pPr>
        <w:pStyle w:val="BookText"/>
        <w:rPr/>
      </w:pPr>
      <w:bookmarkEnd w:id="35"/>
      <w:r>
        <w:rPr>
          <w:rFonts w:ascii="IRNazanin" w:hAnsi="IRNazanin" w:eastAsia="IRNazanin"/>
          <w:color w:val="111111"/>
          <w:sz w:val="28"/>
          <w:sz w:val="28"/>
          <w:szCs w:val="28"/>
          <w:rtl w:val="true"/>
          <w:lang w:bidi="fa-IR"/>
        </w:rPr>
        <w:t xml:space="preserve">ناامیدی‌ها پدیدار میشود و باور را از روح و فکر می‌زداید </w:t>
      </w:r>
      <w:r>
        <w:rPr>
          <w:rFonts w:eastAsia="IRNazanin" w:cs="IRNazanin"/>
          <w:color w:val="111111"/>
          <w:sz w:val="28"/>
          <w:szCs w:val="28"/>
          <w:rtl w:val="true"/>
          <w:lang w:bidi="fa-IR"/>
        </w:rPr>
        <w:t>.</w:t>
      </w:r>
      <w:r>
        <w:rPr>
          <w:rStyle w:val="FootnoteAnchor"/>
          <w:rtl w:val="true"/>
        </w:rPr>
        <w:footnoteReference w:id="22"/>
      </w:r>
    </w:p>
    <w:p>
      <w:pPr>
        <w:pStyle w:val="Heading2"/>
        <w:numPr>
          <w:ilvl w:val="1"/>
          <w:numId w:val="1"/>
        </w:numPr>
        <w:rPr/>
      </w:pPr>
      <w:bookmarkStart w:id="36" w:name="__RefHeading___Toc3900765_581953129"/>
      <w:bookmarkStart w:id="37" w:name="_Toc12"/>
      <w:bookmarkEnd w:id="36"/>
      <w:r>
        <w:rPr>
          <w:rtl w:val="true"/>
        </w:rPr>
        <w:t>برای مطالعه بیشتر</w:t>
      </w:r>
      <w:bookmarkEnd w:id="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الاثر، لطفالله صافی 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محمدرضا حکیمی، خورشید مغرب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دادگستر جهان، آیةالله ابراهیم امینی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 وآسیبهای فرارو، حسین ایرانی، کتابچه رهنما، معاونت تبلیغات و ارتباطات اسلامی، ش</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حکومت مهدوی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رحیم کارگر ،کتابچه رهنما، معاونت تبلیغات و ارتباطات اسلامی، ش</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 شهر مهدوی، محمدحسین پورامینی، کتاب دین، نشاط و زندگی، معاونت تبلیغات و ارتباطات اسلامی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 باقر مجلسی بحارالانوار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 باقر مجلسی 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الاسلامیه ص </w:t>
      </w:r>
      <w:r>
        <w:rPr>
          <w:rFonts w:eastAsia="IRNazanin" w:cs="IRNazanin"/>
          <w:b w:val="false"/>
          <w:bCs w:val="false"/>
          <w:i w:val="false"/>
          <w:iCs w:val="false"/>
          <w:color w:val="333333"/>
          <w:sz w:val="20"/>
          <w:szCs w:val="20"/>
        </w:rPr>
        <w:t>409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غیبت دارالکتب الاسلامیه ص </w:t>
      </w:r>
      <w:r>
        <w:rPr>
          <w:rFonts w:eastAsia="IRNazanin" w:cs="IRNazanin"/>
          <w:b w:val="false"/>
          <w:bCs w:val="false"/>
          <w:i w:val="false"/>
          <w:iCs w:val="false"/>
          <w:color w:val="333333"/>
          <w:sz w:val="20"/>
          <w:szCs w:val="20"/>
        </w:rPr>
        <w:t>331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الاسلامیه ص </w:t>
      </w:r>
      <w:r>
        <w:rPr>
          <w:rFonts w:eastAsia="IRNazanin" w:cs="IRNazanin"/>
          <w:b w:val="false"/>
          <w:bCs w:val="false"/>
          <w:i w:val="false"/>
          <w:iCs w:val="false"/>
          <w:color w:val="333333"/>
          <w:sz w:val="20"/>
          <w:szCs w:val="20"/>
        </w:rPr>
        <w:t>371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الاسلامیه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کمال الدین و تمام النعمه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59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الغیبه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کمال الدین و تمام النعمه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گلپایگانی منتخب الاثر ص </w:t>
      </w:r>
      <w:r>
        <w:rPr>
          <w:rFonts w:eastAsia="IRNazanin" w:cs="IRNazanin"/>
          <w:b w:val="false"/>
          <w:bCs w:val="false"/>
          <w:i w:val="false"/>
          <w:iCs w:val="false"/>
          <w:color w:val="333333"/>
          <w:sz w:val="20"/>
          <w:szCs w:val="20"/>
        </w:rPr>
        <w:t>640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گلپایگانی منتخب الاثر ص </w:t>
      </w:r>
      <w:r>
        <w:rPr>
          <w:rFonts w:eastAsia="IRNazanin" w:cs="IRNazanin"/>
          <w:b w:val="false"/>
          <w:bCs w:val="false"/>
          <w:i w:val="false"/>
          <w:iCs w:val="false"/>
          <w:color w:val="333333"/>
          <w:sz w:val="20"/>
          <w:szCs w:val="20"/>
        </w:rPr>
        <w:t>640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حکیمی خورشید مغرب ص </w:t>
      </w:r>
      <w:r>
        <w:rPr>
          <w:rFonts w:eastAsia="IRNazanin" w:cs="IRNazanin"/>
          <w:b w:val="false"/>
          <w:bCs w:val="false"/>
          <w:i w:val="false"/>
          <w:iCs w:val="false"/>
          <w:color w:val="333333"/>
          <w:sz w:val="20"/>
          <w:szCs w:val="20"/>
        </w:rPr>
        <w:t>264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ص </w:t>
      </w:r>
      <w:r>
        <w:rPr>
          <w:rFonts w:eastAsia="IRNazanin" w:cs="IRNazanin"/>
          <w:b w:val="false"/>
          <w:bCs w:val="false"/>
          <w:i w:val="false"/>
          <w:iCs w:val="false"/>
          <w:color w:val="333333"/>
          <w:sz w:val="20"/>
          <w:szCs w:val="20"/>
        </w:rPr>
        <w:t>644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غیبت ص </w:t>
      </w:r>
      <w:r>
        <w:rPr>
          <w:rFonts w:eastAsia="IRNazanin" w:cs="IRNazanin"/>
          <w:b w:val="false"/>
          <w:bCs w:val="false"/>
          <w:i w:val="false"/>
          <w:iCs w:val="false"/>
          <w:color w:val="333333"/>
          <w:sz w:val="20"/>
          <w:szCs w:val="20"/>
        </w:rPr>
        <w:t>200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غیبت ص </w:t>
      </w:r>
      <w:r>
        <w:rPr>
          <w:rFonts w:eastAsia="IRNazanin" w:cs="IRNazanin"/>
          <w:b w:val="false"/>
          <w:bCs w:val="false"/>
          <w:i w:val="false"/>
          <w:iCs w:val="false"/>
          <w:color w:val="333333"/>
          <w:sz w:val="20"/>
          <w:szCs w:val="20"/>
        </w:rPr>
        <w:t>245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غیبت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غیبت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ص </w:t>
      </w:r>
      <w:r>
        <w:rPr>
          <w:rFonts w:eastAsia="IRNazanin" w:cs="IRNazanin"/>
          <w:b w:val="false"/>
          <w:bCs w:val="false"/>
          <w:i w:val="false"/>
          <w:iCs w:val="false"/>
          <w:color w:val="333333"/>
          <w:sz w:val="20"/>
          <w:szCs w:val="20"/>
        </w:rPr>
        <w:t>456</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www.porseman.net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image" Target="media/image2.jpeg"/><Relationship Id="rId39" Type="http://schemas.openxmlformats.org/officeDocument/2006/relationships/image" Target="media/image2.jpeg"/><Relationship Id="rId40" Type="http://schemas.openxmlformats.org/officeDocument/2006/relationships/footer" Target="footer33.xml"/><Relationship Id="rId41" Type="http://schemas.openxmlformats.org/officeDocument/2006/relationships/footnotes" Target="footnotes.xml"/><Relationship Id="rId42" Type="http://schemas.openxmlformats.org/officeDocument/2006/relationships/numbering" Target="numbering.xml"/><Relationship Id="rId43" Type="http://schemas.openxmlformats.org/officeDocument/2006/relationships/fontTable" Target="fontTable.xml"/><Relationship Id="rId44" Type="http://schemas.openxmlformats.org/officeDocument/2006/relationships/settings" Target="settings.xml"/><Relationship Id="rId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Pages>
  <Words>3073</Words>
  <Characters>12379</Characters>
  <CharactersWithSpaces>15242</CharactersWithSpaces>
  <Paragraphs>178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2026-08-19T04:02:27Z</dcterms:created>
  <dc:creator>ghaemiyeh.com</dc:creator>
  <dc:description/>
  <dc:language>en-US</dc:language>
  <cp:lastModifiedBy/>
  <dcterms:modified xsi:type="dcterms:W3CDTF">2026-08-19T07:32:28Z</dcterms:modified>
  <cp:revision>1</cp:revision>
  <dc:subject/>
  <dc:title>رهنما 19 زمینه سازان ظهور</dc:title>
</cp:coreProperties>
</file>

<file path=docProps/custom.xml><?xml version="1.0" encoding="utf-8"?>
<Properties xmlns="http://schemas.openxmlformats.org/officeDocument/2006/custom-properties" xmlns:vt="http://schemas.openxmlformats.org/officeDocument/2006/docPropsVTypes"/>
</file>