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16</w:t>
      </w:r>
      <w:r>
        <w:rPr>
          <w:rtl w:val="true"/>
        </w:rPr>
        <w:t xml:space="preserve"> </w:t>
      </w:r>
      <w:r>
        <w:rPr>
          <w:rtl w:val="true"/>
        </w:rPr>
        <w:t>سه تصویر از یک تصویر وارونه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829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2829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28296_581953129">
            <w:r>
              <w:rPr>
                <w:webHidden/>
                <w:rStyle w:val="IndexLink"/>
                <w:rtl w:val="true"/>
              </w:rPr>
              <w:t>چند تصویر از تابلویی وارونه</w:t>
            </w:r>
            <w:r>
              <w:rPr>
                <w:rStyle w:val="IndexLink"/>
                <w:rtl w:val="true"/>
              </w:rPr>
              <w:tab/>
            </w:r>
            <w:r>
              <w:rPr>
                <w:rStyle w:val="IndexLink"/>
              </w:rPr>
              <w:t>8</w:t>
            </w:r>
          </w:hyperlink>
        </w:p>
        <w:p>
          <w:pPr>
            <w:pStyle w:val="Contents2"/>
            <w:tabs>
              <w:tab w:val="clear" w:pos="8743"/>
              <w:tab w:val="right" w:pos="9026" w:leader="dot"/>
            </w:tabs>
            <w:rPr/>
          </w:pPr>
          <w:hyperlink w:anchor="__RefHeading___Toc3728298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728300_581953129">
            <w:r>
              <w:rPr>
                <w:webHidden/>
                <w:rStyle w:val="IndexLink"/>
                <w:rtl w:val="true"/>
              </w:rPr>
              <w:t>تصویر نخست</w:t>
            </w:r>
            <w:r>
              <w:rPr>
                <w:rStyle w:val="IndexLink"/>
                <w:rtl w:val="true"/>
              </w:rPr>
              <w:t xml:space="preserve">: </w:t>
            </w:r>
            <w:r>
              <w:rPr>
                <w:rStyle w:val="IndexLink"/>
                <w:rtl w:val="true"/>
              </w:rPr>
              <w:t>شاخ شیطان</w:t>
            </w:r>
            <w:r>
              <w:rPr>
                <w:rStyle w:val="IndexLink"/>
                <w:rtl w:val="true"/>
              </w:rPr>
              <w:tab/>
            </w:r>
            <w:r>
              <w:rPr>
                <w:rStyle w:val="IndexLink"/>
              </w:rPr>
              <w:t>12</w:t>
            </w:r>
          </w:hyperlink>
        </w:p>
        <w:p>
          <w:pPr>
            <w:pStyle w:val="Contents2"/>
            <w:tabs>
              <w:tab w:val="clear" w:pos="8743"/>
              <w:tab w:val="right" w:pos="9026" w:leader="dot"/>
            </w:tabs>
            <w:rPr/>
          </w:pPr>
          <w:hyperlink w:anchor="__RefHeading___Toc3728302_581953129">
            <w:r>
              <w:rPr>
                <w:webHidden/>
                <w:rStyle w:val="IndexLink"/>
                <w:rtl w:val="true"/>
              </w:rPr>
              <w:t>تصویر دوم</w:t>
            </w:r>
            <w:r>
              <w:rPr>
                <w:rStyle w:val="IndexLink"/>
                <w:rtl w:val="true"/>
              </w:rPr>
              <w:t xml:space="preserve">: </w:t>
            </w:r>
            <w:r>
              <w:rPr>
                <w:rStyle w:val="IndexLink"/>
                <w:rtl w:val="true"/>
              </w:rPr>
              <w:t>محصول همفر</w:t>
            </w:r>
            <w:r>
              <w:rPr>
                <w:rStyle w:val="IndexLink"/>
                <w:rtl w:val="true"/>
              </w:rPr>
              <w:tab/>
            </w:r>
            <w:r>
              <w:rPr>
                <w:rStyle w:val="IndexLink"/>
              </w:rPr>
              <w:t>20</w:t>
            </w:r>
          </w:hyperlink>
        </w:p>
        <w:p>
          <w:pPr>
            <w:pStyle w:val="Contents2"/>
            <w:tabs>
              <w:tab w:val="clear" w:pos="8743"/>
              <w:tab w:val="right" w:pos="9026" w:leader="dot"/>
            </w:tabs>
            <w:rPr/>
          </w:pPr>
          <w:hyperlink w:anchor="__RefHeading___Toc3728304_581953129">
            <w:r>
              <w:rPr>
                <w:webHidden/>
                <w:rStyle w:val="IndexLink"/>
                <w:rtl w:val="true"/>
              </w:rPr>
              <w:t>تصویر سوم</w:t>
            </w:r>
            <w:r>
              <w:rPr>
                <w:rStyle w:val="IndexLink"/>
                <w:rtl w:val="true"/>
              </w:rPr>
              <w:t xml:space="preserve">: </w:t>
            </w:r>
            <w:r>
              <w:rPr>
                <w:rStyle w:val="IndexLink"/>
                <w:rtl w:val="true"/>
              </w:rPr>
              <w:t>سیر قدرت یابی</w:t>
            </w:r>
            <w:r>
              <w:rPr>
                <w:rStyle w:val="IndexLink"/>
                <w:rtl w:val="true"/>
              </w:rPr>
              <w:tab/>
            </w:r>
            <w:r>
              <w:rPr>
                <w:rStyle w:val="IndexLink"/>
              </w:rPr>
              <w:t>26</w:t>
            </w:r>
          </w:hyperlink>
        </w:p>
        <w:p>
          <w:pPr>
            <w:pStyle w:val="Contents2"/>
            <w:tabs>
              <w:tab w:val="clear" w:pos="8743"/>
              <w:tab w:val="right" w:pos="9026" w:leader="dot"/>
            </w:tabs>
            <w:rPr/>
          </w:pPr>
          <w:hyperlink w:anchor="__RefHeading___Toc3728306_581953129">
            <w:r>
              <w:rPr>
                <w:webHidden/>
                <w:rStyle w:val="IndexLink"/>
                <w:rtl w:val="true"/>
              </w:rPr>
              <w:t>تصویر چهارم</w:t>
            </w:r>
            <w:r>
              <w:rPr>
                <w:rStyle w:val="IndexLink"/>
                <w:rtl w:val="true"/>
              </w:rPr>
              <w:t xml:space="preserve">: </w:t>
            </w:r>
            <w:r>
              <w:rPr>
                <w:rStyle w:val="IndexLink"/>
                <w:rtl w:val="true"/>
              </w:rPr>
              <w:t>اسلام اموی</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0_52678"/>
      <w:bookmarkStart w:id="1" w:name="pg5690_52678"/>
      <w:bookmarkEnd w:id="1"/>
    </w:p>
    <w:p>
      <w:pPr>
        <w:pStyle w:val="Heading2"/>
        <w:numPr>
          <w:ilvl w:val="1"/>
          <w:numId w:val="1"/>
        </w:numPr>
        <w:rPr/>
      </w:pPr>
      <w:bookmarkStart w:id="2" w:name="pg5690_52678"/>
      <w:bookmarkStart w:id="3" w:name="__RefHeading___Toc372829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تصویر از یک تصویر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پور امینی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۲۸۸۱۲۰۲</w:t>
      </w:r>
      <w:bookmarkStart w:id="5" w:name="pg5690_52679"/>
    </w:p>
    <w:p>
      <w:pPr>
        <w:pStyle w:val="Heading2"/>
        <w:numPr>
          <w:ilvl w:val="1"/>
          <w:numId w:val="1"/>
        </w:numPr>
        <w:rPr/>
      </w:pPr>
      <w:bookmarkStart w:id="6" w:name="__RefHeading___Toc3728294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690_52682"/>
    </w:p>
    <w:p>
      <w:pPr>
        <w:pStyle w:val="BookText"/>
        <w:rPr/>
      </w:pPr>
      <w:bookmarkEnd w:id="8"/>
      <w:r>
        <w:rPr>
          <w:rFonts w:ascii="IRNazanin" w:hAnsi="IRNazanin" w:eastAsia="IRNazanin"/>
          <w:color w:val="111111"/>
          <w:sz w:val="28"/>
          <w:sz w:val="28"/>
          <w:szCs w:val="28"/>
          <w:rtl w:val="true"/>
          <w:lang w:bidi="fa-IR"/>
        </w:rPr>
        <w:t>خدای ما و خدای آنان</w:t>
      </w:r>
    </w:p>
    <w:p>
      <w:pPr>
        <w:pStyle w:val="Heading2"/>
        <w:numPr>
          <w:ilvl w:val="1"/>
          <w:numId w:val="1"/>
        </w:numPr>
        <w:rPr/>
      </w:pPr>
      <w:bookmarkStart w:id="9" w:name="__RefHeading___Toc3728296_581953129"/>
      <w:bookmarkStart w:id="10" w:name="_Toc3"/>
      <w:bookmarkEnd w:id="9"/>
      <w:r>
        <w:rPr>
          <w:rtl w:val="true"/>
        </w:rPr>
        <w:t>چند تصویر از تابلویی وارونه</w:t>
      </w:r>
      <w:bookmarkEnd w:id="10"/>
    </w:p>
    <w:p>
      <w:pPr>
        <w:pStyle w:val="BookText"/>
        <w:rPr/>
      </w:pPr>
      <w:r>
        <w:rPr>
          <w:rFonts w:ascii="IRNazanin" w:hAnsi="IRNazanin" w:eastAsia="IRNazanin"/>
          <w:color w:val="111111"/>
          <w:sz w:val="28"/>
          <w:sz w:val="28"/>
          <w:szCs w:val="28"/>
          <w:rtl w:val="true"/>
          <w:lang w:bidi="fa-IR"/>
        </w:rPr>
        <w:t>پرسش های زیر اگر در ذهن شماست، پاسخش در کتاب پیشِ چشمتان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چگونه و کِی زاده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فکری و اعتقادی آنان از چه مردابهایی سیراب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کمک های مستر همفر انگلیسی در پایه گذاری این آیینِ سروته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86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12" o:detectmouseclick="t"/>
                <v:stroke color="#3465a4" joinstyle="round" endcap="flat"/>
                <w10:wrap type="none"/>
              </v:shape>
            </w:pict>
          </mc:Fallback>
        </mc:AlternateContent>
      </w:r>
      <w:bookmarkStart w:id="11" w:name="pg5690_52684"/>
    </w:p>
    <w:p>
      <w:pPr>
        <w:pStyle w:val="Heading2"/>
        <w:numPr>
          <w:ilvl w:val="1"/>
          <w:numId w:val="1"/>
        </w:numPr>
        <w:rPr/>
      </w:pPr>
      <w:bookmarkStart w:id="12" w:name="__RefHeading___Toc3728298_581953129"/>
      <w:bookmarkStart w:id="13" w:name="_Toc4"/>
      <w:bookmarkEnd w:id="11"/>
      <w:bookmarkEnd w:id="12"/>
      <w:r>
        <w:rPr>
          <w:rtl w:val="true"/>
        </w:rPr>
        <w:t>درآمد</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وهابیت در حجاز زاده شد، تفرقه و نفاق نیز بهبار نشست و مسلمانان در قرن اخیر، از سرِ اجبار، گرفتار محصول تلخ و کشندۀ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وجدان مسلمانان را رنج میدهد، نوع کنش و واکنش این فکر انحرافی است که خود را نمایندۀ حقیقی اسلام می شمارد و در داخل و خارج سرزمین حجاز، بدترین و خشن ترین رفتارها را از خود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در قرن اخیر، با وجود اختلاف در برخی از مباحث بنیادین، در نوع نگاه خود به وهابیت هم داستان است؛ زیرا این رویکرد را تهدیدی برای روح و حقیقت میراث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داند؛ همچنین معتقد است که وهابیت، تابلویی وارونه از اسلام است که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وهابی گری به سبب مشی و حرکت افراطی بانیان و مشوقان، خویش را نیز تهدید کرده و هم اکنون، در گرداب نابودی است؛ ولی هشیاری در برابر ظهور و بروز پایانیِ آن دوچندان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شناخت بیشتر جریان وهابیت، چهار تصویر از این تابلوی وارونه را نمایش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6" o:detectmouseclick="t"/>
                <v:stroke color="#3465a4" joinstyle="round" endcap="flat"/>
                <w10:wrap type="none"/>
              </v:shape>
            </w:pict>
          </mc:Fallback>
        </mc:AlternateContent>
      </w:r>
      <w:bookmarkStart w:id="14" w:name="pg5690_52686"/>
    </w:p>
    <w:p>
      <w:pPr>
        <w:pStyle w:val="Heading2"/>
        <w:numPr>
          <w:ilvl w:val="1"/>
          <w:numId w:val="1"/>
        </w:numPr>
        <w:rPr/>
      </w:pPr>
      <w:bookmarkStart w:id="15" w:name="__RefHeading___Toc3728300_581953129"/>
      <w:bookmarkStart w:id="16" w:name="_Toc5"/>
      <w:bookmarkEnd w:id="14"/>
      <w:bookmarkEnd w:id="15"/>
      <w:r>
        <w:rPr>
          <w:rtl w:val="true"/>
        </w:rPr>
        <w:t>تصویر نخست</w:t>
      </w:r>
      <w:r>
        <w:rPr>
          <w:rtl w:val="true"/>
        </w:rPr>
        <w:t xml:space="preserve">: </w:t>
      </w:r>
      <w:r>
        <w:rPr>
          <w:rtl w:val="true"/>
        </w:rPr>
        <w:t>شاخ شیطان</w:t>
      </w:r>
      <w:bookmarkEnd w:id="16"/>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های در حجاز است با شهرهای مختلف که به سرزمین ویرانی ها و فتنه ها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سرزمین نامبارکی می دانستند؛ زیرا در آن آشوب های فراوان و حوادث تکان دهنده رخ میداد؛ به اصطلاح، همیشه شاخ شیطان از این نقطه سر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بارها شیطان از آنجا خود را نمایانده و شاخ نشان داده است؛ همچنین، هرگاه شاخی از او قطع میشد، شاخی دیگر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مُسَیلمۀ کذاب شاخی از شیطان بود و فتنۀ محمدبن عبدالوهاب نیز شاخی دیگر از او</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۱۲۰۶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اندیشمندنمایی هنجارشکن و هتاک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وهابی ها با نام او هویت یافتند و حیات این جریان با ظهور و بروز فکری او سمت وسو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بیش از دو قرن از مرگ او، تمام کجروی ها و کژاندیشی های این گروه به نظر و دیدگاه او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۱۱۴۳</w:t>
      </w:r>
      <w:r>
        <w:rPr>
          <w:rFonts w:ascii="IRNazanin" w:hAnsi="IRNazanin" w:eastAsia="IRNazanin"/>
          <w:color w:val="111111"/>
          <w:sz w:val="28"/>
          <w:sz w:val="28"/>
          <w:szCs w:val="28"/>
          <w:rtl w:val="true"/>
          <w:lang w:bidi="fa-IR"/>
        </w:rPr>
        <w:t xml:space="preserve">ق، مبدأ طرح ادعاهای او بود و پس از سال </w:t>
      </w:r>
      <w:r>
        <w:rPr>
          <w:rFonts w:ascii="IRNazanin" w:hAnsi="IRNazanin" w:eastAsia="IRNazanin"/>
          <w:color w:val="111111"/>
          <w:sz w:val="28"/>
          <w:sz w:val="28"/>
          <w:szCs w:val="28"/>
          <w:lang w:bidi="fa-IR"/>
        </w:rPr>
        <w:t>۱۱۵۰</w:t>
      </w:r>
      <w:r>
        <w:rPr>
          <w:rFonts w:ascii="IRNazanin" w:hAnsi="IRNazanin" w:eastAsia="IRNazanin"/>
          <w:color w:val="111111"/>
          <w:sz w:val="28"/>
          <w:sz w:val="28"/>
          <w:szCs w:val="28"/>
          <w:rtl w:val="true"/>
          <w:lang w:bidi="fa-IR"/>
        </w:rPr>
        <w:t>ق، بعد از سه سال شهرت پیدا کرد و عقیدۀ انحرافی خود را در نجد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بین محمدبن سعود، حکمران درعیه، به یاری او شتافت و طایفۀ خود را به پیروی از او واداشت و به تدریج، بسیاری از قبایل عرب نیز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محمدبن عبدالوهاب بر اساس ویرانه های اعتقادات ابن تیمیه استوار بود؛ البته، فتنۀ ابن تیمیه قرن ها خاموش بود و اندیشه های او و شاگردش، ابن قیّم نزدیک بود که در لابه لای کتاب ها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پس از چهار قرن سکوت و مرگ، محمدبن عبدالوهاب این افکار را دوباره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بر آثار ابن تیمیه تکیه داشت و با تمجید مریدگونه از او، در هر محفلی از نظرات افراطی او</w:t>
      </w:r>
    </w:p>
    <w:p>
      <w:pPr>
        <w:pStyle w:val="BookText"/>
        <w:rPr/>
      </w:pP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توحیدی را ترسیم کرد که بیشتر مسلمانان از آن خارج بوده و به طبع ازنظر او، کافر و مشرک بودند؛ برای مثال، او کسانی را که بر قبور صالحان سایبانی می ساختند یا به زیارت قبر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میآمدند و به ارواح مقدس توسل می جستند، مشرک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مدعی بود که اگر کسی به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متوسل شود تا ایشان در پیشگاه خدا برای او شفاعت کند، چنین فردی کافر است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مالش نیز مباح است؛ گرچه شهادتین را نیز گفته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سردمدار وهابیت درحالی مسلمانان را از دم تیغ تکفیر می گذرانید که با مفهوم ابتدایی توحید بیگانه بود؛ زیرا همین توسل و شفاعت در سایۀ توحید معنا می یابد و رحمت شفیع</w:t>
      </w:r>
    </w:p>
    <w:p>
      <w:pPr>
        <w:pStyle w:val="BookText"/>
        <w:rPr/>
      </w:pPr>
      <w:r>
        <w:rPr>
          <w:rFonts w:ascii="IRNazanin" w:hAnsi="IRNazanin" w:eastAsia="IRNazanin"/>
          <w:color w:val="111111"/>
          <w:sz w:val="28"/>
          <w:sz w:val="28"/>
          <w:szCs w:val="28"/>
          <w:rtl w:val="true"/>
          <w:lang w:bidi="fa-IR"/>
        </w:rPr>
        <w:t>پرتوی از رحمت خداست و برگرفته از شفاعت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فعل خدا نظام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به نظام آفرینش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خدای متعال گناهکاران را ارشاد فرموده که درِ خانۀ رسول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بروند و علاوه بر اینکه خود از پروردگار طلب مغفرت کنند، از آن بزرگوار بخواهند که برایشان طلب مغفرت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عبدالوهاب و پیروانش گمان کرده اند که اعتقاد به نقشی ورای حد معمول برای</w:t>
      </w:r>
    </w:p>
    <w:p>
      <w:pPr>
        <w:pStyle w:val="BookText"/>
        <w:rPr/>
      </w:pPr>
      <w:r>
        <w:rPr>
          <w:rFonts w:ascii="IRNazanin" w:hAnsi="IRNazanin" w:eastAsia="IRNazanin"/>
          <w:color w:val="111111"/>
          <w:sz w:val="28"/>
          <w:sz w:val="28"/>
          <w:szCs w:val="28"/>
          <w:rtl w:val="true"/>
          <w:lang w:bidi="fa-IR"/>
        </w:rPr>
        <w:t>پیامبران و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مستلزم اعتقاد به قطب و قدرتی در مقابل خداست؛ غافل از آنکه موجودی که تمام هویتش وابسته به ارادۀ حق است و هیچ حیثیت مستقلی از خود ندارد، تأثیر ورای حد طبیعی او مانند تأثیر طبیعی اش، بیش از آنکه به خودش مستند باشد، به حق مستند است و او مجرایی برای صدور فیض حق به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واسطۀ فیض وحی و علم بودن جبرائیل، واسطۀ رزق بودن میکائیل، واسطۀ احیا بودن اسرافیل و واسطۀ قبض ارواح کردن ملک الموت شرک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واقف بود که اصل تأثیر در وجود از آنِ خداست و هیچ موجود و مخلوقی در این باب استقلال ندارد؛ اما مخلوق بهاذن و اجازۀ خدا، میتواند میان خدا و مخلوقات دیگر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اگر با نگاه سبب سازی بنگریم، وساطت و شفاعت هست؛ ولی به اذن و خواست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محمدسعید رمضان البوطی، از پیشوایان اهل سنت ضمن انتقاد از فتنۀ شیخ محمدبن عبدالوهاب، معتقد است که با ظهور این فتنه و بدعت، به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فکری مسلمانان آسیب بسیاری وارد شد و وحدت مسلمانان از بین رفت؛ درنتیجه، نزاع و درگیری جایگزین وحدت و همدلی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دریافتند که هیچ شهر و روستایی در عالَم اسلام نیست، مگر اینکه تیر و ترکش های این بدعت به آنجا افتاده و به سبب آن، درگیری های فرقه ای و تفرقه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28" o:detectmouseclick="t"/>
                <v:stroke color="#3465a4" joinstyle="round" endcap="flat"/>
                <w10:wrap type="none"/>
              </v:shape>
            </w:pict>
          </mc:Fallback>
        </mc:AlternateContent>
      </w:r>
      <w:bookmarkStart w:id="17" w:name="pg5690_52694"/>
    </w:p>
    <w:p>
      <w:pPr>
        <w:pStyle w:val="Heading2"/>
        <w:numPr>
          <w:ilvl w:val="1"/>
          <w:numId w:val="1"/>
        </w:numPr>
        <w:rPr/>
      </w:pPr>
      <w:bookmarkStart w:id="18" w:name="__RefHeading___Toc3728302_581953129"/>
      <w:bookmarkStart w:id="19" w:name="_Toc6"/>
      <w:bookmarkEnd w:id="17"/>
      <w:bookmarkEnd w:id="18"/>
      <w:r>
        <w:rPr>
          <w:rtl w:val="true"/>
        </w:rPr>
        <w:t>تصویر دوم</w:t>
      </w:r>
      <w:r>
        <w:rPr>
          <w:rtl w:val="true"/>
        </w:rPr>
        <w:t xml:space="preserve">: </w:t>
      </w:r>
      <w:r>
        <w:rPr>
          <w:rtl w:val="true"/>
        </w:rPr>
        <w:t>محصول همفر</w:t>
      </w:r>
      <w:bookmarkEnd w:id="19"/>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مستر همفر جاسوس عالی رتبۀ وزارت مستعمرات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مستعمرات کشور انگلستان در سال </w:t>
      </w:r>
      <w:r>
        <w:rPr>
          <w:rFonts w:ascii="IRNazanin" w:hAnsi="IRNazanin" w:eastAsia="IRNazanin"/>
          <w:color w:val="111111"/>
          <w:sz w:val="28"/>
          <w:sz w:val="28"/>
          <w:szCs w:val="28"/>
          <w:lang w:bidi="fa-IR"/>
        </w:rPr>
        <w:t>۱۷۱۰</w:t>
      </w:r>
      <w:r>
        <w:rPr>
          <w:rFonts w:ascii="IRNazanin" w:hAnsi="IRNazanin" w:eastAsia="IRNazanin"/>
          <w:color w:val="111111"/>
          <w:sz w:val="28"/>
          <w:sz w:val="28"/>
          <w:szCs w:val="28"/>
          <w:rtl w:val="true"/>
          <w:lang w:bidi="fa-IR"/>
        </w:rPr>
        <w:t xml:space="preserve">، مدتی مسئولیت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عهدۀ مستر همفر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جاسوس این دولت در کشورهای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مربوط به زمانی است که قدرت و شوکت امپراتوری عثمانی روبه ضعف نهاده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آلمانی ها در خلال جنگ جهانی دوم، به صورت مجموعه ای دنباله دار، یاداشت های مستر همفر را در مجلۀ اشپیگل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نام اعترافات همفر چاپ شد و از چهرۀ امپریالیسم انگلیس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اعترافات از ارتباط مستر همفر با محمدبن عبدالوهاب گرفته شده و چهرۀ واقعی وهابیت و همسویی این فرقه با دشمنان اسلام افشا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همفر در بخشی از خاطرات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مستعمرات به من گفت تو در سفر آینده وظیفۀ مهمی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ضعف های مسلمانان را تحقیق کنی تا بتوانیم از آن طریق به آنها آسیب برسانیم؛ این اصل پیروزی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ها را یافتی، به آن</w:t>
      </w:r>
    </w:p>
    <w:p>
      <w:pPr>
        <w:pStyle w:val="BookText"/>
        <w:rPr/>
      </w:pPr>
      <w:r>
        <w:rPr>
          <w:rFonts w:ascii="IRNazanin" w:hAnsi="IRNazanin" w:eastAsia="IRNazanin"/>
          <w:color w:val="111111"/>
          <w:sz w:val="28"/>
          <w:sz w:val="28"/>
          <w:szCs w:val="28"/>
          <w:rtl w:val="true"/>
          <w:lang w:bidi="fa-IR"/>
        </w:rPr>
        <w:t>یورش ببر که دراینصورت، تو از موفق ترین مزدورانی و لایق گرفتن نشان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جلسه ها و گفت وگوهای پی درپی این بود که ضعف های مسلمانان تحقیق و تقویت شود و قوت آنها تضعیف؛ زیرا این بهترین راه شکست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شش ماه اقامت در لندن، به شهر بصره در عراق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شهری بود عشایرنشین که دو طایفۀ اسلامی، یعنی شیعه و سنی، 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مغازۀ تجاری، با جوانی آشنا شدم که سه زبان فارسی و ترکی و عربی را می دانست و لباس طلاب علوم دینی بهتن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نام داشت و جوانی بسیار بلندپرواز و تندخو بود و از حکومت عثمانی انتقاد میکرد؛ ولی به حکومت ایران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مذاهب چهارگانۀ اهل سنت جایگاهی قائل نبود و میگفت خداوند دراین باره دستور نداده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برای فهم قرآن و سنت، از اجتهاد خود استفاده میکرد و نظرهای بزرگان زمان خود و نیز ائمۀ مذاهب و حتی ابوبکر و عمر را نقد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بیشتر از</w:t>
      </w:r>
    </w:p>
    <w:p>
      <w:pPr>
        <w:pStyle w:val="BookText"/>
        <w:rPr/>
      </w:pPr>
      <w:r>
        <w:rPr>
          <w:rFonts w:ascii="IRNazanin" w:hAnsi="IRNazanin" w:eastAsia="IRNazanin"/>
          <w:color w:val="111111"/>
          <w:sz w:val="28"/>
          <w:sz w:val="28"/>
          <w:szCs w:val="28"/>
          <w:rtl w:val="true"/>
          <w:lang w:bidi="fa-IR"/>
        </w:rPr>
        <w:t>ابوحنیفه میفهمم و نصف کتاب صحیح بخاری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ارتباط را با او تقویت کردم و همواره به او تلقین میکردم که تو موهبتی از عمر هستی و اگر پیامبر الآن زنده بود، تو را به جانشینی خود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زیاد بحث کردم و مرتب به او تلقین میکردم که تو از همه بهتر میفهمی و عالمتری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یک روز بهدروغ، خوابی برای او تعریف کردم و او را در صف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دادم و گفتم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همنام من و جانشین من در دنیا و آخرتی و اگر در زمان من زنده بودی، تو را جانشین خود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مرا قسم داد که آیا راست میگویی و من نیز قسم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 محمدبن عبدالوهاب بودم و زمینۀ آشکارکردن دعوت را در او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گروهی قوی و نیرومند را جمع کردم و به آنها از طرف وزارت پول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دعوتش را آشکار میکرد، دشمنانش زیادتر میشدند تا جاییکه چندینبار میخواست از راه خود برگردد؛ ولی مانعش شدم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پس از سالها کار و زحمت،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بهسوی ما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شخصی را فرستاد و لزوم همکاری این دو محمد، محمدبن عبدالوهاب و محمدبنسعود، را برای من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قدرتی بزرگ در نزد ما بهوجود آمد و نجد را پایتخت حکومت و دین تازه قرار دادیم و وزارت نیز هر دو را با پول کافی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38" o:detectmouseclick="t"/>
                <v:stroke color="#3465a4" joinstyle="round" endcap="flat"/>
                <w10:wrap type="none"/>
              </v:shape>
            </w:pict>
          </mc:Fallback>
        </mc:AlternateContent>
      </w:r>
      <w:bookmarkStart w:id="20" w:name="pg5690_52700"/>
    </w:p>
    <w:p>
      <w:pPr>
        <w:pStyle w:val="Heading2"/>
        <w:numPr>
          <w:ilvl w:val="1"/>
          <w:numId w:val="1"/>
        </w:numPr>
        <w:rPr/>
      </w:pPr>
      <w:bookmarkStart w:id="21" w:name="__RefHeading___Toc3728304_581953129"/>
      <w:bookmarkStart w:id="22" w:name="_Toc7"/>
      <w:bookmarkEnd w:id="20"/>
      <w:bookmarkEnd w:id="21"/>
      <w:r>
        <w:rPr>
          <w:rtl w:val="true"/>
        </w:rPr>
        <w:t>تصویر سوم</w:t>
      </w:r>
      <w:r>
        <w:rPr>
          <w:rtl w:val="true"/>
        </w:rPr>
        <w:t xml:space="preserve">: </w:t>
      </w:r>
      <w:r>
        <w:rPr>
          <w:rtl w:val="true"/>
        </w:rPr>
        <w:t>سیر قدرت یابی</w:t>
      </w:r>
      <w:bookmarkEnd w:id="22"/>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اساس وهابیت برگرفته از آموزه های محمدبن عبدالوهاب، چهرۀ متعصب قرن هجدهم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اهالی نواحی مرکزی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همچون جریان های افراطی مذهبی، از جمع بین قدرت دولت و ایدئولوژی و نظریۀ استقرار خلافت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وهابی ها را از دیگر جریانهای دینی در جهان تسنن متمایز میسازد، تلاش آنان برای تصفیه و پاکسازی سایر فِرَق اسلامی، مانند شیعیان و دیگر گروه های مسلمان است؛ زیرا مسلمانها تفسیر مخدوش و تحریفشدۀ وهابیها از اسلام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۱۷۴۴</w:t>
      </w:r>
      <w:r>
        <w:rPr>
          <w:rFonts w:ascii="IRNazanin" w:hAnsi="IRNazanin" w:eastAsia="IRNazanin"/>
          <w:color w:val="111111"/>
          <w:sz w:val="28"/>
          <w:sz w:val="28"/>
          <w:szCs w:val="28"/>
          <w:rtl w:val="true"/>
          <w:lang w:bidi="fa-IR"/>
        </w:rPr>
        <w:t>، ابن عبدالوهاب با آل سعود پیمانی تاریخی بست و به اقدام های خود برای حذف و نابودی رقبای مذهبی، وجهۀ قانونی داد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آل سعود هم از اقدامهای متعصبان وهابی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آنها مبنیبر عقیدهشان دربارۀ پاکسازی زمین از پلیدی وجود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۱۸۰۱</w:t>
      </w:r>
      <w:r>
        <w:rPr>
          <w:rFonts w:ascii="IRNazanin" w:hAnsi="IRNazanin" w:eastAsia="IRNazanin"/>
          <w:color w:val="111111"/>
          <w:sz w:val="28"/>
          <w:sz w:val="28"/>
          <w:szCs w:val="28"/>
          <w:rtl w:val="true"/>
          <w:lang w:bidi="fa-IR"/>
        </w:rPr>
        <w:t>، جنگجویان وهابی و سعودی به عراق فعلی حمله کردند و کربلا، شهر مقدس شیعیان را</w:t>
      </w:r>
    </w:p>
    <w:p>
      <w:pPr>
        <w:pStyle w:val="BookText"/>
        <w:rPr/>
      </w:pPr>
      <w:r>
        <w:rPr>
          <w:rFonts w:ascii="IRNazanin" w:hAnsi="IRNazanin" w:eastAsia="IRNazanin"/>
          <w:color w:val="111111"/>
          <w:sz w:val="28"/>
          <w:sz w:val="28"/>
          <w:szCs w:val="28"/>
          <w:rtl w:val="true"/>
          <w:lang w:bidi="fa-IR"/>
        </w:rPr>
        <w:t xml:space="preserve">غارت و چپاول کردند و به دنبال این تهاجم، بیش از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هزار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ها پس از تصرف مکه و مدینه، قبور مقدس اولیای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جنات البقیع را که مرقد چهار امام شیعه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است، با خاک یکسان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وهابی به پاس حمایت و پشتیبانی خود از سلطۀ خانوادۀ سلطنتی در حوزه های سیاسی و امنیتی و اقتصادی، توانستند نظارت و کنترل نهادهای مذهبی و آموزشی دولتی را به دست گیرند و اجازه یافتند تا تفسیر خشک و سختگیرانۀ خود را از شریعت اسلامی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تا دهۀ شصت میلادی ، بیشتر به شبه جزیرۀ عربستان محدود بود؛ اما از دهۀ شصت، گام هایی برای همه گیرکردن خوی ستیزه جوی وهابیت در جهان برداشت که درنهایت، القاعده از آن پدید آمد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فرقۀ وهابی از پذیرش حقوق فردی، تحقیر و تخفیف حقوق و شأن و منزلت زنان، بی اعتنایی به ارزش های واقعی و فطری حیات انسان و تشویق خشونت ضدّ حریفان که آنها را کافر مینامید، همه از ملاک هایی است که در میان جنبش های اصولگرای اسلامی</w:t>
      </w:r>
    </w:p>
    <w:p>
      <w:pPr>
        <w:pStyle w:val="BookText"/>
        <w:rPr/>
      </w:pPr>
      <w:r>
        <w:rPr>
          <w:rFonts w:ascii="IRNazanin" w:hAnsi="IRNazanin" w:eastAsia="IRNazanin"/>
          <w:color w:val="111111"/>
          <w:sz w:val="28"/>
          <w:sz w:val="28"/>
          <w:szCs w:val="28"/>
          <w:rtl w:val="true"/>
          <w:lang w:bidi="fa-IR"/>
        </w:rPr>
        <w:t>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نشانۀ تمایل آنان به سیا و نیز بیانگر جاه طلبی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دهۀ هفتاد، روحانیان وهابی گسترش این آمیزۀ به اصطلاح انقلابی و بدوی عقیدتی را در سطح دانشگاه ها و مساجد سعودی ترویج کردند؛ زیرا سعودی ها می پنداشتند که وهابیت به مثابۀ مانعی در برابر تهدید فرهنگ غرب است و نیز مانند چتری، آنان را از فساد ناشی از افزایش قیمت نفت که از دهۀ هفتاد شروع شده، مصون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سلطنتی نیز به دنبال فرصتی بودند تا در سایۀ آن، افراط گرایی فزاینده و روبه رشد ناشی از نسل تازۀ وهابیت را تغییر جهت دهند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شوروی به افغانستان نیز همان نقطۀ انحرافی بود که سازمان</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سلطنتی روی آن انگشت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با همکاری و مساعدت سازمان امنیت و اطلاعات داخلی پاکستان، دراین زمینه، به طور گسترده سرمایه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آنها برای نشر ادبیات و ایدئولوژی نو وهابی، در اردوگاه های پراکنده و نامنظم پناهندگان افغان در</w:t>
      </w:r>
    </w:p>
    <w:p>
      <w:pPr>
        <w:pStyle w:val="BookText"/>
        <w:rPr/>
      </w:pPr>
      <w:r>
        <w:rPr>
          <w:rFonts w:ascii="IRNazanin" w:hAnsi="IRNazanin" w:eastAsia="IRNazanin"/>
          <w:color w:val="111111"/>
          <w:sz w:val="28"/>
          <w:sz w:val="28"/>
          <w:szCs w:val="28"/>
          <w:rtl w:val="true"/>
          <w:lang w:bidi="fa-IR"/>
        </w:rPr>
        <w:t>پاکستان، از مدارس تندروی افراطی حمایت مالی وسیع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هزاران طلبۀ داوطلب را از عربستان سعودی و سایر کشورهای عربی، برای جنگ دوشادوش مجاهدین، به افغانستان گسیل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عقبنشینی شوروی از افغانستان،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در مناطق گسترده ای از جهان پراکنده شدند و به نام اسلام، به مبارزه با حریفانی ادامه دادند که همچنان آنها را کافر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واعظان ستیزه جوی وهابی نیز با آنها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اعراب افغان، ستون فقرات القاعده را میسازند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عملیاتی القاعده در ابتدا، در بخش هایی از سودان لانه گزیده بود؛ اما به دنبال اشغال کابل توسط طالبان، به افغانستان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نیروی افغان تازهای بود که اعضای آن از مدارس وهابی جذب شده بودند و پاکستانی ها به آنها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آرمان طالبان، برپایی دولت الگو و نمونۀ وهابی در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سعودی در</w:t>
      </w:r>
    </w:p>
    <w:p>
      <w:pPr>
        <w:pStyle w:val="BookText"/>
        <w:rPr/>
      </w:pPr>
      <w:r>
        <w:rPr>
          <w:rFonts w:ascii="IRNazanin" w:hAnsi="IRNazanin" w:eastAsia="IRNazanin"/>
          <w:color w:val="111111"/>
          <w:sz w:val="28"/>
          <w:sz w:val="28"/>
          <w:szCs w:val="28"/>
          <w:rtl w:val="true"/>
          <w:lang w:bidi="fa-IR"/>
        </w:rPr>
        <w:t>پاسخ به فشارهای زیاد واشنگتن، تابعیت سعودی بنلادن را لغو کرد؛ اما درزمینۀ مقابله با مؤسسه های وهابی، در داخل و خارج از کشور که اغلب، در پوشش نهادهای خیریه فعالیت داشتند، اقدام چندانی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بود که تهاجم ایدئولوژیک وهابی ها در سراسر جهان، متکی بر کمک های نقدی و پشتیبانی مالی حکومت سعودی بود و پول القاعده ازطریق همین مؤسسه های خیریه جمع آوری میشد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عقیده دارند که اسامه بن لادن با شاهزاده ترکی الفیصل در اواسط دهۀ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به توافقی مهم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الفیصل در زمان راه اندازی اعراب افغان و تأسیس طالبان، ریاست نهاد قدرتمند سازمان اطلاعات و امنیت حکومت سعودی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توافق چنین بود که القاعده پادشاهی را هدف حملات خود قرار نخواهد داد و پادشاهی سعودی هم مانع جمع آوری و انتقال کمک مؤسسه های سعودی برای القاعده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پیرو همین پیمان نامۀ تاریخی بود که القاعده پیش 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سپتامبر، به کلی از حمله</w:t>
      </w:r>
    </w:p>
    <w:p>
      <w:pPr>
        <w:pStyle w:val="BookText"/>
        <w:rPr/>
      </w:pPr>
      <w:r>
        <w:rPr>
          <w:rFonts w:ascii="IRNazanin" w:hAnsi="IRNazanin" w:eastAsia="IRNazanin"/>
          <w:color w:val="111111"/>
          <w:sz w:val="28"/>
          <w:sz w:val="28"/>
          <w:szCs w:val="28"/>
          <w:rtl w:val="true"/>
          <w:lang w:bidi="fa-IR"/>
        </w:rPr>
        <w:t xml:space="preserve">به اهداف سعودی در عربستان خودداری کرد؛ اما پس 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سپتامبر، برای مدتی حکومت سعودی تحت فشار واشتنگتن، برنامۀ سرکوب سلول های مخفی القاعده را در عربستان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تروریستی و درگیری میان نیروهای پلیس سعودی و ستیزه جویان وهابی، پس از ماه مه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به طور مرتب روی داده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به نظر میرسد که بیشتر گروههای تروریستی وابسته به القاعده همچنان به همان پیماننامۀ تاریخی با ترکی الفیصل احترام میگذارند؛ زیرا صدها نفر از اعضای خاندان سلطنتی سعودی، بدون واهمه از کشته شدن، به سراسر نقاط جهان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دیگرِ این بدهبستان میان القاعده و سعودی ها، این است که تروریستها صنعت نفت حساس و آسیب پذیر این کشور را فقط یک بار هدف حملات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سعودی هم با وجود همکاری محدود با واشنگتن درزمینۀ کنترل منابع مالی تروریست ها، متقابلاً به تعهد خود مبنی بر گسترش وهابیت در داخل و خارج از کشور، پایبند مانده است و</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امکان را فراهم کرده که همچنان شمار فزایندۀ سربازان متعصب و مشتاق برای سازمان تروریستی، در خاک این کشور، تربیت و تجهیز شوند</w:t>
      </w:r>
      <w:r>
        <w:rPr>
          <w:rFonts w:eastAsia="IRNazanin" w:cs="IRNazanin"/>
          <w:color w:val="111111"/>
          <w:sz w:val="28"/>
          <w:szCs w:val="28"/>
          <w:rtl w:val="true"/>
          <w:lang w:bidi="fa-IR"/>
        </w:rPr>
        <w:t>.</w:t>
      </w:r>
      <w:bookmarkStart w:id="23" w:name="pg5690_52708"/>
    </w:p>
    <w:p>
      <w:pPr>
        <w:pStyle w:val="Heading2"/>
        <w:numPr>
          <w:ilvl w:val="1"/>
          <w:numId w:val="1"/>
        </w:numPr>
        <w:rPr/>
      </w:pPr>
      <w:bookmarkStart w:id="24" w:name="__RefHeading___Toc3728306_581953129"/>
      <w:bookmarkStart w:id="25" w:name="_Toc8"/>
      <w:bookmarkEnd w:id="23"/>
      <w:bookmarkEnd w:id="24"/>
      <w:r>
        <w:rPr>
          <w:rtl w:val="true"/>
        </w:rPr>
        <w:t>تصویر چهارم</w:t>
      </w:r>
      <w:r>
        <w:rPr>
          <w:rtl w:val="true"/>
        </w:rPr>
        <w:t xml:space="preserve">: </w:t>
      </w:r>
      <w:r>
        <w:rPr>
          <w:rtl w:val="true"/>
        </w:rPr>
        <w:t>اسلام اموی</w:t>
      </w:r>
      <w:bookmarkEnd w:id="25"/>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 گیری و توسعۀ دولت عربستان انعکاسی از آموزه های محمدبن عبدالوهاب و متأثر از اندیشه های ابن تیمیّه است؛ ازاین رو، امروزه اطلاق سَلَفیه بر آنان پذیرفته شده است؛ زیرا وهابیت از جریان های بسیار مهم سلفی عصر حاضر به شمار میآید و این جنبش اصرار دارد جنبشی سلفی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ابوزهره، وهابیان همچنان تا امروز، منادی سلفی گری اند و مردم را به مذهب سلف فرا می خوانند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وهابیان، مذهب وهابی نحله ای جدید نیست؛ بلکه همان مذهب سلف صالح است و ازاین رو، خود را سلفیه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هستند که در اعمال و افعال خود، از سلف صالح، یعنی از اصحاب پیامبراکرم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تابعین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با استفاده از ثروت و رسانۀ دولتی، منحصراً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ویژه سلفی های اصلاحی</w:t>
      </w:r>
    </w:p>
    <w:p>
      <w:pPr>
        <w:pStyle w:val="BookText"/>
        <w:rPr/>
      </w:pPr>
      <w:r>
        <w:rPr>
          <w:rFonts w:ascii="IRNazanin" w:hAnsi="IRNazanin" w:eastAsia="IRNazanin"/>
          <w:color w:val="111111"/>
          <w:sz w:val="28"/>
          <w:sz w:val="28"/>
          <w:szCs w:val="28"/>
          <w:rtl w:val="true"/>
          <w:lang w:bidi="fa-IR"/>
        </w:rPr>
        <w:t>و اجتهادی را منحرف از شیوۀ سلف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 پدیدهای ناخواسته و نسبتاً نوخاسته است که انحصارطلبانه، مدعی مسلمانی است و همه را جز خود کافر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فرقۀ خودخوانده با به تن کشیدن جامۀ انتساب به سلف صالح و با طرح ادعای وحدت در فضای بی مذهب، با بنیان وحدت مخالف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حاکم، با وام 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السنة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ساماندهی و تولید ده ها کتاب میکوشند اندیشه و تفکر خویش را برخوردار از پیشینه ای بس دیرین معرفی کنند و جریان های غیر همسو را خلفی و پسین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فراتر از هجوم خشن به شیعه، اندیشه های غیرهمسو با خود را نیز از دم تیغ می گذارنند و در این سمت وسو، بسیاری از متفکران و متکلمان سُنی را خارج از جادۀ صواب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علی جمعه، مفتی سرشناس الأزهر مصر، دربارۀ سلفیان وهابی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سلفی گری تفکری خشک و بسته است که به نظر، نوعی دیگر از تفکر لیبرالیسم است؛ با این تفاوت که لیبرالیسم به دنبال خارج کردن دین از مسیر زندگی مسلمانان است؛ ولی وهابیت و سلفی گری به دنبال جداکردن دین از واقعیت وجودی آن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درمجموع، میتوان گفت که در حال حاضر، عربستان سعودی مهمترین پایگاه سلفی وهابی ها در جهان اسلام و عرب است و با محوریت اسلام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 ابوسفیانی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سعودی که در ائتلاف و پیمانی دیرینه با وهابی ها و علمای سلفی قرار دارد، اصلی ترین نیروی پیش برنده و ترویج کنندۀ سلفی گری در جهان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6"/>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11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6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image" Target="media/image9.jpeg"/><Relationship Id="rId41" Type="http://schemas.openxmlformats.org/officeDocument/2006/relationships/image" Target="media/image9.jpeg"/><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image" Target="media/image11.jpeg"/><Relationship Id="rId57" Type="http://schemas.openxmlformats.org/officeDocument/2006/relationships/image" Target="media/image11.jpeg"/><Relationship Id="rId58" Type="http://schemas.openxmlformats.org/officeDocument/2006/relationships/footer" Target="footer35.xml"/><Relationship Id="rId59" Type="http://schemas.openxmlformats.org/officeDocument/2006/relationships/image" Target="media/image12.jpeg"/><Relationship Id="rId60" Type="http://schemas.openxmlformats.org/officeDocument/2006/relationships/image" Target="media/image12.jpeg"/><Relationship Id="rId61" Type="http://schemas.openxmlformats.org/officeDocument/2006/relationships/footer" Target="footer3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37.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3079</Words>
  <Characters>12423</Characters>
  <CharactersWithSpaces>15364</CharactersWithSpaces>
  <Paragraphs>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2026-08-19T03:51:50Z</dcterms:created>
  <dc:creator>ghaemiyeh.com</dc:creator>
  <dc:description/>
  <dc:language>en-US</dc:language>
  <cp:lastModifiedBy/>
  <dcterms:modified xsi:type="dcterms:W3CDTF">2026-08-19T07:21:52Z</dcterms:modified>
  <cp:revision>1</cp:revision>
  <dc:subject/>
  <dc:title>رهنما 16 سه تصویر از یک تصویر وارونه</dc:title>
</cp:coreProperties>
</file>

<file path=docProps/custom.xml><?xml version="1.0" encoding="utf-8"?>
<Properties xmlns="http://schemas.openxmlformats.org/officeDocument/2006/custom-properties" xmlns:vt="http://schemas.openxmlformats.org/officeDocument/2006/docPropsVTypes"/>
</file>