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معرفت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173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56174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561743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561745_581953129">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3561747_581953129">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561749_581953129">
            <w:r>
              <w:rPr>
                <w:webHidden/>
                <w:rStyle w:val="IndexLink"/>
                <w:rtl w:val="true"/>
              </w:rPr>
              <w:t>معرفت‌شناسی از دیدگاه سوفسطاییان</w:t>
            </w:r>
            <w:r>
              <w:rPr>
                <w:rStyle w:val="IndexLink"/>
                <w:rtl w:val="true"/>
              </w:rPr>
              <w:tab/>
            </w:r>
            <w:r>
              <w:rPr>
                <w:rStyle w:val="IndexLink"/>
              </w:rPr>
              <w:t>24</w:t>
            </w:r>
          </w:hyperlink>
        </w:p>
        <w:p>
          <w:pPr>
            <w:pStyle w:val="Contents3"/>
            <w:tabs>
              <w:tab w:val="clear" w:pos="8459"/>
              <w:tab w:val="right" w:pos="9026" w:leader="dot"/>
            </w:tabs>
            <w:rPr/>
          </w:pPr>
          <w:hyperlink w:anchor="__RefHeading___Toc3561751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561753_581953129">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3561755_581953129">
            <w:r>
              <w:rPr>
                <w:webHidden/>
                <w:rStyle w:val="IndexLink"/>
                <w:rtl w:val="true"/>
              </w:rPr>
              <w:t>تعریف معرفت و معرفت‌شناسی</w:t>
            </w:r>
            <w:r>
              <w:rPr>
                <w:rStyle w:val="IndexLink"/>
                <w:rtl w:val="true"/>
              </w:rPr>
              <w:tab/>
            </w:r>
            <w:r>
              <w:rPr>
                <w:rStyle w:val="IndexLink"/>
              </w:rPr>
              <w:t>25</w:t>
            </w:r>
          </w:hyperlink>
        </w:p>
        <w:p>
          <w:pPr>
            <w:pStyle w:val="Contents3"/>
            <w:tabs>
              <w:tab w:val="clear" w:pos="8459"/>
              <w:tab w:val="right" w:pos="9026" w:leader="dot"/>
            </w:tabs>
            <w:rPr/>
          </w:pPr>
          <w:hyperlink w:anchor="__RefHeading___Toc3561757_581953129">
            <w:r>
              <w:rPr>
                <w:webHidden/>
                <w:rStyle w:val="IndexLink"/>
                <w:rtl w:val="true"/>
              </w:rPr>
              <w:t>سوفیست و سوفسطاییان</w:t>
            </w:r>
            <w:r>
              <w:rPr>
                <w:rStyle w:val="IndexLink"/>
                <w:rtl w:val="true"/>
              </w:rPr>
              <w:tab/>
            </w:r>
            <w:r>
              <w:rPr>
                <w:rStyle w:val="IndexLink"/>
              </w:rPr>
              <w:t>26</w:t>
            </w:r>
          </w:hyperlink>
        </w:p>
        <w:p>
          <w:pPr>
            <w:pStyle w:val="Contents3"/>
            <w:tabs>
              <w:tab w:val="clear" w:pos="8459"/>
              <w:tab w:val="right" w:pos="9026" w:leader="dot"/>
            </w:tabs>
            <w:rPr/>
          </w:pPr>
          <w:hyperlink w:anchor="__RefHeading___Toc3561759_581953129">
            <w:r>
              <w:rPr>
                <w:webHidden/>
                <w:rStyle w:val="IndexLink"/>
                <w:rtl w:val="true"/>
              </w:rPr>
              <w:t>روش سوفسطاییان</w:t>
            </w:r>
            <w:r>
              <w:rPr>
                <w:rStyle w:val="IndexLink"/>
                <w:rtl w:val="true"/>
              </w:rPr>
              <w:tab/>
            </w:r>
            <w:r>
              <w:rPr>
                <w:rStyle w:val="IndexLink"/>
              </w:rPr>
              <w:t>28</w:t>
            </w:r>
          </w:hyperlink>
        </w:p>
        <w:p>
          <w:pPr>
            <w:pStyle w:val="Contents3"/>
            <w:tabs>
              <w:tab w:val="clear" w:pos="8459"/>
              <w:tab w:val="right" w:pos="9026" w:leader="dot"/>
            </w:tabs>
            <w:rPr/>
          </w:pPr>
          <w:hyperlink w:anchor="__RefHeading___Toc3561761_581953129">
            <w:r>
              <w:rPr>
                <w:webHidden/>
                <w:rStyle w:val="IndexLink"/>
                <w:rtl w:val="true"/>
              </w:rPr>
              <w:t>دیدگاه سوفسطاییان در باب هستی‌شناسی</w:t>
            </w:r>
            <w:r>
              <w:rPr>
                <w:rStyle w:val="IndexLink"/>
                <w:rtl w:val="true"/>
              </w:rPr>
              <w:tab/>
            </w:r>
            <w:r>
              <w:rPr>
                <w:rStyle w:val="IndexLink"/>
              </w:rPr>
              <w:t>29</w:t>
            </w:r>
          </w:hyperlink>
        </w:p>
        <w:p>
          <w:pPr>
            <w:pStyle w:val="Contents3"/>
            <w:tabs>
              <w:tab w:val="clear" w:pos="8459"/>
              <w:tab w:val="right" w:pos="9026" w:leader="dot"/>
            </w:tabs>
            <w:rPr/>
          </w:pPr>
          <w:hyperlink w:anchor="__RefHeading___Toc3561763_581953129">
            <w:r>
              <w:rPr>
                <w:webHidden/>
                <w:rStyle w:val="IndexLink"/>
                <w:rtl w:val="true"/>
              </w:rPr>
              <w:t>مراتب شکّاکیت</w:t>
            </w:r>
            <w:r>
              <w:rPr>
                <w:rStyle w:val="IndexLink"/>
                <w:rtl w:val="true"/>
              </w:rPr>
              <w:tab/>
            </w:r>
            <w:r>
              <w:rPr>
                <w:rStyle w:val="IndexLink"/>
              </w:rPr>
              <w:t>29</w:t>
            </w:r>
          </w:hyperlink>
        </w:p>
        <w:p>
          <w:pPr>
            <w:pStyle w:val="Contents4"/>
            <w:tabs>
              <w:tab w:val="clear" w:pos="8176"/>
              <w:tab w:val="right" w:pos="9026" w:leader="dot"/>
            </w:tabs>
            <w:rPr/>
          </w:pPr>
          <w:hyperlink w:anchor="__RefHeading___Toc3561765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561767_581953129">
            <w:r>
              <w:rPr>
                <w:webHidden/>
                <w:rStyle w:val="IndexLink"/>
                <w:rtl w:val="true"/>
              </w:rPr>
              <w:t>الف</w:t>
            </w:r>
            <w:r>
              <w:rPr>
                <w:rStyle w:val="IndexLink"/>
                <w:rtl w:val="true"/>
              </w:rPr>
              <w:t xml:space="preserve">) </w:t>
            </w:r>
            <w:r>
              <w:rPr>
                <w:rStyle w:val="IndexLink"/>
                <w:rtl w:val="true"/>
              </w:rPr>
              <w:t>شکّاکیت وجود شناختی</w:t>
            </w:r>
            <w:r>
              <w:rPr>
                <w:rStyle w:val="IndexLink"/>
                <w:rtl w:val="true"/>
              </w:rPr>
              <w:tab/>
            </w:r>
            <w:r>
              <w:rPr>
                <w:rStyle w:val="IndexLink"/>
              </w:rPr>
              <w:t>29</w:t>
            </w:r>
          </w:hyperlink>
        </w:p>
        <w:p>
          <w:pPr>
            <w:pStyle w:val="Contents4"/>
            <w:tabs>
              <w:tab w:val="clear" w:pos="8176"/>
              <w:tab w:val="right" w:pos="9026" w:leader="dot"/>
            </w:tabs>
            <w:rPr/>
          </w:pPr>
          <w:hyperlink w:anchor="__RefHeading___Toc3561769_581953129">
            <w:r>
              <w:rPr>
                <w:webHidden/>
                <w:rStyle w:val="IndexLink"/>
                <w:rtl w:val="true"/>
              </w:rPr>
              <w:t>ب</w:t>
            </w:r>
            <w:r>
              <w:rPr>
                <w:rStyle w:val="IndexLink"/>
                <w:rtl w:val="true"/>
              </w:rPr>
              <w:t xml:space="preserve">) </w:t>
            </w:r>
            <w:r>
              <w:rPr>
                <w:rStyle w:val="IndexLink"/>
                <w:rtl w:val="true"/>
              </w:rPr>
              <w:t>شکّاکیت معرفت‌شناختی</w:t>
            </w:r>
            <w:r>
              <w:rPr>
                <w:rStyle w:val="IndexLink"/>
                <w:rtl w:val="true"/>
              </w:rPr>
              <w:tab/>
            </w:r>
            <w:r>
              <w:rPr>
                <w:rStyle w:val="IndexLink"/>
              </w:rPr>
              <w:t>29</w:t>
            </w:r>
          </w:hyperlink>
        </w:p>
        <w:p>
          <w:pPr>
            <w:pStyle w:val="Contents4"/>
            <w:tabs>
              <w:tab w:val="clear" w:pos="8176"/>
              <w:tab w:val="right" w:pos="9026" w:leader="dot"/>
            </w:tabs>
            <w:rPr/>
          </w:pPr>
          <w:hyperlink w:anchor="__RefHeading___Toc3561771_581953129">
            <w:r>
              <w:rPr>
                <w:webHidden/>
                <w:rStyle w:val="IndexLink"/>
                <w:rtl w:val="true"/>
              </w:rPr>
              <w:t>ج</w:t>
            </w:r>
            <w:r>
              <w:rPr>
                <w:rStyle w:val="IndexLink"/>
                <w:rtl w:val="true"/>
              </w:rPr>
              <w:t xml:space="preserve">) </w:t>
            </w:r>
            <w:r>
              <w:rPr>
                <w:rStyle w:val="IndexLink"/>
                <w:rtl w:val="true"/>
              </w:rPr>
              <w:t>شکّاکیت زبان‌شناختی</w:t>
            </w:r>
            <w:r>
              <w:rPr>
                <w:rStyle w:val="IndexLink"/>
                <w:rtl w:val="true"/>
              </w:rPr>
              <w:tab/>
            </w:r>
            <w:r>
              <w:rPr>
                <w:rStyle w:val="IndexLink"/>
              </w:rPr>
              <w:t>30</w:t>
            </w:r>
          </w:hyperlink>
        </w:p>
        <w:p>
          <w:pPr>
            <w:pStyle w:val="Contents3"/>
            <w:tabs>
              <w:tab w:val="clear" w:pos="8459"/>
              <w:tab w:val="right" w:pos="9026" w:leader="dot"/>
            </w:tabs>
            <w:rPr/>
          </w:pPr>
          <w:hyperlink w:anchor="__RefHeading___Toc3561773_581953129">
            <w:r>
              <w:rPr>
                <w:webHidden/>
                <w:rStyle w:val="IndexLink"/>
                <w:rtl w:val="true"/>
              </w:rPr>
              <w:t>پروتاگوراس</w:t>
            </w:r>
            <w:r>
              <w:rPr>
                <w:rStyle w:val="IndexLink"/>
                <w:rtl w:val="true"/>
              </w:rPr>
              <w:tab/>
            </w:r>
            <w:r>
              <w:rPr>
                <w:rStyle w:val="IndexLink"/>
              </w:rPr>
              <w:t>31</w:t>
            </w:r>
          </w:hyperlink>
        </w:p>
        <w:p>
          <w:pPr>
            <w:pStyle w:val="Contents4"/>
            <w:tabs>
              <w:tab w:val="clear" w:pos="8176"/>
              <w:tab w:val="right" w:pos="9026" w:leader="dot"/>
            </w:tabs>
            <w:rPr/>
          </w:pPr>
          <w:hyperlink w:anchor="__RefHeading___Toc3561775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561777_581953129">
            <w:r>
              <w:rPr>
                <w:webHidden/>
                <w:rStyle w:val="IndexLink"/>
                <w:rtl w:val="true"/>
              </w:rPr>
              <w:t>کاپلستون و دیدگاه پروتاگوراس دربارة مقیاس بودن انسان</w:t>
            </w:r>
            <w:r>
              <w:rPr>
                <w:rStyle w:val="IndexLink"/>
                <w:rtl w:val="true"/>
              </w:rPr>
              <w:tab/>
            </w:r>
            <w:r>
              <w:rPr>
                <w:rStyle w:val="IndexLink"/>
              </w:rPr>
              <w:t>32</w:t>
            </w:r>
          </w:hyperlink>
        </w:p>
        <w:p>
          <w:pPr>
            <w:pStyle w:val="Contents4"/>
            <w:tabs>
              <w:tab w:val="clear" w:pos="8176"/>
              <w:tab w:val="right" w:pos="9026" w:leader="dot"/>
            </w:tabs>
            <w:rPr/>
          </w:pPr>
          <w:hyperlink w:anchor="__RefHeading___Toc3561779_581953129">
            <w:r>
              <w:rPr>
                <w:webHidden/>
                <w:rStyle w:val="IndexLink"/>
                <w:rtl w:val="true"/>
              </w:rPr>
              <w:t>کاپلستون و دیدگاه پروتاگوراس دربارة خدایان</w:t>
            </w:r>
            <w:r>
              <w:rPr>
                <w:rStyle w:val="IndexLink"/>
                <w:rtl w:val="true"/>
              </w:rPr>
              <w:tab/>
            </w:r>
            <w:r>
              <w:rPr>
                <w:rStyle w:val="IndexLink"/>
              </w:rPr>
              <w:t>35</w:t>
            </w:r>
          </w:hyperlink>
        </w:p>
        <w:p>
          <w:pPr>
            <w:pStyle w:val="Contents4"/>
            <w:tabs>
              <w:tab w:val="clear" w:pos="8176"/>
              <w:tab w:val="right" w:pos="9026" w:leader="dot"/>
            </w:tabs>
            <w:rPr/>
          </w:pPr>
          <w:hyperlink w:anchor="__RefHeading___Toc3561781_581953129">
            <w:r>
              <w:rPr>
                <w:webHidden/>
                <w:rStyle w:val="IndexLink"/>
                <w:rtl w:val="true"/>
              </w:rPr>
              <w:t>تئودور گمپرتس و دیدگاه پروتاگوراس در باب مقیاس بودن انسان</w:t>
            </w:r>
            <w:r>
              <w:rPr>
                <w:rStyle w:val="IndexLink"/>
                <w:rtl w:val="true"/>
              </w:rPr>
              <w:tab/>
            </w:r>
            <w:r>
              <w:rPr>
                <w:rStyle w:val="IndexLink"/>
              </w:rPr>
              <w:t>36</w:t>
            </w:r>
          </w:hyperlink>
        </w:p>
        <w:p>
          <w:pPr>
            <w:pStyle w:val="Contents4"/>
            <w:tabs>
              <w:tab w:val="clear" w:pos="8176"/>
              <w:tab w:val="right" w:pos="9026" w:leader="dot"/>
            </w:tabs>
            <w:rPr/>
          </w:pPr>
          <w:hyperlink w:anchor="__RefHeading___Toc3561783_581953129">
            <w:r>
              <w:rPr>
                <w:webHidden/>
                <w:rStyle w:val="IndexLink"/>
                <w:rtl w:val="true"/>
              </w:rPr>
              <w:t>تفسیر سخن پروتاگوراس دربارة خدایان</w:t>
            </w:r>
            <w:r>
              <w:rPr>
                <w:rStyle w:val="IndexLink"/>
                <w:rtl w:val="true"/>
              </w:rPr>
              <w:tab/>
            </w:r>
            <w:r>
              <w:rPr>
                <w:rStyle w:val="IndexLink"/>
              </w:rPr>
              <w:t>40</w:t>
            </w:r>
          </w:hyperlink>
        </w:p>
        <w:p>
          <w:pPr>
            <w:pStyle w:val="Contents4"/>
            <w:tabs>
              <w:tab w:val="clear" w:pos="8176"/>
              <w:tab w:val="right" w:pos="9026" w:leader="dot"/>
            </w:tabs>
            <w:rPr/>
          </w:pPr>
          <w:hyperlink w:anchor="__RefHeading___Toc3561785_581953129">
            <w:r>
              <w:rPr>
                <w:webHidden/>
                <w:rStyle w:val="IndexLink"/>
                <w:rtl w:val="true"/>
              </w:rPr>
              <w:t>دیدگاه راسل دربارة پروتاگوراس</w:t>
            </w:r>
            <w:r>
              <w:rPr>
                <w:rStyle w:val="IndexLink"/>
                <w:rtl w:val="true"/>
              </w:rPr>
              <w:tab/>
            </w:r>
            <w:r>
              <w:rPr>
                <w:rStyle w:val="IndexLink"/>
              </w:rPr>
              <w:t>42</w:t>
            </w:r>
          </w:hyperlink>
        </w:p>
        <w:p>
          <w:pPr>
            <w:pStyle w:val="Contents3"/>
            <w:tabs>
              <w:tab w:val="clear" w:pos="8459"/>
              <w:tab w:val="right" w:pos="9026" w:leader="dot"/>
            </w:tabs>
            <w:rPr/>
          </w:pPr>
          <w:hyperlink w:anchor="__RefHeading___Toc3561787_581953129">
            <w:r>
              <w:rPr>
                <w:webHidden/>
                <w:rStyle w:val="IndexLink"/>
                <w:rtl w:val="true"/>
              </w:rPr>
              <w:t>دیدگاه معرفت‌شناختی گرگیاس</w:t>
            </w:r>
            <w:r>
              <w:rPr>
                <w:rStyle w:val="IndexLink"/>
                <w:rtl w:val="true"/>
              </w:rPr>
              <w:tab/>
            </w:r>
            <w:r>
              <w:rPr>
                <w:rStyle w:val="IndexLink"/>
              </w:rPr>
              <w:t>43</w:t>
            </w:r>
          </w:hyperlink>
        </w:p>
        <w:p>
          <w:pPr>
            <w:pStyle w:val="Contents4"/>
            <w:tabs>
              <w:tab w:val="clear" w:pos="8176"/>
              <w:tab w:val="right" w:pos="9026" w:leader="dot"/>
            </w:tabs>
            <w:rPr/>
          </w:pPr>
          <w:hyperlink w:anchor="__RefHeading___Toc3561789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561791_581953129">
            <w:r>
              <w:rPr>
                <w:webHidden/>
                <w:rStyle w:val="IndexLink"/>
                <w:rtl w:val="true"/>
              </w:rPr>
              <w:t>دیدگاه کاپلستون دربارة معرفت‌شناسی گرگیاس</w:t>
            </w:r>
            <w:r>
              <w:rPr>
                <w:rStyle w:val="IndexLink"/>
                <w:rtl w:val="true"/>
              </w:rPr>
              <w:tab/>
            </w:r>
            <w:r>
              <w:rPr>
                <w:rStyle w:val="IndexLink"/>
              </w:rPr>
              <w:t>44</w:t>
            </w:r>
          </w:hyperlink>
        </w:p>
        <w:p>
          <w:pPr>
            <w:pStyle w:val="Contents4"/>
            <w:tabs>
              <w:tab w:val="clear" w:pos="8176"/>
              <w:tab w:val="right" w:pos="9026" w:leader="dot"/>
            </w:tabs>
            <w:rPr/>
          </w:pPr>
          <w:hyperlink w:anchor="__RefHeading___Toc3561793_581953129">
            <w:r>
              <w:rPr>
                <w:webHidden/>
                <w:rStyle w:val="IndexLink"/>
                <w:rtl w:val="true"/>
              </w:rPr>
              <w:t>دیدگاه گمپرتس دربارة گرگیاس</w:t>
            </w:r>
            <w:r>
              <w:rPr>
                <w:rStyle w:val="IndexLink"/>
                <w:rtl w:val="true"/>
              </w:rPr>
              <w:tab/>
            </w:r>
            <w:r>
              <w:rPr>
                <w:rStyle w:val="IndexLink"/>
              </w:rPr>
              <w:t>45</w:t>
            </w:r>
          </w:hyperlink>
        </w:p>
        <w:p>
          <w:pPr>
            <w:pStyle w:val="Contents4"/>
            <w:tabs>
              <w:tab w:val="clear" w:pos="8176"/>
              <w:tab w:val="right" w:pos="9026" w:leader="dot"/>
            </w:tabs>
            <w:rPr/>
          </w:pPr>
          <w:hyperlink w:anchor="__RefHeading___Toc3561795_581953129">
            <w:r>
              <w:rPr>
                <w:webHidden/>
                <w:rStyle w:val="IndexLink"/>
                <w:rtl w:val="true"/>
              </w:rPr>
              <w:t>خاتمه</w:t>
            </w:r>
            <w:r>
              <w:rPr>
                <w:rStyle w:val="IndexLink"/>
                <w:rtl w:val="true"/>
              </w:rPr>
              <w:tab/>
            </w:r>
            <w:r>
              <w:rPr>
                <w:rStyle w:val="IndexLink"/>
              </w:rPr>
              <w:t>47</w:t>
            </w:r>
          </w:hyperlink>
        </w:p>
        <w:p>
          <w:pPr>
            <w:pStyle w:val="Contents2"/>
            <w:tabs>
              <w:tab w:val="clear" w:pos="8743"/>
              <w:tab w:val="right" w:pos="9026" w:leader="dot"/>
            </w:tabs>
            <w:rPr/>
          </w:pPr>
          <w:hyperlink w:anchor="__RefHeading___Toc3561797_581953129">
            <w:r>
              <w:rPr>
                <w:webHidden/>
                <w:rStyle w:val="IndexLink"/>
                <w:rtl w:val="true"/>
              </w:rPr>
              <w:t>معرفت‌شناسی از دیدگاه افلاطون</w:t>
            </w:r>
            <w:r>
              <w:rPr>
                <w:rStyle w:val="IndexLink"/>
                <w:rtl w:val="true"/>
              </w:rPr>
              <w:tab/>
            </w:r>
            <w:r>
              <w:rPr>
                <w:rStyle w:val="IndexLink"/>
              </w:rPr>
              <w:t>52</w:t>
            </w:r>
          </w:hyperlink>
        </w:p>
        <w:p>
          <w:pPr>
            <w:pStyle w:val="Contents3"/>
            <w:tabs>
              <w:tab w:val="clear" w:pos="8459"/>
              <w:tab w:val="right" w:pos="9026" w:leader="dot"/>
            </w:tabs>
            <w:rPr/>
          </w:pPr>
          <w:hyperlink w:anchor="__RefHeading___Toc3561799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561801_581953129">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3561803_581953129">
            <w:r>
              <w:rPr>
                <w:webHidden/>
                <w:rStyle w:val="IndexLink"/>
                <w:rtl w:val="true"/>
              </w:rPr>
              <w:t>جنبة ثبوتی معرفت از دیدگاه افلاطون</w:t>
            </w:r>
            <w:r>
              <w:rPr>
                <w:rStyle w:val="IndexLink"/>
                <w:rtl w:val="true"/>
              </w:rPr>
              <w:tab/>
            </w:r>
            <w:r>
              <w:rPr>
                <w:rStyle w:val="IndexLink"/>
              </w:rPr>
              <w:t>54</w:t>
            </w:r>
          </w:hyperlink>
        </w:p>
        <w:p>
          <w:pPr>
            <w:pStyle w:val="Contents3"/>
            <w:tabs>
              <w:tab w:val="clear" w:pos="8459"/>
              <w:tab w:val="right" w:pos="9026" w:leader="dot"/>
            </w:tabs>
            <w:rPr/>
          </w:pPr>
          <w:hyperlink w:anchor="__RefHeading___Toc3561805_581953129">
            <w:r>
              <w:rPr>
                <w:webHidden/>
                <w:rStyle w:val="IndexLink"/>
                <w:rtl w:val="true"/>
              </w:rPr>
              <w:t>جنبة سلبی معرفت از دیدگاه افلاطون</w:t>
            </w:r>
            <w:r>
              <w:rPr>
                <w:rStyle w:val="IndexLink"/>
                <w:rtl w:val="true"/>
              </w:rPr>
              <w:tab/>
            </w:r>
            <w:r>
              <w:rPr>
                <w:rStyle w:val="IndexLink"/>
              </w:rPr>
              <w:t>56</w:t>
            </w:r>
          </w:hyperlink>
        </w:p>
        <w:p>
          <w:pPr>
            <w:pStyle w:val="Contents4"/>
            <w:tabs>
              <w:tab w:val="clear" w:pos="8176"/>
              <w:tab w:val="right" w:pos="9026" w:leader="dot"/>
            </w:tabs>
            <w:rPr/>
          </w:pPr>
          <w:hyperlink w:anchor="__RefHeading___Toc3561807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61809_581953129">
            <w:r>
              <w:rPr>
                <w:webHidden/>
                <w:rStyle w:val="IndexLink"/>
              </w:rPr>
              <w:t>1</w:t>
            </w:r>
            <w:r>
              <w:rPr>
                <w:rStyle w:val="IndexLink"/>
                <w:rtl w:val="true"/>
              </w:rPr>
              <w:t xml:space="preserve">. </w:t>
            </w:r>
            <w:r>
              <w:rPr>
                <w:rStyle w:val="IndexLink"/>
                <w:rtl w:val="true"/>
              </w:rPr>
              <w:t>معرفت، ادراک حسّی نیست</w:t>
            </w:r>
            <w:r>
              <w:rPr>
                <w:rStyle w:val="IndexLink"/>
                <w:rtl w:val="true"/>
              </w:rPr>
              <w:tab/>
            </w:r>
            <w:r>
              <w:rPr>
                <w:rStyle w:val="IndexLink"/>
              </w:rPr>
              <w:t>57</w:t>
            </w:r>
          </w:hyperlink>
        </w:p>
        <w:p>
          <w:pPr>
            <w:pStyle w:val="Contents4"/>
            <w:tabs>
              <w:tab w:val="clear" w:pos="8176"/>
              <w:tab w:val="right" w:pos="9026" w:leader="dot"/>
            </w:tabs>
            <w:rPr/>
          </w:pPr>
          <w:hyperlink w:anchor="__RefHeading___Toc3561811_581953129">
            <w:r>
              <w:rPr>
                <w:webHidden/>
                <w:rStyle w:val="IndexLink"/>
              </w:rPr>
              <w:t>2</w:t>
            </w:r>
            <w:r>
              <w:rPr>
                <w:rStyle w:val="IndexLink"/>
                <w:rtl w:val="true"/>
              </w:rPr>
              <w:t xml:space="preserve">. </w:t>
            </w:r>
            <w:r>
              <w:rPr>
                <w:rStyle w:val="IndexLink"/>
                <w:rtl w:val="true"/>
              </w:rPr>
              <w:t>معرفت، حکم نیست</w:t>
            </w:r>
            <w:r>
              <w:rPr>
                <w:rStyle w:val="IndexLink"/>
                <w:rtl w:val="true"/>
              </w:rPr>
              <w:tab/>
            </w:r>
            <w:r>
              <w:rPr>
                <w:rStyle w:val="IndexLink"/>
              </w:rPr>
              <w:t>61</w:t>
            </w:r>
          </w:hyperlink>
        </w:p>
        <w:p>
          <w:pPr>
            <w:pStyle w:val="Contents4"/>
            <w:tabs>
              <w:tab w:val="clear" w:pos="8176"/>
              <w:tab w:val="right" w:pos="9026" w:leader="dot"/>
            </w:tabs>
            <w:rPr/>
          </w:pPr>
          <w:hyperlink w:anchor="__RefHeading___Toc3561813_581953129">
            <w:r>
              <w:rPr>
                <w:webHidden/>
                <w:rStyle w:val="IndexLink"/>
              </w:rPr>
              <w:t>3</w:t>
            </w:r>
            <w:r>
              <w:rPr>
                <w:rStyle w:val="IndexLink"/>
                <w:rtl w:val="true"/>
              </w:rPr>
              <w:t xml:space="preserve">. </w:t>
            </w:r>
            <w:r>
              <w:rPr>
                <w:rStyle w:val="IndexLink"/>
                <w:rtl w:val="true"/>
              </w:rPr>
              <w:t xml:space="preserve">معرفت، </w:t>
            </w:r>
            <w:r>
              <w:rPr>
                <w:rStyle w:val="IndexLink"/>
                <w:rtl w:val="true"/>
              </w:rPr>
              <w:t>«</w:t>
            </w:r>
            <w:r>
              <w:rPr>
                <w:rStyle w:val="IndexLink"/>
                <w:rtl w:val="true"/>
              </w:rPr>
              <w:t>حکم حقیقی</w:t>
            </w:r>
            <w:r>
              <w:rPr>
                <w:rStyle w:val="IndexLink"/>
                <w:rtl w:val="true"/>
              </w:rPr>
              <w:t xml:space="preserve">» </w:t>
            </w:r>
            <w:r>
              <w:rPr>
                <w:rStyle w:val="IndexLink"/>
                <w:rtl w:val="true"/>
              </w:rPr>
              <w:t xml:space="preserve">یا </w:t>
            </w:r>
            <w:r>
              <w:rPr>
                <w:rStyle w:val="IndexLink"/>
                <w:rtl w:val="true"/>
              </w:rPr>
              <w:t>«</w:t>
            </w:r>
            <w:r>
              <w:rPr>
                <w:rStyle w:val="IndexLink"/>
                <w:rtl w:val="true"/>
              </w:rPr>
              <w:t>حکم صحیح</w:t>
            </w:r>
            <w:r>
              <w:rPr>
                <w:rStyle w:val="IndexLink"/>
                <w:rtl w:val="true"/>
              </w:rPr>
              <w:t xml:space="preserve">» </w:t>
            </w:r>
            <w:r>
              <w:rPr>
                <w:rStyle w:val="IndexLink"/>
                <w:rtl w:val="true"/>
              </w:rPr>
              <w:t>نیست</w:t>
            </w:r>
            <w:r>
              <w:rPr>
                <w:rStyle w:val="IndexLink"/>
                <w:rtl w:val="true"/>
              </w:rPr>
              <w:tab/>
            </w:r>
            <w:r>
              <w:rPr>
                <w:rStyle w:val="IndexLink"/>
              </w:rPr>
              <w:t>61</w:t>
            </w:r>
          </w:hyperlink>
        </w:p>
        <w:p>
          <w:pPr>
            <w:pStyle w:val="Contents4"/>
            <w:tabs>
              <w:tab w:val="clear" w:pos="8176"/>
              <w:tab w:val="right" w:pos="9026" w:leader="dot"/>
            </w:tabs>
            <w:rPr/>
          </w:pPr>
          <w:hyperlink w:anchor="__RefHeading___Toc3561815_581953129">
            <w:r>
              <w:rPr>
                <w:webHidden/>
                <w:rStyle w:val="IndexLink"/>
              </w:rPr>
              <w:t>4</w:t>
            </w:r>
            <w:r>
              <w:rPr>
                <w:rStyle w:val="IndexLink"/>
                <w:rtl w:val="true"/>
              </w:rPr>
              <w:t xml:space="preserve">. </w:t>
            </w:r>
            <w:r>
              <w:rPr>
                <w:rStyle w:val="IndexLink"/>
                <w:rtl w:val="true"/>
              </w:rPr>
              <w:t xml:space="preserve">معرفت، حکم صحیح به علاوه یک </w:t>
            </w:r>
            <w:r>
              <w:rPr>
                <w:rStyle w:val="IndexLink"/>
                <w:rtl w:val="true"/>
              </w:rPr>
              <w:t>«</w:t>
            </w:r>
            <w:r>
              <w:rPr>
                <w:rStyle w:val="IndexLink"/>
                <w:rtl w:val="true"/>
              </w:rPr>
              <w:t>بیان</w:t>
            </w:r>
            <w:r>
              <w:rPr>
                <w:rStyle w:val="IndexLink"/>
                <w:rtl w:val="true"/>
              </w:rPr>
              <w:t xml:space="preserve">» </w:t>
            </w:r>
            <w:r>
              <w:rPr>
                <w:rStyle w:val="IndexLink"/>
                <w:rtl w:val="true"/>
              </w:rPr>
              <w:t>نیست</w:t>
            </w:r>
            <w:r>
              <w:rPr>
                <w:rStyle w:val="IndexLink"/>
                <w:rtl w:val="true"/>
              </w:rPr>
              <w:tab/>
            </w:r>
            <w:r>
              <w:rPr>
                <w:rStyle w:val="IndexLink"/>
              </w:rPr>
              <w:t>62</w:t>
            </w:r>
          </w:hyperlink>
        </w:p>
        <w:p>
          <w:pPr>
            <w:pStyle w:val="Contents4"/>
            <w:tabs>
              <w:tab w:val="clear" w:pos="8176"/>
              <w:tab w:val="right" w:pos="9026" w:leader="dot"/>
            </w:tabs>
            <w:rPr/>
          </w:pPr>
          <w:hyperlink w:anchor="__RefHeading___Toc3561817_581953129">
            <w:r>
              <w:rPr>
                <w:webHidden/>
                <w:rStyle w:val="IndexLink"/>
              </w:rPr>
              <w:t>5</w:t>
            </w:r>
            <w:r>
              <w:rPr>
                <w:rStyle w:val="IndexLink"/>
                <w:rtl w:val="true"/>
              </w:rPr>
              <w:t xml:space="preserve">. </w:t>
            </w:r>
            <w:r>
              <w:rPr>
                <w:rStyle w:val="IndexLink"/>
                <w:rtl w:val="true"/>
              </w:rPr>
              <w:t>معرفت، باور صادق نیست</w:t>
            </w:r>
            <w:r>
              <w:rPr>
                <w:rStyle w:val="IndexLink"/>
                <w:rtl w:val="true"/>
              </w:rPr>
              <w:tab/>
            </w:r>
            <w:r>
              <w:rPr>
                <w:rStyle w:val="IndexLink"/>
              </w:rPr>
              <w:t>65</w:t>
            </w:r>
          </w:hyperlink>
        </w:p>
        <w:p>
          <w:pPr>
            <w:pStyle w:val="Contents4"/>
            <w:tabs>
              <w:tab w:val="clear" w:pos="8176"/>
              <w:tab w:val="right" w:pos="9026" w:leader="dot"/>
            </w:tabs>
            <w:rPr/>
          </w:pPr>
          <w:hyperlink w:anchor="__RefHeading___Toc3561819_581953129">
            <w:r>
              <w:rPr>
                <w:webHidden/>
                <w:rStyle w:val="IndexLink"/>
                <w:rtl w:val="true"/>
              </w:rPr>
              <w:t>نتیجه‌گیری</w:t>
            </w:r>
            <w:r>
              <w:rPr>
                <w:rStyle w:val="IndexLink"/>
                <w:rtl w:val="true"/>
              </w:rPr>
              <w:tab/>
            </w:r>
            <w:r>
              <w:rPr>
                <w:rStyle w:val="IndexLink"/>
              </w:rPr>
              <w:t>65</w:t>
            </w:r>
          </w:hyperlink>
        </w:p>
        <w:p>
          <w:pPr>
            <w:pStyle w:val="Contents3"/>
            <w:tabs>
              <w:tab w:val="clear" w:pos="8459"/>
              <w:tab w:val="right" w:pos="9026" w:leader="dot"/>
            </w:tabs>
            <w:rPr/>
          </w:pPr>
          <w:hyperlink w:anchor="__RefHeading___Toc3561821_581953129">
            <w:r>
              <w:rPr>
                <w:webHidden/>
                <w:rStyle w:val="IndexLink"/>
                <w:rtl w:val="true"/>
              </w:rPr>
              <w:t>نظریة یادآوری</w:t>
            </w:r>
            <w:r>
              <w:rPr>
                <w:rStyle w:val="IndexLink"/>
                <w:rtl w:val="true"/>
              </w:rPr>
              <w:tab/>
            </w:r>
            <w:r>
              <w:rPr>
                <w:rStyle w:val="IndexLink"/>
              </w:rPr>
              <w:t>65</w:t>
            </w:r>
          </w:hyperlink>
        </w:p>
        <w:p>
          <w:pPr>
            <w:pStyle w:val="Contents3"/>
            <w:tabs>
              <w:tab w:val="clear" w:pos="8459"/>
              <w:tab w:val="right" w:pos="9026" w:leader="dot"/>
            </w:tabs>
            <w:rPr/>
          </w:pPr>
          <w:hyperlink w:anchor="__RefHeading___Toc3561823_581953129">
            <w:r>
              <w:rPr>
                <w:webHidden/>
                <w:rStyle w:val="IndexLink"/>
                <w:rtl w:val="true"/>
              </w:rPr>
              <w:t>نظام هستی و معرفت</w:t>
            </w:r>
            <w:r>
              <w:rPr>
                <w:rStyle w:val="IndexLink"/>
                <w:rtl w:val="true"/>
              </w:rPr>
              <w:tab/>
            </w:r>
            <w:r>
              <w:rPr>
                <w:rStyle w:val="IndexLink"/>
              </w:rPr>
              <w:t>67</w:t>
            </w:r>
          </w:hyperlink>
        </w:p>
        <w:p>
          <w:pPr>
            <w:pStyle w:val="Contents3"/>
            <w:tabs>
              <w:tab w:val="clear" w:pos="8459"/>
              <w:tab w:val="right" w:pos="9026" w:leader="dot"/>
            </w:tabs>
            <w:rPr/>
          </w:pPr>
          <w:hyperlink w:anchor="__RefHeading___Toc3561825_581953129">
            <w:r>
              <w:rPr>
                <w:webHidden/>
                <w:rStyle w:val="IndexLink"/>
                <w:rtl w:val="true"/>
              </w:rPr>
              <w:t>تمثیل غار</w:t>
            </w:r>
            <w:r>
              <w:rPr>
                <w:rStyle w:val="IndexLink"/>
                <w:rtl w:val="true"/>
              </w:rPr>
              <w:tab/>
            </w:r>
            <w:r>
              <w:rPr>
                <w:rStyle w:val="IndexLink"/>
              </w:rPr>
              <w:t>70</w:t>
            </w:r>
          </w:hyperlink>
        </w:p>
        <w:p>
          <w:pPr>
            <w:pStyle w:val="Contents3"/>
            <w:tabs>
              <w:tab w:val="clear" w:pos="8459"/>
              <w:tab w:val="right" w:pos="9026" w:leader="dot"/>
            </w:tabs>
            <w:rPr/>
          </w:pPr>
          <w:hyperlink w:anchor="__RefHeading___Toc3561827_581953129">
            <w:r>
              <w:rPr>
                <w:webHidden/>
                <w:rStyle w:val="IndexLink"/>
                <w:rtl w:val="true"/>
              </w:rPr>
              <w:t xml:space="preserve">راه تحصیل معرفت </w:t>
            </w:r>
            <w:r>
              <w:rPr>
                <w:rStyle w:val="IndexLink"/>
                <w:rtl w:val="true"/>
              </w:rPr>
              <w:t>(</w:t>
            </w:r>
            <w:r>
              <w:rPr>
                <w:rStyle w:val="IndexLink"/>
                <w:rtl w:val="true"/>
              </w:rPr>
              <w:t>یک برنامة تربیتی</w:t>
            </w:r>
            <w:r>
              <w:rPr>
                <w:rStyle w:val="IndexLink"/>
                <w:rtl w:val="true"/>
              </w:rPr>
              <w:t>)</w:t>
              <w:tab/>
            </w:r>
            <w:r>
              <w:rPr>
                <w:rStyle w:val="IndexLink"/>
              </w:rPr>
              <w:t>71</w:t>
            </w:r>
          </w:hyperlink>
        </w:p>
        <w:p>
          <w:pPr>
            <w:pStyle w:val="Contents4"/>
            <w:tabs>
              <w:tab w:val="clear" w:pos="8176"/>
              <w:tab w:val="right" w:pos="9026" w:leader="dot"/>
            </w:tabs>
            <w:rPr/>
          </w:pPr>
          <w:hyperlink w:anchor="__RefHeading___Toc3561829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561831_581953129">
            <w:r>
              <w:rPr>
                <w:webHidden/>
                <w:rStyle w:val="IndexLink"/>
              </w:rPr>
              <w:t>1</w:t>
            </w:r>
            <w:r>
              <w:rPr>
                <w:rStyle w:val="IndexLink"/>
                <w:rtl w:val="true"/>
              </w:rPr>
              <w:t xml:space="preserve">. </w:t>
            </w:r>
            <w:r>
              <w:rPr>
                <w:rStyle w:val="IndexLink"/>
                <w:rtl w:val="true"/>
              </w:rPr>
              <w:t>به کارگیری عقل</w:t>
            </w:r>
            <w:r>
              <w:rPr>
                <w:rStyle w:val="IndexLink"/>
                <w:rtl w:val="true"/>
              </w:rPr>
              <w:tab/>
            </w:r>
            <w:r>
              <w:rPr>
                <w:rStyle w:val="IndexLink"/>
              </w:rPr>
              <w:t>71</w:t>
            </w:r>
          </w:hyperlink>
        </w:p>
        <w:p>
          <w:pPr>
            <w:pStyle w:val="Contents4"/>
            <w:tabs>
              <w:tab w:val="clear" w:pos="8176"/>
              <w:tab w:val="right" w:pos="9026" w:leader="dot"/>
            </w:tabs>
            <w:rPr/>
          </w:pPr>
          <w:hyperlink w:anchor="__RefHeading___Toc3561833_581953129">
            <w:r>
              <w:rPr>
                <w:webHidden/>
                <w:rStyle w:val="IndexLink"/>
              </w:rPr>
              <w:t>2</w:t>
            </w:r>
            <w:r>
              <w:rPr>
                <w:rStyle w:val="IndexLink"/>
                <w:rtl w:val="true"/>
              </w:rPr>
              <w:t xml:space="preserve">. </w:t>
            </w:r>
            <w:r>
              <w:rPr>
                <w:rStyle w:val="IndexLink"/>
                <w:rtl w:val="true"/>
              </w:rPr>
              <w:t>علم حساب</w:t>
            </w:r>
            <w:r>
              <w:rPr>
                <w:rStyle w:val="IndexLink"/>
                <w:rtl w:val="true"/>
              </w:rPr>
              <w:tab/>
            </w:r>
            <w:r>
              <w:rPr>
                <w:rStyle w:val="IndexLink"/>
              </w:rPr>
              <w:t>72</w:t>
            </w:r>
          </w:hyperlink>
        </w:p>
        <w:p>
          <w:pPr>
            <w:pStyle w:val="Contents4"/>
            <w:tabs>
              <w:tab w:val="clear" w:pos="8176"/>
              <w:tab w:val="right" w:pos="9026" w:leader="dot"/>
            </w:tabs>
            <w:rPr/>
          </w:pPr>
          <w:hyperlink w:anchor="__RefHeading___Toc3561835_581953129">
            <w:r>
              <w:rPr>
                <w:webHidden/>
                <w:rStyle w:val="IndexLink"/>
              </w:rPr>
              <w:t>3</w:t>
            </w:r>
            <w:r>
              <w:rPr>
                <w:rStyle w:val="IndexLink"/>
                <w:rtl w:val="true"/>
              </w:rPr>
              <w:t xml:space="preserve">. </w:t>
            </w:r>
            <w:r>
              <w:rPr>
                <w:rStyle w:val="IndexLink"/>
                <w:rtl w:val="true"/>
              </w:rPr>
              <w:t>هندسه</w:t>
            </w:r>
            <w:r>
              <w:rPr>
                <w:rStyle w:val="IndexLink"/>
                <w:rtl w:val="true"/>
              </w:rPr>
              <w:tab/>
            </w:r>
            <w:r>
              <w:rPr>
                <w:rStyle w:val="IndexLink"/>
              </w:rPr>
              <w:t>72</w:t>
            </w:r>
          </w:hyperlink>
        </w:p>
        <w:p>
          <w:pPr>
            <w:pStyle w:val="Contents4"/>
            <w:tabs>
              <w:tab w:val="clear" w:pos="8176"/>
              <w:tab w:val="right" w:pos="9026" w:leader="dot"/>
            </w:tabs>
            <w:rPr/>
          </w:pPr>
          <w:hyperlink w:anchor="__RefHeading___Toc3561837_581953129">
            <w:r>
              <w:rPr>
                <w:webHidden/>
                <w:rStyle w:val="IndexLink"/>
              </w:rPr>
              <w:t>4</w:t>
            </w:r>
            <w:r>
              <w:rPr>
                <w:rStyle w:val="IndexLink"/>
                <w:rtl w:val="true"/>
              </w:rPr>
              <w:t xml:space="preserve">. </w:t>
            </w:r>
            <w:r>
              <w:rPr>
                <w:rStyle w:val="IndexLink"/>
                <w:rtl w:val="true"/>
              </w:rPr>
              <w:t xml:space="preserve">نجوم </w:t>
            </w:r>
            <w:r>
              <w:rPr>
                <w:rStyle w:val="IndexLink"/>
                <w:rtl w:val="true"/>
              </w:rPr>
              <w:t>(</w:t>
            </w:r>
            <w:r>
              <w:rPr>
                <w:rStyle w:val="IndexLink"/>
                <w:rtl w:val="true"/>
              </w:rPr>
              <w:t>یا هندسة فضایی</w:t>
            </w:r>
            <w:r>
              <w:rPr>
                <w:rStyle w:val="IndexLink"/>
                <w:rtl w:val="true"/>
              </w:rPr>
              <w:t>)</w:t>
              <w:tab/>
            </w:r>
            <w:r>
              <w:rPr>
                <w:rStyle w:val="IndexLink"/>
              </w:rPr>
              <w:t>72</w:t>
            </w:r>
          </w:hyperlink>
        </w:p>
        <w:p>
          <w:pPr>
            <w:pStyle w:val="Contents4"/>
            <w:tabs>
              <w:tab w:val="clear" w:pos="8176"/>
              <w:tab w:val="right" w:pos="9026" w:leader="dot"/>
            </w:tabs>
            <w:rPr/>
          </w:pPr>
          <w:hyperlink w:anchor="__RefHeading___Toc3561839_581953129">
            <w:r>
              <w:rPr>
                <w:webHidden/>
                <w:rStyle w:val="IndexLink"/>
              </w:rPr>
              <w:t>5</w:t>
            </w:r>
            <w:r>
              <w:rPr>
                <w:rStyle w:val="IndexLink"/>
                <w:rtl w:val="true"/>
              </w:rPr>
              <w:t xml:space="preserve">. </w:t>
            </w:r>
            <w:r>
              <w:rPr>
                <w:rStyle w:val="IndexLink"/>
                <w:rtl w:val="true"/>
              </w:rPr>
              <w:t>موسیقی</w:t>
            </w:r>
            <w:r>
              <w:rPr>
                <w:rStyle w:val="IndexLink"/>
                <w:rtl w:val="true"/>
              </w:rPr>
              <w:tab/>
            </w:r>
            <w:r>
              <w:rPr>
                <w:rStyle w:val="IndexLink"/>
              </w:rPr>
              <w:t>73</w:t>
            </w:r>
          </w:hyperlink>
        </w:p>
        <w:p>
          <w:pPr>
            <w:pStyle w:val="Contents4"/>
            <w:tabs>
              <w:tab w:val="clear" w:pos="8176"/>
              <w:tab w:val="right" w:pos="9026" w:leader="dot"/>
            </w:tabs>
            <w:rPr/>
          </w:pPr>
          <w:hyperlink w:anchor="__RefHeading___Toc3561841_581953129">
            <w:r>
              <w:rPr>
                <w:webHidden/>
                <w:rStyle w:val="IndexLink"/>
              </w:rPr>
              <w:t>6</w:t>
            </w:r>
            <w:r>
              <w:rPr>
                <w:rStyle w:val="IndexLink"/>
                <w:rtl w:val="true"/>
              </w:rPr>
              <w:t xml:space="preserve"> . </w:t>
            </w:r>
            <w:r>
              <w:rPr>
                <w:rStyle w:val="IndexLink"/>
                <w:rtl w:val="true"/>
              </w:rPr>
              <w:t>جدال عقلی یا دیالکتیک</w:t>
            </w:r>
            <w:r>
              <w:rPr>
                <w:rStyle w:val="IndexLink"/>
                <w:rtl w:val="true"/>
              </w:rPr>
              <w:tab/>
            </w:r>
            <w:r>
              <w:rPr>
                <w:rStyle w:val="IndexLink"/>
              </w:rPr>
              <w:t>73</w:t>
            </w:r>
          </w:hyperlink>
        </w:p>
        <w:p>
          <w:pPr>
            <w:pStyle w:val="Contents4"/>
            <w:tabs>
              <w:tab w:val="clear" w:pos="8176"/>
              <w:tab w:val="right" w:pos="9026" w:leader="dot"/>
            </w:tabs>
            <w:rPr/>
          </w:pPr>
          <w:hyperlink w:anchor="__RefHeading___Toc3561843_581953129">
            <w:r>
              <w:rPr>
                <w:webHidden/>
                <w:rStyle w:val="IndexLink"/>
                <w:rtl w:val="true"/>
              </w:rPr>
              <w:t>چیستی روش دیالکتیک</w:t>
            </w:r>
            <w:r>
              <w:rPr>
                <w:rStyle w:val="IndexLink"/>
                <w:rtl w:val="true"/>
              </w:rPr>
              <w:tab/>
            </w:r>
            <w:r>
              <w:rPr>
                <w:rStyle w:val="IndexLink"/>
              </w:rPr>
              <w:t>73</w:t>
            </w:r>
          </w:hyperlink>
        </w:p>
        <w:p>
          <w:pPr>
            <w:pStyle w:val="Contents3"/>
            <w:tabs>
              <w:tab w:val="clear" w:pos="8459"/>
              <w:tab w:val="right" w:pos="9026" w:leader="dot"/>
            </w:tabs>
            <w:rPr/>
          </w:pPr>
          <w:hyperlink w:anchor="__RefHeading___Toc3561845_581953129">
            <w:r>
              <w:rPr>
                <w:webHidden/>
                <w:rStyle w:val="IndexLink"/>
                <w:rtl w:val="true"/>
              </w:rPr>
              <w:t>نقد و بررسی اشکالات دیدگاه افلاطون</w:t>
            </w:r>
            <w:r>
              <w:rPr>
                <w:rStyle w:val="IndexLink"/>
                <w:rtl w:val="true"/>
              </w:rPr>
              <w:tab/>
            </w:r>
            <w:r>
              <w:rPr>
                <w:rStyle w:val="IndexLink"/>
              </w:rPr>
              <w:t>74</w:t>
            </w:r>
          </w:hyperlink>
        </w:p>
        <w:p>
          <w:pPr>
            <w:pStyle w:val="Contents3"/>
            <w:tabs>
              <w:tab w:val="clear" w:pos="8459"/>
              <w:tab w:val="right" w:pos="9026" w:leader="dot"/>
            </w:tabs>
            <w:rPr/>
          </w:pPr>
          <w:hyperlink w:anchor="__RefHeading___Toc3561847_581953129">
            <w:r>
              <w:rPr>
                <w:webHidden/>
                <w:rStyle w:val="IndexLink"/>
                <w:rtl w:val="true"/>
              </w:rPr>
              <w:t>نکته</w:t>
            </w:r>
            <w:r>
              <w:rPr>
                <w:rStyle w:val="IndexLink"/>
                <w:rtl w:val="true"/>
              </w:rPr>
              <w:tab/>
            </w:r>
            <w:r>
              <w:rPr>
                <w:rStyle w:val="IndexLink"/>
              </w:rPr>
              <w:t>82</w:t>
            </w:r>
          </w:hyperlink>
        </w:p>
        <w:p>
          <w:pPr>
            <w:pStyle w:val="Contents3"/>
            <w:tabs>
              <w:tab w:val="clear" w:pos="8459"/>
              <w:tab w:val="right" w:pos="9026" w:leader="dot"/>
            </w:tabs>
            <w:rPr/>
          </w:pPr>
          <w:hyperlink w:anchor="__RefHeading___Toc3561849_581953129">
            <w:r>
              <w:rPr>
                <w:webHidden/>
                <w:rStyle w:val="IndexLink"/>
                <w:rtl w:val="true"/>
              </w:rPr>
              <w:t>نتیجه‌گیری</w:t>
            </w:r>
            <w:r>
              <w:rPr>
                <w:rStyle w:val="IndexLink"/>
                <w:rtl w:val="true"/>
              </w:rPr>
              <w:tab/>
            </w:r>
            <w:r>
              <w:rPr>
                <w:rStyle w:val="IndexLink"/>
              </w:rPr>
              <w:t>83</w:t>
            </w:r>
          </w:hyperlink>
        </w:p>
        <w:p>
          <w:pPr>
            <w:pStyle w:val="Contents2"/>
            <w:tabs>
              <w:tab w:val="clear" w:pos="8743"/>
              <w:tab w:val="right" w:pos="9026" w:leader="dot"/>
            </w:tabs>
            <w:rPr/>
          </w:pPr>
          <w:hyperlink w:anchor="__RefHeading___Toc3561851_581953129">
            <w:r>
              <w:rPr>
                <w:webHidden/>
                <w:rStyle w:val="IndexLink"/>
                <w:rtl w:val="true"/>
              </w:rPr>
              <w:t>معرفت‌شناسی اپیکور</w:t>
            </w:r>
            <w:r>
              <w:rPr>
                <w:rStyle w:val="IndexLink"/>
                <w:rtl w:val="true"/>
              </w:rPr>
              <w:tab/>
            </w:r>
            <w:r>
              <w:rPr>
                <w:rStyle w:val="IndexLink"/>
              </w:rPr>
              <w:t>84</w:t>
            </w:r>
          </w:hyperlink>
        </w:p>
        <w:p>
          <w:pPr>
            <w:pStyle w:val="Contents3"/>
            <w:tabs>
              <w:tab w:val="clear" w:pos="8459"/>
              <w:tab w:val="right" w:pos="9026" w:leader="dot"/>
            </w:tabs>
            <w:rPr/>
          </w:pPr>
          <w:hyperlink w:anchor="__RefHeading___Toc3561853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561855_581953129">
            <w:r>
              <w:rPr>
                <w:webHidden/>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3561857_581953129">
            <w:r>
              <w:rPr>
                <w:webHidden/>
                <w:rStyle w:val="IndexLink"/>
                <w:rtl w:val="true"/>
              </w:rPr>
              <w:t>ادراک حسّی</w:t>
            </w:r>
            <w:r>
              <w:rPr>
                <w:rStyle w:val="IndexLink"/>
                <w:rtl w:val="true"/>
              </w:rPr>
              <w:tab/>
            </w:r>
            <w:r>
              <w:rPr>
                <w:rStyle w:val="IndexLink"/>
              </w:rPr>
              <w:t>85</w:t>
            </w:r>
          </w:hyperlink>
        </w:p>
        <w:p>
          <w:pPr>
            <w:pStyle w:val="Contents3"/>
            <w:tabs>
              <w:tab w:val="clear" w:pos="8459"/>
              <w:tab w:val="right" w:pos="9026" w:leader="dot"/>
            </w:tabs>
            <w:rPr/>
          </w:pPr>
          <w:hyperlink w:anchor="__RefHeading___Toc3561859_581953129">
            <w:r>
              <w:rPr>
                <w:webHidden/>
                <w:rStyle w:val="IndexLink"/>
                <w:rtl w:val="true"/>
              </w:rPr>
              <w:t>چگونگی ادراک حسّی</w:t>
            </w:r>
            <w:r>
              <w:rPr>
                <w:rStyle w:val="IndexLink"/>
                <w:rtl w:val="true"/>
              </w:rPr>
              <w:tab/>
            </w:r>
            <w:r>
              <w:rPr>
                <w:rStyle w:val="IndexLink"/>
              </w:rPr>
              <w:t>86</w:t>
            </w:r>
          </w:hyperlink>
        </w:p>
        <w:p>
          <w:pPr>
            <w:pStyle w:val="Contents3"/>
            <w:tabs>
              <w:tab w:val="clear" w:pos="8459"/>
              <w:tab w:val="right" w:pos="9026" w:leader="dot"/>
            </w:tabs>
            <w:rPr/>
          </w:pPr>
          <w:hyperlink w:anchor="__RefHeading___Toc3561861_581953129">
            <w:r>
              <w:rPr>
                <w:webHidden/>
                <w:rStyle w:val="IndexLink"/>
                <w:rtl w:val="true"/>
              </w:rPr>
              <w:t>تناقض یا خطای حواس</w:t>
            </w:r>
            <w:r>
              <w:rPr>
                <w:rStyle w:val="IndexLink"/>
                <w:rtl w:val="true"/>
              </w:rPr>
              <w:tab/>
            </w:r>
            <w:r>
              <w:rPr>
                <w:rStyle w:val="IndexLink"/>
              </w:rPr>
              <w:t>87</w:t>
            </w:r>
          </w:hyperlink>
        </w:p>
        <w:p>
          <w:pPr>
            <w:pStyle w:val="Contents4"/>
            <w:tabs>
              <w:tab w:val="clear" w:pos="8176"/>
              <w:tab w:val="right" w:pos="9026" w:leader="dot"/>
            </w:tabs>
            <w:rPr/>
          </w:pPr>
          <w:hyperlink w:anchor="__RefHeading___Toc3561863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561865_581953129">
            <w:r>
              <w:rPr>
                <w:webHidden/>
                <w:rStyle w:val="IndexLink"/>
                <w:rtl w:val="true"/>
              </w:rPr>
              <w:t>الف</w:t>
            </w:r>
            <w:r>
              <w:rPr>
                <w:rStyle w:val="IndexLink"/>
                <w:rtl w:val="true"/>
              </w:rPr>
              <w:t xml:space="preserve">) </w:t>
            </w:r>
            <w:r>
              <w:rPr>
                <w:rStyle w:val="IndexLink"/>
                <w:rtl w:val="true"/>
              </w:rPr>
              <w:t>چگونگی علم بر اشیای غیر محسوس</w:t>
            </w:r>
            <w:r>
              <w:rPr>
                <w:rStyle w:val="IndexLink"/>
                <w:rtl w:val="true"/>
              </w:rPr>
              <w:tab/>
            </w:r>
            <w:r>
              <w:rPr>
                <w:rStyle w:val="IndexLink"/>
              </w:rPr>
              <w:t>88</w:t>
            </w:r>
          </w:hyperlink>
        </w:p>
        <w:p>
          <w:pPr>
            <w:pStyle w:val="Contents4"/>
            <w:tabs>
              <w:tab w:val="clear" w:pos="8176"/>
              <w:tab w:val="right" w:pos="9026" w:leader="dot"/>
            </w:tabs>
            <w:rPr/>
          </w:pPr>
          <w:hyperlink w:anchor="__RefHeading___Toc3561867_581953129">
            <w:r>
              <w:rPr>
                <w:webHidden/>
                <w:rStyle w:val="IndexLink"/>
                <w:rtl w:val="true"/>
              </w:rPr>
              <w:t>ب</w:t>
            </w:r>
            <w:r>
              <w:rPr>
                <w:rStyle w:val="IndexLink"/>
                <w:rtl w:val="true"/>
              </w:rPr>
              <w:t xml:space="preserve">) </w:t>
            </w:r>
            <w:r>
              <w:rPr>
                <w:rStyle w:val="IndexLink"/>
                <w:rtl w:val="true"/>
              </w:rPr>
              <w:t xml:space="preserve">مفهوم </w:t>
            </w:r>
            <w:r>
              <w:rPr>
                <w:rStyle w:val="IndexLink"/>
                <w:rtl w:val="true"/>
              </w:rPr>
              <w:t>(</w:t>
            </w:r>
            <w:r>
              <w:rPr>
                <w:rStyle w:val="IndexLink"/>
                <w:rtl w:val="true"/>
              </w:rPr>
              <w:t>تصوّر مسبوق به احساس</w:t>
            </w:r>
            <w:r>
              <w:rPr>
                <w:rStyle w:val="IndexLink"/>
                <w:rtl w:val="true"/>
              </w:rPr>
              <w:t>)</w:t>
              <w:tab/>
            </w:r>
            <w:r>
              <w:rPr>
                <w:rStyle w:val="IndexLink"/>
              </w:rPr>
              <w:t>89</w:t>
            </w:r>
          </w:hyperlink>
        </w:p>
        <w:p>
          <w:pPr>
            <w:pStyle w:val="Contents4"/>
            <w:tabs>
              <w:tab w:val="clear" w:pos="8176"/>
              <w:tab w:val="right" w:pos="9026" w:leader="dot"/>
            </w:tabs>
            <w:rPr/>
          </w:pPr>
          <w:hyperlink w:anchor="__RefHeading___Toc3561869_581953129">
            <w:r>
              <w:rPr>
                <w:webHidden/>
                <w:rStyle w:val="IndexLink"/>
                <w:rtl w:val="true"/>
              </w:rPr>
              <w:t>ج</w:t>
            </w:r>
            <w:r>
              <w:rPr>
                <w:rStyle w:val="IndexLink"/>
                <w:rtl w:val="true"/>
              </w:rPr>
              <w:t xml:space="preserve">) </w:t>
            </w:r>
            <w:r>
              <w:rPr>
                <w:rStyle w:val="IndexLink"/>
                <w:rtl w:val="true"/>
              </w:rPr>
              <w:t xml:space="preserve">انفعالات </w:t>
            </w:r>
            <w:r>
              <w:rPr>
                <w:rStyle w:val="IndexLink"/>
                <w:rtl w:val="true"/>
              </w:rPr>
              <w:t>(</w:t>
            </w:r>
            <w:r>
              <w:rPr>
                <w:rStyle w:val="IndexLink"/>
                <w:rtl w:val="true"/>
              </w:rPr>
              <w:t>لذّت و الم</w:t>
            </w:r>
            <w:r>
              <w:rPr>
                <w:rStyle w:val="IndexLink"/>
                <w:rtl w:val="true"/>
              </w:rPr>
              <w:t>)</w:t>
              <w:tab/>
            </w:r>
            <w:r>
              <w:rPr>
                <w:rStyle w:val="IndexLink"/>
              </w:rPr>
              <w:t>90</w:t>
            </w:r>
          </w:hyperlink>
        </w:p>
        <w:p>
          <w:pPr>
            <w:pStyle w:val="Contents4"/>
            <w:tabs>
              <w:tab w:val="clear" w:pos="8176"/>
              <w:tab w:val="right" w:pos="9026" w:leader="dot"/>
            </w:tabs>
            <w:rPr/>
          </w:pPr>
          <w:hyperlink w:anchor="__RefHeading___Toc3561871_581953129">
            <w:r>
              <w:rPr>
                <w:webHidden/>
                <w:rStyle w:val="IndexLink"/>
                <w:rtl w:val="true"/>
              </w:rPr>
              <w:t>د</w:t>
            </w:r>
            <w:r>
              <w:rPr>
                <w:rStyle w:val="IndexLink"/>
                <w:rtl w:val="true"/>
              </w:rPr>
              <w:t xml:space="preserve">) </w:t>
            </w:r>
            <w:r>
              <w:rPr>
                <w:rStyle w:val="IndexLink"/>
                <w:rtl w:val="true"/>
              </w:rPr>
              <w:t xml:space="preserve">لمح بصر </w:t>
            </w:r>
            <w:r>
              <w:rPr>
                <w:rStyle w:val="IndexLink"/>
                <w:rtl w:val="true"/>
              </w:rPr>
              <w:t>(</w:t>
            </w:r>
            <w:r>
              <w:rPr>
                <w:rStyle w:val="IndexLink"/>
                <w:rtl w:val="true"/>
              </w:rPr>
              <w:t>شهود فکری</w:t>
            </w:r>
            <w:r>
              <w:rPr>
                <w:rStyle w:val="IndexLink"/>
                <w:rtl w:val="true"/>
              </w:rPr>
              <w:t>)</w:t>
              <w:tab/>
            </w:r>
            <w:r>
              <w:rPr>
                <w:rStyle w:val="IndexLink"/>
              </w:rPr>
              <w:t>92</w:t>
            </w:r>
          </w:hyperlink>
        </w:p>
        <w:p>
          <w:pPr>
            <w:pStyle w:val="Contents4"/>
            <w:tabs>
              <w:tab w:val="clear" w:pos="8176"/>
              <w:tab w:val="right" w:pos="9026" w:leader="dot"/>
            </w:tabs>
            <w:rPr/>
          </w:pPr>
          <w:hyperlink w:anchor="__RefHeading___Toc3561873_581953129">
            <w:r>
              <w:rPr>
                <w:webHidden/>
                <w:rStyle w:val="IndexLink"/>
                <w:rtl w:val="true"/>
              </w:rPr>
              <w:t>انتقاد اپیکوریان بر فلاسفه</w:t>
            </w:r>
            <w:r>
              <w:rPr>
                <w:rStyle w:val="IndexLink"/>
                <w:rtl w:val="true"/>
              </w:rPr>
              <w:tab/>
            </w:r>
            <w:r>
              <w:rPr>
                <w:rStyle w:val="IndexLink"/>
              </w:rPr>
              <w:t>92</w:t>
            </w:r>
          </w:hyperlink>
        </w:p>
        <w:p>
          <w:pPr>
            <w:pStyle w:val="Contents3"/>
            <w:tabs>
              <w:tab w:val="clear" w:pos="8459"/>
              <w:tab w:val="right" w:pos="9026" w:leader="dot"/>
            </w:tabs>
            <w:rPr/>
          </w:pPr>
          <w:hyperlink w:anchor="__RefHeading___Toc3561875_581953129">
            <w:r>
              <w:rPr>
                <w:webHidden/>
                <w:rStyle w:val="IndexLink"/>
                <w:rtl w:val="true"/>
              </w:rPr>
              <w:t>اپیکوریان و قداست‌زدایی از معرفت</w:t>
            </w:r>
            <w:r>
              <w:rPr>
                <w:rStyle w:val="IndexLink"/>
                <w:rtl w:val="true"/>
              </w:rPr>
              <w:tab/>
            </w:r>
            <w:r>
              <w:rPr>
                <w:rStyle w:val="IndexLink"/>
              </w:rPr>
              <w:t>93</w:t>
            </w:r>
          </w:hyperlink>
        </w:p>
        <w:p>
          <w:pPr>
            <w:pStyle w:val="Contents3"/>
            <w:tabs>
              <w:tab w:val="clear" w:pos="8459"/>
              <w:tab w:val="right" w:pos="9026" w:leader="dot"/>
            </w:tabs>
            <w:rPr/>
          </w:pPr>
          <w:hyperlink w:anchor="__RefHeading___Toc3561877_581953129">
            <w:r>
              <w:rPr>
                <w:webHidden/>
                <w:rStyle w:val="IndexLink"/>
                <w:rtl w:val="true"/>
              </w:rPr>
              <w:t>لذّت‌جویی اپیکوری</w:t>
            </w:r>
            <w:r>
              <w:rPr>
                <w:rStyle w:val="IndexLink"/>
                <w:rtl w:val="true"/>
              </w:rPr>
              <w:tab/>
            </w:r>
            <w:r>
              <w:rPr>
                <w:rStyle w:val="IndexLink"/>
              </w:rPr>
              <w:t>94</w:t>
            </w:r>
          </w:hyperlink>
        </w:p>
        <w:p>
          <w:pPr>
            <w:pStyle w:val="Contents3"/>
            <w:tabs>
              <w:tab w:val="clear" w:pos="8459"/>
              <w:tab w:val="right" w:pos="9026" w:leader="dot"/>
            </w:tabs>
            <w:rPr/>
          </w:pPr>
          <w:hyperlink w:anchor="__RefHeading___Toc3561879_581953129">
            <w:r>
              <w:rPr>
                <w:webHidden/>
                <w:rStyle w:val="IndexLink"/>
                <w:rtl w:val="true"/>
              </w:rPr>
              <w:t>اپیکور و نفس</w:t>
            </w:r>
            <w:r>
              <w:rPr>
                <w:rStyle w:val="IndexLink"/>
                <w:rtl w:val="true"/>
              </w:rPr>
              <w:tab/>
            </w:r>
            <w:r>
              <w:rPr>
                <w:rStyle w:val="IndexLink"/>
              </w:rPr>
              <w:t>95</w:t>
            </w:r>
          </w:hyperlink>
        </w:p>
        <w:p>
          <w:pPr>
            <w:pStyle w:val="Contents3"/>
            <w:tabs>
              <w:tab w:val="clear" w:pos="8459"/>
              <w:tab w:val="right" w:pos="9026" w:leader="dot"/>
            </w:tabs>
            <w:rPr/>
          </w:pPr>
          <w:hyperlink w:anchor="__RefHeading___Toc3561881_581953129">
            <w:r>
              <w:rPr>
                <w:webHidden/>
                <w:rStyle w:val="IndexLink"/>
                <w:rtl w:val="true"/>
              </w:rPr>
              <w:t>نتیجه‌گیری</w:t>
            </w:r>
            <w:r>
              <w:rPr>
                <w:rStyle w:val="IndexLink"/>
                <w:rtl w:val="true"/>
              </w:rPr>
              <w:tab/>
            </w:r>
            <w:r>
              <w:rPr>
                <w:rStyle w:val="IndexLink"/>
              </w:rPr>
              <w:t>96</w:t>
            </w:r>
          </w:hyperlink>
        </w:p>
        <w:p>
          <w:pPr>
            <w:pStyle w:val="Contents2"/>
            <w:tabs>
              <w:tab w:val="clear" w:pos="8743"/>
              <w:tab w:val="right" w:pos="9026" w:leader="dot"/>
            </w:tabs>
            <w:rPr/>
          </w:pPr>
          <w:hyperlink w:anchor="__RefHeading___Toc3561883_581953129">
            <w:r>
              <w:rPr>
                <w:webHidden/>
                <w:rStyle w:val="IndexLink"/>
                <w:rtl w:val="true"/>
              </w:rPr>
              <w:t>معرفت‌شناسی از منظر رواقیان</w:t>
            </w:r>
            <w:r>
              <w:rPr>
                <w:rStyle w:val="IndexLink"/>
                <w:rtl w:val="true"/>
              </w:rPr>
              <w:tab/>
            </w:r>
            <w:r>
              <w:rPr>
                <w:rStyle w:val="IndexLink"/>
              </w:rPr>
              <w:t>98</w:t>
            </w:r>
          </w:hyperlink>
        </w:p>
        <w:p>
          <w:pPr>
            <w:pStyle w:val="Contents3"/>
            <w:tabs>
              <w:tab w:val="clear" w:pos="8459"/>
              <w:tab w:val="right" w:pos="9026" w:leader="dot"/>
            </w:tabs>
            <w:rPr/>
          </w:pPr>
          <w:hyperlink w:anchor="__RefHeading___Toc3561885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561887_581953129">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3561889_581953129">
            <w:r>
              <w:rPr>
                <w:webHidden/>
                <w:rStyle w:val="IndexLink"/>
                <w:rtl w:val="true"/>
              </w:rPr>
              <w:t>عصر یونانی‌مآبی</w:t>
            </w:r>
            <w:r>
              <w:rPr>
                <w:rStyle w:val="IndexLink"/>
                <w:rtl w:val="true"/>
              </w:rPr>
              <w:tab/>
            </w:r>
            <w:r>
              <w:rPr>
                <w:rStyle w:val="IndexLink"/>
              </w:rPr>
              <w:t>99</w:t>
            </w:r>
          </w:hyperlink>
        </w:p>
        <w:p>
          <w:pPr>
            <w:pStyle w:val="Contents3"/>
            <w:tabs>
              <w:tab w:val="clear" w:pos="8459"/>
              <w:tab w:val="right" w:pos="9026" w:leader="dot"/>
            </w:tabs>
            <w:rPr/>
          </w:pPr>
          <w:hyperlink w:anchor="__RefHeading___Toc3561891_581953129">
            <w:r>
              <w:rPr>
                <w:webHidden/>
                <w:rStyle w:val="IndexLink"/>
                <w:rtl w:val="true"/>
              </w:rPr>
              <w:t>مکتب رواقی</w:t>
            </w:r>
            <w:r>
              <w:rPr>
                <w:rStyle w:val="IndexLink"/>
                <w:rtl w:val="true"/>
              </w:rPr>
              <w:tab/>
            </w:r>
            <w:r>
              <w:rPr>
                <w:rStyle w:val="IndexLink"/>
              </w:rPr>
              <w:t>101</w:t>
            </w:r>
          </w:hyperlink>
        </w:p>
        <w:p>
          <w:pPr>
            <w:pStyle w:val="Contents4"/>
            <w:tabs>
              <w:tab w:val="clear" w:pos="8176"/>
              <w:tab w:val="right" w:pos="9026" w:leader="dot"/>
            </w:tabs>
            <w:rPr/>
          </w:pPr>
          <w:hyperlink w:anchor="__RefHeading___Toc3561893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561895_581953129">
            <w:r>
              <w:rPr>
                <w:webHidden/>
                <w:rStyle w:val="IndexLink"/>
                <w:rtl w:val="true"/>
              </w:rPr>
              <w:t>رواقیان جزم‌گرا یا شکّاک؟</w:t>
            </w:r>
            <w:r>
              <w:rPr>
                <w:rStyle w:val="IndexLink"/>
                <w:rtl w:val="true"/>
              </w:rPr>
              <w:tab/>
            </w:r>
            <w:r>
              <w:rPr>
                <w:rStyle w:val="IndexLink"/>
              </w:rPr>
              <w:t>103</w:t>
            </w:r>
          </w:hyperlink>
        </w:p>
        <w:p>
          <w:pPr>
            <w:pStyle w:val="Contents4"/>
            <w:tabs>
              <w:tab w:val="clear" w:pos="8176"/>
              <w:tab w:val="right" w:pos="9026" w:leader="dot"/>
            </w:tabs>
            <w:rPr/>
          </w:pPr>
          <w:hyperlink w:anchor="__RefHeading___Toc3561897_581953129">
            <w:r>
              <w:rPr>
                <w:webHidden/>
                <w:rStyle w:val="IndexLink"/>
                <w:rtl w:val="true"/>
              </w:rPr>
              <w:t>غایت معرفت</w:t>
            </w:r>
            <w:r>
              <w:rPr>
                <w:rStyle w:val="IndexLink"/>
                <w:rtl w:val="true"/>
              </w:rPr>
              <w:tab/>
            </w:r>
            <w:r>
              <w:rPr>
                <w:rStyle w:val="IndexLink"/>
              </w:rPr>
              <w:t>106</w:t>
            </w:r>
          </w:hyperlink>
        </w:p>
        <w:p>
          <w:pPr>
            <w:pStyle w:val="Contents4"/>
            <w:tabs>
              <w:tab w:val="clear" w:pos="8176"/>
              <w:tab w:val="right" w:pos="9026" w:leader="dot"/>
            </w:tabs>
            <w:rPr/>
          </w:pPr>
          <w:hyperlink w:anchor="__RefHeading___Toc3561899_581953129">
            <w:r>
              <w:rPr>
                <w:webHidden/>
                <w:rStyle w:val="IndexLink"/>
                <w:rtl w:val="true"/>
              </w:rPr>
              <w:t>مصادر معرفت</w:t>
            </w:r>
            <w:r>
              <w:rPr>
                <w:rStyle w:val="IndexLink"/>
                <w:rtl w:val="true"/>
              </w:rPr>
              <w:tab/>
            </w:r>
            <w:r>
              <w:rPr>
                <w:rStyle w:val="IndexLink"/>
              </w:rPr>
              <w:t>107</w:t>
            </w:r>
          </w:hyperlink>
        </w:p>
        <w:p>
          <w:pPr>
            <w:pStyle w:val="Contents4"/>
            <w:tabs>
              <w:tab w:val="clear" w:pos="8176"/>
              <w:tab w:val="right" w:pos="9026" w:leader="dot"/>
            </w:tabs>
            <w:rPr/>
          </w:pPr>
          <w:hyperlink w:anchor="__RefHeading___Toc3561901_581953129">
            <w:r>
              <w:rPr>
                <w:webHidden/>
                <w:rStyle w:val="IndexLink"/>
                <w:rtl w:val="true"/>
              </w:rPr>
              <w:t>مراتب معرفت</w:t>
            </w:r>
            <w:r>
              <w:rPr>
                <w:rStyle w:val="IndexLink"/>
                <w:rtl w:val="true"/>
              </w:rPr>
              <w:tab/>
            </w:r>
            <w:r>
              <w:rPr>
                <w:rStyle w:val="IndexLink"/>
              </w:rPr>
              <w:t>112</w:t>
            </w:r>
          </w:hyperlink>
        </w:p>
        <w:p>
          <w:pPr>
            <w:pStyle w:val="Contents4"/>
            <w:tabs>
              <w:tab w:val="clear" w:pos="8176"/>
              <w:tab w:val="right" w:pos="9026" w:leader="dot"/>
            </w:tabs>
            <w:rPr/>
          </w:pPr>
          <w:hyperlink w:anchor="__RefHeading___Toc3561903_581953129">
            <w:r>
              <w:rPr>
                <w:webHidden/>
                <w:rStyle w:val="IndexLink"/>
                <w:rtl w:val="true"/>
              </w:rPr>
              <w:t>معیار حقیقت</w:t>
            </w:r>
            <w:r>
              <w:rPr>
                <w:rStyle w:val="IndexLink"/>
                <w:rtl w:val="true"/>
              </w:rPr>
              <w:tab/>
            </w:r>
            <w:r>
              <w:rPr>
                <w:rStyle w:val="IndexLink"/>
              </w:rPr>
              <w:t>113</w:t>
            </w:r>
          </w:hyperlink>
        </w:p>
        <w:p>
          <w:pPr>
            <w:pStyle w:val="Contents4"/>
            <w:tabs>
              <w:tab w:val="clear" w:pos="8176"/>
              <w:tab w:val="right" w:pos="9026" w:leader="dot"/>
            </w:tabs>
            <w:rPr/>
          </w:pPr>
          <w:hyperlink w:anchor="__RefHeading___Toc3561905_581953129">
            <w:r>
              <w:rPr>
                <w:webHidden/>
                <w:rStyle w:val="IndexLink"/>
                <w:rtl w:val="true"/>
              </w:rPr>
              <w:t>نظریة رواقیان در باب کلّی</w:t>
            </w:r>
            <w:r>
              <w:rPr>
                <w:rStyle w:val="IndexLink"/>
                <w:rtl w:val="true"/>
              </w:rPr>
              <w:tab/>
            </w:r>
            <w:r>
              <w:rPr>
                <w:rStyle w:val="IndexLink"/>
              </w:rPr>
              <w:t>116</w:t>
            </w:r>
          </w:hyperlink>
        </w:p>
        <w:p>
          <w:pPr>
            <w:pStyle w:val="Contents3"/>
            <w:tabs>
              <w:tab w:val="clear" w:pos="8459"/>
              <w:tab w:val="right" w:pos="9026" w:leader="dot"/>
            </w:tabs>
            <w:rPr/>
          </w:pPr>
          <w:hyperlink w:anchor="__RefHeading___Toc3561907_581953129">
            <w:r>
              <w:rPr>
                <w:webHidden/>
                <w:rStyle w:val="IndexLink"/>
                <w:rtl w:val="true"/>
              </w:rPr>
              <w:t>نتیجه‌گیری</w:t>
            </w:r>
            <w:r>
              <w:rPr>
                <w:rStyle w:val="IndexLink"/>
                <w:rtl w:val="true"/>
              </w:rPr>
              <w:tab/>
            </w:r>
            <w:r>
              <w:rPr>
                <w:rStyle w:val="IndexLink"/>
              </w:rPr>
              <w:t>118</w:t>
            </w:r>
          </w:hyperlink>
        </w:p>
        <w:p>
          <w:pPr>
            <w:pStyle w:val="Contents2"/>
            <w:tabs>
              <w:tab w:val="clear" w:pos="8743"/>
              <w:tab w:val="right" w:pos="9026" w:leader="dot"/>
            </w:tabs>
            <w:rPr/>
          </w:pPr>
          <w:hyperlink w:anchor="__RefHeading___Toc3561909_581953129">
            <w:r>
              <w:rPr>
                <w:webHidden/>
                <w:rStyle w:val="IndexLink"/>
                <w:rtl w:val="true"/>
              </w:rPr>
              <w:t>درآمدی بر معرفت‌شناسی فلوطین</w:t>
            </w:r>
            <w:r>
              <w:rPr>
                <w:rStyle w:val="IndexLink"/>
                <w:rtl w:val="true"/>
              </w:rPr>
              <w:tab/>
            </w:r>
            <w:r>
              <w:rPr>
                <w:rStyle w:val="IndexLink"/>
              </w:rPr>
              <w:t>120</w:t>
            </w:r>
          </w:hyperlink>
        </w:p>
        <w:p>
          <w:pPr>
            <w:pStyle w:val="Contents3"/>
            <w:tabs>
              <w:tab w:val="clear" w:pos="8459"/>
              <w:tab w:val="right" w:pos="9026" w:leader="dot"/>
            </w:tabs>
            <w:rPr/>
          </w:pPr>
          <w:hyperlink w:anchor="__RefHeading___Toc3561911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561913_581953129">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3561915_581953129">
            <w:r>
              <w:rPr>
                <w:webHidden/>
                <w:rStyle w:val="IndexLink"/>
                <w:rtl w:val="true"/>
              </w:rPr>
              <w:t>جایگاه فلسفی فلوطین</w:t>
            </w:r>
            <w:r>
              <w:rPr>
                <w:rStyle w:val="IndexLink"/>
                <w:rtl w:val="true"/>
              </w:rPr>
              <w:tab/>
            </w:r>
            <w:r>
              <w:rPr>
                <w:rStyle w:val="IndexLink"/>
              </w:rPr>
              <w:t>121</w:t>
            </w:r>
          </w:hyperlink>
        </w:p>
        <w:p>
          <w:pPr>
            <w:pStyle w:val="Contents3"/>
            <w:tabs>
              <w:tab w:val="clear" w:pos="8459"/>
              <w:tab w:val="right" w:pos="9026" w:leader="dot"/>
            </w:tabs>
            <w:rPr/>
          </w:pPr>
          <w:hyperlink w:anchor="__RefHeading___Toc3561917_581953129">
            <w:r>
              <w:rPr>
                <w:webHidden/>
                <w:rStyle w:val="IndexLink"/>
                <w:rtl w:val="true"/>
              </w:rPr>
              <w:t>تفاوتهای افلاطون و فلوطین</w:t>
            </w:r>
            <w:r>
              <w:rPr>
                <w:rStyle w:val="IndexLink"/>
                <w:rtl w:val="true"/>
              </w:rPr>
              <w:tab/>
            </w:r>
            <w:r>
              <w:rPr>
                <w:rStyle w:val="IndexLink"/>
              </w:rPr>
              <w:t>125</w:t>
            </w:r>
          </w:hyperlink>
        </w:p>
        <w:p>
          <w:pPr>
            <w:pStyle w:val="Contents3"/>
            <w:tabs>
              <w:tab w:val="clear" w:pos="8459"/>
              <w:tab w:val="right" w:pos="9026" w:leader="dot"/>
            </w:tabs>
            <w:rPr/>
          </w:pPr>
          <w:hyperlink w:anchor="__RefHeading___Toc3561919_581953129">
            <w:r>
              <w:rPr>
                <w:webHidden/>
                <w:rStyle w:val="IndexLink"/>
                <w:rtl w:val="true"/>
              </w:rPr>
              <w:t>تأثیر فلوطین در اندیشه و تفکّر غرب</w:t>
            </w:r>
            <w:r>
              <w:rPr>
                <w:rStyle w:val="IndexLink"/>
                <w:rtl w:val="true"/>
              </w:rPr>
              <w:tab/>
            </w:r>
            <w:r>
              <w:rPr>
                <w:rStyle w:val="IndexLink"/>
              </w:rPr>
              <w:t>125</w:t>
            </w:r>
          </w:hyperlink>
        </w:p>
        <w:p>
          <w:pPr>
            <w:pStyle w:val="Contents3"/>
            <w:tabs>
              <w:tab w:val="clear" w:pos="8459"/>
              <w:tab w:val="right" w:pos="9026" w:leader="dot"/>
            </w:tabs>
            <w:rPr/>
          </w:pPr>
          <w:hyperlink w:anchor="__RefHeading___Toc3561921_581953129">
            <w:r>
              <w:rPr>
                <w:webHidden/>
                <w:rStyle w:val="IndexLink"/>
                <w:rtl w:val="true"/>
              </w:rPr>
              <w:t>فلوطین و فلسفة 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3561923_581953129">
            <w:r>
              <w:rPr>
                <w:webHidden/>
                <w:rStyle w:val="IndexLink"/>
                <w:rtl w:val="true"/>
              </w:rPr>
              <w:t>خطوط کلّی فلسفة فلوطین</w:t>
            </w:r>
            <w:r>
              <w:rPr>
                <w:rStyle w:val="IndexLink"/>
                <w:rtl w:val="true"/>
              </w:rPr>
              <w:tab/>
            </w:r>
            <w:r>
              <w:rPr>
                <w:rStyle w:val="IndexLink"/>
              </w:rPr>
              <w:t>131</w:t>
            </w:r>
          </w:hyperlink>
        </w:p>
        <w:p>
          <w:pPr>
            <w:pStyle w:val="Contents4"/>
            <w:tabs>
              <w:tab w:val="clear" w:pos="8176"/>
              <w:tab w:val="right" w:pos="9026" w:leader="dot"/>
            </w:tabs>
            <w:rPr/>
          </w:pPr>
          <w:hyperlink w:anchor="__RefHeading___Toc3561925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561927_581953129">
            <w:r>
              <w:rPr>
                <w:webHidden/>
                <w:rStyle w:val="IndexLink"/>
                <w:rtl w:val="true"/>
              </w:rPr>
              <w:t>الف</w:t>
            </w:r>
            <w:r>
              <w:rPr>
                <w:rStyle w:val="IndexLink"/>
                <w:rtl w:val="true"/>
              </w:rPr>
              <w:t xml:space="preserve">) </w:t>
            </w:r>
            <w:r>
              <w:rPr>
                <w:rStyle w:val="IndexLink"/>
                <w:rtl w:val="true"/>
              </w:rPr>
              <w:t>نقّادی از اسلاف و معاصران</w:t>
            </w:r>
            <w:r>
              <w:rPr>
                <w:rStyle w:val="IndexLink"/>
                <w:rtl w:val="true"/>
              </w:rPr>
              <w:tab/>
            </w:r>
            <w:r>
              <w:rPr>
                <w:rStyle w:val="IndexLink"/>
              </w:rPr>
              <w:t>134</w:t>
            </w:r>
          </w:hyperlink>
        </w:p>
        <w:p>
          <w:pPr>
            <w:pStyle w:val="Contents4"/>
            <w:tabs>
              <w:tab w:val="clear" w:pos="8176"/>
              <w:tab w:val="right" w:pos="9026" w:leader="dot"/>
            </w:tabs>
            <w:rPr/>
          </w:pPr>
          <w:hyperlink w:anchor="__RefHeading___Toc3561929_581953129">
            <w:r>
              <w:rPr>
                <w:webHidden/>
                <w:rStyle w:val="IndexLink"/>
                <w:rtl w:val="true"/>
              </w:rPr>
              <w:t>ب</w:t>
            </w:r>
            <w:r>
              <w:rPr>
                <w:rStyle w:val="IndexLink"/>
                <w:rtl w:val="true"/>
              </w:rPr>
              <w:t xml:space="preserve">) </w:t>
            </w:r>
            <w:r>
              <w:rPr>
                <w:rStyle w:val="IndexLink"/>
                <w:rtl w:val="true"/>
              </w:rPr>
              <w:t>هویّت و چیستی فلسفة فلوطین</w:t>
            </w:r>
            <w:r>
              <w:rPr>
                <w:rStyle w:val="IndexLink"/>
                <w:rtl w:val="true"/>
              </w:rPr>
              <w:tab/>
            </w:r>
            <w:r>
              <w:rPr>
                <w:rStyle w:val="IndexLink"/>
              </w:rPr>
              <w:t>136</w:t>
            </w:r>
          </w:hyperlink>
        </w:p>
        <w:p>
          <w:pPr>
            <w:pStyle w:val="Contents3"/>
            <w:tabs>
              <w:tab w:val="clear" w:pos="8459"/>
              <w:tab w:val="right" w:pos="9026" w:leader="dot"/>
            </w:tabs>
            <w:rPr/>
          </w:pPr>
          <w:hyperlink w:anchor="__RefHeading___Toc3561931_581953129">
            <w:r>
              <w:rPr>
                <w:webHidden/>
                <w:rStyle w:val="IndexLink"/>
                <w:rtl w:val="true"/>
              </w:rPr>
              <w:t>هستی حقیقی و اصیل</w:t>
            </w:r>
            <w:r>
              <w:rPr>
                <w:rStyle w:val="IndexLink"/>
                <w:rtl w:val="true"/>
              </w:rPr>
              <w:tab/>
            </w:r>
            <w:r>
              <w:rPr>
                <w:rStyle w:val="IndexLink"/>
              </w:rPr>
              <w:t>141</w:t>
            </w:r>
          </w:hyperlink>
        </w:p>
        <w:p>
          <w:pPr>
            <w:pStyle w:val="Contents3"/>
            <w:tabs>
              <w:tab w:val="clear" w:pos="8459"/>
              <w:tab w:val="right" w:pos="9026" w:leader="dot"/>
            </w:tabs>
            <w:rPr/>
          </w:pPr>
          <w:hyperlink w:anchor="__RefHeading___Toc3561933_581953129">
            <w:r>
              <w:rPr>
                <w:webHidden/>
                <w:rStyle w:val="IndexLink"/>
                <w:rtl w:val="true"/>
              </w:rPr>
              <w:t>نظریة فیض</w:t>
            </w:r>
            <w:r>
              <w:rPr>
                <w:rStyle w:val="IndexLink"/>
                <w:rtl w:val="true"/>
              </w:rPr>
              <w:tab/>
            </w:r>
            <w:r>
              <w:rPr>
                <w:rStyle w:val="IndexLink"/>
              </w:rPr>
              <w:t>144</w:t>
            </w:r>
          </w:hyperlink>
        </w:p>
        <w:p>
          <w:pPr>
            <w:pStyle w:val="Contents4"/>
            <w:tabs>
              <w:tab w:val="clear" w:pos="8176"/>
              <w:tab w:val="right" w:pos="9026" w:leader="dot"/>
            </w:tabs>
            <w:rPr/>
          </w:pPr>
          <w:hyperlink w:anchor="__RefHeading___Toc3561935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561937_581953129">
            <w:r>
              <w:rPr>
                <w:webHidden/>
                <w:rStyle w:val="IndexLink"/>
                <w:rtl w:val="true"/>
              </w:rPr>
              <w:t>اهمیت و کارکرد نظر در نظریة فیض</w:t>
            </w:r>
            <w:r>
              <w:rPr>
                <w:rStyle w:val="IndexLink"/>
                <w:rtl w:val="true"/>
              </w:rPr>
              <w:tab/>
            </w:r>
            <w:r>
              <w:rPr>
                <w:rStyle w:val="IndexLink"/>
              </w:rPr>
              <w:t>147</w:t>
            </w:r>
          </w:hyperlink>
        </w:p>
        <w:p>
          <w:pPr>
            <w:pStyle w:val="Contents4"/>
            <w:tabs>
              <w:tab w:val="clear" w:pos="8176"/>
              <w:tab w:val="right" w:pos="9026" w:leader="dot"/>
            </w:tabs>
            <w:rPr/>
          </w:pPr>
          <w:hyperlink w:anchor="__RefHeading___Toc3561939_581953129">
            <w:r>
              <w:rPr>
                <w:webHidden/>
                <w:rStyle w:val="IndexLink"/>
                <w:rtl w:val="true"/>
              </w:rPr>
              <w:t>خودآگاهی اقانیم</w:t>
            </w:r>
            <w:r>
              <w:rPr>
                <w:rStyle w:val="IndexLink"/>
                <w:rtl w:val="true"/>
              </w:rPr>
              <w:tab/>
            </w:r>
            <w:r>
              <w:rPr>
                <w:rStyle w:val="IndexLink"/>
              </w:rPr>
              <w:t>151</w:t>
            </w:r>
          </w:hyperlink>
        </w:p>
        <w:p>
          <w:pPr>
            <w:pStyle w:val="Contents3"/>
            <w:tabs>
              <w:tab w:val="clear" w:pos="8459"/>
              <w:tab w:val="right" w:pos="9026" w:leader="dot"/>
            </w:tabs>
            <w:rPr/>
          </w:pPr>
          <w:hyperlink w:anchor="__RefHeading___Toc3561941_581953129">
            <w:r>
              <w:rPr>
                <w:webHidden/>
                <w:rStyle w:val="IndexLink"/>
                <w:rtl w:val="true"/>
              </w:rPr>
              <w:t>اهمیت و آثار وحدت عقل و هستی</w:t>
            </w:r>
            <w:r>
              <w:rPr>
                <w:rStyle w:val="IndexLink"/>
                <w:rtl w:val="true"/>
              </w:rPr>
              <w:tab/>
            </w:r>
            <w:r>
              <w:rPr>
                <w:rStyle w:val="IndexLink"/>
              </w:rPr>
              <w:t>154</w:t>
            </w:r>
          </w:hyperlink>
        </w:p>
        <w:p>
          <w:pPr>
            <w:pStyle w:val="Contents3"/>
            <w:tabs>
              <w:tab w:val="clear" w:pos="8459"/>
              <w:tab w:val="right" w:pos="9026" w:leader="dot"/>
            </w:tabs>
            <w:rPr/>
          </w:pPr>
          <w:hyperlink w:anchor="__RefHeading___Toc3561943_581953129">
            <w:r>
              <w:rPr>
                <w:webHidden/>
                <w:rStyle w:val="IndexLink"/>
                <w:rtl w:val="true"/>
              </w:rPr>
              <w:t>نظام معرفت‌شناسی فلوطین</w:t>
            </w:r>
            <w:r>
              <w:rPr>
                <w:rStyle w:val="IndexLink"/>
                <w:rtl w:val="true"/>
              </w:rPr>
              <w:tab/>
            </w:r>
            <w:r>
              <w:rPr>
                <w:rStyle w:val="IndexLink"/>
              </w:rPr>
              <w:t>156</w:t>
            </w:r>
          </w:hyperlink>
        </w:p>
        <w:p>
          <w:pPr>
            <w:pStyle w:val="Contents4"/>
            <w:tabs>
              <w:tab w:val="clear" w:pos="8176"/>
              <w:tab w:val="right" w:pos="9026" w:leader="dot"/>
            </w:tabs>
            <w:rPr/>
          </w:pPr>
          <w:hyperlink w:anchor="__RefHeading___Toc3561945_581953129">
            <w:r>
              <w:rPr>
                <w:webHidden/>
                <w:rStyle w:val="IndexLink"/>
                <w:rtl w:val="true"/>
              </w:rPr>
              <w:t>اهمیت معرفت</w:t>
            </w:r>
            <w:r>
              <w:rPr>
                <w:rStyle w:val="IndexLink"/>
                <w:rtl w:val="true"/>
              </w:rPr>
              <w:tab/>
            </w:r>
            <w:r>
              <w:rPr>
                <w:rStyle w:val="IndexLink"/>
              </w:rPr>
              <w:t>156</w:t>
            </w:r>
          </w:hyperlink>
        </w:p>
        <w:p>
          <w:pPr>
            <w:pStyle w:val="Contents4"/>
            <w:tabs>
              <w:tab w:val="clear" w:pos="8176"/>
              <w:tab w:val="right" w:pos="9026" w:leader="dot"/>
            </w:tabs>
            <w:rPr/>
          </w:pPr>
          <w:hyperlink w:anchor="__RefHeading___Toc3561947_581953129">
            <w:r>
              <w:rPr>
                <w:webHidden/>
                <w:rStyle w:val="IndexLink"/>
                <w:rtl w:val="true"/>
              </w:rPr>
              <w:t>نگاهی به هندسة معرفتی فلوطین</w:t>
            </w:r>
            <w:r>
              <w:rPr>
                <w:rStyle w:val="IndexLink"/>
                <w:rtl w:val="true"/>
              </w:rPr>
              <w:tab/>
            </w:r>
            <w:r>
              <w:rPr>
                <w:rStyle w:val="IndexLink"/>
              </w:rPr>
              <w:t>157</w:t>
            </w:r>
          </w:hyperlink>
        </w:p>
        <w:p>
          <w:pPr>
            <w:pStyle w:val="Contents5"/>
            <w:tabs>
              <w:tab w:val="clear" w:pos="7892"/>
              <w:tab w:val="right" w:pos="9026" w:leader="dot"/>
            </w:tabs>
            <w:rPr/>
          </w:pPr>
          <w:hyperlink w:anchor="__RefHeading___Toc3561949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561951_581953129">
            <w:r>
              <w:rPr>
                <w:webHidden/>
                <w:rStyle w:val="IndexLink"/>
                <w:rtl w:val="true"/>
              </w:rPr>
              <w:t>الف</w:t>
            </w:r>
            <w:r>
              <w:rPr>
                <w:rStyle w:val="IndexLink"/>
                <w:rtl w:val="true"/>
              </w:rPr>
              <w:t xml:space="preserve">) </w:t>
            </w:r>
            <w:r>
              <w:rPr>
                <w:rStyle w:val="IndexLink"/>
                <w:rtl w:val="true"/>
              </w:rPr>
              <w:t>معرفت و امکان آن</w:t>
            </w:r>
            <w:r>
              <w:rPr>
                <w:rStyle w:val="IndexLink"/>
                <w:rtl w:val="true"/>
              </w:rPr>
              <w:tab/>
            </w:r>
            <w:r>
              <w:rPr>
                <w:rStyle w:val="IndexLink"/>
              </w:rPr>
              <w:t>157</w:t>
            </w:r>
          </w:hyperlink>
        </w:p>
        <w:p>
          <w:pPr>
            <w:pStyle w:val="Contents5"/>
            <w:tabs>
              <w:tab w:val="clear" w:pos="7892"/>
              <w:tab w:val="right" w:pos="9026" w:leader="dot"/>
            </w:tabs>
            <w:rPr/>
          </w:pPr>
          <w:hyperlink w:anchor="__RefHeading___Toc3561953_581953129">
            <w:r>
              <w:rPr>
                <w:webHidden/>
                <w:rStyle w:val="IndexLink"/>
                <w:rtl w:val="true"/>
              </w:rPr>
              <w:t>ب</w:t>
            </w:r>
            <w:r>
              <w:rPr>
                <w:rStyle w:val="IndexLink"/>
                <w:rtl w:val="true"/>
              </w:rPr>
              <w:t xml:space="preserve">) </w:t>
            </w:r>
            <w:r>
              <w:rPr>
                <w:rStyle w:val="IndexLink"/>
                <w:rtl w:val="true"/>
              </w:rPr>
              <w:t>تعریف معرفت از نظر فلوطین</w:t>
            </w:r>
            <w:r>
              <w:rPr>
                <w:rStyle w:val="IndexLink"/>
                <w:rtl w:val="true"/>
              </w:rPr>
              <w:tab/>
            </w:r>
            <w:r>
              <w:rPr>
                <w:rStyle w:val="IndexLink"/>
              </w:rPr>
              <w:t>158</w:t>
            </w:r>
          </w:hyperlink>
        </w:p>
        <w:p>
          <w:pPr>
            <w:pStyle w:val="Contents4"/>
            <w:tabs>
              <w:tab w:val="clear" w:pos="8176"/>
              <w:tab w:val="right" w:pos="9026" w:leader="dot"/>
            </w:tabs>
            <w:rPr/>
          </w:pPr>
          <w:hyperlink w:anchor="__RefHeading___Toc3561955_581953129">
            <w:r>
              <w:rPr>
                <w:webHidden/>
                <w:rStyle w:val="IndexLink"/>
                <w:rtl w:val="true"/>
              </w:rPr>
              <w:t>بنیاد معرفت‌شناسی فلوطین</w:t>
            </w:r>
            <w:r>
              <w:rPr>
                <w:rStyle w:val="IndexLink"/>
                <w:rtl w:val="true"/>
              </w:rPr>
              <w:tab/>
            </w:r>
            <w:r>
              <w:rPr>
                <w:rStyle w:val="IndexLink"/>
              </w:rPr>
              <w:t>163</w:t>
            </w:r>
          </w:hyperlink>
        </w:p>
        <w:p>
          <w:pPr>
            <w:pStyle w:val="Contents4"/>
            <w:tabs>
              <w:tab w:val="clear" w:pos="8176"/>
              <w:tab w:val="right" w:pos="9026" w:leader="dot"/>
            </w:tabs>
            <w:rPr/>
          </w:pPr>
          <w:hyperlink w:anchor="__RefHeading___Toc3561957_581953129">
            <w:r>
              <w:rPr>
                <w:webHidden/>
                <w:rStyle w:val="IndexLink"/>
                <w:rtl w:val="true"/>
              </w:rPr>
              <w:t>محدودیت عقل عملی و تفاوت آن با عقل نظری</w:t>
            </w:r>
            <w:r>
              <w:rPr>
                <w:rStyle w:val="IndexLink"/>
                <w:rtl w:val="true"/>
              </w:rPr>
              <w:tab/>
            </w:r>
            <w:r>
              <w:rPr>
                <w:rStyle w:val="IndexLink"/>
              </w:rPr>
              <w:t>164</w:t>
            </w:r>
          </w:hyperlink>
        </w:p>
        <w:p>
          <w:pPr>
            <w:pStyle w:val="Contents4"/>
            <w:tabs>
              <w:tab w:val="clear" w:pos="8176"/>
              <w:tab w:val="right" w:pos="9026" w:leader="dot"/>
            </w:tabs>
            <w:rPr/>
          </w:pPr>
          <w:hyperlink w:anchor="__RefHeading___Toc3561959_581953129">
            <w:r>
              <w:rPr>
                <w:webHidden/>
                <w:rStyle w:val="IndexLink"/>
                <w:rtl w:val="true"/>
              </w:rPr>
              <w:t>اختلاف افلاطون و فلوطین در اتّحاد عاقل و معقول</w:t>
            </w:r>
            <w:r>
              <w:rPr>
                <w:rStyle w:val="IndexLink"/>
                <w:rtl w:val="true"/>
              </w:rPr>
              <w:tab/>
            </w:r>
            <w:r>
              <w:rPr>
                <w:rStyle w:val="IndexLink"/>
              </w:rPr>
              <w:t>165</w:t>
            </w:r>
          </w:hyperlink>
        </w:p>
        <w:p>
          <w:pPr>
            <w:pStyle w:val="Contents4"/>
            <w:tabs>
              <w:tab w:val="clear" w:pos="8176"/>
              <w:tab w:val="right" w:pos="9026" w:leader="dot"/>
            </w:tabs>
            <w:rPr/>
          </w:pPr>
          <w:hyperlink w:anchor="__RefHeading___Toc3561961_581953129">
            <w:r>
              <w:rPr>
                <w:webHidden/>
                <w:rStyle w:val="IndexLink"/>
                <w:rtl w:val="true"/>
              </w:rPr>
              <w:t xml:space="preserve">ادراک عقلی، </w:t>
            </w:r>
            <w:r>
              <w:rPr>
                <w:rStyle w:val="IndexLink"/>
                <w:rtl w:val="true"/>
              </w:rPr>
              <w:t>«</w:t>
            </w:r>
            <w:r>
              <w:rPr>
                <w:rStyle w:val="IndexLink"/>
                <w:rtl w:val="true"/>
              </w:rPr>
              <w:t>فهم</w:t>
            </w:r>
            <w:r>
              <w:rPr>
                <w:rStyle w:val="IndexLink"/>
                <w:rtl w:val="true"/>
              </w:rPr>
              <w:t>»</w:t>
              <w:tab/>
            </w:r>
            <w:r>
              <w:rPr>
                <w:rStyle w:val="IndexLink"/>
              </w:rPr>
              <w:t>165</w:t>
            </w:r>
          </w:hyperlink>
        </w:p>
        <w:p>
          <w:pPr>
            <w:pStyle w:val="Contents4"/>
            <w:tabs>
              <w:tab w:val="clear" w:pos="8176"/>
              <w:tab w:val="right" w:pos="9026" w:leader="dot"/>
            </w:tabs>
            <w:rPr/>
          </w:pPr>
          <w:hyperlink w:anchor="__RefHeading___Toc3561963_581953129">
            <w:r>
              <w:rPr>
                <w:webHidden/>
                <w:rStyle w:val="IndexLink"/>
                <w:rtl w:val="true"/>
              </w:rPr>
              <w:t>ادراک حسّی</w:t>
            </w:r>
            <w:r>
              <w:rPr>
                <w:rStyle w:val="IndexLink"/>
                <w:rtl w:val="true"/>
              </w:rPr>
              <w:tab/>
            </w:r>
            <w:r>
              <w:rPr>
                <w:rStyle w:val="IndexLink"/>
              </w:rPr>
              <w:t>168</w:t>
            </w:r>
          </w:hyperlink>
        </w:p>
        <w:p>
          <w:pPr>
            <w:pStyle w:val="Contents4"/>
            <w:tabs>
              <w:tab w:val="clear" w:pos="8176"/>
              <w:tab w:val="right" w:pos="9026" w:leader="dot"/>
            </w:tabs>
            <w:rPr/>
          </w:pPr>
          <w:hyperlink w:anchor="__RefHeading___Toc3561965_581953129">
            <w:r>
              <w:rPr>
                <w:webHidden/>
                <w:rStyle w:val="IndexLink"/>
                <w:rtl w:val="true"/>
              </w:rPr>
              <w:t>نتیجه‌گیری</w:t>
            </w:r>
            <w:r>
              <w:rPr>
                <w:rStyle w:val="IndexLink"/>
                <w:rtl w:val="true"/>
              </w:rPr>
              <w:tab/>
            </w:r>
            <w:r>
              <w:rPr>
                <w:rStyle w:val="IndexLink"/>
              </w:rPr>
              <w:t>173</w:t>
            </w:r>
          </w:hyperlink>
        </w:p>
        <w:p>
          <w:pPr>
            <w:pStyle w:val="Contents2"/>
            <w:tabs>
              <w:tab w:val="clear" w:pos="8743"/>
              <w:tab w:val="right" w:pos="9026" w:leader="dot"/>
            </w:tabs>
            <w:rPr/>
          </w:pPr>
          <w:hyperlink w:anchor="__RefHeading___Toc3561967_581953129">
            <w:r>
              <w:rPr>
                <w:webHidden/>
                <w:rStyle w:val="IndexLink"/>
                <w:rtl w:val="true"/>
              </w:rPr>
              <w:t>نگاهی تطبیقی به نفس‌شناسی ارسطو و ابن سینا</w:t>
            </w:r>
            <w:r>
              <w:rPr>
                <w:rStyle w:val="IndexLink"/>
                <w:rtl w:val="true"/>
              </w:rPr>
              <w:tab/>
            </w:r>
            <w:r>
              <w:rPr>
                <w:rStyle w:val="IndexLink"/>
              </w:rPr>
              <w:t>178</w:t>
            </w:r>
          </w:hyperlink>
        </w:p>
        <w:p>
          <w:pPr>
            <w:pStyle w:val="Contents3"/>
            <w:tabs>
              <w:tab w:val="clear" w:pos="8459"/>
              <w:tab w:val="right" w:pos="9026" w:leader="dot"/>
            </w:tabs>
            <w:rPr/>
          </w:pPr>
          <w:hyperlink w:anchor="__RefHeading___Toc3561969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561971_581953129">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3561973_581953129">
            <w:r>
              <w:rPr>
                <w:webHidden/>
                <w:rStyle w:val="IndexLink"/>
              </w:rPr>
              <w:t>1</w:t>
            </w:r>
            <w:r>
              <w:rPr>
                <w:rStyle w:val="IndexLink"/>
                <w:rtl w:val="true"/>
              </w:rPr>
              <w:t xml:space="preserve">. </w:t>
            </w:r>
            <w:r>
              <w:rPr>
                <w:rStyle w:val="IndexLink"/>
                <w:rtl w:val="true"/>
              </w:rPr>
              <w:t>تعریف نفس از دیدگاه ارسطو و ابن سینا</w:t>
            </w:r>
            <w:r>
              <w:rPr>
                <w:rStyle w:val="IndexLink"/>
                <w:rtl w:val="true"/>
              </w:rPr>
              <w:tab/>
            </w:r>
            <w:r>
              <w:rPr>
                <w:rStyle w:val="IndexLink"/>
              </w:rPr>
              <w:t>179</w:t>
            </w:r>
          </w:hyperlink>
        </w:p>
        <w:p>
          <w:pPr>
            <w:pStyle w:val="Contents4"/>
            <w:tabs>
              <w:tab w:val="clear" w:pos="8176"/>
              <w:tab w:val="right" w:pos="9026" w:leader="dot"/>
            </w:tabs>
            <w:rPr/>
          </w:pPr>
          <w:hyperlink w:anchor="__RefHeading___Toc3561975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561977_581953129">
            <w:r>
              <w:rPr>
                <w:webHidden/>
                <w:rStyle w:val="IndexLink"/>
                <w:rtl w:val="true"/>
              </w:rPr>
              <w:t>فرق تعریف ارسطو و ابن سینا</w:t>
            </w:r>
            <w:r>
              <w:rPr>
                <w:rStyle w:val="IndexLink"/>
                <w:rtl w:val="true"/>
              </w:rPr>
              <w:tab/>
            </w:r>
            <w:r>
              <w:rPr>
                <w:rStyle w:val="IndexLink"/>
              </w:rPr>
              <w:t>182</w:t>
            </w:r>
          </w:hyperlink>
        </w:p>
        <w:p>
          <w:pPr>
            <w:pStyle w:val="Contents3"/>
            <w:tabs>
              <w:tab w:val="clear" w:pos="8459"/>
              <w:tab w:val="right" w:pos="9026" w:leader="dot"/>
            </w:tabs>
            <w:rPr/>
          </w:pPr>
          <w:hyperlink w:anchor="__RefHeading___Toc3561979_581953129">
            <w:r>
              <w:rPr>
                <w:webHidden/>
                <w:rStyle w:val="IndexLink"/>
              </w:rPr>
              <w:t>2</w:t>
            </w:r>
            <w:r>
              <w:rPr>
                <w:rStyle w:val="IndexLink"/>
                <w:rtl w:val="true"/>
              </w:rPr>
              <w:t xml:space="preserve">. </w:t>
            </w:r>
            <w:r>
              <w:rPr>
                <w:rStyle w:val="IndexLink"/>
                <w:rtl w:val="true"/>
              </w:rPr>
              <w:t>تعریف ذات نفس یا تعریف نفس از حیث تعلّق به بدن</w:t>
            </w:r>
            <w:r>
              <w:rPr>
                <w:rStyle w:val="IndexLink"/>
                <w:rtl w:val="true"/>
              </w:rPr>
              <w:tab/>
            </w:r>
            <w:r>
              <w:rPr>
                <w:rStyle w:val="IndexLink"/>
              </w:rPr>
              <w:t>183</w:t>
            </w:r>
          </w:hyperlink>
        </w:p>
        <w:p>
          <w:pPr>
            <w:pStyle w:val="Contents3"/>
            <w:tabs>
              <w:tab w:val="clear" w:pos="8459"/>
              <w:tab w:val="right" w:pos="9026" w:leader="dot"/>
            </w:tabs>
            <w:rPr/>
          </w:pPr>
          <w:hyperlink w:anchor="__RefHeading___Toc3561981_581953129">
            <w:r>
              <w:rPr>
                <w:webHidden/>
                <w:rStyle w:val="IndexLink"/>
              </w:rPr>
              <w:t>3</w:t>
            </w:r>
            <w:r>
              <w:rPr>
                <w:rStyle w:val="IndexLink"/>
                <w:rtl w:val="true"/>
              </w:rPr>
              <w:t xml:space="preserve">. </w:t>
            </w:r>
            <w:r>
              <w:rPr>
                <w:rStyle w:val="IndexLink"/>
                <w:rtl w:val="true"/>
              </w:rPr>
              <w:t>تعیین نوع جوهر نسبت به نفس</w:t>
            </w:r>
            <w:r>
              <w:rPr>
                <w:rStyle w:val="IndexLink"/>
                <w:rtl w:val="true"/>
              </w:rPr>
              <w:tab/>
            </w:r>
            <w:r>
              <w:rPr>
                <w:rStyle w:val="IndexLink"/>
              </w:rPr>
              <w:t>184</w:t>
            </w:r>
          </w:hyperlink>
        </w:p>
        <w:p>
          <w:pPr>
            <w:pStyle w:val="Contents3"/>
            <w:tabs>
              <w:tab w:val="clear" w:pos="8459"/>
              <w:tab w:val="right" w:pos="9026" w:leader="dot"/>
            </w:tabs>
            <w:rPr/>
          </w:pPr>
          <w:hyperlink w:anchor="__RefHeading___Toc3561983_581953129">
            <w:r>
              <w:rPr>
                <w:webHidden/>
                <w:rStyle w:val="IndexLink"/>
              </w:rPr>
              <w:t>4</w:t>
            </w:r>
            <w:r>
              <w:rPr>
                <w:rStyle w:val="IndexLink"/>
                <w:rtl w:val="true"/>
              </w:rPr>
              <w:t xml:space="preserve">. </w:t>
            </w:r>
            <w:r>
              <w:rPr>
                <w:rStyle w:val="IndexLink"/>
                <w:rtl w:val="true"/>
              </w:rPr>
              <w:t>رابطة نفس و بدن</w:t>
            </w:r>
            <w:r>
              <w:rPr>
                <w:rStyle w:val="IndexLink"/>
                <w:rtl w:val="true"/>
              </w:rPr>
              <w:tab/>
            </w:r>
            <w:r>
              <w:rPr>
                <w:rStyle w:val="IndexLink"/>
              </w:rPr>
              <w:t>185</w:t>
            </w:r>
          </w:hyperlink>
        </w:p>
        <w:p>
          <w:pPr>
            <w:pStyle w:val="Contents4"/>
            <w:tabs>
              <w:tab w:val="clear" w:pos="8176"/>
              <w:tab w:val="right" w:pos="9026" w:leader="dot"/>
            </w:tabs>
            <w:rPr/>
          </w:pPr>
          <w:hyperlink w:anchor="__RefHeading___Toc3561985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561987_581953129">
            <w:r>
              <w:rPr>
                <w:webHidden/>
                <w:rStyle w:val="IndexLink"/>
                <w:rtl w:val="true"/>
              </w:rPr>
              <w:t>الف</w:t>
            </w:r>
            <w:r>
              <w:rPr>
                <w:rStyle w:val="IndexLink"/>
                <w:rtl w:val="true"/>
              </w:rPr>
              <w:t xml:space="preserve">) </w:t>
            </w:r>
            <w:r>
              <w:rPr>
                <w:rStyle w:val="IndexLink"/>
                <w:rtl w:val="true"/>
              </w:rPr>
              <w:t>دیدگاه ارسطو دربارة رابطة نفس و بدن</w:t>
            </w:r>
            <w:r>
              <w:rPr>
                <w:rStyle w:val="IndexLink"/>
                <w:rtl w:val="true"/>
              </w:rPr>
              <w:tab/>
            </w:r>
            <w:r>
              <w:rPr>
                <w:rStyle w:val="IndexLink"/>
              </w:rPr>
              <w:t>186</w:t>
            </w:r>
          </w:hyperlink>
        </w:p>
        <w:p>
          <w:pPr>
            <w:pStyle w:val="Contents4"/>
            <w:tabs>
              <w:tab w:val="clear" w:pos="8176"/>
              <w:tab w:val="right" w:pos="9026" w:leader="dot"/>
            </w:tabs>
            <w:rPr/>
          </w:pPr>
          <w:hyperlink w:anchor="__RefHeading___Toc3561989_581953129">
            <w:r>
              <w:rPr>
                <w:webHidden/>
                <w:rStyle w:val="IndexLink"/>
                <w:rtl w:val="true"/>
              </w:rPr>
              <w:t>بررسی دیدگاه ارسطو دربارة رابطة نفس و بدن</w:t>
            </w:r>
            <w:r>
              <w:rPr>
                <w:rStyle w:val="IndexLink"/>
                <w:rtl w:val="true"/>
              </w:rPr>
              <w:tab/>
            </w:r>
            <w:r>
              <w:rPr>
                <w:rStyle w:val="IndexLink"/>
              </w:rPr>
              <w:t>187</w:t>
            </w:r>
          </w:hyperlink>
        </w:p>
        <w:p>
          <w:pPr>
            <w:pStyle w:val="Contents4"/>
            <w:tabs>
              <w:tab w:val="clear" w:pos="8176"/>
              <w:tab w:val="right" w:pos="9026" w:leader="dot"/>
            </w:tabs>
            <w:rPr/>
          </w:pPr>
          <w:hyperlink w:anchor="__RefHeading___Toc3561991_581953129">
            <w:r>
              <w:rPr>
                <w:webHidden/>
                <w:rStyle w:val="IndexLink"/>
                <w:rtl w:val="true"/>
              </w:rPr>
              <w:t>ب</w:t>
            </w:r>
            <w:r>
              <w:rPr>
                <w:rStyle w:val="IndexLink"/>
                <w:rtl w:val="true"/>
              </w:rPr>
              <w:t xml:space="preserve">) </w:t>
            </w:r>
            <w:r>
              <w:rPr>
                <w:rStyle w:val="IndexLink"/>
                <w:rtl w:val="true"/>
              </w:rPr>
              <w:t>دیدگاه ابن سینا دربارة رابطة نفس و بدن</w:t>
            </w:r>
            <w:r>
              <w:rPr>
                <w:rStyle w:val="IndexLink"/>
                <w:rtl w:val="true"/>
              </w:rPr>
              <w:tab/>
            </w:r>
            <w:r>
              <w:rPr>
                <w:rStyle w:val="IndexLink"/>
              </w:rPr>
              <w:t>188</w:t>
            </w:r>
          </w:hyperlink>
        </w:p>
        <w:p>
          <w:pPr>
            <w:pStyle w:val="Contents4"/>
            <w:tabs>
              <w:tab w:val="clear" w:pos="8176"/>
              <w:tab w:val="right" w:pos="9026" w:leader="dot"/>
            </w:tabs>
            <w:rPr/>
          </w:pPr>
          <w:hyperlink w:anchor="__RefHeading___Toc3561993_581953129">
            <w:r>
              <w:rPr>
                <w:webHidden/>
                <w:rStyle w:val="IndexLink"/>
                <w:rtl w:val="true"/>
              </w:rPr>
              <w:t>بررسی دیدگاه ابن سینا دربارة رابطة نفس و بدن</w:t>
            </w:r>
            <w:r>
              <w:rPr>
                <w:rStyle w:val="IndexLink"/>
                <w:rtl w:val="true"/>
              </w:rPr>
              <w:tab/>
            </w:r>
            <w:r>
              <w:rPr>
                <w:rStyle w:val="IndexLink"/>
              </w:rPr>
              <w:t>189</w:t>
            </w:r>
          </w:hyperlink>
        </w:p>
        <w:p>
          <w:pPr>
            <w:pStyle w:val="Contents3"/>
            <w:tabs>
              <w:tab w:val="clear" w:pos="8459"/>
              <w:tab w:val="right" w:pos="9026" w:leader="dot"/>
            </w:tabs>
            <w:rPr/>
          </w:pPr>
          <w:hyperlink w:anchor="__RefHeading___Toc3561995_581953129">
            <w:r>
              <w:rPr>
                <w:webHidden/>
                <w:rStyle w:val="IndexLink"/>
              </w:rPr>
              <w:t>5</w:t>
            </w:r>
            <w:r>
              <w:rPr>
                <w:rStyle w:val="IndexLink"/>
                <w:rtl w:val="true"/>
              </w:rPr>
              <w:t xml:space="preserve">. </w:t>
            </w:r>
            <w:r>
              <w:rPr>
                <w:rStyle w:val="IndexLink"/>
                <w:rtl w:val="true"/>
              </w:rPr>
              <w:t>نفس و حقیقت آدمی</w:t>
            </w:r>
            <w:r>
              <w:rPr>
                <w:rStyle w:val="IndexLink"/>
                <w:rtl w:val="true"/>
              </w:rPr>
              <w:tab/>
            </w:r>
            <w:r>
              <w:rPr>
                <w:rStyle w:val="IndexLink"/>
              </w:rPr>
              <w:t>189</w:t>
            </w:r>
          </w:hyperlink>
        </w:p>
        <w:p>
          <w:pPr>
            <w:pStyle w:val="Contents3"/>
            <w:tabs>
              <w:tab w:val="clear" w:pos="8459"/>
              <w:tab w:val="right" w:pos="9026" w:leader="dot"/>
            </w:tabs>
            <w:rPr/>
          </w:pPr>
          <w:hyperlink w:anchor="__RefHeading___Toc3561997_581953129">
            <w:r>
              <w:rPr>
                <w:webHidden/>
                <w:rStyle w:val="IndexLink"/>
              </w:rPr>
              <w:t>6</w:t>
            </w:r>
            <w:r>
              <w:rPr>
                <w:rStyle w:val="IndexLink"/>
                <w:rtl w:val="true"/>
              </w:rPr>
              <w:t xml:space="preserve"> . </w:t>
            </w:r>
            <w:r>
              <w:rPr>
                <w:rStyle w:val="IndexLink"/>
                <w:rtl w:val="true"/>
              </w:rPr>
              <w:t>نفس و صورت انسانی</w:t>
            </w:r>
            <w:r>
              <w:rPr>
                <w:rStyle w:val="IndexLink"/>
                <w:rtl w:val="true"/>
              </w:rPr>
              <w:tab/>
            </w:r>
            <w:r>
              <w:rPr>
                <w:rStyle w:val="IndexLink"/>
              </w:rPr>
              <w:t>190</w:t>
            </w:r>
          </w:hyperlink>
        </w:p>
        <w:p>
          <w:pPr>
            <w:pStyle w:val="Contents3"/>
            <w:tabs>
              <w:tab w:val="clear" w:pos="8459"/>
              <w:tab w:val="right" w:pos="9026" w:leader="dot"/>
            </w:tabs>
            <w:rPr/>
          </w:pPr>
          <w:hyperlink w:anchor="__RefHeading___Toc3561999_581953129">
            <w:r>
              <w:rPr>
                <w:webHidden/>
                <w:rStyle w:val="IndexLink"/>
              </w:rPr>
              <w:t>7</w:t>
            </w:r>
            <w:r>
              <w:rPr>
                <w:rStyle w:val="IndexLink"/>
                <w:rtl w:val="true"/>
              </w:rPr>
              <w:t xml:space="preserve">. </w:t>
            </w:r>
            <w:r>
              <w:rPr>
                <w:rStyle w:val="IndexLink"/>
                <w:rtl w:val="true"/>
              </w:rPr>
              <w:t>حالات نفسانی</w:t>
            </w:r>
            <w:r>
              <w:rPr>
                <w:rStyle w:val="IndexLink"/>
                <w:rtl w:val="true"/>
              </w:rPr>
              <w:tab/>
            </w:r>
            <w:r>
              <w:rPr>
                <w:rStyle w:val="IndexLink"/>
              </w:rPr>
              <w:t>191</w:t>
            </w:r>
          </w:hyperlink>
        </w:p>
        <w:p>
          <w:pPr>
            <w:pStyle w:val="Contents3"/>
            <w:tabs>
              <w:tab w:val="clear" w:pos="8459"/>
              <w:tab w:val="right" w:pos="9026" w:leader="dot"/>
            </w:tabs>
            <w:rPr/>
          </w:pPr>
          <w:hyperlink w:anchor="__RefHeading___Toc3562001_581953129">
            <w:r>
              <w:rPr>
                <w:webHidden/>
                <w:rStyle w:val="IndexLink"/>
              </w:rPr>
              <w:t>8</w:t>
            </w:r>
            <w:r>
              <w:rPr>
                <w:rStyle w:val="IndexLink"/>
                <w:rtl w:val="true"/>
              </w:rPr>
              <w:t xml:space="preserve"> . </w:t>
            </w:r>
            <w:r>
              <w:rPr>
                <w:rStyle w:val="IndexLink"/>
                <w:rtl w:val="true"/>
              </w:rPr>
              <w:t>اتحاد عاقل و معقول</w:t>
            </w:r>
            <w:r>
              <w:rPr>
                <w:rStyle w:val="IndexLink"/>
                <w:rtl w:val="true"/>
              </w:rPr>
              <w:tab/>
            </w:r>
            <w:r>
              <w:rPr>
                <w:rStyle w:val="IndexLink"/>
              </w:rPr>
              <w:t>193</w:t>
            </w:r>
          </w:hyperlink>
        </w:p>
        <w:p>
          <w:pPr>
            <w:pStyle w:val="Contents3"/>
            <w:tabs>
              <w:tab w:val="clear" w:pos="8459"/>
              <w:tab w:val="right" w:pos="9026" w:leader="dot"/>
            </w:tabs>
            <w:rPr/>
          </w:pPr>
          <w:hyperlink w:anchor="__RefHeading___Toc3562003_581953129">
            <w:r>
              <w:rPr>
                <w:webHidden/>
                <w:rStyle w:val="IndexLink"/>
              </w:rPr>
              <w:t>9</w:t>
            </w:r>
            <w:r>
              <w:rPr>
                <w:rStyle w:val="IndexLink"/>
                <w:rtl w:val="true"/>
              </w:rPr>
              <w:t xml:space="preserve">. </w:t>
            </w:r>
            <w:r>
              <w:rPr>
                <w:rStyle w:val="IndexLink"/>
                <w:rtl w:val="true"/>
              </w:rPr>
              <w:t>علم نفس به خود</w:t>
            </w:r>
            <w:r>
              <w:rPr>
                <w:rStyle w:val="IndexLink"/>
                <w:rtl w:val="true"/>
              </w:rPr>
              <w:tab/>
            </w:r>
            <w:r>
              <w:rPr>
                <w:rStyle w:val="IndexLink"/>
              </w:rPr>
              <w:t>194</w:t>
            </w:r>
          </w:hyperlink>
        </w:p>
        <w:p>
          <w:pPr>
            <w:pStyle w:val="Contents3"/>
            <w:tabs>
              <w:tab w:val="clear" w:pos="8459"/>
              <w:tab w:val="right" w:pos="9026" w:leader="dot"/>
            </w:tabs>
            <w:rPr/>
          </w:pPr>
          <w:hyperlink w:anchor="__RefHeading___Toc3562005_581953129">
            <w:r>
              <w:rPr>
                <w:webHidden/>
                <w:rStyle w:val="IndexLink"/>
              </w:rPr>
              <w:t>10</w:t>
            </w:r>
            <w:r>
              <w:rPr>
                <w:rStyle w:val="IndexLink"/>
                <w:rtl w:val="true"/>
              </w:rPr>
              <w:t xml:space="preserve">. </w:t>
            </w:r>
            <w:r>
              <w:rPr>
                <w:rStyle w:val="IndexLink"/>
                <w:rtl w:val="true"/>
              </w:rPr>
              <w:t>حسّ مشترک</w:t>
            </w:r>
            <w:r>
              <w:rPr>
                <w:rStyle w:val="IndexLink"/>
                <w:rtl w:val="true"/>
              </w:rPr>
              <w:tab/>
            </w:r>
            <w:r>
              <w:rPr>
                <w:rStyle w:val="IndexLink"/>
              </w:rPr>
              <w:t>195</w:t>
            </w:r>
          </w:hyperlink>
        </w:p>
        <w:p>
          <w:pPr>
            <w:pStyle w:val="Contents3"/>
            <w:tabs>
              <w:tab w:val="clear" w:pos="8459"/>
              <w:tab w:val="right" w:pos="9026" w:leader="dot"/>
            </w:tabs>
            <w:rPr/>
          </w:pPr>
          <w:hyperlink w:anchor="__RefHeading___Toc3562007_581953129">
            <w:r>
              <w:rPr>
                <w:webHidden/>
                <w:rStyle w:val="IndexLink"/>
              </w:rPr>
              <w:t>11</w:t>
            </w:r>
            <w:r>
              <w:rPr>
                <w:rStyle w:val="IndexLink"/>
                <w:rtl w:val="true"/>
              </w:rPr>
              <w:t xml:space="preserve">. </w:t>
            </w:r>
            <w:r>
              <w:rPr>
                <w:rStyle w:val="IndexLink"/>
                <w:rtl w:val="true"/>
              </w:rPr>
              <w:t>بقا و جاودانگی نفس</w:t>
            </w:r>
            <w:r>
              <w:rPr>
                <w:rStyle w:val="IndexLink"/>
                <w:rtl w:val="true"/>
              </w:rPr>
              <w:tab/>
            </w:r>
            <w:r>
              <w:rPr>
                <w:rStyle w:val="IndexLink"/>
              </w:rPr>
              <w:t>196</w:t>
            </w:r>
          </w:hyperlink>
        </w:p>
        <w:p>
          <w:pPr>
            <w:pStyle w:val="Contents3"/>
            <w:tabs>
              <w:tab w:val="clear" w:pos="8459"/>
              <w:tab w:val="right" w:pos="9026" w:leader="dot"/>
            </w:tabs>
            <w:rPr/>
          </w:pPr>
          <w:hyperlink w:anchor="__RefHeading___Toc3562009_581953129">
            <w:r>
              <w:rPr>
                <w:webHidden/>
                <w:rStyle w:val="IndexLink"/>
                <w:rtl w:val="true"/>
              </w:rPr>
              <w:t>نتیجه‌گیری</w:t>
            </w:r>
            <w:r>
              <w:rPr>
                <w:rStyle w:val="IndexLink"/>
                <w:rtl w:val="true"/>
              </w:rPr>
              <w:tab/>
            </w:r>
            <w:r>
              <w:rPr>
                <w:rStyle w:val="IndexLink"/>
              </w:rPr>
              <w:t>199</w:t>
            </w:r>
          </w:hyperlink>
        </w:p>
        <w:p>
          <w:pPr>
            <w:pStyle w:val="Contents2"/>
            <w:tabs>
              <w:tab w:val="clear" w:pos="8743"/>
              <w:tab w:val="right" w:pos="9026" w:leader="dot"/>
            </w:tabs>
            <w:rPr/>
          </w:pPr>
          <w:hyperlink w:anchor="__RefHeading___Toc3562011_581953129">
            <w:r>
              <w:rPr>
                <w:webHidden/>
                <w:rStyle w:val="IndexLink"/>
                <w:rtl w:val="true"/>
              </w:rPr>
              <w:t>نگاهی گذرا به منطق ارسطو و ابن سینا</w:t>
            </w:r>
            <w:r>
              <w:rPr>
                <w:rStyle w:val="IndexLink"/>
                <w:rtl w:val="true"/>
              </w:rPr>
              <w:tab/>
            </w:r>
            <w:r>
              <w:rPr>
                <w:rStyle w:val="IndexLink"/>
              </w:rPr>
              <w:t>200</w:t>
            </w:r>
          </w:hyperlink>
        </w:p>
        <w:p>
          <w:pPr>
            <w:pStyle w:val="Contents3"/>
            <w:tabs>
              <w:tab w:val="clear" w:pos="8459"/>
              <w:tab w:val="right" w:pos="9026" w:leader="dot"/>
            </w:tabs>
            <w:rPr/>
          </w:pPr>
          <w:hyperlink w:anchor="__RefHeading___Toc3562013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3562015_581953129">
            <w:r>
              <w:rPr>
                <w:webHidden/>
                <w:rStyle w:val="IndexLink"/>
                <w:rtl w:val="true"/>
              </w:rPr>
              <w:t>مقدّمه</w:t>
            </w:r>
            <w:r>
              <w:rPr>
                <w:rStyle w:val="IndexLink"/>
                <w:rtl w:val="true"/>
              </w:rPr>
              <w:tab/>
            </w:r>
            <w:r>
              <w:rPr>
                <w:rStyle w:val="IndexLink"/>
              </w:rPr>
              <w:t>200</w:t>
            </w:r>
          </w:hyperlink>
        </w:p>
        <w:p>
          <w:pPr>
            <w:pStyle w:val="Contents3"/>
            <w:tabs>
              <w:tab w:val="clear" w:pos="8459"/>
              <w:tab w:val="right" w:pos="9026" w:leader="dot"/>
            </w:tabs>
            <w:rPr/>
          </w:pPr>
          <w:hyperlink w:anchor="__RefHeading___Toc3562017_581953129">
            <w:r>
              <w:rPr>
                <w:webHidden/>
                <w:rStyle w:val="IndexLink"/>
                <w:rtl w:val="true"/>
              </w:rPr>
              <w:t>تقسیم منطق</w:t>
            </w:r>
            <w:r>
              <w:rPr>
                <w:rStyle w:val="IndexLink"/>
                <w:rtl w:val="true"/>
              </w:rPr>
              <w:tab/>
            </w:r>
            <w:r>
              <w:rPr>
                <w:rStyle w:val="IndexLink"/>
              </w:rPr>
              <w:t>203</w:t>
            </w:r>
          </w:hyperlink>
        </w:p>
        <w:p>
          <w:pPr>
            <w:pStyle w:val="Contents3"/>
            <w:tabs>
              <w:tab w:val="clear" w:pos="8459"/>
              <w:tab w:val="right" w:pos="9026" w:leader="dot"/>
            </w:tabs>
            <w:rPr/>
          </w:pPr>
          <w:hyperlink w:anchor="__RefHeading___Toc3562019_581953129">
            <w:r>
              <w:rPr>
                <w:webHidden/>
                <w:rStyle w:val="IndexLink"/>
                <w:rtl w:val="true"/>
              </w:rPr>
              <w:t>تعریف قضیه</w:t>
            </w:r>
            <w:r>
              <w:rPr>
                <w:rStyle w:val="IndexLink"/>
                <w:rtl w:val="true"/>
              </w:rPr>
              <w:tab/>
            </w:r>
            <w:r>
              <w:rPr>
                <w:rStyle w:val="IndexLink"/>
              </w:rPr>
              <w:t>205</w:t>
            </w:r>
          </w:hyperlink>
        </w:p>
        <w:p>
          <w:pPr>
            <w:pStyle w:val="Contents4"/>
            <w:tabs>
              <w:tab w:val="clear" w:pos="8176"/>
              <w:tab w:val="right" w:pos="9026" w:leader="dot"/>
            </w:tabs>
            <w:rPr/>
          </w:pPr>
          <w:hyperlink w:anchor="__RefHeading___Toc3562021_58195312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562023_581953129">
            <w:r>
              <w:rPr>
                <w:webHidden/>
                <w:rStyle w:val="IndexLink"/>
                <w:rtl w:val="true"/>
              </w:rPr>
              <w:t>بسیط و مرکب</w:t>
            </w:r>
            <w:r>
              <w:rPr>
                <w:rStyle w:val="IndexLink"/>
                <w:rtl w:val="true"/>
              </w:rPr>
              <w:tab/>
            </w:r>
            <w:r>
              <w:rPr>
                <w:rStyle w:val="IndexLink"/>
              </w:rPr>
              <w:t>205</w:t>
            </w:r>
          </w:hyperlink>
        </w:p>
        <w:p>
          <w:pPr>
            <w:pStyle w:val="Contents4"/>
            <w:tabs>
              <w:tab w:val="clear" w:pos="8176"/>
              <w:tab w:val="right" w:pos="9026" w:leader="dot"/>
            </w:tabs>
            <w:rPr/>
          </w:pPr>
          <w:hyperlink w:anchor="__RefHeading___Toc3562025_581953129">
            <w:r>
              <w:rPr>
                <w:webHidden/>
                <w:rStyle w:val="IndexLink"/>
                <w:rtl w:val="true"/>
              </w:rPr>
              <w:t>حملیه و شرطیه</w:t>
            </w:r>
            <w:r>
              <w:rPr>
                <w:rStyle w:val="IndexLink"/>
                <w:rtl w:val="true"/>
              </w:rPr>
              <w:tab/>
            </w:r>
            <w:r>
              <w:rPr>
                <w:rStyle w:val="IndexLink"/>
              </w:rPr>
              <w:t>206</w:t>
            </w:r>
          </w:hyperlink>
        </w:p>
        <w:p>
          <w:pPr>
            <w:pStyle w:val="Contents4"/>
            <w:tabs>
              <w:tab w:val="clear" w:pos="8176"/>
              <w:tab w:val="right" w:pos="9026" w:leader="dot"/>
            </w:tabs>
            <w:rPr/>
          </w:pPr>
          <w:hyperlink w:anchor="__RefHeading___Toc3562027_581953129">
            <w:r>
              <w:rPr>
                <w:webHidden/>
                <w:rStyle w:val="IndexLink"/>
                <w:rtl w:val="true"/>
              </w:rPr>
              <w:t>تقسیم قضیه به اعتبار محمول</w:t>
            </w:r>
            <w:r>
              <w:rPr>
                <w:rStyle w:val="IndexLink"/>
                <w:rtl w:val="true"/>
              </w:rPr>
              <w:tab/>
            </w:r>
            <w:r>
              <w:rPr>
                <w:rStyle w:val="IndexLink"/>
              </w:rPr>
              <w:t>207</w:t>
            </w:r>
          </w:hyperlink>
        </w:p>
        <w:p>
          <w:pPr>
            <w:pStyle w:val="Contents4"/>
            <w:tabs>
              <w:tab w:val="clear" w:pos="8176"/>
              <w:tab w:val="right" w:pos="9026" w:leader="dot"/>
            </w:tabs>
            <w:rPr/>
          </w:pPr>
          <w:hyperlink w:anchor="__RefHeading___Toc3562029_581953129">
            <w:r>
              <w:rPr>
                <w:webHidden/>
                <w:rStyle w:val="IndexLink"/>
                <w:rtl w:val="true"/>
              </w:rPr>
              <w:t>تقسیم قضیه به اعتبار کمیت</w:t>
            </w:r>
            <w:r>
              <w:rPr>
                <w:rStyle w:val="IndexLink"/>
                <w:rtl w:val="true"/>
              </w:rPr>
              <w:tab/>
            </w:r>
            <w:r>
              <w:rPr>
                <w:rStyle w:val="IndexLink"/>
              </w:rPr>
              <w:t>208</w:t>
            </w:r>
          </w:hyperlink>
        </w:p>
        <w:p>
          <w:pPr>
            <w:pStyle w:val="Contents4"/>
            <w:tabs>
              <w:tab w:val="clear" w:pos="8176"/>
              <w:tab w:val="right" w:pos="9026" w:leader="dot"/>
            </w:tabs>
            <w:rPr/>
          </w:pPr>
          <w:hyperlink w:anchor="__RefHeading___Toc3562031_581953129">
            <w:r>
              <w:rPr>
                <w:webHidden/>
                <w:rStyle w:val="IndexLink"/>
                <w:rtl w:val="true"/>
              </w:rPr>
              <w:t>قضیه به اعتبار کمیت و کیفیت</w:t>
            </w:r>
            <w:r>
              <w:rPr>
                <w:rStyle w:val="IndexLink"/>
                <w:rtl w:val="true"/>
              </w:rPr>
              <w:tab/>
            </w:r>
            <w:r>
              <w:rPr>
                <w:rStyle w:val="IndexLink"/>
              </w:rPr>
              <w:t>209</w:t>
            </w:r>
          </w:hyperlink>
        </w:p>
        <w:p>
          <w:pPr>
            <w:pStyle w:val="Contents4"/>
            <w:tabs>
              <w:tab w:val="clear" w:pos="8176"/>
              <w:tab w:val="right" w:pos="9026" w:leader="dot"/>
            </w:tabs>
            <w:rPr/>
          </w:pPr>
          <w:hyperlink w:anchor="__RefHeading___Toc3562033_581953129">
            <w:r>
              <w:rPr>
                <w:webHidden/>
                <w:rStyle w:val="IndexLink"/>
                <w:rtl w:val="true"/>
              </w:rPr>
              <w:t>تقدّم سلب یا ایجاب</w:t>
            </w:r>
            <w:r>
              <w:rPr>
                <w:rStyle w:val="IndexLink"/>
                <w:rtl w:val="true"/>
              </w:rPr>
              <w:tab/>
            </w:r>
            <w:r>
              <w:rPr>
                <w:rStyle w:val="IndexLink"/>
              </w:rPr>
              <w:t>210</w:t>
            </w:r>
          </w:hyperlink>
        </w:p>
        <w:p>
          <w:pPr>
            <w:pStyle w:val="Contents3"/>
            <w:tabs>
              <w:tab w:val="clear" w:pos="8459"/>
              <w:tab w:val="right" w:pos="9026" w:leader="dot"/>
            </w:tabs>
            <w:rPr/>
          </w:pPr>
          <w:hyperlink w:anchor="__RefHeading___Toc3562035_581953129">
            <w:r>
              <w:rPr>
                <w:webHidden/>
                <w:rStyle w:val="IndexLink"/>
                <w:rtl w:val="true"/>
              </w:rPr>
              <w:t>اقسام حمل</w:t>
            </w:r>
            <w:r>
              <w:rPr>
                <w:rStyle w:val="IndexLink"/>
                <w:rtl w:val="true"/>
              </w:rPr>
              <w:tab/>
            </w:r>
            <w:r>
              <w:rPr>
                <w:rStyle w:val="IndexLink"/>
              </w:rPr>
              <w:t>211</w:t>
            </w:r>
          </w:hyperlink>
        </w:p>
        <w:p>
          <w:pPr>
            <w:pStyle w:val="Contents3"/>
            <w:tabs>
              <w:tab w:val="clear" w:pos="8459"/>
              <w:tab w:val="right" w:pos="9026" w:leader="dot"/>
            </w:tabs>
            <w:rPr/>
          </w:pPr>
          <w:hyperlink w:anchor="__RefHeading___Toc3562037_581953129">
            <w:r>
              <w:rPr>
                <w:webHidden/>
                <w:rStyle w:val="IndexLink"/>
                <w:rtl w:val="true"/>
              </w:rPr>
              <w:t>قضایای شرطیه</w:t>
            </w:r>
            <w:r>
              <w:rPr>
                <w:rStyle w:val="IndexLink"/>
                <w:rtl w:val="true"/>
              </w:rPr>
              <w:tab/>
            </w:r>
            <w:r>
              <w:rPr>
                <w:rStyle w:val="IndexLink"/>
              </w:rPr>
              <w:t>213</w:t>
            </w:r>
          </w:hyperlink>
        </w:p>
        <w:p>
          <w:pPr>
            <w:pStyle w:val="Contents3"/>
            <w:tabs>
              <w:tab w:val="clear" w:pos="8459"/>
              <w:tab w:val="right" w:pos="9026" w:leader="dot"/>
            </w:tabs>
            <w:rPr/>
          </w:pPr>
          <w:hyperlink w:anchor="__RefHeading___Toc3562039_581953129">
            <w:r>
              <w:rPr>
                <w:webHidden/>
                <w:rStyle w:val="IndexLink"/>
                <w:rtl w:val="true"/>
              </w:rPr>
              <w:t>تناقض</w:t>
            </w:r>
            <w:r>
              <w:rPr>
                <w:rStyle w:val="IndexLink"/>
                <w:rtl w:val="true"/>
              </w:rPr>
              <w:tab/>
            </w:r>
            <w:r>
              <w:rPr>
                <w:rStyle w:val="IndexLink"/>
              </w:rPr>
              <w:t>215</w:t>
            </w:r>
          </w:hyperlink>
        </w:p>
        <w:p>
          <w:pPr>
            <w:pStyle w:val="Contents3"/>
            <w:tabs>
              <w:tab w:val="clear" w:pos="8459"/>
              <w:tab w:val="right" w:pos="9026" w:leader="dot"/>
            </w:tabs>
            <w:rPr/>
          </w:pPr>
          <w:hyperlink w:anchor="__RefHeading___Toc3562041_581953129">
            <w:r>
              <w:rPr>
                <w:webHidden/>
                <w:rStyle w:val="IndexLink"/>
                <w:rtl w:val="true"/>
              </w:rPr>
              <w:t>عکس قضایا</w:t>
            </w:r>
            <w:r>
              <w:rPr>
                <w:rStyle w:val="IndexLink"/>
                <w:rtl w:val="true"/>
              </w:rPr>
              <w:tab/>
            </w:r>
            <w:r>
              <w:rPr>
                <w:rStyle w:val="IndexLink"/>
              </w:rPr>
              <w:t>216</w:t>
            </w:r>
          </w:hyperlink>
        </w:p>
        <w:p>
          <w:pPr>
            <w:pStyle w:val="Contents3"/>
            <w:tabs>
              <w:tab w:val="clear" w:pos="8459"/>
              <w:tab w:val="right" w:pos="9026" w:leader="dot"/>
            </w:tabs>
            <w:rPr/>
          </w:pPr>
          <w:hyperlink w:anchor="__RefHeading___Toc3562043_581953129">
            <w:r>
              <w:rPr>
                <w:webHidden/>
                <w:rStyle w:val="IndexLink"/>
                <w:rtl w:val="true"/>
              </w:rPr>
              <w:t>دو قضیة مطلقه</w:t>
            </w:r>
            <w:r>
              <w:rPr>
                <w:rStyle w:val="IndexLink"/>
                <w:rtl w:val="true"/>
              </w:rPr>
              <w:tab/>
            </w:r>
            <w:r>
              <w:rPr>
                <w:rStyle w:val="IndexLink"/>
              </w:rPr>
              <w:t>218</w:t>
            </w:r>
          </w:hyperlink>
        </w:p>
        <w:p>
          <w:pPr>
            <w:pStyle w:val="Contents3"/>
            <w:tabs>
              <w:tab w:val="clear" w:pos="8459"/>
              <w:tab w:val="right" w:pos="9026" w:leader="dot"/>
            </w:tabs>
            <w:rPr/>
          </w:pPr>
          <w:hyperlink w:anchor="__RefHeading___Toc3562045_581953129">
            <w:r>
              <w:rPr>
                <w:webHidden/>
                <w:rStyle w:val="IndexLink"/>
                <w:rtl w:val="true"/>
              </w:rPr>
              <w:t>نتیجه‌گیری</w:t>
            </w:r>
            <w:r>
              <w:rPr>
                <w:rStyle w:val="IndexLink"/>
                <w:rtl w:val="true"/>
              </w:rPr>
              <w:tab/>
            </w:r>
            <w:r>
              <w:rPr>
                <w:rStyle w:val="IndexLink"/>
              </w:rPr>
              <w:t>219</w:t>
            </w:r>
          </w:hyperlink>
        </w:p>
        <w:p>
          <w:pPr>
            <w:pStyle w:val="Contents2"/>
            <w:tabs>
              <w:tab w:val="clear" w:pos="8743"/>
              <w:tab w:val="right" w:pos="9026" w:leader="dot"/>
            </w:tabs>
            <w:rPr/>
          </w:pPr>
          <w:hyperlink w:anchor="__RefHeading___Toc3562047_581953129">
            <w:r>
              <w:rPr>
                <w:webHidden/>
                <w:rStyle w:val="IndexLink"/>
                <w:rtl w:val="true"/>
              </w:rPr>
              <w:t>افکار افلاطونی ابن سینا</w:t>
            </w:r>
            <w:r>
              <w:rPr>
                <w:rStyle w:val="IndexLink"/>
                <w:rtl w:val="true"/>
              </w:rPr>
              <w:tab/>
            </w:r>
            <w:r>
              <w:rPr>
                <w:rStyle w:val="IndexLink"/>
              </w:rPr>
              <w:t>220</w:t>
            </w:r>
          </w:hyperlink>
        </w:p>
        <w:p>
          <w:pPr>
            <w:pStyle w:val="Contents3"/>
            <w:tabs>
              <w:tab w:val="clear" w:pos="8459"/>
              <w:tab w:val="right" w:pos="9026" w:leader="dot"/>
            </w:tabs>
            <w:rPr/>
          </w:pPr>
          <w:hyperlink w:anchor="__RefHeading___Toc3562049_58195312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3562051_581953129">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3562053_581953129">
            <w:r>
              <w:rPr>
                <w:webHidden/>
                <w:rStyle w:val="IndexLink"/>
                <w:rtl w:val="true"/>
              </w:rPr>
              <w:t>زمینه‌های تأثیرپذیری ابن سینا از افلاطون</w:t>
            </w:r>
            <w:r>
              <w:rPr>
                <w:rStyle w:val="IndexLink"/>
                <w:rtl w:val="true"/>
              </w:rPr>
              <w:tab/>
            </w:r>
            <w:r>
              <w:rPr>
                <w:rStyle w:val="IndexLink"/>
              </w:rPr>
              <w:t>222</w:t>
            </w:r>
          </w:hyperlink>
        </w:p>
        <w:p>
          <w:pPr>
            <w:pStyle w:val="Contents4"/>
            <w:tabs>
              <w:tab w:val="clear" w:pos="8176"/>
              <w:tab w:val="right" w:pos="9026" w:leader="dot"/>
            </w:tabs>
            <w:rPr/>
          </w:pPr>
          <w:hyperlink w:anchor="__RefHeading___Toc3562055_58195312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562057_581953129">
            <w:r>
              <w:rPr>
                <w:webHidden/>
                <w:rStyle w:val="IndexLink"/>
              </w:rPr>
              <w:t>1</w:t>
            </w:r>
            <w:r>
              <w:rPr>
                <w:rStyle w:val="IndexLink"/>
                <w:rtl w:val="true"/>
              </w:rPr>
              <w:t xml:space="preserve">. </w:t>
            </w:r>
            <w:r>
              <w:rPr>
                <w:rStyle w:val="IndexLink"/>
                <w:rtl w:val="true"/>
              </w:rPr>
              <w:t>مطالعة ترجمة آثار افلاطونی</w:t>
            </w:r>
            <w:r>
              <w:rPr>
                <w:rStyle w:val="IndexLink"/>
                <w:rtl w:val="true"/>
              </w:rPr>
              <w:tab/>
            </w:r>
            <w:r>
              <w:rPr>
                <w:rStyle w:val="IndexLink"/>
              </w:rPr>
              <w:t>222</w:t>
            </w:r>
          </w:hyperlink>
        </w:p>
        <w:p>
          <w:pPr>
            <w:pStyle w:val="Contents4"/>
            <w:tabs>
              <w:tab w:val="clear" w:pos="8176"/>
              <w:tab w:val="right" w:pos="9026" w:leader="dot"/>
            </w:tabs>
            <w:rPr/>
          </w:pPr>
          <w:hyperlink w:anchor="__RefHeading___Toc3562059_581953129">
            <w:r>
              <w:rPr>
                <w:webHidden/>
                <w:rStyle w:val="IndexLink"/>
              </w:rPr>
              <w:t>2</w:t>
            </w:r>
            <w:r>
              <w:rPr>
                <w:rStyle w:val="IndexLink"/>
                <w:rtl w:val="true"/>
              </w:rPr>
              <w:t xml:space="preserve">. </w:t>
            </w:r>
            <w:r>
              <w:rPr>
                <w:rStyle w:val="IndexLink"/>
                <w:rtl w:val="true"/>
              </w:rPr>
              <w:t>مطالعة آثار فیلسوفان متقدّم و متأثّر از افکار افلاطون و نوافلاطونیان</w:t>
            </w:r>
            <w:r>
              <w:rPr>
                <w:rStyle w:val="IndexLink"/>
                <w:rtl w:val="true"/>
              </w:rPr>
              <w:tab/>
            </w:r>
            <w:r>
              <w:rPr>
                <w:rStyle w:val="IndexLink"/>
              </w:rPr>
              <w:t>223</w:t>
            </w:r>
          </w:hyperlink>
        </w:p>
        <w:p>
          <w:pPr>
            <w:pStyle w:val="Contents4"/>
            <w:tabs>
              <w:tab w:val="clear" w:pos="8176"/>
              <w:tab w:val="right" w:pos="9026" w:leader="dot"/>
            </w:tabs>
            <w:rPr/>
          </w:pPr>
          <w:hyperlink w:anchor="__RefHeading___Toc3562061_581953129">
            <w:r>
              <w:rPr>
                <w:webHidden/>
                <w:rStyle w:val="IndexLink"/>
              </w:rPr>
              <w:t>3</w:t>
            </w:r>
            <w:r>
              <w:rPr>
                <w:rStyle w:val="IndexLink"/>
                <w:rtl w:val="true"/>
              </w:rPr>
              <w:t xml:space="preserve">. </w:t>
            </w:r>
            <w:r>
              <w:rPr>
                <w:rStyle w:val="IndexLink"/>
                <w:rtl w:val="true"/>
              </w:rPr>
              <w:t>برخورد با اسماعیلیان</w:t>
            </w:r>
            <w:r>
              <w:rPr>
                <w:rStyle w:val="IndexLink"/>
                <w:rtl w:val="true"/>
              </w:rPr>
              <w:tab/>
            </w:r>
            <w:r>
              <w:rPr>
                <w:rStyle w:val="IndexLink"/>
              </w:rPr>
              <w:t>223</w:t>
            </w:r>
          </w:hyperlink>
        </w:p>
        <w:p>
          <w:pPr>
            <w:pStyle w:val="Contents3"/>
            <w:tabs>
              <w:tab w:val="clear" w:pos="8459"/>
              <w:tab w:val="right" w:pos="9026" w:leader="dot"/>
            </w:tabs>
            <w:rPr/>
          </w:pPr>
          <w:hyperlink w:anchor="__RefHeading___Toc3562063_581953129">
            <w:r>
              <w:rPr>
                <w:webHidden/>
                <w:rStyle w:val="IndexLink"/>
                <w:rtl w:val="true"/>
              </w:rPr>
              <w:t>افکار افلاطونی ابن سینا</w:t>
            </w:r>
            <w:r>
              <w:rPr>
                <w:rStyle w:val="IndexLink"/>
                <w:rtl w:val="true"/>
              </w:rPr>
              <w:tab/>
            </w:r>
            <w:r>
              <w:rPr>
                <w:rStyle w:val="IndexLink"/>
              </w:rPr>
              <w:t>223</w:t>
            </w:r>
          </w:hyperlink>
        </w:p>
        <w:p>
          <w:pPr>
            <w:pStyle w:val="Contents4"/>
            <w:tabs>
              <w:tab w:val="clear" w:pos="8176"/>
              <w:tab w:val="right" w:pos="9026" w:leader="dot"/>
            </w:tabs>
            <w:rPr/>
          </w:pPr>
          <w:hyperlink w:anchor="__RefHeading___Toc3562065_581953129">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562067_581953129">
            <w:r>
              <w:rPr>
                <w:webHidden/>
                <w:rStyle w:val="IndexLink"/>
                <w:rtl w:val="true"/>
              </w:rPr>
              <w:t>آفرینش عالم</w:t>
            </w:r>
            <w:r>
              <w:rPr>
                <w:rStyle w:val="IndexLink"/>
                <w:rtl w:val="true"/>
              </w:rPr>
              <w:tab/>
            </w:r>
            <w:r>
              <w:rPr>
                <w:rStyle w:val="IndexLink"/>
              </w:rPr>
              <w:t>224</w:t>
            </w:r>
          </w:hyperlink>
        </w:p>
        <w:p>
          <w:pPr>
            <w:pStyle w:val="Contents4"/>
            <w:tabs>
              <w:tab w:val="clear" w:pos="8176"/>
              <w:tab w:val="right" w:pos="9026" w:leader="dot"/>
            </w:tabs>
            <w:rPr/>
          </w:pPr>
          <w:hyperlink w:anchor="__RefHeading___Toc3562069_581953129">
            <w:r>
              <w:rPr>
                <w:webHidden/>
                <w:rStyle w:val="IndexLink"/>
                <w:rtl w:val="true"/>
              </w:rPr>
              <w:t>مبدأ هستی</w:t>
            </w:r>
            <w:r>
              <w:rPr>
                <w:rStyle w:val="IndexLink"/>
                <w:rtl w:val="true"/>
              </w:rPr>
              <w:tab/>
            </w:r>
            <w:r>
              <w:rPr>
                <w:rStyle w:val="IndexLink"/>
              </w:rPr>
              <w:t>229</w:t>
            </w:r>
          </w:hyperlink>
        </w:p>
        <w:p>
          <w:pPr>
            <w:pStyle w:val="Contents4"/>
            <w:tabs>
              <w:tab w:val="clear" w:pos="8176"/>
              <w:tab w:val="right" w:pos="9026" w:leader="dot"/>
            </w:tabs>
            <w:rPr/>
          </w:pPr>
          <w:hyperlink w:anchor="__RefHeading___Toc3562071_581953129">
            <w:r>
              <w:rPr>
                <w:webHidden/>
                <w:rStyle w:val="IndexLink"/>
                <w:rtl w:val="true"/>
              </w:rPr>
              <w:t>نفس</w:t>
            </w:r>
            <w:r>
              <w:rPr>
                <w:rStyle w:val="IndexLink"/>
                <w:rtl w:val="true"/>
              </w:rPr>
              <w:tab/>
            </w:r>
            <w:r>
              <w:rPr>
                <w:rStyle w:val="IndexLink"/>
              </w:rPr>
              <w:t>234</w:t>
            </w:r>
          </w:hyperlink>
        </w:p>
        <w:p>
          <w:pPr>
            <w:pStyle w:val="Contents4"/>
            <w:tabs>
              <w:tab w:val="clear" w:pos="8176"/>
              <w:tab w:val="right" w:pos="9026" w:leader="dot"/>
            </w:tabs>
            <w:rPr/>
          </w:pPr>
          <w:hyperlink w:anchor="__RefHeading___Toc3562073_581953129">
            <w:r>
              <w:rPr>
                <w:webHidden/>
                <w:rStyle w:val="IndexLink"/>
                <w:rtl w:val="true"/>
              </w:rPr>
              <w:t>عقل فعّال</w:t>
            </w:r>
            <w:r>
              <w:rPr>
                <w:rStyle w:val="IndexLink"/>
                <w:rtl w:val="true"/>
              </w:rPr>
              <w:tab/>
            </w:r>
            <w:r>
              <w:rPr>
                <w:rStyle w:val="IndexLink"/>
              </w:rPr>
              <w:t>239</w:t>
            </w:r>
          </w:hyperlink>
        </w:p>
        <w:p>
          <w:pPr>
            <w:pStyle w:val="Contents4"/>
            <w:tabs>
              <w:tab w:val="clear" w:pos="8176"/>
              <w:tab w:val="right" w:pos="9026" w:leader="dot"/>
            </w:tabs>
            <w:rPr/>
          </w:pPr>
          <w:hyperlink w:anchor="__RefHeading___Toc3562075_581953129">
            <w:r>
              <w:rPr>
                <w:webHidden/>
                <w:rStyle w:val="IndexLink"/>
                <w:rtl w:val="true"/>
              </w:rPr>
              <w:t>عشق و عرفان</w:t>
            </w:r>
            <w:r>
              <w:rPr>
                <w:rStyle w:val="IndexLink"/>
                <w:rtl w:val="true"/>
              </w:rPr>
              <w:tab/>
            </w:r>
            <w:r>
              <w:rPr>
                <w:rStyle w:val="IndexLink"/>
              </w:rPr>
              <w:t>241</w:t>
            </w:r>
          </w:hyperlink>
        </w:p>
        <w:p>
          <w:pPr>
            <w:pStyle w:val="Contents4"/>
            <w:tabs>
              <w:tab w:val="clear" w:pos="8176"/>
              <w:tab w:val="right" w:pos="9026" w:leader="dot"/>
            </w:tabs>
            <w:rPr/>
          </w:pPr>
          <w:hyperlink w:anchor="__RefHeading___Toc3562077_581953129">
            <w:r>
              <w:rPr>
                <w:webHidden/>
                <w:rStyle w:val="IndexLink"/>
                <w:rtl w:val="true"/>
              </w:rPr>
              <w:t>احوال عاشقان</w:t>
            </w:r>
            <w:r>
              <w:rPr>
                <w:rStyle w:val="IndexLink"/>
                <w:rtl w:val="true"/>
              </w:rPr>
              <w:tab/>
            </w:r>
            <w:r>
              <w:rPr>
                <w:rStyle w:val="IndexLink"/>
              </w:rPr>
              <w:t>245</w:t>
            </w:r>
          </w:hyperlink>
        </w:p>
        <w:p>
          <w:pPr>
            <w:pStyle w:val="Contents3"/>
            <w:tabs>
              <w:tab w:val="clear" w:pos="8459"/>
              <w:tab w:val="right" w:pos="9026" w:leader="dot"/>
            </w:tabs>
            <w:rPr/>
          </w:pPr>
          <w:hyperlink w:anchor="__RefHeading___Toc3562079_581953129">
            <w:r>
              <w:rPr>
                <w:webHidden/>
                <w:rStyle w:val="IndexLink"/>
                <w:rtl w:val="true"/>
              </w:rPr>
              <w:t>نتیجه‌گیری</w:t>
            </w:r>
            <w:r>
              <w:rPr>
                <w:rStyle w:val="IndexLink"/>
                <w:rtl w:val="true"/>
              </w:rPr>
              <w:tab/>
            </w:r>
            <w:r>
              <w:rPr>
                <w:rStyle w:val="IndexLink"/>
              </w:rPr>
              <w:t>246</w:t>
            </w:r>
          </w:hyperlink>
        </w:p>
        <w:p>
          <w:pPr>
            <w:pStyle w:val="Contents2"/>
            <w:tabs>
              <w:tab w:val="clear" w:pos="8743"/>
              <w:tab w:val="right" w:pos="9026" w:leader="dot"/>
            </w:tabs>
            <w:rPr/>
          </w:pPr>
          <w:hyperlink w:anchor="__RefHeading___Toc3562081_581953129">
            <w:r>
              <w:rPr>
                <w:webHidden/>
                <w:rStyle w:val="IndexLink"/>
                <w:rtl w:val="true"/>
              </w:rPr>
              <w:t>تصوّر و تصدیق؛ نقد و بررسی دیدگاه صدرالمتألهین</w:t>
            </w:r>
            <w:r>
              <w:rPr>
                <w:rStyle w:val="IndexLink"/>
                <w:rtl w:val="true"/>
              </w:rPr>
              <w:tab/>
            </w:r>
            <w:r>
              <w:rPr>
                <w:rStyle w:val="IndexLink"/>
              </w:rPr>
              <w:t>248</w:t>
            </w:r>
          </w:hyperlink>
        </w:p>
        <w:p>
          <w:pPr>
            <w:pStyle w:val="Contents3"/>
            <w:tabs>
              <w:tab w:val="clear" w:pos="8459"/>
              <w:tab w:val="right" w:pos="9026" w:leader="dot"/>
            </w:tabs>
            <w:rPr/>
          </w:pPr>
          <w:hyperlink w:anchor="__RefHeading___Toc3562083_581953129">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3562085_581953129">
            <w:r>
              <w:rPr>
                <w:webHidden/>
                <w:rStyle w:val="IndexLink"/>
                <w:rtl w:val="true"/>
              </w:rPr>
              <w:t>مقدّمه</w:t>
            </w:r>
            <w:r>
              <w:rPr>
                <w:rStyle w:val="IndexLink"/>
                <w:rtl w:val="true"/>
              </w:rPr>
              <w:tab/>
            </w:r>
            <w:r>
              <w:rPr>
                <w:rStyle w:val="IndexLink"/>
              </w:rPr>
              <w:t>248</w:t>
            </w:r>
          </w:hyperlink>
        </w:p>
        <w:p>
          <w:pPr>
            <w:pStyle w:val="Contents3"/>
            <w:tabs>
              <w:tab w:val="clear" w:pos="8459"/>
              <w:tab w:val="right" w:pos="9026" w:leader="dot"/>
            </w:tabs>
            <w:rPr/>
          </w:pPr>
          <w:hyperlink w:anchor="__RefHeading___Toc3562087_581953129">
            <w:r>
              <w:rPr>
                <w:webHidden/>
                <w:rStyle w:val="IndexLink"/>
                <w:rtl w:val="true"/>
              </w:rPr>
              <w:t>پرسشهای مورد بحث</w:t>
            </w:r>
            <w:r>
              <w:rPr>
                <w:rStyle w:val="IndexLink"/>
                <w:rtl w:val="true"/>
              </w:rPr>
              <w:tab/>
            </w:r>
            <w:r>
              <w:rPr>
                <w:rStyle w:val="IndexLink"/>
              </w:rPr>
              <w:t>249</w:t>
            </w:r>
          </w:hyperlink>
        </w:p>
        <w:p>
          <w:pPr>
            <w:pStyle w:val="Contents3"/>
            <w:tabs>
              <w:tab w:val="clear" w:pos="8459"/>
              <w:tab w:val="right" w:pos="9026" w:leader="dot"/>
            </w:tabs>
            <w:rPr/>
          </w:pPr>
          <w:hyperlink w:anchor="__RefHeading___Toc3562089_581953129">
            <w:r>
              <w:rPr>
                <w:webHidden/>
                <w:rStyle w:val="IndexLink"/>
                <w:rtl w:val="true"/>
              </w:rPr>
              <w:t>چیستی تصوّر و تصدیق</w:t>
            </w:r>
            <w:r>
              <w:rPr>
                <w:rStyle w:val="IndexLink"/>
                <w:rtl w:val="true"/>
              </w:rPr>
              <w:tab/>
            </w:r>
            <w:r>
              <w:rPr>
                <w:rStyle w:val="IndexLink"/>
              </w:rPr>
              <w:t>250</w:t>
            </w:r>
          </w:hyperlink>
        </w:p>
        <w:p>
          <w:pPr>
            <w:pStyle w:val="Contents4"/>
            <w:tabs>
              <w:tab w:val="clear" w:pos="8176"/>
              <w:tab w:val="right" w:pos="9026" w:leader="dot"/>
            </w:tabs>
            <w:rPr/>
          </w:pPr>
          <w:hyperlink w:anchor="__RefHeading___Toc3562091_581953129">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562093_581953129">
            <w:r>
              <w:rPr>
                <w:webHidden/>
                <w:rStyle w:val="IndexLink"/>
                <w:rtl w:val="true"/>
              </w:rPr>
              <w:t>دیدگاههای معروف دربارة تصدیق</w:t>
            </w:r>
            <w:r>
              <w:rPr>
                <w:rStyle w:val="IndexLink"/>
                <w:rtl w:val="true"/>
              </w:rPr>
              <w:tab/>
            </w:r>
            <w:r>
              <w:rPr>
                <w:rStyle w:val="IndexLink"/>
              </w:rPr>
              <w:t>251</w:t>
            </w:r>
          </w:hyperlink>
        </w:p>
        <w:p>
          <w:pPr>
            <w:pStyle w:val="Contents4"/>
            <w:tabs>
              <w:tab w:val="clear" w:pos="8176"/>
              <w:tab w:val="right" w:pos="9026" w:leader="dot"/>
            </w:tabs>
            <w:rPr/>
          </w:pPr>
          <w:hyperlink w:anchor="__RefHeading___Toc3562095_581953129">
            <w:r>
              <w:rPr>
                <w:webHidden/>
                <w:rStyle w:val="IndexLink"/>
                <w:rtl w:val="true"/>
              </w:rPr>
              <w:t>دیدگاه معروف دربارة تصوّر</w:t>
            </w:r>
            <w:r>
              <w:rPr>
                <w:rStyle w:val="IndexLink"/>
                <w:rtl w:val="true"/>
              </w:rPr>
              <w:tab/>
            </w:r>
            <w:r>
              <w:rPr>
                <w:rStyle w:val="IndexLink"/>
              </w:rPr>
              <w:t>252</w:t>
            </w:r>
          </w:hyperlink>
        </w:p>
        <w:p>
          <w:pPr>
            <w:pStyle w:val="Contents4"/>
            <w:tabs>
              <w:tab w:val="clear" w:pos="8176"/>
              <w:tab w:val="right" w:pos="9026" w:leader="dot"/>
            </w:tabs>
            <w:rPr/>
          </w:pPr>
          <w:hyperlink w:anchor="__RefHeading___Toc3562097_581953129">
            <w:r>
              <w:rPr>
                <w:webHidden/>
                <w:rStyle w:val="IndexLink"/>
                <w:rtl w:val="true"/>
              </w:rPr>
              <w:t>دیدگاه صدرالمتألهین دربارة تصوّر و تصدیق</w:t>
            </w:r>
            <w:r>
              <w:rPr>
                <w:rStyle w:val="IndexLink"/>
                <w:rtl w:val="true"/>
              </w:rPr>
              <w:tab/>
            </w:r>
            <w:r>
              <w:rPr>
                <w:rStyle w:val="IndexLink"/>
              </w:rPr>
              <w:t>252</w:t>
            </w:r>
          </w:hyperlink>
        </w:p>
        <w:p>
          <w:pPr>
            <w:pStyle w:val="Contents5"/>
            <w:tabs>
              <w:tab w:val="clear" w:pos="7892"/>
              <w:tab w:val="right" w:pos="9026" w:leader="dot"/>
            </w:tabs>
            <w:rPr/>
          </w:pPr>
          <w:hyperlink w:anchor="__RefHeading___Toc3562099_581953129">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562101_581953129">
            <w:r>
              <w:rPr>
                <w:webHidden/>
                <w:rStyle w:val="IndexLink"/>
                <w:rtl w:val="true"/>
              </w:rPr>
              <w:t>تفسیرهایی از دیدگاه صدرالمتألهین دربارة تصدیق</w:t>
            </w:r>
            <w:r>
              <w:rPr>
                <w:rStyle w:val="IndexLink"/>
                <w:rtl w:val="true"/>
              </w:rPr>
              <w:tab/>
            </w:r>
            <w:r>
              <w:rPr>
                <w:rStyle w:val="IndexLink"/>
              </w:rPr>
              <w:t>256</w:t>
            </w:r>
          </w:hyperlink>
        </w:p>
        <w:p>
          <w:pPr>
            <w:pStyle w:val="Contents5"/>
            <w:tabs>
              <w:tab w:val="clear" w:pos="7892"/>
              <w:tab w:val="right" w:pos="9026" w:leader="dot"/>
            </w:tabs>
            <w:rPr/>
          </w:pPr>
          <w:hyperlink w:anchor="__RefHeading___Toc3562103_581953129">
            <w:r>
              <w:rPr>
                <w:webHidden/>
                <w:rStyle w:val="IndexLink"/>
                <w:rtl w:val="true"/>
              </w:rPr>
              <w:t>تبیین و تفسیر نگارنده از کلام ملاصدرا در باب تصدیق</w:t>
            </w:r>
            <w:r>
              <w:rPr>
                <w:rStyle w:val="IndexLink"/>
                <w:rtl w:val="true"/>
              </w:rPr>
              <w:tab/>
            </w:r>
            <w:r>
              <w:rPr>
                <w:rStyle w:val="IndexLink"/>
              </w:rPr>
              <w:t>257</w:t>
            </w:r>
          </w:hyperlink>
        </w:p>
        <w:p>
          <w:pPr>
            <w:pStyle w:val="Contents5"/>
            <w:tabs>
              <w:tab w:val="clear" w:pos="7892"/>
              <w:tab w:val="right" w:pos="9026" w:leader="dot"/>
            </w:tabs>
            <w:rPr/>
          </w:pPr>
          <w:hyperlink w:anchor="__RefHeading___Toc3562105_581953129">
            <w:r>
              <w:rPr>
                <w:webHidden/>
                <w:rStyle w:val="IndexLink"/>
                <w:rtl w:val="true"/>
              </w:rPr>
              <w:t>معنای حکم</w:t>
            </w:r>
            <w:r>
              <w:rPr>
                <w:rStyle w:val="IndexLink"/>
                <w:rtl w:val="true"/>
              </w:rPr>
              <w:tab/>
            </w:r>
            <w:r>
              <w:rPr>
                <w:rStyle w:val="IndexLink"/>
              </w:rPr>
              <w:t>257</w:t>
            </w:r>
          </w:hyperlink>
        </w:p>
        <w:p>
          <w:pPr>
            <w:pStyle w:val="Contents5"/>
            <w:tabs>
              <w:tab w:val="clear" w:pos="7892"/>
              <w:tab w:val="right" w:pos="9026" w:leader="dot"/>
            </w:tabs>
            <w:rPr/>
          </w:pPr>
          <w:hyperlink w:anchor="__RefHeading___Toc3562107_581953129">
            <w:r>
              <w:rPr>
                <w:webHidden/>
                <w:rStyle w:val="IndexLink"/>
                <w:rtl w:val="true"/>
              </w:rPr>
              <w:t>حقیقت و ماهیت حکم</w:t>
            </w:r>
            <w:r>
              <w:rPr>
                <w:rStyle w:val="IndexLink"/>
                <w:rtl w:val="true"/>
              </w:rPr>
              <w:tab/>
            </w:r>
            <w:r>
              <w:rPr>
                <w:rStyle w:val="IndexLink"/>
              </w:rPr>
              <w:t>260</w:t>
            </w:r>
          </w:hyperlink>
        </w:p>
        <w:p>
          <w:pPr>
            <w:pStyle w:val="Contents3"/>
            <w:tabs>
              <w:tab w:val="clear" w:pos="8459"/>
              <w:tab w:val="right" w:pos="9026" w:leader="dot"/>
            </w:tabs>
            <w:rPr/>
          </w:pPr>
          <w:hyperlink w:anchor="__RefHeading___Toc3562109_581953129">
            <w:r>
              <w:rPr>
                <w:webHidden/>
                <w:rStyle w:val="IndexLink"/>
                <w:rtl w:val="true"/>
              </w:rPr>
              <w:t>منشأ پیدایش تصوّر و تصدیق</w:t>
            </w:r>
            <w:r>
              <w:rPr>
                <w:rStyle w:val="IndexLink"/>
                <w:rtl w:val="true"/>
              </w:rPr>
              <w:tab/>
            </w:r>
            <w:r>
              <w:rPr>
                <w:rStyle w:val="IndexLink"/>
              </w:rPr>
              <w:t>267</w:t>
            </w:r>
          </w:hyperlink>
        </w:p>
        <w:p>
          <w:pPr>
            <w:pStyle w:val="Contents3"/>
            <w:tabs>
              <w:tab w:val="clear" w:pos="8459"/>
              <w:tab w:val="right" w:pos="9026" w:leader="dot"/>
            </w:tabs>
            <w:rPr/>
          </w:pPr>
          <w:hyperlink w:anchor="__RefHeading___Toc3562111_581953129">
            <w:r>
              <w:rPr>
                <w:webHidden/>
                <w:rStyle w:val="IndexLink"/>
                <w:rtl w:val="true"/>
              </w:rPr>
              <w:t>منشأ پیدایش ادراکات اوّلیة بشر</w:t>
            </w:r>
            <w:r>
              <w:rPr>
                <w:rStyle w:val="IndexLink"/>
                <w:rtl w:val="true"/>
              </w:rPr>
              <w:tab/>
            </w:r>
            <w:r>
              <w:rPr>
                <w:rStyle w:val="IndexLink"/>
              </w:rPr>
              <w:t>267</w:t>
            </w:r>
          </w:hyperlink>
        </w:p>
        <w:p>
          <w:pPr>
            <w:pStyle w:val="Contents3"/>
            <w:tabs>
              <w:tab w:val="clear" w:pos="8459"/>
              <w:tab w:val="right" w:pos="9026" w:leader="dot"/>
            </w:tabs>
            <w:rPr/>
          </w:pPr>
          <w:hyperlink w:anchor="__RefHeading___Toc3562113_581953129">
            <w:r>
              <w:rPr>
                <w:webHidden/>
                <w:rStyle w:val="IndexLink"/>
                <w:rtl w:val="true"/>
              </w:rPr>
              <w:t>بررسی دیدگاه صدرالمتألهین در باب تصدیق</w:t>
            </w:r>
            <w:r>
              <w:rPr>
                <w:rStyle w:val="IndexLink"/>
                <w:rtl w:val="true"/>
              </w:rPr>
              <w:tab/>
            </w:r>
            <w:r>
              <w:rPr>
                <w:rStyle w:val="IndexLink"/>
              </w:rPr>
              <w:t>270</w:t>
            </w:r>
          </w:hyperlink>
        </w:p>
        <w:p>
          <w:pPr>
            <w:pStyle w:val="Contents3"/>
            <w:tabs>
              <w:tab w:val="clear" w:pos="8459"/>
              <w:tab w:val="right" w:pos="9026" w:leader="dot"/>
            </w:tabs>
            <w:rPr/>
          </w:pPr>
          <w:hyperlink w:anchor="__RefHeading___Toc3562115_581953129">
            <w:r>
              <w:rPr>
                <w:webHidden/>
                <w:rStyle w:val="IndexLink"/>
                <w:rtl w:val="true"/>
              </w:rPr>
              <w:t>مطالب قابل تأمّل</w:t>
            </w:r>
            <w:r>
              <w:rPr>
                <w:rStyle w:val="IndexLink"/>
                <w:rtl w:val="true"/>
              </w:rPr>
              <w:tab/>
            </w:r>
            <w:r>
              <w:rPr>
                <w:rStyle w:val="IndexLink"/>
              </w:rPr>
              <w:t>277</w:t>
            </w:r>
          </w:hyperlink>
        </w:p>
        <w:p>
          <w:pPr>
            <w:pStyle w:val="Contents3"/>
            <w:tabs>
              <w:tab w:val="clear" w:pos="8459"/>
              <w:tab w:val="right" w:pos="9026" w:leader="dot"/>
            </w:tabs>
            <w:rPr/>
          </w:pPr>
          <w:hyperlink w:anchor="__RefHeading___Toc3562117_581953129">
            <w:r>
              <w:rPr>
                <w:webHidden/>
                <w:rStyle w:val="IndexLink"/>
                <w:rtl w:val="true"/>
              </w:rPr>
              <w:t>نتیجه‌گیری</w:t>
            </w:r>
            <w:r>
              <w:rPr>
                <w:rStyle w:val="IndexLink"/>
                <w:rtl w:val="true"/>
              </w:rPr>
              <w:tab/>
            </w:r>
            <w:r>
              <w:rPr>
                <w:rStyle w:val="IndexLink"/>
              </w:rPr>
              <w:t>285</w:t>
            </w:r>
          </w:hyperlink>
        </w:p>
        <w:p>
          <w:pPr>
            <w:pStyle w:val="Contents2"/>
            <w:tabs>
              <w:tab w:val="clear" w:pos="8743"/>
              <w:tab w:val="right" w:pos="9026" w:leader="dot"/>
            </w:tabs>
            <w:rPr/>
          </w:pPr>
          <w:hyperlink w:anchor="__RefHeading___Toc3562119_581953129">
            <w:r>
              <w:rPr>
                <w:webHidden/>
                <w:rStyle w:val="IndexLink"/>
                <w:rtl w:val="true"/>
              </w:rPr>
              <w:t>فهرست اعلام</w:t>
            </w:r>
            <w:r>
              <w:rPr>
                <w:rStyle w:val="IndexLink"/>
                <w:rtl w:val="true"/>
              </w:rPr>
              <w:tab/>
            </w:r>
            <w:r>
              <w:rPr>
                <w:rStyle w:val="IndexLink"/>
              </w:rPr>
              <w:t>286</w:t>
            </w:r>
          </w:hyperlink>
        </w:p>
        <w:p>
          <w:pPr>
            <w:pStyle w:val="Contents2"/>
            <w:tabs>
              <w:tab w:val="clear" w:pos="8743"/>
              <w:tab w:val="right" w:pos="9026" w:leader="dot"/>
            </w:tabs>
            <w:rPr/>
          </w:pPr>
          <w:hyperlink w:anchor="__RefHeading___Toc3562121_581953129">
            <w:r>
              <w:rPr>
                <w:webHidden/>
                <w:rStyle w:val="IndexLink"/>
                <w:rtl w:val="true"/>
              </w:rPr>
              <w:t>کتابنامه</w:t>
            </w:r>
            <w:r>
              <w:rPr>
                <w:rStyle w:val="IndexLink"/>
                <w:rtl w:val="true"/>
              </w:rPr>
              <w:tab/>
            </w:r>
            <w:r>
              <w:rPr>
                <w:rStyle w:val="IndexLink"/>
              </w:rPr>
              <w:t>299</w:t>
            </w:r>
          </w:hyperlink>
        </w:p>
        <w:p>
          <w:pPr>
            <w:pStyle w:val="Contents2"/>
            <w:tabs>
              <w:tab w:val="clear" w:pos="8743"/>
              <w:tab w:val="right" w:pos="9026" w:leader="dot"/>
            </w:tabs>
            <w:rPr/>
          </w:pPr>
          <w:hyperlink w:anchor="__RefHeading___Toc3562123_581953129">
            <w:r>
              <w:rPr>
                <w:webHidden/>
                <w:rStyle w:val="IndexLink"/>
                <w:rtl w:val="true"/>
              </w:rPr>
              <w:t>منشورات دانشگاه علوم اسلامی رضوی</w:t>
            </w:r>
            <w:r>
              <w:rPr>
                <w:rStyle w:val="IndexLink"/>
                <w:rtl w:val="true"/>
              </w:rPr>
              <w:tab/>
            </w:r>
            <w:r>
              <w:rPr>
                <w:rStyle w:val="IndexLink"/>
              </w:rPr>
              <w:t>310</w:t>
            </w:r>
          </w:hyperlink>
        </w:p>
        <w:p>
          <w:pPr>
            <w:pStyle w:val="Contents3"/>
            <w:tabs>
              <w:tab w:val="clear" w:pos="8459"/>
              <w:tab w:val="right" w:pos="9026" w:leader="dot"/>
            </w:tabs>
            <w:rPr/>
          </w:pPr>
          <w:hyperlink w:anchor="__RefHeading___Toc3562125_581953129">
            <w:r>
              <w:rPr>
                <w:webHidden/>
                <w:rStyle w:val="IndexLink"/>
                <w:rtl w:val="true"/>
              </w:rPr>
              <w:t>علوم قرآن و حدیث</w:t>
            </w:r>
            <w:r>
              <w:rPr>
                <w:rStyle w:val="IndexLink"/>
                <w:rtl w:val="true"/>
              </w:rPr>
              <w:tab/>
            </w:r>
            <w:r>
              <w:rPr>
                <w:rStyle w:val="IndexLink"/>
              </w:rPr>
              <w:t>310</w:t>
            </w:r>
          </w:hyperlink>
        </w:p>
        <w:p>
          <w:pPr>
            <w:pStyle w:val="Contents3"/>
            <w:tabs>
              <w:tab w:val="clear" w:pos="8459"/>
              <w:tab w:val="right" w:pos="9026" w:leader="dot"/>
            </w:tabs>
            <w:rPr/>
          </w:pPr>
          <w:hyperlink w:anchor="__RefHeading___Toc3562127_581953129">
            <w:r>
              <w:rPr>
                <w:webHidden/>
                <w:rStyle w:val="IndexLink"/>
                <w:rtl w:val="true"/>
              </w:rPr>
              <w:t>فلسفه و کلام اسلامی</w:t>
            </w:r>
            <w:r>
              <w:rPr>
                <w:rStyle w:val="IndexLink"/>
                <w:rtl w:val="true"/>
              </w:rPr>
              <w:tab/>
            </w:r>
            <w:r>
              <w:rPr>
                <w:rStyle w:val="IndexLink"/>
              </w:rPr>
              <w:t>312</w:t>
            </w:r>
          </w:hyperlink>
        </w:p>
        <w:p>
          <w:pPr>
            <w:pStyle w:val="Contents3"/>
            <w:tabs>
              <w:tab w:val="clear" w:pos="8459"/>
              <w:tab w:val="right" w:pos="9026" w:leader="dot"/>
            </w:tabs>
            <w:rPr/>
          </w:pPr>
          <w:hyperlink w:anchor="__RefHeading___Toc3562129_581953129">
            <w:r>
              <w:rPr>
                <w:webHidden/>
                <w:rStyle w:val="IndexLink"/>
                <w:rtl w:val="true"/>
              </w:rPr>
              <w:t>فقه و حقوق</w:t>
            </w:r>
            <w:r>
              <w:rPr>
                <w:rStyle w:val="IndexLink"/>
                <w:rtl w:val="true"/>
              </w:rPr>
              <w:tab/>
            </w:r>
            <w:r>
              <w:rPr>
                <w:rStyle w:val="IndexLink"/>
              </w:rPr>
              <w:t>312</w:t>
            </w:r>
          </w:hyperlink>
        </w:p>
        <w:p>
          <w:pPr>
            <w:pStyle w:val="Contents3"/>
            <w:tabs>
              <w:tab w:val="clear" w:pos="8459"/>
              <w:tab w:val="right" w:pos="9026" w:leader="dot"/>
            </w:tabs>
            <w:rPr/>
          </w:pPr>
          <w:hyperlink w:anchor="__RefHeading___Toc3562131_581953129">
            <w:r>
              <w:rPr>
                <w:webHidden/>
                <w:rStyle w:val="IndexLink"/>
                <w:rtl w:val="true"/>
              </w:rPr>
              <w:t>اقتصاد اسلامی</w:t>
            </w:r>
            <w:r>
              <w:rPr>
                <w:rStyle w:val="IndexLink"/>
                <w:rtl w:val="true"/>
              </w:rPr>
              <w:tab/>
            </w:r>
            <w:r>
              <w:rPr>
                <w:rStyle w:val="IndexLink"/>
              </w:rPr>
              <w:t>314</w:t>
            </w:r>
          </w:hyperlink>
        </w:p>
        <w:p>
          <w:pPr>
            <w:pStyle w:val="Contents3"/>
            <w:tabs>
              <w:tab w:val="clear" w:pos="8459"/>
              <w:tab w:val="right" w:pos="9026" w:leader="dot"/>
            </w:tabs>
            <w:rPr/>
          </w:pPr>
          <w:hyperlink w:anchor="__RefHeading___Toc3562133_581953129">
            <w:r>
              <w:rPr>
                <w:webHidden/>
                <w:rStyle w:val="IndexLink"/>
                <w:rtl w:val="true"/>
              </w:rPr>
              <w:t>زبان و ادبیات عرب</w:t>
            </w:r>
            <w:r>
              <w:rPr>
                <w:rStyle w:val="IndexLink"/>
                <w:rtl w:val="true"/>
              </w:rPr>
              <w:tab/>
            </w:r>
            <w:r>
              <w:rPr>
                <w:rStyle w:val="IndexLink"/>
              </w:rPr>
              <w:t>314</w:t>
            </w:r>
          </w:hyperlink>
        </w:p>
        <w:p>
          <w:pPr>
            <w:pStyle w:val="Contents3"/>
            <w:tabs>
              <w:tab w:val="clear" w:pos="8459"/>
              <w:tab w:val="right" w:pos="9026" w:leader="dot"/>
            </w:tabs>
            <w:rPr/>
          </w:pPr>
          <w:hyperlink w:anchor="__RefHeading___Toc3562135_581953129">
            <w:r>
              <w:rPr>
                <w:webHidden/>
                <w:rStyle w:val="IndexLink"/>
                <w:rtl w:val="true"/>
              </w:rPr>
              <w:t>منشورات دیگر</w:t>
            </w:r>
            <w:r>
              <w:rPr>
                <w:rStyle w:val="IndexLink"/>
                <w:rtl w:val="true"/>
              </w:rPr>
              <w:tab/>
            </w:r>
            <w:r>
              <w:rPr>
                <w:rStyle w:val="IndexLink"/>
              </w:rPr>
              <w:t>314</w:t>
            </w:r>
          </w:hyperlink>
        </w:p>
        <w:p>
          <w:pPr>
            <w:pStyle w:val="Contents2"/>
            <w:tabs>
              <w:tab w:val="clear" w:pos="8743"/>
              <w:tab w:val="right" w:pos="9026" w:leader="dot"/>
            </w:tabs>
            <w:rPr/>
          </w:pPr>
          <w:hyperlink w:anchor="__RefHeading___Toc3562137_581953129">
            <w:r>
              <w:rPr>
                <w:webHidden/>
                <w:rStyle w:val="IndexLink"/>
                <w:rtl w:val="true"/>
              </w:rPr>
              <w:t>نمایندگیهای فروش در شهرستانها</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8_50277"/>
      <w:bookmarkStart w:id="1" w:name="pg5678_50277"/>
      <w:bookmarkEnd w:id="1"/>
    </w:p>
    <w:p>
      <w:pPr>
        <w:pStyle w:val="Heading2"/>
        <w:numPr>
          <w:ilvl w:val="1"/>
          <w:numId w:val="1"/>
        </w:numPr>
        <w:rPr/>
      </w:pPr>
      <w:bookmarkStart w:id="2" w:name="pg5678_50277"/>
      <w:bookmarkStart w:id="3" w:name="__RefHeading___Toc356173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معرفت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پژوهشی فلسفه و کلام اسلامی دانشگاه علوم اسلامی رضوی جواد رقوی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محمدتقی 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جواد رقوی، محمداسحاق عارفی، علی قربانی، محمدعلی ندایی، محمد وحیدیان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Epistemology: a collection of essays</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رقوی، جواد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محمدتقی،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فلسفه و کلام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BD168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۱۰۹۶۲۷۱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174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 معرفت‌شناسی</w:t>
      </w:r>
    </w:p>
    <w:p>
      <w:pPr>
        <w:pStyle w:val="BookText"/>
        <w:rPr/>
      </w:pPr>
      <w:r>
        <w:rPr>
          <w:rFonts w:ascii="IRNazanin" w:hAnsi="IRNazanin" w:eastAsia="IRNazanin"/>
          <w:color w:val="111111"/>
          <w:sz w:val="28"/>
          <w:sz w:val="28"/>
          <w:szCs w:val="28"/>
          <w:rtl w:val="true"/>
          <w:lang w:bidi="fa-IR"/>
        </w:rPr>
        <w:t>گروه پژوهشی فلسفه و کلام اسلامی دانشگاه علوم اسلامی رضوی، جواد رقوی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نظر محمدتقی فعالی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مقالاتمعرفت‌شناسی</w:t>
      </w:r>
    </w:p>
    <w:p>
      <w:pPr>
        <w:pStyle w:val="BookText"/>
        <w:rPr/>
      </w:pPr>
      <w:r>
        <w:rPr>
          <w:rFonts w:ascii="IRNazanin" w:hAnsi="IRNazanin" w:eastAsia="IRNazanin"/>
          <w:color w:val="111111"/>
          <w:sz w:val="28"/>
          <w:sz w:val="28"/>
          <w:szCs w:val="28"/>
          <w:rtl w:val="true"/>
          <w:lang w:bidi="fa-IR"/>
        </w:rPr>
        <w:t>گروه پژوهشی فلسفه و کلام اسلامی</w:t>
      </w:r>
    </w:p>
    <w:p>
      <w:pPr>
        <w:pStyle w:val="BookText"/>
        <w:rPr/>
      </w:pP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جواد رقوی، محمداسحاق عارفی، علی قربانی</w:t>
      </w:r>
    </w:p>
    <w:p>
      <w:pPr>
        <w:pStyle w:val="BookText"/>
        <w:rPr/>
      </w:pPr>
      <w:r>
        <w:rPr>
          <w:rFonts w:ascii="IRNazanin" w:hAnsi="IRNazanin" w:eastAsia="IRNazanin"/>
          <w:color w:val="111111"/>
          <w:sz w:val="28"/>
          <w:sz w:val="28"/>
          <w:szCs w:val="28"/>
          <w:rtl w:val="true"/>
          <w:lang w:bidi="fa-IR"/>
        </w:rPr>
        <w:t>محمدعلی ندائی، محمد وحیدیان</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الاسلام و المسلمین دکتر محمدتقی فعّالی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آزاد اسلامی واحد علوم و تحقیقات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معرفت‌شناسی</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گروه پژوهشی فلسفه و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رقوی، محمداسحاق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محمدعلی ندائ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محمد 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و المسلمین دکتر محمدتقی فعّالی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آزاد اسلامی واحد علوم و تحقیقات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غلامی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گرافیک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قدس</w:t>
      </w:r>
    </w:p>
    <w:p>
      <w:pPr>
        <w:pStyle w:val="BookText"/>
        <w:rPr/>
      </w:pPr>
      <w:r>
        <w:rPr>
          <w:rFonts w:ascii="IRNazanin" w:hAnsi="IRNazanin" w:eastAsia="IRNazanin"/>
          <w:color w:val="111111"/>
          <w:sz w:val="28"/>
          <w:sz w:val="28"/>
          <w:szCs w:val="28"/>
          <w:rtl w:val="true"/>
          <w:lang w:bidi="fa-IR"/>
        </w:rPr>
        <w:t xml:space="preserve">مرکز 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انتشارات دانشگاه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رضوی</w:t>
      </w:r>
    </w:p>
    <w:p>
      <w:pPr>
        <w:pStyle w:val="BookText"/>
        <w:rPr/>
      </w:pP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978-964-7673-18-1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برای ناشر محفوظ است </w:t>
      </w:r>
      <w:bookmarkStart w:id="7" w:name="pg5678_50281"/>
    </w:p>
    <w:p>
      <w:pPr>
        <w:pStyle w:val="Heading2"/>
        <w:numPr>
          <w:ilvl w:val="1"/>
          <w:numId w:val="1"/>
        </w:numPr>
        <w:rPr/>
      </w:pPr>
      <w:bookmarkStart w:id="8" w:name="__RefHeading___Toc356174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معرفت‌شناسی از دیدگاه سوفسطاییان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رقوی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تعریف معرفت و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سوفیست و سوفسطاییان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روش سوفسطاییان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دیدگاه سوفسطاییان در باب هستی‌شناسی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مراتب شکّاکیت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وجود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معرفت‌شناختی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زبان‌شناختی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کاپلستون و دیدگاه پروتاگوراس دربارة مقیاس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کاپلستون و دیدگاه پروتاگوراس دربارة خدایان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تئودور گمپرتس و دیدگاه پروتاگوراس در باب مقیاس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تفسیر سخن پروتاگوراس دربارة خدایان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دیدگاه راسل دربارة پروتاگوراس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دیدگاه معرفت‌شناختی گرگیاس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دیدگاه کاپلستون دربارة معرفت‌شناسی گرگیاس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دیدگاه گمپرتس دربارة گرگیاس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معرفت‌شناسی از دیدگاه افلاطون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جنبة ثبوتی معرفت از دیدگاه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جنبة سلبی معرفت از دیدگاه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ادراک حسّی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حکم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حکم صحیح به علاوه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باور صادق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نظریة یادآوری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نظام هستی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راه تحصیل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برنامة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عقل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حساب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هندسة فضایی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عقلی یا دیالکتیک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چیستی روش دیالکتیک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نقد و بررسی اشکالات دیدگاه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معرفت‌شناسی اپیکور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ادراک حسّی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چگونگی ادراک حسّی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تناقض یا خطای حواس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علم بر اشیای غیر محسوس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مسبوق به احساس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الم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فکری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انتقاد اپیکوریان بر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اپیکوریان و قداست‌زدایی از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لذّت‌جویی اپیکوری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اپیکور و نفس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معرفت‌شناسی از منظر رواقیان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وحیدیان و محمداسحاق 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عصر یونانی‌مآبی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مکتب رواقی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رواقیان جزم‌گرا یا شکّاک؟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غایت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مصادر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مراتب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معیار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نظریة رواقیان در باب کلّی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درآمدی بر معرفت‌شناسی فلوطین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فلسفی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تفاوتهای افلاطون و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تأثیر فلوطین در اندیشه و تفکّر غرب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فلوطین و فلسفة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خطوط کلّی فلسفة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از اسلاف و 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چیستی فلسفة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هستی حقیقی و اصیل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اهمیت و کارکرد نظر در نظریة فیض</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خودآگاهی اقانیم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اهمیت و آثار وحدت عقل 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نظام معرفت‌شناسی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اهمیت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نگاهی به هندسة معرفتی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امکان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معرفت از نظر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بنیاد معرفت‌شناسی 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محدودیت عقل عملی و تفاوت آن با عقل نظری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اختلاف افلاطون و فلوطین در اتّحاد عاقل و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ادراک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ادراک حسّی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نگاهی تطبیقی به نفس‌شناسی ارسطو و ابن سینا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نفس از دیدگاه ارسطو و ابن سینا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فرق تعریف ارسطو و ابن سینا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ذات نفس یا تعریف نفس از حیث تعلّق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نوع جوهر نسبت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رابطة نفس و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ارسطو دربارة رابطة نفس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دیدگاه ارسطو دربارة رابطة نفس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سینا دربارة رابطة نفس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بررسی دیدگاه ابن سینا دربارة رابطة نفس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 حقیقت آدمی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و صورت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نفس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مشترک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 و جاودانگی نفس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نگاهی گذرا به منطق ارسطو و ابن سینا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تقسیم منطق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تعریف قضیه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بسیط و مرکب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حملیه و شرطیه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تقسیم قضیه به اعتبار 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تقسیم قضیه به اعتبار کمیت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قضیه به اعتبار کمیت و کیفیت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تقدّم سلب یا ایجاب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اقسام حمل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قضایای شرطیه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عکس قضایا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دو قضیة مطلقه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افکار افلاطونی ابن سینا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رقوی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زمینه‌های تأثیرپذیری ابن سینا از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مطالعة ترجمة آثار افلاطونی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مطالعة آثار فیلسوفان متقدّم و متأثّر از افکار افلاطون و نوافلاطونیان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اسماعیلیان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افکار افلاطونی ابن سینا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آفرینش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مبدأ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عقل 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عشق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احوال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تصوّر و تصدیق؛ نقد و بررسی دیدگاه صدرالمتألهین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پرسشهای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چیستی تصوّر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دیدگاههای معروف دربارة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دیدگاه معروف دربارة تصوّر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دیدگاه صدرالمتألهین دربارة تصوّر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تفسیرهایی از دیدگاه صدرالمتألهین دربارة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تبیین و تفسیر نگارنده از کلام ملاصدرا در باب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معنای حکم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حقیقت و ماهیت حکم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منشأ پیدایش تصوّر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منشأ پیدایش ادراکات اوّلیة بشر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بررسی دیدگاه صدرالمتألهین در باب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0" w:name="pg5678_50287"/>
    </w:p>
    <w:p>
      <w:pPr>
        <w:pStyle w:val="Heading2"/>
        <w:numPr>
          <w:ilvl w:val="1"/>
          <w:numId w:val="1"/>
        </w:numPr>
        <w:rPr/>
      </w:pPr>
      <w:bookmarkStart w:id="11" w:name="__RefHeading___Toc3561745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برای هر انسانی، پرسشهایی وجود دارد که پاسخ بدانها ضروری است، اما پیش از پاسخ به هر پرسشی و بررسی مسائل هر یک از شاخه‌های معرفتی، پرسشهای اساسی‌تری مطرح است که بدون پاسخ به آنها هیچ مسئلة معرفتی قابل بررسی نبوده، به هیچ سؤالی پاسخ داده نخواهد شد و آن پرسشها دربارة خود معرفت‌شناسی و توانایی ذهن انسان نسبت به شناخت اشیا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پرسشهایی از قدیم الایام برای اندیشمندان مطرح بوده و در جست‌وجوی پاسخ بدانها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نخستین کسانی که این پرسشها را مطرح نموده و پاسخ منفی بدانها داده‌اند، سوفسطاییان یونان باستان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سؤالهای مزبور در طی قرون و اعصار متمادی رشد کرده و حجم آن افزون گشته است و در قرن حاضر، به صورت علمی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که به خامة پژوهشگران گروه فلسفه و کلام اسلامی مرکز پژوهش دانشگاه علوم اسلامی رضوی به رشتة تحریر درآمده است، گزارش تحلیلی دیدگاه اندیشمندان یونان باستان و مباحث تطبیقی دیدگاه برخی فیلسوفان غربی با فلاسفة اسلامی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پژوهش دانشگاه علوم اسلامی رضوی با نظر به اهمیّت این گونه مطالب و مفید بودن نشر آن برای جامعة علمی و دانشگاهی، به انتشار آن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مجموعة حاضر، مورد استفادة اصحاب دانش و بینش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قدردانی از ریاست محترم دانشگاه علوم اسلامی رضوی، معاونت محترم پژوهشی، استاد محترم راهنما، جناب حجی‌الاسلام و المسلمین دکتر محمدتقی فعّالی که در راهنمایی این طرح زحمات وافری مبذول داشتند، مؤلفان محترم این اثر و ویراستار محترم، از همکاران محترم واحد نشر آقایان محمدسعید رضوانی و عبدالله غلامی که در آماده‌سازی کتاب مساعدت نموده‌اند،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علوم اسلامی رضوی </w:t>
      </w:r>
      <w:bookmarkStart w:id="13" w:name="pg5678_50289"/>
    </w:p>
    <w:p>
      <w:pPr>
        <w:pStyle w:val="Heading2"/>
        <w:numPr>
          <w:ilvl w:val="1"/>
          <w:numId w:val="1"/>
        </w:numPr>
        <w:rPr/>
      </w:pPr>
      <w:bookmarkStart w:id="14" w:name="__RefHeading___Toc3561747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گرایش به دانش، ریشه در ژرفای وجود آدمی دارد و کنجکاوی لبْ بر لُبّ مستی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حقیقت‌پژوهی در گذر زمان از روز نخست حیات بشر می‌آغازد و یار دیرین و همراه و همنشین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غریزه، هماره بیرون را می‌نگریست و انسان بر آن بود تا با شناخت جهان و قوانین حاکم بر آن، حیرت ارزشمند خود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ذهن بشر از سفرة طبیعت فراهم می‌آمد و کشف اسرار جهان، تمام همت او را صرف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علمها پدید آمد و هر یک، روزنه و زاویه‌ای از هستی را به روی انسان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فلسفه، فیزیک، نجوم و دهها شاخة علمی دیگر، پنجره‌های خانة معرفت بشرند که با آنها آدمی به تماشای جهان نشست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بشر گامی به عقب نهاد و نگاه خود را از متعلَّق شناخت به خود شناخت برگرداند و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پی شناخت عالم هستم، حقیقت شناخت چیست؟ ماهیّت مفاهیم و قضایا که ابزار کشف واقع‌اند، چیست و رابطة آنها چگونه است؟ و من چگونه ماهیّتی دارد؟ اینها و دهها سؤال دیگر، معرفت را به یک پرسش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معرفت گرچه با شکّاکیّت آغاز شد و علل و انگیزه‌های خاصّ خود را داشت، اصل طرح آن و حساسیّت به آن، مبارک و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جدّی به ذهن، معرفت، منطق، ریاضیات، تقسیم‌بندیهای دقیق‌تر علوم، پی‌ریزی نظریات افلاطون و ارسطو و اموری از این دست، </w:t>
      </w:r>
    </w:p>
    <w:p>
      <w:pPr>
        <w:pStyle w:val="BookText"/>
        <w:rPr/>
      </w:pPr>
      <w:r>
        <w:rPr>
          <w:rFonts w:ascii="IRNazanin" w:hAnsi="IRNazanin" w:eastAsia="IRNazanin"/>
          <w:color w:val="111111"/>
          <w:sz w:val="28"/>
          <w:sz w:val="28"/>
          <w:szCs w:val="28"/>
          <w:rtl w:val="true"/>
          <w:lang w:bidi="fa-IR"/>
        </w:rPr>
        <w:t>نتایج ارزشمند این رهیافت نوین به پدیدة ذهن و معرفت بود، لکن مسئلة معرفت را راز و رمزهای بسیار است و اسرار ناگشودة فراوان دارد و با کشف هر لایه از ذهن، انبوهی از پرسشهای تازه و گزنده سر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معرفت در جهان غرب به گونه‌ای ره پیمود و در عالم اسلام به 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گیتی، آغازی شکّاکانه داشت و در جهان اسلام به شکّ و شکّاکیّت گرفتار نیامد و یقین هماره ره‌آورد معرفت و بار درخت ذهن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معرفت‌شناسی پایه و مبناست، پس آشنایی با آن مفید و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که دین‌پژوهی و عقلانیّت دین، دغدغة ایشان است، باید بدانند که این مقصود جز با مرکب معرفت‌شناسی به دیدار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که معرفت‌شناسی تنها وسیله و مهم‌ترین مقدّمه است، بلکه اعتقاد بر آن است که معرفت‌شناسی نردبانی استوار، ابزاری دلیر و تواناست که کالبدشکافی دین موقوف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دین تا در آنجا موضع نگیرد، کلامش در گسترة دین‌پژوهی، بی‌اساس، سست و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به نیروی معرفت‌شناسی است که آرا و نظریات را در جای خود می‌نشاند و قدر هر سخن را می‌داند و چنان توانا می‌گردد که در عرصة خرد و اندیشه، گره‌گشاییها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 دانشگاه علوم اسلامی رضوی با درکی عمیق و درست از اهمیّت معرفت‌شناسی به ارائة طرحی به منظور تلاش علمی به صورت جمعی در حوزة معرفت‌شناسی اقدام کرد و با همکاری برخی از پژوهشگران گروه فلسفه، این اقدام سنجیده و عالمانه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با هدف آشنایی پژوهشیان با مسائل مهم معرفت‌شناسی و فراهم‌سازی پاسخهای مناسب برای شبهات در این زمینه از یک سو و تربیت نیروی انسانی به طور تخصصی از سوی دیگر و مآلاً نگارش مقالاتی در این باره، آغاز گردید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معرفت‌شناسی دارای یک سلسله لوازم و مبانی است که باید در علوم دیگر جست‌وجو شود، پژوهشگران این پروژه، در طول دو سال اجرای آن، برای تقویت بنیة علمی و آشنایی با مباحث متفاوت در فلسفة اسلامی، فلسفة غرب، معرفت‌شناسی معاصر، مسائل معرفتی در علوم اسلامی، فلسفة علم و منطق جدید، متون ادبی و ترجمه، مطالعات و پژوهشهایی را انجام داده، از اساتید متعدّد و متنوّع بهره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 طرح، توجّه به نکاتی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پروژه دارای دو بخش است؛ بخش اسلامی و بخش غربی؛ از این رو، طرح، رنگ مقایسه و تطبیق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مقالات، عمدتاً معرفت‌شناسی یونانی و مباحثی که رویکرد معرفت‌شناسانه در جهان اسلام دارد، مورد نظر بوده است و به دلیل محدودیّت زمانی، به دوره‌های بعدی پرداخته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مقالات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تحلیلی، بعضی گزارشی و پاره‌ای دیگر، نقّادانه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همکاران اذعان دارند که این پروژه، ناظر به گام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کمبودهایی به چشم می‌آید که از نظر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آینده در هر کجا و از سوی هر شخصی که صورت گیرد، می‌تواند مکمّل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ریاست محترم دانشگاه، حضرت حجی‌الاسلام و المسلمین جناب آقای فرزانه، کمال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معاونت محترم پژوهشی، مدیریّت محترم مرکز پژوهش، مدیر پژوهشی گروه فلسفه و کلام اسلامی، قدردانی و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تلاش علمی هرچند اندک و کوچک است، مورد پذیرش حق قرار گیرد و ذخیرة آخرت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فعّالی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طرح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5678_50293"/>
      <w:bookmarkStart w:id="17" w:name="pg5678_50293"/>
      <w:bookmarkEnd w:id="17"/>
    </w:p>
    <w:p>
      <w:pPr>
        <w:pStyle w:val="Heading2"/>
        <w:numPr>
          <w:ilvl w:val="1"/>
          <w:numId w:val="1"/>
        </w:numPr>
        <w:rPr/>
      </w:pPr>
      <w:bookmarkStart w:id="18" w:name="pg5678_50293"/>
      <w:bookmarkStart w:id="19" w:name="__RefHeading___Toc3561749_581953129"/>
      <w:bookmarkStart w:id="20" w:name="_Toc6"/>
      <w:bookmarkEnd w:id="18"/>
      <w:bookmarkEnd w:id="19"/>
      <w:r>
        <w:rPr>
          <w:rtl w:val="true"/>
        </w:rPr>
        <w:t>معرفت‌شناسی از دیدگاه سوفسطاییان</w:t>
      </w:r>
      <w:bookmarkEnd w:id="20"/>
    </w:p>
    <w:p>
      <w:pPr>
        <w:pStyle w:val="Heading3"/>
        <w:numPr>
          <w:ilvl w:val="2"/>
          <w:numId w:val="1"/>
        </w:numPr>
        <w:rPr/>
      </w:pPr>
      <w:bookmarkStart w:id="21" w:name="__RefHeading___Toc3561751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جواد رقوی</w:t>
      </w:r>
    </w:p>
    <w:p>
      <w:pPr>
        <w:pStyle w:val="Heading3"/>
        <w:numPr>
          <w:ilvl w:val="2"/>
          <w:numId w:val="1"/>
        </w:numPr>
        <w:rPr/>
      </w:pPr>
      <w:bookmarkStart w:id="23" w:name="__RefHeading___Toc3561753_581953129"/>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 xml:space="preserve">دیدگاههای گوناگون دربارة تعیین اصل نهایی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نوعی سردرگمی و بی‌اعتباری در فلسفه را باعث شده بود و سالیان متمادی، فیلسوفان دیدگاههای یکدیگر را ردّ و نقض می‌کردند، بدون اینکه دلیل قاطعی در اثبات دیدگاه خود و ابطال مدّعیات دیگر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حالتِ رکود، تحوّلی بزرگ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که نقطة عطفی در تاریخ فلسفه به شمار می‌رود، سؤالی بود که از سوی سوفسطاییان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و چگونه می‌خواهد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اینکه حال که به دنبال شناخت و تعیین اصل نهایی اشیا و جهان هستیم، آیا اصلاً شناخت امکان دارد یا خیر؟</w:t>
      </w:r>
    </w:p>
    <w:p>
      <w:pPr>
        <w:pStyle w:val="BookText"/>
        <w:rPr/>
      </w:pPr>
      <w:r>
        <w:rPr>
          <w:rFonts w:ascii="IRNazanin" w:hAnsi="IRNazanin" w:eastAsia="IRNazanin"/>
          <w:color w:val="111111"/>
          <w:sz w:val="28"/>
          <w:sz w:val="28"/>
          <w:szCs w:val="28"/>
          <w:rtl w:val="true"/>
          <w:lang w:bidi="fa-IR"/>
        </w:rPr>
        <w:t>طرح این سؤال، چرخشی مهم در توجّه از عالم طبیعت و جهان خارج به عالم جان و فاعل شناخت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سؤال به صورت جزئی‌تر مطرح شده بود، لکن پاسخ آن مثبت بود؛ هرچند امکان معرفت از طریق عقلِ تنها و یا شهود، امری مفروغ‌عنه تلقّی می‌شد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هراکلیتوس</w:t>
      </w:r>
      <w:r>
        <w:rPr>
          <w:rStyle w:val="FootnoteAnchor"/>
          <w:rtl w:val="true"/>
        </w:rPr>
        <w:footnoteReference w:id="2"/>
      </w:r>
      <w:r>
        <w:rPr>
          <w:rFonts w:ascii="IRNazanin" w:hAnsi="IRNazanin" w:eastAsia="IRNazanin"/>
          <w:color w:val="111111"/>
          <w:sz w:val="28"/>
          <w:sz w:val="28"/>
          <w:szCs w:val="28"/>
          <w:rtl w:val="true"/>
          <w:lang w:bidi="fa-IR"/>
        </w:rPr>
        <w:t>و پارمنیدس</w:t>
      </w:r>
      <w:r>
        <w:rPr>
          <w:rStyle w:val="FootnoteAnchor"/>
          <w:rtl w:val="true"/>
        </w:rPr>
        <w:footnoteReference w:id="3"/>
      </w:r>
      <w:r>
        <w:rPr>
          <w:rFonts w:ascii="IRNazanin" w:hAnsi="IRNazanin" w:eastAsia="IRNazanin"/>
          <w:color w:val="111111"/>
          <w:sz w:val="28"/>
          <w:sz w:val="28"/>
          <w:szCs w:val="28"/>
          <w:rtl w:val="true"/>
          <w:lang w:bidi="fa-IR"/>
        </w:rPr>
        <w:t xml:space="preserve">در تغییر و ثبوت عالم اختلاف داشتند، بالاتفاق پاسخ </w:t>
      </w:r>
      <w:bookmarkStart w:id="25" w:name="pg5678_50294"/>
    </w:p>
    <w:p>
      <w:pPr>
        <w:pStyle w:val="BookText"/>
        <w:rPr/>
      </w:pPr>
      <w:bookmarkEnd w:id="25"/>
      <w:r>
        <w:rPr>
          <w:rFonts w:ascii="IRNazanin" w:hAnsi="IRNazanin" w:eastAsia="IRNazanin"/>
          <w:color w:val="111111"/>
          <w:sz w:val="28"/>
          <w:sz w:val="28"/>
          <w:szCs w:val="28"/>
          <w:rtl w:val="true"/>
          <w:lang w:bidi="fa-IR"/>
        </w:rPr>
        <w:t>داده بودند که معرفت عقلی بر خلاف معرفت حسّی، ممکن است و بلکه تنها راه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پاسخ سوفسطاییان از نوع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انگشت نهادن بر اختلافات فیلسوفان یونان باستان، در پاسخ به این شکّ و شبهه که آیا اصلاً شناخت امکان دارد یا خیر، به گونه‌ای سخن گفته بودند که گویا معرفت، امکان ندارد یا امری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سخنان، سقراط</w:t>
      </w:r>
      <w:r>
        <w:rPr>
          <w:rStyle w:val="FootnoteAnchor"/>
          <w:rtl w:val="true"/>
        </w:rPr>
        <w:footnoteReference w:id="4"/>
      </w:r>
      <w:r>
        <w:rPr>
          <w:rFonts w:ascii="IRNazanin" w:hAnsi="IRNazanin" w:eastAsia="IRNazanin"/>
          <w:color w:val="111111"/>
          <w:sz w:val="28"/>
          <w:sz w:val="28"/>
          <w:szCs w:val="28"/>
          <w:rtl w:val="true"/>
          <w:lang w:bidi="fa-IR"/>
        </w:rPr>
        <w:t>و افلاطون</w:t>
      </w:r>
      <w:r>
        <w:rPr>
          <w:rStyle w:val="FootnoteAnchor"/>
          <w:rtl w:val="true"/>
        </w:rPr>
        <w:footnoteReference w:id="5"/>
      </w:r>
      <w:r>
        <w:rPr>
          <w:rFonts w:ascii="IRNazanin" w:hAnsi="IRNazanin" w:eastAsia="IRNazanin"/>
          <w:color w:val="111111"/>
          <w:sz w:val="28"/>
          <w:sz w:val="28"/>
          <w:szCs w:val="28"/>
          <w:rtl w:val="true"/>
          <w:lang w:bidi="fa-IR"/>
        </w:rPr>
        <w:t>را برآشفت، اگر نبود این پاسخ و این برآشفتگی، شاید هنوز بسیاری از دیدگاههای مهم در فلسفه، به ویژه در معرفت‌شناسی، پا به عرصة وجود ننهاده بود و هنوز هیومِ شکّ، کانتِ یقین را از خواب خوشِ جزم بیدار نکرده بود و فیلسوفان در گهوارة قطع و جزم‌اندیشی از این پهلو به آن پهلو می‌غلطیدند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تلنگر سوفسطاییان به ارّابة فکر و اندیشه را می‌توان نخستین تلألؤ ظهور معرفت‌شناسی به شمار آورد که به مطالعه و بررسی نیازمند است؛ از این رو، در این جستار، در حدّ مجال، آرای پدیدآوران شکّاکیّت در باب معرفت نظری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مورد توجّه در این بررسی، قضاوتهای ضدّ و نقیض دربارة سوفسطاییان نخستین است؛ به طوری که عدّه‌ای، آنها را شکّاکانی قلمداد کرده‌اند که حتی در وجود خارجی اشیا نیز شکّ داشته‌اند و در مقابل، برخی آنان را تا سرحدّ معلمان و فیلسوفانی فرهیخته که مروج اصول اخلاقی و دینی بوده‌اند، ارتقا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برداشتهای ضدّ و نقیض، در تفاسیر مختلف به جای مانده از معاصران آنان، به ویژه افلاطون،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سخنان اندک و به جای مانده از آنان، این برداشتهای متقابل را باعث گردیده است</w:t>
      </w:r>
      <w:r>
        <w:rPr>
          <w:rFonts w:eastAsia="IRNazanin" w:cs="IRNazanin"/>
          <w:color w:val="111111"/>
          <w:sz w:val="28"/>
          <w:szCs w:val="28"/>
          <w:rtl w:val="true"/>
          <w:lang w:bidi="fa-IR"/>
        </w:rPr>
        <w:t>.</w:t>
      </w:r>
    </w:p>
    <w:p>
      <w:pPr>
        <w:pStyle w:val="Heading3"/>
        <w:numPr>
          <w:ilvl w:val="2"/>
          <w:numId w:val="1"/>
        </w:numPr>
        <w:rPr/>
      </w:pPr>
      <w:bookmarkStart w:id="26" w:name="__RefHeading___Toc3561755_581953129"/>
      <w:bookmarkStart w:id="27" w:name="_Toc9"/>
      <w:bookmarkEnd w:id="26"/>
      <w:r>
        <w:rPr>
          <w:rtl w:val="true"/>
        </w:rPr>
        <w:t>تعریف معرفت و معرفت‌شناسی</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رایج معرفت‌شناسان،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واژة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w:t>
      </w:r>
      <w:bookmarkStart w:id="28" w:name="pg5678_50295"/>
    </w:p>
    <w:p>
      <w:pPr>
        <w:pStyle w:val="BookText"/>
        <w:rPr/>
      </w:pPr>
      <w:bookmarkEnd w:id="28"/>
      <w:r>
        <w:rPr>
          <w:rFonts w:ascii="IRNazanin" w:hAnsi="IRNazanin" w:eastAsia="IRNazanin"/>
          <w:color w:val="111111"/>
          <w:sz w:val="28"/>
          <w:sz w:val="28"/>
          <w:szCs w:val="28"/>
          <w:rtl w:val="true"/>
          <w:lang w:bidi="fa-IR"/>
        </w:rPr>
        <w:t>ماهیّت وزمینه‌های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از حیث محدودیتها و ارزش آن است</w:t>
      </w:r>
      <w:r>
        <w:rPr>
          <w:rStyle w:val="FootnoteAnchor"/>
          <w:rtl w:val="true"/>
        </w:rPr>
        <w:footnoteReference w:id="7"/>
      </w:r>
      <w:r>
        <w:rPr>
          <w:rFonts w:ascii="IRNazanin" w:hAnsi="IRNazanin" w:eastAsia="IRNazanin"/>
          <w:color w:val="111111"/>
          <w:sz w:val="28"/>
          <w:sz w:val="28"/>
          <w:szCs w:val="28"/>
          <w:rtl w:val="true"/>
          <w:lang w:bidi="fa-IR"/>
        </w:rPr>
        <w:t>و به شاخه‌ای از فلسفه اطلاق می‌گردد که به بررسی ماهیّت و حدود معرفت، پیشرفتها و مبانی آن می‌پردازد و اعتمادپذیری ادّعاهای معرفتی را می‌سنجد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9" w:name="__RefHeading___Toc3561757_581953129"/>
      <w:bookmarkStart w:id="30" w:name="_Toc10"/>
      <w:bookmarkEnd w:id="29"/>
      <w:r>
        <w:rPr>
          <w:rtl w:val="true"/>
        </w:rPr>
        <w:t>سوفیست و سوفسطاییان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واژه‌هایی با تاریخی پرفراز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عنوان، گاهی در اوج عزّت و احترام بوده و در برهه‌ای از زمان، در قعر بدنامی و انزجار، روزگار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از ارسطو و ایسوکراتس،</w:t>
      </w:r>
      <w:r>
        <w:rPr>
          <w:rStyle w:val="FootnoteAnchor"/>
          <w:rtl w:val="true"/>
        </w:rPr>
        <w:footnoteReference w:id="10"/>
      </w:r>
      <w:r>
        <w:rPr>
          <w:rFonts w:ascii="IRNazanin" w:hAnsi="IRNazanin" w:eastAsia="IRNazanin"/>
          <w:color w:val="111111"/>
          <w:sz w:val="28"/>
          <w:sz w:val="28"/>
          <w:szCs w:val="28"/>
          <w:rtl w:val="true"/>
          <w:lang w:bidi="fa-IR"/>
        </w:rPr>
        <w:t xml:space="preserve">حکمای هفت‌گانه که بزرگ‌ترین حکیمان و خردمندان یونان باستان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Style w:val="FootnoteAnchor"/>
          <w:rtl w:val="true"/>
        </w:rPr>
        <w:footnoteReference w:id="11"/>
      </w:r>
      <w:r>
        <w:rPr>
          <w:rFonts w:ascii="IRNazanin" w:hAnsi="IRNazanin" w:eastAsia="IRNazanin"/>
          <w:color w:val="111111"/>
          <w:sz w:val="28"/>
          <w:sz w:val="28"/>
          <w:szCs w:val="28"/>
          <w:rtl w:val="true"/>
          <w:lang w:bidi="fa-IR"/>
        </w:rPr>
        <w:t>اما این عنوان به طور خاص، بر گروهی از معلمان حرفه‌ای در سدة پنجم قبل از میلاد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هنوز قرن نویسندگی صرف نبود و یونانیان، قسمت عمدة غذای روحی خود را از راه گوش می‌گرفتند، در اثنای مسابقه‌های ورزشی المپ و سایر جشنها، مردانی در برابر جمعیت ظاهر می‌شدند که خطابه‌های پر آب و تاب و گاه وحشت‌انگیزی را که پرداخته بودند، به گوش حاضران می‌رساندند و در محافل دوستانه نیز از حاضران با خطابه‌های فصیح و مزین به صنایع ادبی دربارة مسائل علمی و اخلاقی پذیرایی می‌کردند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این مردان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معلمانی حرفه‌ای بودند که در برابر دست‌مزد، انواع مهارتهای خود را در فنون مختلف از قبیل بلاغت، فلسفه و جدل به شاگردانشان می‌آموختند و جوانان را به ویژه بزرگ‌زادگان، برای پیروزی در کار سیاست و موفقیت در مکالمات، آموزش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سوفیستها تقریباً به همة علوم زمان خود احاطه داشتند و به عنوان سخنور و نویسنده، از لحاظ حاضرجوابی و مبارزه‌جویی با روزنامه‌نویسان زمان حاضر قابل قیاس‌اند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هرچند نمی‌توان فصل ممیّزی که جامع و مانع باشد، برای آنها یافت، می‌توان ویژگی بارز آنها را در این دانست که موضوع مورد بحث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تمدّن و عادات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فلسفة پیشین یونان تفاوت داشت؛ چراکه سوفسطاییان دربارة جهان صغیر بحث می‌کردند، نه جهان کبیر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البته برخی، خصوصیت این گروه را به حق یا به ناحق این برشمرده‌اند که آنها به نسبیت معرفت قائل بوده‌اند، لکن در بین کسانی که سوفیست نامیده شده‌اند، کسانی بوده‌اند که مانند شکّاکان، معرفت را ناممکن دانسته و کسانی نیز بوده‌اند که امکان معرفت را از طریق خاصّی همچون عقل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افلاطون، دوران عزّت و اقتدار این اندیشمندان، خصوصاً استقبال جوانان از آنان را به زیبایی تمام، ولی به زبان طنز در مکالمة پروتاگوراس</w:t>
      </w:r>
      <w:r>
        <w:rPr>
          <w:rStyle w:val="FootnoteAnchor"/>
          <w:rtl w:val="true"/>
        </w:rPr>
        <w:footnoteReference w:id="15"/>
      </w:r>
      <w:r>
        <w:rPr>
          <w:rFonts w:ascii="IRNazanin" w:hAnsi="IRNazanin" w:eastAsia="IRNazanin"/>
          <w:color w:val="111111"/>
          <w:sz w:val="28"/>
          <w:sz w:val="28"/>
          <w:szCs w:val="28"/>
          <w:rtl w:val="true"/>
          <w:lang w:bidi="fa-IR"/>
        </w:rPr>
        <w:t>به تصویر کشیده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 دوران بدنامی و سوء شهرت سوفسطاییان، از اواخر عمر افلاطون و دورة ارسطو شروع شد و سوفیست به کسی گفته می‌شد که در جدل و مغالطه‌گری مهارت دارد؛ به تعبیر طنزآمیز سقراطِِ افلاطون، در سخن گفتن بدان پایه هنرمند باشد که اگر بخواهد، می‌تواند مطلبی را با چنان تفصیلی بیان کند که هرگز پایان نگیرد و حتی سقراط هم از فهم آن عاجز بماند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دست‌مزد از سوی سوفسطاییان که برخلاف دأب اشراف آتن بود، مضحکة مکالمات افلاطون و نمایشنامه‌نویسان یونان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افلاطون، غالباً یاد سوفسطاییان و دانش آنان با استهزا و ریشخند همراه است و با عنوانهایی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شکارچیان مزدبگیر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افلاطون در رسالة پروتاگوراس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چند بر گرد </w:t>
      </w:r>
      <w:bookmarkStart w:id="31" w:name="pg5678_50297"/>
    </w:p>
    <w:p>
      <w:pPr>
        <w:pStyle w:val="BookText"/>
        <w:rPr/>
      </w:pPr>
      <w:bookmarkEnd w:id="31"/>
      <w:r>
        <w:rPr>
          <w:rFonts w:ascii="IRNazanin" w:hAnsi="IRNazanin" w:eastAsia="IRNazanin"/>
          <w:color w:val="111111"/>
          <w:sz w:val="28"/>
          <w:sz w:val="28"/>
          <w:szCs w:val="28"/>
          <w:rtl w:val="true"/>
          <w:lang w:bidi="fa-IR"/>
        </w:rPr>
        <w:t>هیپیاس</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سوفسطاییان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و ظاهراً دربارة طبیعت و اجرام آسمانی پرسشهایی از او می‌کردند و او چون پادشاهی از مسند کبریایی خود به یکایک آنان پاسخ می‌داد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بدنامی که فشار آن تا حدودی از افکار و عقاید خود سوفسطاییان و بیشتر، از مخالفتهای افلاطون و ارسطو نشئت گرفته بود، سالیان متمادی قرین نام و یاد سوفسطاییان بود، تا اینکه در فلسفة معاصر و تقریباً در فلسفة جدید، به سبب سیل شکّاکیّتی که در حوزه‌های دین، اخلاق و خصوصاً معرفت‌شناسی پیدا شد و مایة خرسندی فیلسوفانی همچون هیوم،</w:t>
      </w:r>
      <w:r>
        <w:rPr>
          <w:rStyle w:val="FootnoteAnchor"/>
          <w:rtl w:val="true"/>
        </w:rPr>
        <w:footnoteReference w:id="21"/>
      </w:r>
      <w:r>
        <w:rPr>
          <w:rFonts w:ascii="IRNazanin" w:hAnsi="IRNazanin" w:eastAsia="IRNazanin"/>
          <w:color w:val="111111"/>
          <w:sz w:val="28"/>
          <w:sz w:val="28"/>
          <w:szCs w:val="28"/>
          <w:rtl w:val="true"/>
          <w:lang w:bidi="fa-IR"/>
        </w:rPr>
        <w:t>کانت</w:t>
      </w:r>
      <w:r>
        <w:rPr>
          <w:rStyle w:val="FootnoteAnchor"/>
          <w:rtl w:val="true"/>
        </w:rPr>
        <w:footnoteReference w:id="22"/>
      </w:r>
      <w:r>
        <w:rPr>
          <w:rFonts w:ascii="IRNazanin" w:hAnsi="IRNazanin" w:eastAsia="IRNazanin"/>
          <w:color w:val="111111"/>
          <w:sz w:val="28"/>
          <w:sz w:val="28"/>
          <w:szCs w:val="28"/>
          <w:rtl w:val="true"/>
          <w:lang w:bidi="fa-IR"/>
        </w:rPr>
        <w:t>و راسل</w:t>
      </w:r>
      <w:r>
        <w:rPr>
          <w:rStyle w:val="FootnoteAnchor"/>
          <w:rtl w:val="true"/>
        </w:rPr>
        <w:footnoteReference w:id="23"/>
      </w:r>
      <w:r>
        <w:rPr>
          <w:rFonts w:ascii="IRNazanin" w:hAnsi="IRNazanin" w:eastAsia="IRNazanin"/>
          <w:color w:val="111111"/>
          <w:sz w:val="28"/>
          <w:sz w:val="28"/>
          <w:szCs w:val="28"/>
          <w:rtl w:val="true"/>
          <w:lang w:bidi="fa-IR"/>
        </w:rPr>
        <w:t>گردید، از این قشر، اعادة حیثیت شد و نام آنان و نیز شکّاکان، در زمرة سردمداران روشنفکری و سلسله‌جنبانان معرفت‌شناسی ثبت گردید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بسیاری از متفکّران مدرن، از این اندیشمندان یونان باستان که آنان را اجداد روحانی خود یافته‌اند، با تعظیم و تکریم یاد می‌کنند و گستاخی و بی‌پروایی آنها را در ابراز مطالب معرفتی و تعرّضشان را به اعتبار قوای ادراکی و اعتقادات دینی و اخلاقی می‌ستایند</w:t>
      </w:r>
      <w:r>
        <w:rPr>
          <w:rStyle w:val="FootnoteAnchor"/>
          <w:rtl w:val="true"/>
        </w:rPr>
        <w:footnoteReference w:id="25"/>
      </w:r>
      <w:r>
        <w:rPr>
          <w:rFonts w:ascii="IRNazanin" w:hAnsi="IRNazanin" w:eastAsia="IRNazanin"/>
          <w:color w:val="111111"/>
          <w:sz w:val="28"/>
          <w:sz w:val="28"/>
          <w:szCs w:val="28"/>
          <w:rtl w:val="true"/>
          <w:lang w:bidi="fa-IR"/>
        </w:rPr>
        <w:t>و چندین برابر تهمتهایی که در قرون گذشته، به آنها زده شده است، با تعریف و تمجید پاداش می‌دهند؛ هرچند احتمال می‌رود، نه آن تهمتها به‌جا بوده باشد و نه این پاداشها به استحقاق</w:t>
      </w:r>
      <w:r>
        <w:rPr>
          <w:rFonts w:eastAsia="IRNazanin" w:cs="IRNazanin"/>
          <w:color w:val="111111"/>
          <w:sz w:val="28"/>
          <w:szCs w:val="28"/>
          <w:rtl w:val="true"/>
          <w:lang w:bidi="fa-IR"/>
        </w:rPr>
        <w:t>.</w:t>
      </w:r>
    </w:p>
    <w:p>
      <w:pPr>
        <w:pStyle w:val="Heading3"/>
        <w:numPr>
          <w:ilvl w:val="2"/>
          <w:numId w:val="1"/>
        </w:numPr>
        <w:rPr/>
      </w:pPr>
      <w:bookmarkStart w:id="32" w:name="__RefHeading___Toc3561759_581953129"/>
      <w:bookmarkStart w:id="33" w:name="_Toc11"/>
      <w:bookmarkEnd w:id="32"/>
      <w:r>
        <w:rPr>
          <w:rtl w:val="true"/>
        </w:rPr>
        <w:t>روش سوفسطاییان</w:t>
      </w:r>
      <w:bookmarkEnd w:id="33"/>
    </w:p>
    <w:p>
      <w:pPr>
        <w:pStyle w:val="BookText"/>
        <w:rPr/>
      </w:pPr>
      <w:r>
        <w:rPr>
          <w:rFonts w:ascii="IRNazanin" w:hAnsi="IRNazanin" w:eastAsia="IRNazanin"/>
          <w:color w:val="111111"/>
          <w:sz w:val="28"/>
          <w:sz w:val="28"/>
          <w:szCs w:val="28"/>
          <w:rtl w:val="true"/>
          <w:lang w:bidi="fa-IR"/>
        </w:rPr>
        <w:t>به عقیدة کاپلستون،</w:t>
      </w:r>
      <w:r>
        <w:rPr>
          <w:rStyle w:val="FootnoteAnchor"/>
          <w:rtl w:val="true"/>
        </w:rPr>
        <w:footnoteReference w:id="26"/>
      </w:r>
      <w:r>
        <w:rPr>
          <w:rFonts w:ascii="IRNazanin" w:hAnsi="IRNazanin" w:eastAsia="IRNazanin"/>
          <w:color w:val="111111"/>
          <w:sz w:val="28"/>
          <w:sz w:val="28"/>
          <w:szCs w:val="28"/>
          <w:rtl w:val="true"/>
          <w:lang w:bidi="fa-IR"/>
        </w:rPr>
        <w:t>روش سوفسطاییان، تجربی و استقرایی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سوفسطاییان در صدد گرد آوردن اندوخته‌ای وسیع از مشاهدات و امور جزئی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امور گردآمده می‌کوشیدند، نتایجی تا اندازه‌ای نظری و تا اندازه‌ای عملی </w:t>
      </w:r>
      <w:bookmarkStart w:id="34" w:name="pg5678_50298"/>
    </w:p>
    <w:p>
      <w:pPr>
        <w:pStyle w:val="BookText"/>
        <w:rPr/>
      </w:pPr>
      <w:bookmarkEnd w:id="34"/>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از مجموعة امور مربوط به تفاوتهای عقیده و ایمان که فراهم آورده بودند، نتیجه گرفتند که محال است معرفتی یقینی داشت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5" w:name="__RefHeading___Toc3561761_581953129"/>
      <w:bookmarkStart w:id="36" w:name="_Toc12"/>
      <w:bookmarkEnd w:id="35"/>
      <w:r>
        <w:rPr>
          <w:rtl w:val="true"/>
        </w:rPr>
        <w:t>دیدگاه سوفسطاییان در باب هستی‌شناسی</w:t>
      </w:r>
      <w:bookmarkEnd w:id="36"/>
    </w:p>
    <w:p>
      <w:pPr>
        <w:pStyle w:val="BookText"/>
        <w:rPr/>
      </w:pPr>
      <w:r>
        <w:rPr>
          <w:rFonts w:ascii="IRNazanin" w:hAnsi="IRNazanin" w:eastAsia="IRNazanin"/>
          <w:color w:val="111111"/>
          <w:sz w:val="28"/>
          <w:sz w:val="28"/>
          <w:szCs w:val="28"/>
          <w:rtl w:val="true"/>
          <w:lang w:bidi="fa-IR"/>
        </w:rPr>
        <w:t>سوفسطاییان در باب هستی‌شناسی، دیدگاهی غیر از شکّاکیت و لاادریگری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واقعیت و وجود جهان خارج از ذهن را نه تنها در عمل، بلکه در نظر نیز پذیرفته بودند و همان طور که در بررسی آرای آنان می‌آید، سخنانی که در باب انکار واقعیت از آنها نقل شده، ناظر به معرفت است نه هستی جهان و حتی سخن گرگیاس</w:t>
      </w:r>
      <w:r>
        <w:rPr>
          <w:rStyle w:val="FootnoteAnchor"/>
          <w:rtl w:val="true"/>
        </w:rPr>
        <w:footnoteReference w:id="28"/>
      </w:r>
      <w:r>
        <w:rPr>
          <w:rFonts w:ascii="IRNazanin" w:hAnsi="IRNazanin" w:eastAsia="IRNazanin"/>
          <w:color w:val="111111"/>
          <w:sz w:val="28"/>
          <w:sz w:val="28"/>
          <w:szCs w:val="28"/>
          <w:rtl w:val="true"/>
          <w:lang w:bidi="fa-IR"/>
        </w:rPr>
        <w:t>را در اینکه واقعیتی وجود ندارد، می‌توان بر معنای مناسبی غیر از انکار واقعیت خارجی حمل کرد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7" w:name="__RefHeading___Toc3561763_581953129"/>
      <w:bookmarkStart w:id="38" w:name="_Toc13"/>
      <w:bookmarkEnd w:id="37"/>
      <w:r>
        <w:rPr>
          <w:rtl w:val="true"/>
        </w:rPr>
        <w:t>مراتب شکّاکیت</w:t>
      </w:r>
      <w:bookmarkEnd w:id="38"/>
    </w:p>
    <w:p>
      <w:pPr>
        <w:pStyle w:val="Heading4"/>
        <w:numPr>
          <w:ilvl w:val="3"/>
          <w:numId w:val="1"/>
        </w:numPr>
        <w:rPr/>
      </w:pPr>
      <w:bookmarkStart w:id="39" w:name="__RefHeading___Toc3561765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هدف از دسته‌بندی شکّ در مراتب ذیل، این است که در بررسی آرای سوفسطاییان، جای گرفتن مدّعا و سخنان آنان در ضمن هر یک از این مراتب مشخص شود</w:t>
      </w:r>
      <w:r>
        <w:rPr>
          <w:rFonts w:eastAsia="IRNazanin" w:cs="IRNazanin"/>
          <w:color w:val="111111"/>
          <w:sz w:val="28"/>
          <w:szCs w:val="28"/>
          <w:rtl w:val="true"/>
          <w:lang w:bidi="fa-IR"/>
        </w:rPr>
        <w:t>.</w:t>
      </w:r>
    </w:p>
    <w:p>
      <w:pPr>
        <w:pStyle w:val="Heading4"/>
        <w:numPr>
          <w:ilvl w:val="3"/>
          <w:numId w:val="1"/>
        </w:numPr>
        <w:rPr/>
      </w:pPr>
      <w:bookmarkStart w:id="41" w:name="__RefHeading___Toc3561767_581953129"/>
      <w:bookmarkStart w:id="42" w:name="_Toc15"/>
      <w:bookmarkEnd w:id="41"/>
      <w:r>
        <w:rPr>
          <w:rtl w:val="true"/>
        </w:rPr>
        <w:t>الف</w:t>
      </w:r>
      <w:r>
        <w:rPr>
          <w:rtl w:val="true"/>
        </w:rPr>
        <w:t xml:space="preserve">) </w:t>
      </w:r>
      <w:r>
        <w:rPr>
          <w:rtl w:val="true"/>
        </w:rPr>
        <w:t>شکّاکیت وجود شناختی</w:t>
      </w:r>
      <w:bookmarkEnd w:id="42"/>
    </w:p>
    <w:p>
      <w:pPr>
        <w:pStyle w:val="BookText"/>
        <w:rPr/>
      </w:pPr>
      <w:r>
        <w:rPr>
          <w:rFonts w:ascii="IRNazanin" w:hAnsi="IRNazanin" w:eastAsia="IRNazanin"/>
          <w:color w:val="111111"/>
          <w:sz w:val="28"/>
          <w:sz w:val="28"/>
          <w:szCs w:val="28"/>
          <w:rtl w:val="true"/>
          <w:lang w:bidi="fa-IR"/>
        </w:rPr>
        <w:t>این شکّاکیت،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شکّاکیت در مطلق وجود؛ اعم از ذهن و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شکّاکیت در وجود جهان خارج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عینی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ذهن وجود دارد و جهان خارج از ذهن، واقعیت ندارد، بلکه صرفاً انفعالات و پدیدارهایی در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ایده‌آلیسم و فنومنالیسم</w:t>
      </w:r>
      <w:r>
        <w:rPr>
          <w:rFonts w:eastAsia="IRNazanin" w:cs="IRNazanin"/>
          <w:color w:val="111111"/>
          <w:sz w:val="28"/>
          <w:szCs w:val="28"/>
          <w:rtl w:val="true"/>
          <w:lang w:bidi="fa-IR"/>
        </w:rPr>
        <w:t>).</w:t>
      </w:r>
    </w:p>
    <w:p>
      <w:pPr>
        <w:pStyle w:val="Heading4"/>
        <w:numPr>
          <w:ilvl w:val="3"/>
          <w:numId w:val="1"/>
        </w:numPr>
        <w:rPr/>
      </w:pPr>
      <w:bookmarkStart w:id="43" w:name="__RefHeading___Toc3561769_581953129"/>
      <w:bookmarkStart w:id="44" w:name="_Toc16"/>
      <w:bookmarkEnd w:id="43"/>
      <w:r>
        <w:rPr>
          <w:rtl w:val="true"/>
        </w:rPr>
        <w:t>ب</w:t>
      </w:r>
      <w:r>
        <w:rPr>
          <w:rtl w:val="true"/>
        </w:rPr>
        <w:t xml:space="preserve">) </w:t>
      </w:r>
      <w:r>
        <w:rPr>
          <w:rtl w:val="true"/>
        </w:rPr>
        <w:t>شکّاکیت معرفت‌شناختی</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مطلقاً امکان ندارد و هرگونه معرفت و از هر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نظری یا</w:t>
      </w:r>
      <w:bookmarkStart w:id="45" w:name="pg5678_50299"/>
    </w:p>
    <w:p>
      <w:pPr>
        <w:pStyle w:val="BookText"/>
        <w:rPr/>
      </w:pPr>
      <w:bookmarkEnd w:id="45"/>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ممکن است، اما امری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ممکن است نسبت به شخصی، حق و صادق و نسبت به دیگری،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واقعیت نیز نسبت به شخص واحد، در شرایط مختلف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حسّی، غیر ممکن و قوای ادراک حسّی غیر قابل اعتماد است، اما معرفت عقلی ممکن و بلکه تنها راه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معرفت، هیچ یک از حس و عقل، قابل اعتماد نیست و صرفاً راه معرفت، شهود است؛ پس معرفت، ممکن است، لکن از طریق شهود، نه حس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متّکی بر تجربیات حسّی</w:t>
      </w:r>
      <w:r>
        <w:rPr>
          <w:rFonts w:eastAsia="IRNazanin" w:cs="IRNazanin"/>
          <w:color w:val="111111"/>
          <w:sz w:val="28"/>
          <w:szCs w:val="28"/>
          <w:rtl w:val="true"/>
          <w:lang w:bidi="fa-IR"/>
        </w:rPr>
        <w:t>).</w:t>
      </w:r>
    </w:p>
    <w:p>
      <w:pPr>
        <w:pStyle w:val="Heading4"/>
        <w:numPr>
          <w:ilvl w:val="3"/>
          <w:numId w:val="1"/>
        </w:numPr>
        <w:rPr/>
      </w:pPr>
      <w:bookmarkStart w:id="46" w:name="__RefHeading___Toc3561771_581953129"/>
      <w:bookmarkStart w:id="47" w:name="_Toc17"/>
      <w:bookmarkEnd w:id="46"/>
      <w:r>
        <w:rPr>
          <w:rtl w:val="true"/>
        </w:rPr>
        <w:t>ج</w:t>
      </w:r>
      <w:r>
        <w:rPr>
          <w:rtl w:val="true"/>
        </w:rPr>
        <w:t xml:space="preserve">) </w:t>
      </w:r>
      <w:r>
        <w:rPr>
          <w:rtl w:val="true"/>
        </w:rPr>
        <w:t>شکّاکیت زبان‌شناختی</w:t>
      </w:r>
      <w:bookmarkEnd w:id="47"/>
    </w:p>
    <w:p>
      <w:pPr>
        <w:pStyle w:val="BookText"/>
        <w:rPr/>
      </w:pPr>
      <w:r>
        <w:rPr>
          <w:rFonts w:ascii="IRNazanin" w:hAnsi="IRNazanin" w:eastAsia="IRNazanin"/>
          <w:color w:val="111111"/>
          <w:sz w:val="28"/>
          <w:sz w:val="28"/>
          <w:szCs w:val="28"/>
          <w:rtl w:val="true"/>
          <w:lang w:bidi="fa-IR"/>
        </w:rPr>
        <w:t>آنچه شناختنی باشد، شناساندنی و انتقال‌پذیر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مراتب شکّاکیت می‌گوییم، در تاریخ فلسفه، کسی یافت نشده که به شکّاکیت وجودشناختی نوع اوّل قائل باشد و مطلق هستی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شکّاکیت تا مرتبة سؤال از وجود ذهن پیش رفته و خودِ وجود فکر، اندیشه و ذهن همچون دیواری بوده که اندیشة هر شکّاکی با برخورد با آن، چاره‌ای جز اعتراف به آن نداشته است و نخستین و در نظر برخی، تنها پلّة مورد اعتماد در هستی و معرفت، تلقّی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مراتب دیگر شکّاکیت، دست‌کم در ظاهر قائلانی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سخن گرگیاس،</w:t>
      </w:r>
      <w:r>
        <w:rPr>
          <w:rStyle w:val="FootnoteAnchor"/>
          <w:rtl w:val="true"/>
        </w:rPr>
        <w:footnoteReference w:id="30"/>
      </w:r>
      <w:r>
        <w:rPr>
          <w:rFonts w:ascii="IRNazanin" w:hAnsi="IRNazanin" w:eastAsia="IRNazanin"/>
          <w:color w:val="111111"/>
          <w:sz w:val="28"/>
          <w:sz w:val="28"/>
          <w:szCs w:val="28"/>
          <w:rtl w:val="true"/>
          <w:lang w:bidi="fa-IR"/>
        </w:rPr>
        <w:t>هر سه نوع عمدة شکّاکیت دیده می‌شود، اما چیستی مقصود او از این سخن، مطلبی است که بعداً بدان می‌پردازیم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مترودورس کیوسی</w:t>
      </w:r>
      <w:r>
        <w:rPr>
          <w:rStyle w:val="FootnoteAnchor"/>
          <w:rtl w:val="true"/>
        </w:rPr>
        <w:footnoteReference w:id="31"/>
      </w:r>
      <w:r>
        <w:rPr>
          <w:rFonts w:ascii="IRNazanin" w:hAnsi="IRNazanin" w:eastAsia="IRNazanin"/>
          <w:color w:val="111111"/>
          <w:sz w:val="28"/>
          <w:sz w:val="28"/>
          <w:szCs w:val="28"/>
          <w:rtl w:val="true"/>
          <w:lang w:bidi="fa-IR"/>
        </w:rPr>
        <w:t>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نمی‌دانیم، حتی این را که چیزی می‌دانیم یا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می‌توان در زمرة شکّاک مطلق معرفتی به شمار آورد</w:t>
      </w:r>
      <w:r>
        <w:rPr>
          <w:rFonts w:eastAsia="IRNazanin" w:cs="IRNazanin"/>
          <w:color w:val="111111"/>
          <w:sz w:val="28"/>
          <w:szCs w:val="28"/>
          <w:rtl w:val="true"/>
          <w:lang w:bidi="fa-IR"/>
        </w:rPr>
        <w:t xml:space="preserve">. </w:t>
      </w:r>
      <w:bookmarkStart w:id="48" w:name="pg5678_50300"/>
    </w:p>
    <w:p>
      <w:pPr>
        <w:pStyle w:val="BookText"/>
        <w:rPr/>
      </w:pPr>
      <w:bookmarkEnd w:id="48"/>
      <w:r>
        <w:rPr>
          <w:rFonts w:ascii="IRNazanin" w:hAnsi="IRNazanin" w:eastAsia="IRNazanin"/>
          <w:color w:val="111111"/>
          <w:sz w:val="28"/>
          <w:sz w:val="28"/>
          <w:szCs w:val="28"/>
          <w:rtl w:val="true"/>
          <w:lang w:bidi="fa-IR"/>
        </w:rPr>
        <w:t xml:space="preserve">قائلان به شکّاکیت معرفت‌شناختی مرتبة سوم و چهارم، معمولاً با عنوان شکّاک، نام برده نشده‌اند، اما وقتی پیرُن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 بدین سبب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به جوهر اشیا نفوذ کند و به آنها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اشیا تنها نمود آنها را در اختیار داریم،</w:t>
      </w:r>
      <w:r>
        <w:rPr>
          <w:rStyle w:val="FootnoteAnchor"/>
          <w:rtl w:val="true"/>
        </w:rPr>
        <w:footnoteReference w:id="34"/>
      </w:r>
      <w:r>
        <w:rPr>
          <w:rFonts w:ascii="IRNazanin" w:hAnsi="IRNazanin" w:eastAsia="IRNazanin"/>
          <w:color w:val="111111"/>
          <w:sz w:val="28"/>
          <w:sz w:val="28"/>
          <w:szCs w:val="28"/>
          <w:rtl w:val="true"/>
          <w:lang w:bidi="fa-IR"/>
        </w:rPr>
        <w:t>شکّاک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افرادی همچون پارمنیدس و دموکریتوس</w:t>
      </w:r>
      <w:r>
        <w:rPr>
          <w:rStyle w:val="FootnoteAnchor"/>
          <w:rtl w:val="true"/>
        </w:rPr>
        <w:footnoteReference w:id="35"/>
      </w:r>
      <w:r>
        <w:rPr>
          <w:rFonts w:ascii="IRNazanin" w:hAnsi="IRNazanin" w:eastAsia="IRNazanin"/>
          <w:color w:val="111111"/>
          <w:sz w:val="28"/>
          <w:sz w:val="28"/>
          <w:szCs w:val="28"/>
          <w:rtl w:val="true"/>
          <w:lang w:bidi="fa-IR"/>
        </w:rPr>
        <w:t>را که حصول علم و شناسایی از راه حواس را انکار می‌کردند و افلاطون را که هرگونه معرفت حسّی و عقلی مبتنی بر حس را تخطئه می‌کرد و بی‌ارزش می‌انگاشت،</w:t>
      </w:r>
      <w:r>
        <w:rPr>
          <w:rStyle w:val="FootnoteAnchor"/>
          <w:rtl w:val="true"/>
        </w:rPr>
        <w:footnoteReference w:id="36"/>
      </w:r>
      <w:r>
        <w:rPr>
          <w:rFonts w:ascii="IRNazanin" w:hAnsi="IRNazanin" w:eastAsia="IRNazanin"/>
          <w:color w:val="111111"/>
          <w:sz w:val="28"/>
          <w:sz w:val="28"/>
          <w:szCs w:val="28"/>
          <w:rtl w:val="true"/>
          <w:lang w:bidi="fa-IR"/>
        </w:rPr>
        <w:t>شکّاک در معرفت حسّی به شمار آورد، لکن از آنجا که اینان به گونه‌ای معرفت را ممکن می‌دانسته‌اند،</w:t>
      </w:r>
      <w:r>
        <w:rPr>
          <w:rStyle w:val="FootnoteAnchor"/>
          <w:rtl w:val="true"/>
        </w:rPr>
        <w:footnoteReference w:id="37"/>
      </w:r>
      <w:r>
        <w:rPr>
          <w:rFonts w:ascii="IRNazanin" w:hAnsi="IRNazanin" w:eastAsia="IRNazanin"/>
          <w:color w:val="111111"/>
          <w:sz w:val="28"/>
          <w:sz w:val="28"/>
          <w:szCs w:val="28"/>
          <w:rtl w:val="true"/>
          <w:lang w:bidi="fa-IR"/>
        </w:rPr>
        <w:t>در زمرة شکّاکان به شمار آورده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پرداختن به دیدگاه پروتاگوراس و گرگیاس که در باب معرفت‌شناسی و شناخت سوفسطاییگری شهرت دارند، دیدگاه سوفسطاییان را در این باب بررسی می‌کنیم</w:t>
      </w:r>
      <w:r>
        <w:rPr>
          <w:rFonts w:eastAsia="IRNazanin" w:cs="IRNazanin"/>
          <w:color w:val="111111"/>
          <w:sz w:val="28"/>
          <w:szCs w:val="28"/>
          <w:rtl w:val="true"/>
          <w:lang w:bidi="fa-IR"/>
        </w:rPr>
        <w:t>.</w:t>
      </w:r>
    </w:p>
    <w:p>
      <w:pPr>
        <w:pStyle w:val="Heading3"/>
        <w:numPr>
          <w:ilvl w:val="2"/>
          <w:numId w:val="1"/>
        </w:numPr>
        <w:rPr/>
      </w:pPr>
      <w:bookmarkStart w:id="49" w:name="__RefHeading___Toc3561773_581953129"/>
      <w:bookmarkStart w:id="50" w:name="_Toc18"/>
      <w:bookmarkEnd w:id="49"/>
      <w:r>
        <w:rPr>
          <w:rtl w:val="true"/>
        </w:rPr>
        <w:t>پروتاگوراس</w:t>
      </w:r>
      <w:bookmarkEnd w:id="50"/>
    </w:p>
    <w:p>
      <w:pPr>
        <w:pStyle w:val="Heading4"/>
        <w:numPr>
          <w:ilvl w:val="3"/>
          <w:numId w:val="1"/>
        </w:numPr>
        <w:rPr/>
      </w:pPr>
      <w:bookmarkStart w:id="51" w:name="__RefHeading___Toc3561775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پروتاگوراس</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نقل قولهای افلاطون و دیگران از این اندیشمند و از جمله نوشته‌های به جای مانده از او، دو سخن مشهور وجود دارد؛ یکی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خدایان</w:t>
      </w:r>
      <w:r>
        <w:rPr>
          <w:rFonts w:eastAsia="IRNazanin" w:cs="IRNazanin"/>
          <w:color w:val="111111"/>
          <w:sz w:val="28"/>
          <w:szCs w:val="28"/>
          <w:rtl w:val="true"/>
          <w:lang w:bidi="fa-IR"/>
        </w:rPr>
        <w:t xml:space="preserve">». </w:t>
      </w:r>
      <w:bookmarkStart w:id="53" w:name="pg5678_50301"/>
    </w:p>
    <w:p>
      <w:pPr>
        <w:pStyle w:val="BookText"/>
        <w:rPr/>
      </w:pPr>
      <w:bookmarkEnd w:id="53"/>
      <w:r>
        <w:rPr>
          <w:rFonts w:ascii="IRNazanin" w:hAnsi="IRNazanin" w:eastAsia="IRNazanin"/>
          <w:color w:val="111111"/>
          <w:sz w:val="28"/>
          <w:sz w:val="28"/>
          <w:szCs w:val="28"/>
          <w:rtl w:val="true"/>
          <w:lang w:bidi="fa-IR"/>
        </w:rPr>
        <w:t>تاریخ‌نویسان بنا بر سلایق و دریافتهای خود، این دو سخن را به گونه‌های متفاوت ترجمه 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شکّاکیت وجودشناختی و برخی دیگر، نسبی‌انگاری در حوزة معرفت را نتیجه گرفته‌اند و گروهی، آن را دیدگاهی نومینالیستی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به تنزیه وی از شکّاکیت و نسبی‌انگاری پرداخته و احتمالات دیگری را دربارة این سخنان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این اقوال و تفاسیر اشاره می‌کنیم</w:t>
      </w:r>
      <w:r>
        <w:rPr>
          <w:rFonts w:eastAsia="IRNazanin" w:cs="IRNazanin"/>
          <w:color w:val="111111"/>
          <w:sz w:val="28"/>
          <w:szCs w:val="28"/>
          <w:rtl w:val="true"/>
          <w:lang w:bidi="fa-IR"/>
        </w:rPr>
        <w:t>.</w:t>
      </w:r>
    </w:p>
    <w:p>
      <w:pPr>
        <w:pStyle w:val="Heading4"/>
        <w:numPr>
          <w:ilvl w:val="3"/>
          <w:numId w:val="1"/>
        </w:numPr>
        <w:rPr/>
      </w:pPr>
      <w:bookmarkStart w:id="54" w:name="__RefHeading___Toc3561777_581953129"/>
      <w:bookmarkStart w:id="55" w:name="_Toc20"/>
      <w:bookmarkEnd w:id="54"/>
      <w:r>
        <w:rPr>
          <w:rtl w:val="true"/>
        </w:rPr>
        <w:t>کاپلستون و دیدگاه پروتاگوراس دربارة مقیاس بودن انسان</w:t>
      </w:r>
      <w:bookmarkEnd w:id="55"/>
    </w:p>
    <w:p>
      <w:pPr>
        <w:pStyle w:val="BookText"/>
        <w:rPr/>
      </w:pPr>
      <w:r>
        <w:rPr>
          <w:rFonts w:ascii="IRNazanin" w:hAnsi="IRNazanin" w:eastAsia="IRNazanin"/>
          <w:color w:val="111111"/>
          <w:sz w:val="28"/>
          <w:sz w:val="28"/>
          <w:szCs w:val="28"/>
          <w:rtl w:val="true"/>
          <w:lang w:bidi="fa-IR"/>
        </w:rPr>
        <w:t>کاپلستون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گفتار پروتاگوراس در کتاب وی، حقیقت یا بطلان استدلالات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مندرج است، دایر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مقیاس همة چیزهاست؛ مقیاس هستیِ چیزهایی که هست و مقیاس نیستیِ چیزهایی که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این ترجمه، کاپلستون سخن پروتاگوراس را به گونه‌ای ترجمه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اشیا مربوط است، در حالی که طبق متن یونانی احتمال دارد منظور پروتاگوراس، کیفیت اشیا باشد نه اصل وجود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او 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اینکه اشیا، چگونه هستند و مقیاس اینکه اشیا، چگونه نیستند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کاپلستون از این ابهام در کلام پروتاگوراس ذکری به میان نمی‌آورد، در عوض، دو ابهام دیگر را در کلام او مطرح می‌کند؛ یکی 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چیستی مقصود پروتاگوراس از انسان، دو احتمال وجود دارد؛ یا انسان فردی مراد است، یا انسان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باید به معنی متعلّقات ادراک حسّی دانست، یا دامنة آن، قلمروِ ارزشها را نیز دربرمی‌گیرد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بنا بر عقیدة کاپلستون، با این دو ابهام موجود در کلام پروتاگوراس، چهار معنا برای کلام او متصوّر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انسانی، مقیاس محسوسات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ارزشها و ارزشها امور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دیدگاه افلاطون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انسانی، مقیاس محسوسات و ارزشهاست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نسبی‌انگاری مطلق در حوزة معرفت و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انسانی، مقیاس محسوسات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انسانی، مقیاس محسوسات و ارزشهاست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کاپلستون می‌گوید، بنا بر آنچه افلاطون در رسالة تئتتوس</w:t>
      </w:r>
      <w:r>
        <w:rPr>
          <w:rStyle w:val="FootnoteAnchor"/>
          <w:rtl w:val="true"/>
        </w:rPr>
        <w:footnoteReference w:id="44"/>
      </w:r>
      <w:r>
        <w:rPr>
          <w:rFonts w:ascii="IRNazanin" w:hAnsi="IRNazanin" w:eastAsia="IRNazanin"/>
          <w:color w:val="111111"/>
          <w:sz w:val="28"/>
          <w:sz w:val="28"/>
          <w:szCs w:val="28"/>
          <w:rtl w:val="true"/>
          <w:lang w:bidi="fa-IR"/>
        </w:rPr>
        <w:t>از زبان پروتاگوراس نقل می‌کند، او متعلّقات ادراک حسّی را نسبی می‌دانسته است و مراد او از انسان، انسان فردی بوده است،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خاطر نشان می‌کند که وقتی باد می‌وزد، یکی از ما ممکن است احساس سرما کند و دیگری نه، یا یکی ممکن است اندکی احساس خنکی کند و دیگری کاملاً سردش شود و می‌پرسد که آیا ما باید با پروتاگوراس موافق باشیم که باد برای کسی که آن را سرد حس می‌کند، سرد است و برای دیگری، سرد نیست؟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عبارت، آشکارا سخن پروتاگوراس به گونه‌ای تفسیر شده است که به انسان فردی نظر دارد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این سخن، این نیست که باد برای یکی، صرفاً سرد به نظر آید و برای دیگری نه، بلکه پروتاگوراس معتقد است اگر در روز سردی پس از گردش در هوای بارانی، به درون اتاق بیایم و بگویم که آب گرم است و شما از اتاق گرمی بیرون بیایید و همان آب را سرد حس کنید، هیچ‌یک از ما بر خطا نیست؛ چراکه آب برای من، واقعاً گرم و برای شما، واقعاً سرد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پروتاگوراس در همان رساله، دربارة ارزشهای اخلاقی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معتقدم اعمالی که برای هر جامعة خاصّی به نظر پسندیده می‌آید، برای آن جامعه چنین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ظاهر این سخن، این است که احکام اخلاقی،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نتیجه این است که مراد پروتاگوراس، احتمال دوم بوده است و انسان فردی را مقیاس متعلّقات ادراک حسّی و ارزشهای اخلاقی می‌دانسته است؛ بنابراین، پروتاگوراس باید مطلقاً هم در حوزة معرفت و هم در حوزة اخلاق، نسبی‌انگار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کاپلستون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مخالفت با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رسالة پروتاگوراسِ افلاطون توسل جسته‌اند که در آنجا پروتاگوراس چنین معرفی نشده که آن قول را نسبت به ارزشهای اخلاقی به معنای فردی به کار می‌برد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معنای این سخن این است که مراد پروتاگوراس از مقیاس بودن انسان، انسان فردی دربارة محسوسات است و این سخن، همان عقیدة خود افلاطون است که معرفت حقیقی و یقینی را تنها می‌توان دربارة مافوق محسوس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مدرکات حسّی و جزئی، معیار صحت آنها، خود فرد و شخص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بلافاصله متذکّر می‌شود که البته نمی‌توان افلاطون و پروتاگوراس را در باب ارزشهای اخلاقی هم‌عقیده دانست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هر حال، نظریة پروتاگوراس در باب ارزشهای اخلاقی چه بوده است؟ در اینجا کاپلستون، با کمک جملاتی دیگر از رسالة تئتتوس و رسالة پروتاگوراس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عاقل باید بکوشد تا اعمال درست را جانشین اعمال نادرست 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حیا و عدل را به همة آدمیان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این نتیجه می‌رسد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منظور پروتاگوراس این است که قانون به طور کلّی، مبتنی بر تمایلات اخلاقی معیّنی است که در نهاد همة آدمیان هست، اما انواع خاصّ قانون، چنان که در جوامع مختلف یافت می‌شود، نسبی است</w:t>
      </w:r>
      <w:r>
        <w:rPr>
          <w:rFonts w:eastAsia="IRNazanin" w:cs="IRNazanin"/>
          <w:color w:val="111111"/>
          <w:sz w:val="28"/>
          <w:szCs w:val="28"/>
          <w:rtl w:val="true"/>
          <w:lang w:bidi="fa-IR"/>
        </w:rPr>
        <w:t>.</w:t>
      </w:r>
      <w:r>
        <w:rPr>
          <w:rStyle w:val="FootnoteAnchor"/>
          <w:rtl w:val="true"/>
        </w:rPr>
        <w:footnoteReference w:id="52"/>
      </w:r>
      <w:bookmarkStart w:id="56" w:name="pg5678_50304"/>
    </w:p>
    <w:p>
      <w:pPr>
        <w:pStyle w:val="BookText"/>
        <w:rPr/>
      </w:pPr>
      <w:bookmarkEnd w:id="56"/>
      <w:r>
        <w:rPr>
          <w:rFonts w:ascii="IRNazanin" w:hAnsi="IRNazanin" w:eastAsia="IRNazanin"/>
          <w:color w:val="111111"/>
          <w:sz w:val="28"/>
          <w:sz w:val="28"/>
          <w:szCs w:val="28"/>
          <w:rtl w:val="true"/>
          <w:lang w:bidi="fa-IR"/>
        </w:rPr>
        <w:t xml:space="preserve">پس اصول اخلاقی،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حقیقت و اَشکال جزئی آن در قالب آداب و رسوم، امور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گفتار و تفسیر کاپلستون دربارة سخن نخست پروتاگوراس این است که پروتاگوراس تنها در حوزة ادراک حسّی به نسبی‌انگاری قائل است، نه در مطلق معرفت و نه در باب ارزشها؛ زیرا پروتاگوراس، معرفت به اصول اخلاق را ممکن می‌داند و برای آنها ارزش حقیقی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وی، اصول اخلاق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قانون نانوشته و طبیعی در نهاد انسان دارای حقیقت است، اما انواع خاصّ قانون در جوامع مختلف، نسبی است</w:t>
      </w:r>
      <w:r>
        <w:rPr>
          <w:rFonts w:eastAsia="IRNazanin" w:cs="IRNazanin"/>
          <w:color w:val="111111"/>
          <w:sz w:val="28"/>
          <w:szCs w:val="28"/>
          <w:rtl w:val="true"/>
          <w:lang w:bidi="fa-IR"/>
        </w:rPr>
        <w:t>.</w:t>
      </w:r>
    </w:p>
    <w:p>
      <w:pPr>
        <w:pStyle w:val="Heading4"/>
        <w:numPr>
          <w:ilvl w:val="3"/>
          <w:numId w:val="1"/>
        </w:numPr>
        <w:rPr/>
      </w:pPr>
      <w:bookmarkStart w:id="57" w:name="__RefHeading___Toc3561779_581953129"/>
      <w:bookmarkStart w:id="58" w:name="_Toc21"/>
      <w:bookmarkEnd w:id="57"/>
      <w:r>
        <w:rPr>
          <w:rtl w:val="true"/>
        </w:rPr>
        <w:t>کاپلستون و دیدگاه پروتاگوراس دربارة خدایان</w:t>
      </w:r>
      <w:bookmarkEnd w:id="58"/>
    </w:p>
    <w:p>
      <w:pPr>
        <w:pStyle w:val="BookText"/>
        <w:rPr/>
      </w:pPr>
      <w:r>
        <w:rPr>
          <w:rFonts w:ascii="IRNazanin" w:hAnsi="IRNazanin" w:eastAsia="IRNazanin"/>
          <w:color w:val="111111"/>
          <w:sz w:val="28"/>
          <w:sz w:val="28"/>
          <w:szCs w:val="28"/>
          <w:rtl w:val="true"/>
          <w:lang w:bidi="fa-IR"/>
        </w:rPr>
        <w:t>سخن دیگر پروتاگوراس، مربوط به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کتابی به نام دربارة خدایان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خدایان، من مطمئن نیستم که هستند یا نیستند و یا اینکه در شکل و هیأت، به چه چیز شباهت دارند؛ زیرا خیلی چیزها هستند که مانع معرفت یقینی‌اند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موضوع و کوتاهی عمر بشر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کاپلستون در تفسیر این سخن، به تفصیلی که در سخن قبلی پروتاگوراس وارد بحث شد،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وی، اگرچه ظاهر این سخن می‌فهماند که پروتاگوراس، متفکّری شکّاک و مخرّب اعتقادات دینی است، چنین توهّمی با تصویری که افلاطون از پروتاگوراس به دست می‌دهد، موافقت ندارد و بی‌تردید، این برداشت شکّاکانه،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در ادامه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طور که از نسبی بودن قانون‌نامه‌های مختلف، این نتیجة اخلاقی گرفته می‌شود که فرد باید خود را تسلیم تعلیم و تربیت سنّتی کند، همین‌طور هم از عدم یقین ما دربارة خدایان و ماهیّت آنها، این نتیجة اخلاقی گرفته می‌شود که ما باید به دین مدینه وفادار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نمی‌توانیم دربارة حقیقت مطلق، مطمئن باشیم، چرا دینی را که از پدران خود به ارث برده‌ایم، دور بیندازیم؟</w:t>
      </w:r>
      <w:r>
        <w:rPr>
          <w:rStyle w:val="FootnoteAnchor"/>
          <w:rtl w:val="true"/>
        </w:rPr>
        <w:footnoteReference w:id="54"/>
      </w:r>
      <w:bookmarkStart w:id="59" w:name="pg5678_50305"/>
    </w:p>
    <w:p>
      <w:pPr>
        <w:pStyle w:val="BookText"/>
        <w:rPr/>
      </w:pPr>
      <w:bookmarkEnd w:id="59"/>
      <w:r>
        <w:rPr>
          <w:rFonts w:ascii="IRNazanin" w:hAnsi="IRNazanin" w:eastAsia="IRNazanin"/>
          <w:color w:val="111111"/>
          <w:sz w:val="28"/>
          <w:sz w:val="28"/>
          <w:szCs w:val="28"/>
          <w:rtl w:val="true"/>
          <w:lang w:bidi="fa-IR"/>
        </w:rPr>
        <w:t>شاهد دیگر کاپلستون دربارة اینکه پروتاگوراس متفکّری شکّاک و مخرّب اعتقادات دینی نبوده است، خلق و خو و طرز رفتار اوست که علاوه بر اینکه پایبند سنّت بوده، مدّعی بوده است که شهروندِ خوب می‌پروراند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این دفاعِ کاپلستون از اعتقادات دینی پروتاگوراس، دیدگاه وی دربارة خدایان با دیدگاهش دربارة قانون‌نامه‌های مختلف مقایسه شده است و به خاطر داریم که قانون‌نامه‌های مختلف که پیامبر آداب و رسوم و به تعبیر دیگر، اشکال جزئی اخلاقی بودند، از نظر پروتاگوراس، امور نسبی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مقایسه این است که همان طور که قانون‌نامه‌ها امور نسبی است و فرد باید به سبب مصلحت جامعه، به آنها پایبند بماند، وجود و عدم خدایان نیز معلوم نیست، لکن دلیلی وجود ندارد که دین ارثی پدران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پروتاگوراس در باب اعتقاد به خدایان، شکّاک ولاادری‌گرا بوده است؛ شکّاکی بی‌ضرر که در عمل، بر خلاف نظر خود رفتار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کاپلستون، تنها دفاع از خلق و خوی پروتاگوراس است و نظریة او را دربارة خدایان توضیح نمی‌دهد و بیان نمی‌کند که معنای این سخن چیست و چگونه این سخن ممکن نیست مخرّب اعتقادات دینی باشد؟ همان طور که در تفسیر گمپرتس می‌آید، این سخن ممکن است معنای زیبایی داشته باشد که کاپلستون آن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 کاپلستون، معنای سخن پروتاگوراس دربارة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وجودشناختی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مرحله‌ای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را نیز شامل می‌شود</w:t>
      </w:r>
      <w:r>
        <w:rPr>
          <w:rFonts w:eastAsia="IRNazanin" w:cs="IRNazanin"/>
          <w:color w:val="111111"/>
          <w:sz w:val="28"/>
          <w:szCs w:val="28"/>
          <w:rtl w:val="true"/>
          <w:lang w:bidi="fa-IR"/>
        </w:rPr>
        <w:t>.</w:t>
      </w:r>
    </w:p>
    <w:p>
      <w:pPr>
        <w:pStyle w:val="Heading4"/>
        <w:numPr>
          <w:ilvl w:val="3"/>
          <w:numId w:val="1"/>
        </w:numPr>
        <w:rPr/>
      </w:pPr>
      <w:bookmarkStart w:id="60" w:name="__RefHeading___Toc3561781_581953129"/>
      <w:bookmarkStart w:id="61" w:name="_Toc22"/>
      <w:bookmarkEnd w:id="60"/>
      <w:r>
        <w:rPr>
          <w:rtl w:val="true"/>
        </w:rPr>
        <w:t>تئودور گمپرتس و دیدگاه پروتاگوراس در باب مقیاس بودن انسان</w:t>
      </w:r>
      <w:bookmarkEnd w:id="61"/>
    </w:p>
    <w:p>
      <w:pPr>
        <w:pStyle w:val="BookText"/>
        <w:rPr/>
      </w:pPr>
      <w:r>
        <w:rPr>
          <w:rFonts w:ascii="IRNazanin" w:hAnsi="IRNazanin" w:eastAsia="IRNazanin"/>
          <w:color w:val="111111"/>
          <w:sz w:val="28"/>
          <w:sz w:val="28"/>
          <w:szCs w:val="28"/>
          <w:rtl w:val="true"/>
          <w:lang w:bidi="fa-IR"/>
        </w:rPr>
        <w:t>تئودور گمپرتس</w:t>
      </w:r>
      <w:r>
        <w:rPr>
          <w:rStyle w:val="FootnoteAnchor"/>
          <w:rtl w:val="true"/>
        </w:rPr>
        <w:footnoteReference w:id="56"/>
      </w:r>
      <w:r>
        <w:rPr>
          <w:rFonts w:ascii="IRNazanin" w:hAnsi="IRNazanin" w:eastAsia="IRNazanin"/>
          <w:color w:val="111111"/>
          <w:sz w:val="28"/>
          <w:sz w:val="28"/>
          <w:szCs w:val="28"/>
          <w:rtl w:val="true"/>
          <w:lang w:bidi="fa-IR"/>
        </w:rPr>
        <w:t>و دیدگاه پروتاگوراس در باب مقیاس بودن انسان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تئودور گمپرتس دربارة سخن معروف پروتاگوراس در باب مقیاس بودن انسان، تفسیر خاصّی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نیز این سخن مشهور پروتاگوراس از دو جهت ابهام دارد؛ نخست اینکه مراد از انسان، شخص است یا نوع که در تفسیر قبلی هم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دوم در این است که جملة پروتاگوراس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آنها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آیا انسان مقیاس وجود اشیاست یا مقیاس کیفیّت وجود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گمپرتس مراد از انسان، انسان نوعی است نه شخصی؛ اگرچه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انسان را انسان شخصی دانسته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ترجمة صحیح جملة پروتاگوراس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انسان، مقیاس همة چیزهاست؛ مقیاس چیزهای موجود، بر اینکه آنها وجود دارند و مقیاس چیزهای غیر موجود، بر اینکه آنها وجود ندارند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گمپرتس برای این معنا چنین استدلال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شخص انسان باشد، یا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معیار اشیای موجود است بر اینکه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معیار اشیای موجودند که چگونه موجودند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کیفیّت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شقّ دوم نمی‌تواند درست باشد؛ زیرا اگرچه به لحاظ موضوع می‌تواند صحیح باشد، به لحاظ ظاهر متن، اشتباه است؛ زیرا مفسّرانِ محیط به زبان یونانی، آن کلمه را در سخن پروتاگوراس و شبیه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قسمت دوم جمله، معنای نامعقولی می‌یابد؛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معیار چیزهای غیر موجود است که چگونه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معقول نیست کسی دربارة کیفیّتِ منفیِ چیزِ غیر موجود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نخست هم ممکن نیست مقصود باشد؛ زیرا اینکه انسان مفرد و شخصی، معیار وجود اشیا باشد، معنایی جز انکار کامل وجود واقعیات شناختنی ندارد؛ به عبارت دیگر، این سخن پروتاگوراس، بیان ناشیانه‌ای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کورنایی است که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فنومنالیسم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آن،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هست و نه اصلاً برای مفهوم عینی وجود، بلکه هر چه هست،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این مدّعا این است که به گفتة فرفوریوس،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سخن پروتاگوراس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Porphyrius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حمله‌ای است بر فیلسوفان الئائی، خصوصاً ملیسوس،</w:t>
      </w:r>
      <w:r>
        <w:rPr>
          <w:rStyle w:val="FootnoteAnchor"/>
          <w:rtl w:val="true"/>
        </w:rPr>
        <w:footnoteReference w:id="59"/>
      </w:r>
      <w:r>
        <w:rPr>
          <w:rFonts w:ascii="IRNazanin" w:hAnsi="IRNazanin" w:eastAsia="IRNazanin"/>
          <w:color w:val="111111"/>
          <w:sz w:val="28"/>
          <w:sz w:val="28"/>
          <w:szCs w:val="28"/>
          <w:rtl w:val="true"/>
          <w:lang w:bidi="fa-IR"/>
        </w:rPr>
        <w:t>که نقطة مقابل نظریة پروتاگوراس را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موجود را نه می‌توانیم ببینیم و نه 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انکار قاطع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پروتاگوراس می‌خواهد بگوید، ما فقط چیزهای واقعی را می‌توانیم به ادراک حسّی دریابیم؛ آنچه واقعیت ندارد، ممکن نیست موضوع ادراک حسّی باشد و اگر ما گواهی احساس خود را انکار کنیم، چگونه می‌توانیم به سایر قابلیتهایمان اعتماد کنیم؟ کدام موضوع شناسایی برای ما باقی می‌ماند و معیار حقیقت را در کجا باید بجوییم؟ اگر یگانه حقیقتی را که برای 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کنیم، پس کلمات حقیقی و غیر حقیقی را به چه معنایی می‌توانیم به کار ببریم؟</w:t>
      </w:r>
      <w:r>
        <w:rPr>
          <w:rStyle w:val="FootnoteAnchor"/>
          <w:rtl w:val="true"/>
        </w:rPr>
        <w:footnoteReference w:id="60"/>
      </w:r>
      <w:r>
        <w:rPr>
          <w:rFonts w:ascii="IRNazanin" w:hAnsi="IRNazanin" w:eastAsia="IRNazanin"/>
          <w:color w:val="111111"/>
          <w:sz w:val="28"/>
          <w:sz w:val="28"/>
          <w:szCs w:val="28"/>
          <w:rtl w:val="true"/>
          <w:lang w:bidi="fa-IR"/>
        </w:rPr>
        <w:t>آنگاه گمپرتس در تأیید این برداشت از سخن پروتاگوراس، به جمله‌ای از او در کتاب دیگرش به نام دربارة هنر استشهاد می‌کند که با شدّت بیشتری، سخن ملیسوس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لاوجود همانند موجود دیده می‌شود، پس نمی‌دانم چگونه می‌توان آن را از آن جهت که مانند موجود، با چشم دیده و با عقل شناخته می‌شود، لاوجود تلقّی کرد؟ ولی به راستی، چنین نمی‌تواند بود، بلکه موجود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دیده و شناخته شود و لاوجود هرگز نه دیده می‌شود و نه شناخته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عقیدة گمپرتس، پروتاگوراس در اینجا ادراک حسّی را ملاک واقعیت قرار داده است، اگر واقعیتی وجود ندارد، ما چگونه می‌بینیم و می‌شناسیم؟ پس آنچه می‌بینیم و می‌شناسیم، وجود دارد و آنچه وجود ندارد، نه دیده می‌شود و نه شناخته می‌شود و این، به معنای مقیاس بودن انسان برای وجود اشیاست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پایة این تفسیر، پروتاگوراس نه تنها منکر شناخت و نسبی‌انگار نیست، بلکه موضعی ضدّ شکّاکانه نیز دارد و چیزی را بازگو کرده است که شبیه استدلال جرج ادوارد مور،</w:t>
      </w:r>
      <w:r>
        <w:rPr>
          <w:rStyle w:val="FootnoteAnchor"/>
          <w:rtl w:val="true"/>
        </w:rPr>
        <w:footnoteReference w:id="62"/>
      </w:r>
      <w:r>
        <w:rPr>
          <w:rFonts w:ascii="IRNazanin" w:hAnsi="IRNazanin" w:eastAsia="IRNazanin"/>
          <w:color w:val="111111"/>
          <w:sz w:val="28"/>
          <w:sz w:val="28"/>
          <w:szCs w:val="28"/>
          <w:rtl w:val="true"/>
          <w:lang w:bidi="fa-IR"/>
        </w:rPr>
        <w:t>فیلسوف انگلیسی اواخر قرن بیستم، در ردّ سوفسطاییان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مور در مقابل مدّعیان انکار وجود شیء واقعی، چنین بود که این سخن، تا وقتی که دست کم یک شیء واقعی را نپذیرفته باشید، سخنی بی‌معناست؛ زیرا ملاکی برای تمییز واقعی از غیر واقعی ارائه </w:t>
      </w:r>
    </w:p>
    <w:p>
      <w:pPr>
        <w:pStyle w:val="BookText"/>
        <w:rPr/>
      </w:pPr>
      <w:r>
        <w:rPr>
          <w:rFonts w:ascii="IRNazanin" w:hAnsi="IRNazanin" w:eastAsia="IRNazanin"/>
          <w:color w:val="111111"/>
          <w:sz w:val="28"/>
          <w:sz w:val="28"/>
          <w:szCs w:val="28"/>
          <w:rtl w:val="true"/>
          <w:lang w:bidi="fa-IR"/>
        </w:rPr>
        <w:t>نداده‌اید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گویا پروتاگوراس در اعتراض به فیلسوفان الئائی، خصوصاً ملیسوس، که منکر گواهی حواس بودند، می‌گوید، شما ملاک وجود و عدم اشیا را که همان ادراکات حسّی انسان است، نادیده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که می‌گویید و موجود را نمی‌توان دید و نمی‌توان شناخت، پس آنچه می‌بینید و می‌شنوید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می‌شناسید، چیست؟ اگر موجود نه آن است که آن را می‌بینید و می‌شنوید، پس معنای موجود و دیدن و شناختن و بلکه بودن و نبودن چیست؟ بنابراین، اگر چیزی هست، بدین علّت است که متعلّق ادراکات نوع انسان واقع شده و اگر می‌گویید چیزی نیست، بدین سبب است که هیچ‌کس آن را ادراک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گمپرتس، طرز فکر پروتاگوراس در باب معرفت، تجربی و پایة معرفت در نزد وی، ادراکات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گمپرتس با این سؤال مواجه است که تکلیف رسالة تئتتوس و تصویری که افلاطون در آن از پروتاگوراس به عنوان یک نسبی‌انگار صِرف، دست‌کم در قلمرو ادراکهای حسّی ارائه می‌دهد،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گمپرتس دربارة برداشت افلاطون از جملة معروف پروتاگوراس معتقد است تا آنجا که افلاطون درصدد بیان اصل مدّعای پروتاگوراس بوده، درک افلاطون صحیح و با طرز فکر تجربی پروتاگوراس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این مرحله، جملة مربوط به مقیاس بودن انسان را به این معنا تلقّی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شناسایی‌ای بر ادراک حسّی مبتنی است، ولی از اینجا به بعد که افلاطون به ذکر نتایجی می‌پردازد که گمان می‌برد بر سخن پروتاگوراس مترتب است، برداشتش خطا و صرفاً گمانه‌زنی است؛ زیرا افلاطون چنین استنتاج می‌کند که اگر ادراکهای حسّی به راستی حاوی حقیقت است، از آنجا که بارها اتّفاق می‌افتد که ادراک حسّی یک شخص با ادراک حسّی شخص دیگر فرق دارد، نتیجه این می‌شود که ادراکهای متناقض از حیث حقیقت، برابر است و همین گونه عقاید متضاد از حیث حقیقت،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برای هر کس، آن چیزی است که بر او حقیقت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افلاطون این را نظریة پروتاگوراس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اینها خیال‌پردازیهای افلاطون است و پروتاگوراس نمی‌تواند آن گونه که افلاطون می‌پندارد، یک ذهن‌گرا یا شکّاک مفرط باشد، این است </w:t>
      </w:r>
      <w:bookmarkStart w:id="62" w:name="pg5678_50309"/>
    </w:p>
    <w:p>
      <w:pPr>
        <w:pStyle w:val="BookText"/>
        <w:rPr/>
      </w:pPr>
      <w:bookmarkEnd w:id="62"/>
      <w:r>
        <w:rPr>
          <w:rFonts w:ascii="IRNazanin" w:hAnsi="IRNazanin" w:eastAsia="IRNazanin"/>
          <w:color w:val="111111"/>
          <w:sz w:val="28"/>
          <w:sz w:val="28"/>
          <w:szCs w:val="28"/>
          <w:rtl w:val="true"/>
          <w:lang w:bidi="fa-IR"/>
        </w:rPr>
        <w:t>که او متجاوز از چهل سال به تدریس و تعلیم دیدگاههای مثبت و قوانین کلّی اشتغال داشت و از احترام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افلاطون در رسالة پروتاگوراس از او ترسیم می‌کند، غیر از تصویری است که در رسالة تئتتوس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نخست، او مردی معرفی می‌گردد که نه تنها فاقد یقین نیست، بلکه یقینی افراطی و جزمی دارد، در حالی که در تئتتوس، مردی معرفی می‌شود که هرگونه فرق میان حقیقت و اشتباه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در زمان تدوین رسالة پروتاگوراس، پروتاگوراس هنوز در حال حیات است، اما در تئتتوس مدّتهاست که از جهان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پروتاگوراس، صحبت از مردی است که زنده است، اما در رسالة تئتتوس، اندیشة افلاطون با شبحی از افکار پروتاگوراس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و نظر، حکومت می‌کند و در اینجا 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راستی، افلاطون و قوة تخیّل و تصویرپردازانة او را بشناسد و روش وی را در مکالمه‌هایش بداند، بدین گونه که افکار خود را از زبان دیگران بیان می‌کند، تردید نمی‌کند که از این دو تصویر، رسالة پروتاگوراس به خلاف رسالة تئتتوس که خیال‌پردازی و افکار ساختة افلاطون است،</w:t>
      </w:r>
      <w:r>
        <w:rPr>
          <w:rStyle w:val="FootnoteAnchor"/>
          <w:rtl w:val="true"/>
        </w:rPr>
        <w:footnoteReference w:id="64"/>
      </w:r>
      <w:r>
        <w:rPr>
          <w:rFonts w:ascii="IRNazanin" w:hAnsi="IRNazanin" w:eastAsia="IRNazanin"/>
          <w:color w:val="111111"/>
          <w:sz w:val="28"/>
          <w:sz w:val="28"/>
          <w:szCs w:val="28"/>
          <w:rtl w:val="true"/>
          <w:lang w:bidi="fa-IR"/>
        </w:rPr>
        <w:t>با افکار پروتاگوراس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نظر گمپرتس، قطعات باقی‌مانده از پروتاگوراس و مبارزة او با فیلسوفان الئائی و انکارشان بر درستی گواهی حواس، دلیلی کافی است بر اینکه شکّاکیّتی که به او نسبت می‌دهند، صحیح نیست و در واقع، سخن او دربارة مقیاس بودن انسان، باعث توهّمی شده است که دیگران، دیگر سخنان او را نیز در خدمت آن توهّم و برداشت غلط معنا کرده‌اند</w:t>
      </w:r>
      <w:r>
        <w:rPr>
          <w:rFonts w:eastAsia="IRNazanin" w:cs="IRNazanin"/>
          <w:color w:val="111111"/>
          <w:sz w:val="28"/>
          <w:szCs w:val="28"/>
          <w:rtl w:val="true"/>
          <w:lang w:bidi="fa-IR"/>
        </w:rPr>
        <w:t>.</w:t>
      </w:r>
    </w:p>
    <w:p>
      <w:pPr>
        <w:pStyle w:val="Heading4"/>
        <w:numPr>
          <w:ilvl w:val="3"/>
          <w:numId w:val="1"/>
        </w:numPr>
        <w:rPr/>
      </w:pPr>
      <w:bookmarkStart w:id="63" w:name="__RefHeading___Toc3561783_581953129"/>
      <w:bookmarkStart w:id="64" w:name="_Toc23"/>
      <w:bookmarkEnd w:id="63"/>
      <w:r>
        <w:rPr>
          <w:rtl w:val="true"/>
        </w:rPr>
        <w:t>تفسیر سخن پروتاگوراس دربارة خدایان</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گمپرتس می‌گوید، آنچه از داوری پروتاگوراس دربارة فلسفة الهی به ما رسیده است، جمله‌ای است که در آغاز کتابی از او به نام دربارة خدایان وجود داشته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خدایان من نمی‌توانم بدانم که آنها وجود دارند و نه می‌توانم بدانم که آنها وجود ندارند و نه می‌توانم بدانم که آنها دارای چگونه شکلی هستند؛ زیرا امور بسیاری مانع از </w:t>
      </w:r>
    </w:p>
    <w:p>
      <w:pPr>
        <w:pStyle w:val="BookText"/>
        <w:rPr/>
      </w:pPr>
      <w:r>
        <w:rPr>
          <w:rFonts w:ascii="IRNazanin" w:hAnsi="IRNazanin" w:eastAsia="IRNazanin"/>
          <w:color w:val="111111"/>
          <w:sz w:val="28"/>
          <w:sz w:val="28"/>
          <w:szCs w:val="28"/>
          <w:rtl w:val="true"/>
          <w:lang w:bidi="fa-IR"/>
        </w:rPr>
        <w:t>این دانستن است، خصوصاً تاریکی موضوع و کوتاهی عمر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گمپرتس این سخن پروتاگوراس را نیز در امتداد همان برداشتی که از جملة دیگر او داشت، تفسیر می‌کند و می‌گوید، همان گونه که متفکّران دورة باستان،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می‌گذاشتند، در اینجا نیز باید بین آن دو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جمله، چندین بار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این سخن، اعتقاد به خدایان نبوده، بلکه شناخت خدایان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قرائنی نیز وجود دارد مبنی بر اینکه تقریباً ممکن نیست پروتاگوراس، اعتقاد به خدایان را انکار کند و یا حتی خواسته باشد در آن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شاگردی پس از خاتمة درس، حقّ‌الزحمه را نمی‌پرداخت، به جای مجادله با وی، از او می‌خواست به پرستشگاه برود و با یاد کردن سوگند، ارزشی را که برای درس قائل است، اعلام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افلاطون در رسالة پروتاگوراس، از زبان او، داستانی حاکی از وجود خدایان و تأیید و نفوذ آنان در آدمیان نقل می‌کند و سرانجام، این جملة پر معنا را به دهان او می‌نهد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چون از نیروی خدایی بهره‌مند شد، با خدایان پیوند خویشی یافت؛ از این رو، یگانه جانداری بود که به خدایان ایمان آورد و پرستشگاههایی را برای آنان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این قرائن دلالت دارد بر اینکه موضوع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قطعه، اعتقاد به خدایان نیست، بلکه شناسایی علمی یا شناخت از روی خرد، به هستی خدایان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گمپرتس می‌گوید، کلمه‌ای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کرده‌ایم، غالباً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این نکته دارد که علّت عدم شناخت ما به خدایان، نامحسوس بودن آنهاست که موضوع ادراک حسّی مستقیم، واقع نمی‌گردند و جایی که حس به یاری ما نمی‌رسد، استنتاج، جای آن را می‌گیرد؛ بنابراین، ذکر کوتاهی عمر آدمی، تنها بدین معنا می‌تواند باشد که مهلت کوتاهی که برای وجود ما مقرر است، مواد تجربی کافی در اختیار ما نمی‌گذارد تا از آنها بتوانیم استنتاجهای لازم را برای تأیید یا نفی وجود خدایان به دست آوریم</w:t>
      </w:r>
      <w:r>
        <w:rPr>
          <w:rFonts w:eastAsia="IRNazanin" w:cs="IRNazanin"/>
          <w:color w:val="111111"/>
          <w:sz w:val="28"/>
          <w:szCs w:val="28"/>
          <w:rtl w:val="true"/>
          <w:lang w:bidi="fa-IR"/>
        </w:rPr>
        <w:t>.</w:t>
      </w:r>
      <w:r>
        <w:rPr>
          <w:rStyle w:val="FootnoteAnchor"/>
          <w:rtl w:val="true"/>
        </w:rPr>
        <w:footnoteReference w:id="67"/>
      </w:r>
      <w:bookmarkStart w:id="65" w:name="pg5678_50311"/>
    </w:p>
    <w:p>
      <w:pPr>
        <w:pStyle w:val="BookText"/>
        <w:rPr/>
      </w:pPr>
      <w:bookmarkEnd w:id="65"/>
      <w:r>
        <w:rPr>
          <w:rFonts w:ascii="IRNazanin" w:hAnsi="IRNazanin" w:eastAsia="IRNazanin"/>
          <w:color w:val="111111"/>
          <w:sz w:val="28"/>
          <w:sz w:val="28"/>
          <w:szCs w:val="28"/>
          <w:rtl w:val="true"/>
          <w:lang w:bidi="fa-IR"/>
        </w:rPr>
        <w:t>تئودور گمپرتس از این سخن پروتاگوراس در نفی شکّاکیتِ معرفت‌شناختی و نسبی‌انگاری او بهره می‌برد و می‌گوید، حتی این سخن او دربارة خدایان که برخی گمان می‌کنند شاهدی بر شکّاکیت اوست، می‌تواند دلیلی قاطع بر این باشد که مصنّفِ جملة مربوط به مقیاس بودن انسان، از آن گونه شکّی که افلاطون به او نسبت می‌دهد، به کلّی بیگانه است؛ زیرا عدم امکان شناخت خدایان در کلام پروتاگوراس، این است که تاکنون هیچ‌کس، خدایان را ندیده است و عمر آدمی، چنان کوتاه و میدان مشاهداتش، چنان تنگ است که ممکن نیست بتواند آثار وجود خدایان را به طور اعتمادآوری بشناسد یا منکر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پروتاگوراس معتقد بود حقیقت برای هر کسی، همان است که بر او، حقیقت می‌نماید، لازم بود به مسئلة مربوط به وجود خدایان، پاسخ دیگری بدهد؛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برای کسانی که به وجود آنان معتقدند، وجود دارند و برای کسانی که به وجود آنان معتقد نیستند،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تفسیر گمپرتس این است که عدم امکان شناخت خدایان در کلام پروتاگوراس، خارج بودن آنها از حوزة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تفسیر، نه تنها پروتاگوراس در حوزة معرفت حسّی و اعتقاد به خدایان، شکّاک نیست، بلکه مخالف شکّاکیّت و نسبی‌انگاری است</w:t>
      </w:r>
      <w:r>
        <w:rPr>
          <w:rFonts w:eastAsia="IRNazanin" w:cs="IRNazanin"/>
          <w:color w:val="111111"/>
          <w:sz w:val="28"/>
          <w:szCs w:val="28"/>
          <w:rtl w:val="true"/>
          <w:lang w:bidi="fa-IR"/>
        </w:rPr>
        <w:t>.</w:t>
      </w:r>
    </w:p>
    <w:p>
      <w:pPr>
        <w:pStyle w:val="Heading4"/>
        <w:numPr>
          <w:ilvl w:val="3"/>
          <w:numId w:val="1"/>
        </w:numPr>
        <w:rPr/>
      </w:pPr>
      <w:bookmarkStart w:id="66" w:name="__RefHeading___Toc3561785_581953129"/>
      <w:bookmarkStart w:id="67" w:name="_Toc24"/>
      <w:bookmarkEnd w:id="66"/>
      <w:r>
        <w:rPr>
          <w:rtl w:val="true"/>
        </w:rPr>
        <w:t>دیدگاه راسل دربارة پروتاگوراس</w:t>
      </w:r>
      <w:bookmarkEnd w:id="67"/>
    </w:p>
    <w:p>
      <w:pPr>
        <w:pStyle w:val="BookText"/>
        <w:rPr/>
      </w:pPr>
      <w:r>
        <w:rPr>
          <w:rFonts w:ascii="IRNazanin" w:hAnsi="IRNazanin" w:eastAsia="IRNazanin"/>
          <w:color w:val="111111"/>
          <w:sz w:val="28"/>
          <w:sz w:val="28"/>
          <w:szCs w:val="28"/>
          <w:rtl w:val="true"/>
          <w:lang w:bidi="fa-IR"/>
        </w:rPr>
        <w:t>دیدگاه راسل</w:t>
      </w:r>
      <w:r>
        <w:rPr>
          <w:rStyle w:val="FootnoteAnchor"/>
          <w:rtl w:val="true"/>
        </w:rPr>
        <w:footnoteReference w:id="68"/>
      </w:r>
      <w:r>
        <w:rPr>
          <w:rFonts w:ascii="IRNazanin" w:hAnsi="IRNazanin" w:eastAsia="IRNazanin"/>
          <w:color w:val="111111"/>
          <w:sz w:val="28"/>
          <w:sz w:val="28"/>
          <w:szCs w:val="28"/>
          <w:rtl w:val="true"/>
          <w:lang w:bidi="fa-IR"/>
        </w:rPr>
        <w:t>دربارة پروتاگوراس</w:t>
      </w:r>
    </w:p>
    <w:p>
      <w:pPr>
        <w:pStyle w:val="BookText"/>
        <w:rPr/>
      </w:pPr>
      <w:r>
        <w:rPr>
          <w:rFonts w:ascii="IRNazanin" w:hAnsi="IRNazanin" w:eastAsia="IRNazanin"/>
          <w:color w:val="111111"/>
          <w:sz w:val="28"/>
          <w:sz w:val="28"/>
          <w:szCs w:val="28"/>
          <w:rtl w:val="true"/>
          <w:lang w:bidi="fa-IR"/>
        </w:rPr>
        <w:t>از نظر راسل، پروتاگوراس از بزرگ‌ترین سوفسطاییان یونان باستان است و دیدگاه او دربارة مقیاس بودن انسان، دیدگاهی شکّاکانه است که بر پایة فریبندگی حواس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راسل، سخن او را این‌گونه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میزانِ همه‌چیز است و چون انسانها با یکدیگر اختلاف نظر داشته باشند، یک حقیقت عینی وجود ندارد که مطابق آن، نظر یکی صحیح و نظر دیگری، سقیم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از بین احتمالات مذکور در گذشته دربارة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انسان شخصی و مفرد و اشیا را به معنای اعم از متعلّقات ادراک حسّی و ارزشها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68" w:name="pg5678_50312"/>
    </w:p>
    <w:p>
      <w:pPr>
        <w:pStyle w:val="BookText"/>
        <w:rPr/>
      </w:pPr>
      <w:bookmarkEnd w:id="68"/>
      <w:r>
        <w:rPr>
          <w:rFonts w:ascii="IRNazanin" w:hAnsi="IRNazanin" w:eastAsia="IRNazanin"/>
          <w:color w:val="111111"/>
          <w:sz w:val="28"/>
          <w:sz w:val="28"/>
          <w:szCs w:val="28"/>
          <w:rtl w:val="true"/>
          <w:lang w:bidi="fa-IR"/>
        </w:rPr>
        <w:t>آنگاه به دفع این اشکال می‌پردازد که چگونه ممکن است کسی در باب معرفت و اخلاق، شکّاک باشد و همچون پروتاگوراس، به سنّت و اخلاق پایبند بماند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بی‌اعتقادی به حقیقت عینی، اکثریّت را مجاز و مختار می‌سازد که برای مقاصد علمی به هر چه بخواهد اعتقاد پیدا کند و به همین سبب بود که پروتاگوراس به مدافعه از قانون و قرارداد و اخلاق متداول قدیم کشانده شد؛ چنان که دیدیم، نمی‌دانست خدایان وجود دارد یا نه و در عین حال، یقین داشت که باید خدایان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کسی که شکّاکیت نظری‌اش کامل و منطقی باشد، نظرگاه صحیح جز این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این‌گونه سخنان، روشن می‌شود که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نمی‌توان غیر از این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پروتاگوراس را یک سوفسطایی به تمام معنا و شکّاک تمام‌عیار می‌داند که نسبت به حقیقت عینی و اخلاق و حتی خدایان، شکّاک و بلکه بی‌اعتقاد است و اگر در عمل به اخلاق و دین پایبند است، به حکم زیرکی و به سبب مقاصد علمی است؛ بنا بر همین عقیده، به نقل از شیلر،</w:t>
      </w:r>
      <w:r>
        <w:rPr>
          <w:rStyle w:val="FootnoteAnchor"/>
          <w:rtl w:val="true"/>
        </w:rPr>
        <w:footnoteReference w:id="71"/>
      </w:r>
      <w:r>
        <w:rPr>
          <w:rFonts w:ascii="IRNazanin" w:hAnsi="IRNazanin" w:eastAsia="IRNazanin"/>
          <w:color w:val="111111"/>
          <w:sz w:val="28"/>
          <w:sz w:val="28"/>
          <w:szCs w:val="28"/>
          <w:rtl w:val="true"/>
          <w:lang w:bidi="fa-IR"/>
        </w:rPr>
        <w:t xml:space="preserve">یکی از سه بنیانگذار مذهب اصالت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شاگرد پروتاگوراس می‌داند، او را پراگماتیست معرفی می‌کند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69" w:name="__RefHeading___Toc3561787_581953129"/>
      <w:bookmarkStart w:id="70" w:name="_Toc25"/>
      <w:bookmarkEnd w:id="69"/>
      <w:r>
        <w:rPr>
          <w:rtl w:val="true"/>
        </w:rPr>
        <w:t>دیدگاه معرفت‌شناختی گرگیاس</w:t>
      </w:r>
      <w:bookmarkEnd w:id="70"/>
    </w:p>
    <w:p>
      <w:pPr>
        <w:pStyle w:val="Heading4"/>
        <w:numPr>
          <w:ilvl w:val="3"/>
          <w:numId w:val="1"/>
        </w:numPr>
        <w:rPr/>
      </w:pPr>
      <w:bookmarkStart w:id="71" w:name="__RefHeading___Toc3561789_581953129"/>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دیدگاه معرفت‌شناختی گرگیاس</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چهرة شاخص سوفسطاییان پس از پروتاگوراس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امپدوکلس</w:t>
      </w:r>
      <w:r>
        <w:rPr>
          <w:rStyle w:val="FootnoteAnchor"/>
          <w:rtl w:val="true"/>
        </w:rPr>
        <w:footnoteReference w:id="74"/>
      </w:r>
      <w:r>
        <w:rPr>
          <w:rFonts w:ascii="IRNazanin" w:hAnsi="IRNazanin" w:eastAsia="IRNazanin"/>
          <w:color w:val="111111"/>
          <w:sz w:val="28"/>
          <w:sz w:val="28"/>
          <w:szCs w:val="28"/>
          <w:rtl w:val="true"/>
          <w:lang w:bidi="fa-IR"/>
        </w:rPr>
        <w:t xml:space="preserve">بود و به واسطة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زنون،</w:t>
      </w:r>
      <w:r>
        <w:rPr>
          <w:rStyle w:val="FootnoteAnchor"/>
          <w:rtl w:val="true"/>
        </w:rPr>
        <w:footnoteReference w:id="75"/>
      </w:r>
      <w:r>
        <w:rPr>
          <w:rFonts w:ascii="IRNazanin" w:hAnsi="IRNazanin" w:eastAsia="IRNazanin"/>
          <w:color w:val="111111"/>
          <w:sz w:val="28"/>
          <w:sz w:val="28"/>
          <w:szCs w:val="28"/>
          <w:rtl w:val="true"/>
          <w:lang w:bidi="fa-IR"/>
        </w:rPr>
        <w:t>به مسلک شکّ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شکّاک مطلق بود و هیچ‌گونه واقعیت و شناختی را قبول نداشت</w:t>
      </w:r>
      <w:r>
        <w:rPr>
          <w:rFonts w:eastAsia="IRNazanin" w:cs="IRNazanin"/>
          <w:color w:val="111111"/>
          <w:sz w:val="28"/>
          <w:szCs w:val="28"/>
          <w:rtl w:val="true"/>
          <w:lang w:bidi="fa-IR"/>
        </w:rPr>
        <w:t>.</w:t>
      </w:r>
      <w:r>
        <w:rPr>
          <w:rStyle w:val="FootnoteAnchor"/>
          <w:rtl w:val="true"/>
        </w:rPr>
        <w:footnoteReference w:id="76"/>
      </w:r>
      <w:bookmarkStart w:id="73" w:name="pg5678_50313"/>
    </w:p>
    <w:p>
      <w:pPr>
        <w:pStyle w:val="BookText"/>
        <w:rPr/>
      </w:pPr>
      <w:bookmarkEnd w:id="73"/>
      <w:r>
        <w:rPr>
          <w:rFonts w:ascii="IRNazanin" w:hAnsi="IRNazanin" w:eastAsia="IRNazanin"/>
          <w:color w:val="111111"/>
          <w:sz w:val="28"/>
          <w:sz w:val="28"/>
          <w:szCs w:val="28"/>
          <w:rtl w:val="true"/>
          <w:lang w:bidi="fa-IR"/>
        </w:rPr>
        <w:t>از گرگیاس، یک جملة سه‌بندی نقل شده است که بند نخست آن، انکار واقعیت و وجود، بند دوم آن، انکار شناخت و بند سومش، انکار توانایی زبان در انتقال مفاهیم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وجود ندارد و اگر چیزی هم وجود داشته باشد ممکن نیست شناخته شود و اگر شناختنی هم باشد، نمی‌توان این شناسایی را به دیگران منتقل کرد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74" w:name="__RefHeading___Toc3561791_581953129"/>
      <w:bookmarkStart w:id="75" w:name="_Toc27"/>
      <w:bookmarkEnd w:id="74"/>
      <w:r>
        <w:rPr>
          <w:rtl w:val="true"/>
        </w:rPr>
        <w:t>دیدگاه کاپلستون دربارة معرفت‌شناسی گرگیاس</w:t>
      </w:r>
      <w:bookmarkEnd w:id="75"/>
    </w:p>
    <w:p>
      <w:pPr>
        <w:pStyle w:val="BookText"/>
        <w:rPr/>
      </w:pPr>
      <w:r>
        <w:rPr>
          <w:rFonts w:ascii="IRNazanin" w:hAnsi="IRNazanin" w:eastAsia="IRNazanin"/>
          <w:color w:val="111111"/>
          <w:sz w:val="28"/>
          <w:sz w:val="28"/>
          <w:szCs w:val="28"/>
          <w:rtl w:val="true"/>
          <w:lang w:bidi="fa-IR"/>
        </w:rPr>
        <w:t>کاپلستون پس از نقل سخن مشهور گرگیاس و ادلّة او مبنی بر اینکه مراد وی واقعاً چه بوده، با حالت تردید رد می‌شود و می‌گوید، در حالی که می‌توان گفت، پروتاگوراس معتقد بود هر چیزی درست و حقیقی است، گرگیاس ضد آن را معتقد است و از نظر وی، هیچ‌چیز حقیقت نیست و هر عقیده‌ای، نادرست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کاپلستون پس از آنکه یادآوری می‌کند که برخی بند نخست جملة گرگیاس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هیچ‌انگاری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جدّی فلسفی دانسته‌اند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دیدگاه گمپرتس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یک شوخی از طرف گرگیاس قلمداد کرده‌اند که خواسته است، نشان دهد علم بلاغت یا مهارت در استعمال الفاظ حتی بی‌معناترین فرضیه‌ها را موجّه می‌نمایاند، می‌گوید، این نظریة اخیر با این حقیقت که پروتاگوراس عقاید گرگیاس را در کنار عقاید زنون و ملیسوس قرار می‌دهد و برخی سخنان او را قابل نقد فلسفی می‌دانند، سازگار نیست و از جهتی، نسبت دادن هیچ‌انگاری به گرگیاس نیز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چنین باشد که وی می‌خواست جدل الئائی را برای تنزّل دادن فلسفة الئائی به یاوه‌گویی به کار گیرد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کاپلستون روی به سخنانی می‌آورد که نزدیک به همان دیدگاهی است که گمپرتس آن را نپذیرفت و آن، این احتمال است که این سخن گرگیاس، یک سخن خطابی است نه یک گزارة فلسفی و معرفت‌شناختی؛ زیرا گرگیاس، در نهایت، فلسفه را ترک کرد و به فنّ خطابه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فنّ بلاغت و سخنوری به عنوان مهارت در هنرِ </w:t>
      </w:r>
      <w:bookmarkStart w:id="76" w:name="pg5678_50314"/>
    </w:p>
    <w:p>
      <w:pPr>
        <w:pStyle w:val="BookText"/>
        <w:rPr/>
      </w:pPr>
      <w:bookmarkEnd w:id="76"/>
      <w:r>
        <w:rPr>
          <w:rFonts w:ascii="IRNazanin" w:hAnsi="IRNazanin" w:eastAsia="IRNazanin"/>
          <w:color w:val="111111"/>
          <w:sz w:val="28"/>
          <w:sz w:val="28"/>
          <w:szCs w:val="28"/>
          <w:rtl w:val="true"/>
          <w:lang w:bidi="fa-IR"/>
        </w:rPr>
        <w:t>اقناع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قصد و اندیشه، هنر القای در ذهن را که می‌توانست هم برای غایت عملی، اعم از خوب و بد، و هم برای اغراض هنری به کار آید، پیشة خود ساخت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این نگرش، فنّ سخنوری، هنرِ فریبِ مصلحت‌آمیزی است که فوایدی عملی را به بار می‌آورد و نباید چندان در پی صحت و سقم معانی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آن جملة مشهور در چنین موقعیتی، از گرگیاس صادر شده باشد، مقصود وی اظهار یک واقعیت دربارة وجود و شناخت آن نیست، بلکه مرادش اثبات مهارت سخنور و قابلیت فنّ سخنوری در مجاب کردن دیگران و فائق آمدن در هرگونه بحث و جدل است؛ هرچند مدعی این باشد که وجود، وجود ندارد و لاوجود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پس از بیان این احتمالات متخالف دربارة دیدگاه معرفت شناختی گرگیاس، کاپلستون معتقد می‌شود سوفسطاییان بزرگی، مانند پروتاگوراس و گرگیاس را نمی‌توان به قصد براندازی دین و اخلاق متّهم کرد، بلکه تنها به انکار خصیصة مطلق و عینی حقیقت تمایل داشته‌اند که نتیجة آن، این است که سوفسطایی به جای تلاش برای قانع کردن کسی، می‌کوشد او را مجاب 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البته معنای این سخن کاپلستون، چیزی جز نسبی‌انگاری آنها در حوزة اخلاق و معرفت نیست</w:t>
      </w:r>
      <w:r>
        <w:rPr>
          <w:rFonts w:eastAsia="IRNazanin" w:cs="IRNazanin"/>
          <w:color w:val="111111"/>
          <w:sz w:val="28"/>
          <w:szCs w:val="28"/>
          <w:rtl w:val="true"/>
          <w:lang w:bidi="fa-IR"/>
        </w:rPr>
        <w:t>.</w:t>
      </w:r>
    </w:p>
    <w:p>
      <w:pPr>
        <w:pStyle w:val="Heading4"/>
        <w:numPr>
          <w:ilvl w:val="3"/>
          <w:numId w:val="1"/>
        </w:numPr>
        <w:rPr/>
      </w:pPr>
      <w:bookmarkStart w:id="77" w:name="__RefHeading___Toc3561793_581953129"/>
      <w:bookmarkStart w:id="78" w:name="_Toc28"/>
      <w:bookmarkEnd w:id="77"/>
      <w:r>
        <w:rPr>
          <w:rtl w:val="true"/>
        </w:rPr>
        <w:t>دیدگاه گمپرتس دربارة گرگیاس</w:t>
      </w:r>
      <w:bookmarkEnd w:id="78"/>
    </w:p>
    <w:p>
      <w:pPr>
        <w:pStyle w:val="BookText"/>
        <w:rPr/>
      </w:pPr>
      <w:r>
        <w:rPr>
          <w:rFonts w:ascii="IRNazanin" w:hAnsi="IRNazanin" w:eastAsia="IRNazanin"/>
          <w:color w:val="111111"/>
          <w:sz w:val="28"/>
          <w:sz w:val="28"/>
          <w:szCs w:val="28"/>
          <w:rtl w:val="true"/>
          <w:lang w:bidi="fa-IR"/>
        </w:rPr>
        <w:t>گمپرتس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گرگیاس، کوشیده است،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وجود ندارد، اگر هم وجود می‌داشت، شناختنی نبود؛ اگر وجود داشت و شناختنی هم بود، این شناخت قابل ابلاغ نمی‌بود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آنگاه دو دلیلی را که برای تز نخست گرگیاس بیان شده است، ذکر می‌کند که به سبب مربوط بودن به وجودشناسی، از ذکر آنها خودداری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گمپرتس دربارة تز دوم می‌گوید، هستة استدلال تز دوم را می‌توان بدین نحو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که موجود شناختنی باشد، باید تضمینی برای درستی شناخت وجود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تضمینی، نه در ادراک حسّی و نه در تصوّر و تفکّر وجود ندارد؛ زیرا کسان بسیاری، قابل اعتماد بودن ادراک حسّی را به شدّت رد کرده‌اند و از طرفی، همه قبول دارند که ما می‌توانیم تصوّرات و تفکّرات غلط داشته باشیم و شناخت غیر از این دو، راه دیگری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دربارة بند سوم جملة گرگیاس می‌گوید، در تز سوم نیز نکتة مهمی مربوط به معرفت‌شناسی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استدلال می‌شود که وسیلة اعلام، زبان است و با زبان تنها می‌توان الفاظ و علامات را ادا کرد و چیزهایی را که ماهیتی دیگر دارد، مثل رنگ، بو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اعلام کرد؛ همان گونه که با گوش نمی‌توان موضوع مربوط به باصره را درک یا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نهفته در این استدلال، این است که ما هرگز نمی‌توانیم یقین کنیم که ادراکهای اوّلیّة ما با ادراکهای اوّلیّة دیگران، کاملاً برابر است؛ زیرا راهی برای انتقال این ادراکها به دیگران و مقایسة آنها با ادراکهای دیگران وجود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گمپرتس در مقام قضاوت دربارة اینکه آیا واقعاً گرگیاس شکّاک بود یا نه، می‌گوید، هدف گرگیاس از این سخن، حمله بر فیلسوفان الئائی، به ویژه ملیسوس، است که می‌گفتند، اشیای محسوس، غیر واقعی است و آنچه واقعی و شناختنی است، ورای محسوسات است و شناخت آن بر پایه تفکّر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نمی‌خواهد بگوید، واقعاً موجود خارجی وجود ندارد و شناخت غیر ممکن است، بلکه می‌خواهد ناگفته‌های نظریة الئائیان را بیان کند و بگوید که طبق گفتة آنان، اگر موجود وجود ندارد، پس هیچ‌چیز نباید وجود داشته باشد و اگر ادراک حسّی، بی‌اعتبار است، شناخت فکری و تصوّری هم بی‌معناست و اگر شناخت حسّی را در زمرة فریب قرار دهید، دیگر چه راه اعتمادآوری باقی می‌ماند؛ پس بنا بر سخن آنان، چیزی لازم می‌آید که خود آنها نیز به آن پایبند نیستند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می‌توان گفت، گرگیاس به دفاع از استاد خود، امپدوکلس، برخاسته است؛ زیرا امپدوکلس به اعتبار گواهی ادراک حسّی قائل بود، اما فیلسوفان الئائی، همچون </w:t>
      </w:r>
      <w:bookmarkStart w:id="79" w:name="pg5678_50316"/>
    </w:p>
    <w:p>
      <w:pPr>
        <w:pStyle w:val="BookText"/>
        <w:rPr/>
      </w:pPr>
      <w:bookmarkEnd w:id="79"/>
      <w:r>
        <w:rPr>
          <w:rFonts w:ascii="IRNazanin" w:hAnsi="IRNazanin" w:eastAsia="IRNazanin"/>
          <w:color w:val="111111"/>
          <w:sz w:val="28"/>
          <w:sz w:val="28"/>
          <w:szCs w:val="28"/>
          <w:rtl w:val="true"/>
          <w:lang w:bidi="fa-IR"/>
        </w:rPr>
        <w:t>زنون و ملیسوس، این دیدگاه را به چشم حقارت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گرگیاس با این سخن و استدالهایش، بر آن شده است تا پیامدهای باطل نظریة الئائیان را به رخ آنان بکشد و از این طریق، از استاد خود دفاع کرده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گمپرتس برای این برداشت از سخن گرگیاس دو دلیل دارد؛ یکی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او و دیگری، کتابی از آثار گرگیاس دربارة فضائل زن و مرد؛ زیرا کسی که به نمایندگی از مردم سیسیل برای جذب کمک آتنیها برگزیده می‌شود، در باب فضیلت، قلم‌فرسایی می‌کند و فضائل خاصّ زن و مرد را بازگو می‌سازد،</w:t>
      </w:r>
      <w:r>
        <w:rPr>
          <w:rStyle w:val="FootnoteAnchor"/>
          <w:rtl w:val="true"/>
        </w:rPr>
        <w:footnoteReference w:id="88"/>
      </w:r>
      <w:r>
        <w:rPr>
          <w:rFonts w:ascii="IRNazanin" w:hAnsi="IRNazanin" w:eastAsia="IRNazanin"/>
          <w:color w:val="111111"/>
          <w:sz w:val="28"/>
          <w:sz w:val="28"/>
          <w:szCs w:val="28"/>
          <w:rtl w:val="true"/>
          <w:lang w:bidi="fa-IR"/>
        </w:rPr>
        <w:t>چگونه می‌تواند نسبت به حقیقت و شناخت شکّاک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دو دیدگاه مخالف دربارة موضع معرفت‌شناختی پروتاگوراس و گرگیاس، به عنوان دو نماد برجستة سوفسطاییان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نتیجه‌گیری از این دو دیدگاه می‌پردازیم</w:t>
      </w:r>
      <w:r>
        <w:rPr>
          <w:rFonts w:eastAsia="IRNazanin" w:cs="IRNazanin"/>
          <w:color w:val="111111"/>
          <w:sz w:val="28"/>
          <w:szCs w:val="28"/>
          <w:rtl w:val="true"/>
          <w:lang w:bidi="fa-IR"/>
        </w:rPr>
        <w:t>.</w:t>
      </w:r>
    </w:p>
    <w:p>
      <w:pPr>
        <w:pStyle w:val="Heading4"/>
        <w:numPr>
          <w:ilvl w:val="3"/>
          <w:numId w:val="1"/>
        </w:numPr>
        <w:rPr/>
      </w:pPr>
      <w:bookmarkStart w:id="80" w:name="__RefHeading___Toc3561795_581953129"/>
      <w:bookmarkStart w:id="81" w:name="_Toc29"/>
      <w:bookmarkEnd w:id="80"/>
      <w:r>
        <w:rPr>
          <w:rtl w:val="true"/>
        </w:rPr>
        <w:t>خاتمه</w:t>
      </w:r>
      <w:bookmarkEnd w:id="81"/>
    </w:p>
    <w:p>
      <w:pPr>
        <w:pStyle w:val="BookText"/>
        <w:rPr/>
      </w:pPr>
      <w:r>
        <w:rPr>
          <w:rFonts w:ascii="IRNazanin" w:hAnsi="IRNazanin" w:eastAsia="IRNazanin"/>
          <w:color w:val="111111"/>
          <w:sz w:val="28"/>
          <w:sz w:val="28"/>
          <w:szCs w:val="28"/>
          <w:rtl w:val="true"/>
          <w:lang w:bidi="fa-IR"/>
        </w:rPr>
        <w:t>حال با توجّه به آنچه گذشت، آیا باید پروتاگوراس و گرگیاس را شکّاک و نسبی‌انگار بدانیم یا خیر؟ در این زمینه، مشکلاتی را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این است که از این دو نمایندة تفکّر سوفسطاییگری، سخنان اندکی با معانی مخالف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احتمالات ضدّ و نقیض که از یک طرف، آنها را نسبی‌انگار محض یا منکر شناخت و معرفت معرفی می‌کند و از طرف دیگر، آنان را از طرفداران معرفت حسّی و مخالفان هراکلیتوس و زنون به شمار می‌آورد، چاره‌ای نیست جز آنکه به ترجمة افکار آنان در سخنان کسانی که به آنها نزدیک‌ترند، رجوع کنیم؛ به سخنان کسی همچون سقراط که افلاطون سخنگوی اوست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ترجمة سقراط نیز از آنچه بازگو می‌کند،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تقریر سوفیست در رسالة پروتاگوراس افلاطون کاملاً با آنچه در رساله‌های تئتتوس و سوفیست و گرگیاس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رسالة نخست، </w:t>
      </w:r>
    </w:p>
    <w:p>
      <w:pPr>
        <w:pStyle w:val="BookText"/>
        <w:rPr/>
      </w:pPr>
      <w:r>
        <w:rPr>
          <w:rFonts w:ascii="IRNazanin" w:hAnsi="IRNazanin" w:eastAsia="IRNazanin"/>
          <w:color w:val="111111"/>
          <w:sz w:val="28"/>
          <w:sz w:val="28"/>
          <w:szCs w:val="28"/>
          <w:rtl w:val="true"/>
          <w:lang w:bidi="fa-IR"/>
        </w:rPr>
        <w:t>پروتاگوراس، انسانی دانشمند و متعهّد به معرفت و سنّت معرفی می‌گردد و تنها چیزی که بر سوفیست خرده گرفته می‌شود، گرفتن دست‌مزد در مقابل تعلیم دانش به جوانان و دقّت نکردن در معانی کلمات و عدم تبحّر آنان در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رساله، سوفیست، انسانی دانا معرفی می‌گردد که آموزگار قابلیت انسانی است و این قابلیت، مشتمل بر معرفت و دانایی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پروتاگوراس دربارة دانش که یکی از اجزای قابلیت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برتر از همة نیروهای انسانی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مسلّم است که این تصویر و این سخنان، با شکّاکیّت و انکار معرفت، هیچ نسبتی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رسائل، پروتاگوراس نمایندة گروهی به نام سوفیست است که کاری جز فریب و نیرنگ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باب معرفت و اخلاق، نسبی‌انگار و بلکه منکر معرفت‌اند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تئتتوس، سقراط در مقام بیان عقیدة پروتاگوراس از زبان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عقیدة من، هیچ‌چیز حقیقت نیست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البته این سخن، تفسیری است که افلاطون از جملة معروف پروتاگوراس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سقراط می‌گوید، پروتاگوراس و پیروانش برآن‌اند که عدل، ظلم، دینداری و بی‌دینی وجود مستقل ندارد، بلکه هر پندار و عقیده‌ای که اعضای یک جامعه دربارة آنها داشته باشند، تا هنگامی که از آن برنگشته‌اند، عین حقیقت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رسالة سوفیست می‌گوید، پروتاگوراس کتابی داشته که در آن، روش رو کردن سخن هر استادی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صداقت پروتاگوراس در این کتاب تردید می‌کند و در نهایت، به این نتیجه می‌رسد که سوفیست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دروغین دارد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دو تصویر متفاوت از موضع معرفت‌شناختی سوفیست، کدام یک را باید به آنان نسبت داد؛ چراکه سوفیست بنا بر رسالة پروتاگوراس، طرفدار معرفت است، اما بنا بر رساله‌های تئتتوس، سوفیست و گرگیاس، منکر معرفت ثابت و به نسبیت معرفت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گمپرتس معتقد بود حق با رسالة پروتاگوراس است و باید واقعیت </w:t>
      </w:r>
    </w:p>
    <w:p>
      <w:pPr>
        <w:pStyle w:val="BookText"/>
        <w:rPr/>
      </w:pPr>
      <w:r>
        <w:rPr>
          <w:rFonts w:ascii="IRNazanin" w:hAnsi="IRNazanin" w:eastAsia="IRNazanin"/>
          <w:color w:val="111111"/>
          <w:sz w:val="28"/>
          <w:sz w:val="28"/>
          <w:szCs w:val="28"/>
          <w:rtl w:val="true"/>
          <w:lang w:bidi="fa-IR"/>
        </w:rPr>
        <w:t>را دربارة سوفیستهایی همچون پروتاگوراس و گرگیاس، در آثار دوران جوانی افلاطون جست‌وجو کنیم و اندک جمله‌های باقی‌مانده از آنها را طبق این رساله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گمپرتس، آنچه در رساله‌های دوران پختگی افلاطون، نظیر تئتتوس و سوفیست آمده است، شبحی از پروتاگوراس و سوفیست است که مرغ خیال افلاطون از لبة آن، بر عالم مُثُل پر می‌کشد و نقد افکار آنان را نردبانی برای برآمدن بر قلّة معرفت ثابت و عالم عقول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 تفسیر گمپرتس این است که این تفسیر بر خلاف ظاهر کلام به جای مانده از دو نمایندة بزرگ سوفیست است، به ویژه سخن گرگیاس که صریح در انکار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دیگری که برای دفع این دوگانگی و تعیین موضع معرفت‌شناختی سوفیستهایی همچون پروتاگوراس و گرگیاس می‌توان گفت، این است که ظاهراً این دوگانگی، در زندگی و افکار خود سوفیستها ریشه دارد؛ بدین معنا که افلاطون در رسالة پروتاگوراس به بُعد عملی و در دو رسالة تئتتوس و سوفیست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مکالمة گرگیاس را نیز می‌توان در زمرة این رساله‌ها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نظری زندگی سوفیست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سوفیست مانند پروتاگوراس، در بُعد نظری، نسبی‌انگار است، ولی در بُعد عملی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 ممکن است ادّعا کند که معلوم نیست این خانه‌ای که در آن بسر می‌برد، هیچ دری ندارد، ولی هیچ‌گاه اتفاق نمی‌افتد که برای خروج از خانه به طرف دیواری برود که در آن 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اعتقاد دینی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پروتاگوراس ممکن است ادّعا کند که ما نمی‌توانیم بدانیم خدایان هستند یا نیستند، ولی در عین حال، در محیط اجتماع مؤمنانه زندگی کند و زندگی عملی داشته باشد و برای اثبات استحقاق خود در گرفتن دست‌مزد، شاگردانش را به معبد دلفی بفرستد تا به کافی بودن دست‌مزد او سوگند یاد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سوفیست در مقام تحلیل اخلاق و ارزشهای اخلاقی، ممکن است به این نتیجه برسد که اخلاق، امری نسبی است و با سخنوری بتواند خوب را بد و بد را خوب جلوه دهد، ولی این، مانع آن نیست که در زندگی عملی به اخلاقیات پایبند باشد و حتی خود را معلّم اخلاق و فضیلت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نیازی نیست افلاطون را در رساله‌های آخر عمر به خیال‌بافی و عدم امانت‌داری متّهم کنیم، بلکه او در همة رساله‌هایش، صرفاً یک راوی است؛ در برخی از رساله‌ها، راوی زندگی عملی یک سوفیست و در برخی دیگر، </w:t>
      </w:r>
    </w:p>
    <w:p>
      <w:pPr>
        <w:pStyle w:val="BookText"/>
        <w:rPr/>
      </w:pPr>
      <w:r>
        <w:rPr>
          <w:rFonts w:ascii="IRNazanin" w:hAnsi="IRNazanin" w:eastAsia="IRNazanin"/>
          <w:color w:val="111111"/>
          <w:sz w:val="28"/>
          <w:sz w:val="28"/>
          <w:szCs w:val="28"/>
          <w:rtl w:val="true"/>
          <w:lang w:bidi="fa-IR"/>
        </w:rPr>
        <w:t>راوی ابعاد اندیشة سوفیستی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که در دفع تناقض از موضع معرفت‌شناختی سوفیستها می‌توان گفت، این است که این دوگانگی نمودارشده در آثار افلاطون، به جریان سیال تاریخ مربوط است که طی آن، اندیشه‌ها رشد می‌کند و نتایج تلخ و شیرین آنها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رسالة پروتاگوراس، با یک سوفیست مواجه است که آغازگر یک تفکّر است؛ تفکّری که در شرف پیدایش است و نتایج مبانی آن معلوم نیست؛ چراکه در مرحلة پیدایش یک اندیشه، بسیار اتّفاق می‌افتد که مؤسس آن، از برخی پیامدهای مهمش بی‌خبر باشد، اما با گذشت زمان، در اثر نقد و ابرامها پخته می‌شود و سپس نتایج آن، کامی را شیرین یا ذائقه‌ای را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 مرحله‌ای است که در رساله‌های تئتتوس و سوفیست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پروتاگوراس سخنانی گفته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بذر نوعی خاص از تفکّر را در اندیشة شاگردان فراوانش پراکنده است و آنها نیز خود رفته‌اند، اما درخت اندیشة او را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فیلسوفانی همچون سقراط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تفکّر به اندازه‌ای نفوذ داشته که فیلسوفان طرفدار معرفت را در بازار اندیشه در تنگنا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افلاطون به ناچار برای دفاع از معرفت بپا خاست تا ایرادها و نقضهای گفته‌های سوفسطاییان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راه، نه تنها از منطق و استدلال بهره برد، بلکه به تناسب مقام، از حربه‌هایی چون ریشخند و استهزا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سهولت بهتر است بین دو واژة سوفیست و سوفسطایی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 کسی است که خود به دنبال معرفت است و آموختن دانشهای گوناگون را وجهة همّت خویش قرار داده است، اما بذر شکّاکیت و نسبی‌انگاری در افکار او ریشه دارد؛ هرچند آرایی به سود معرفت نیز در سخنان او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سوفسطایی کسی است که میوة شکّاکیت و نسبی‌انگاری در معرفت را از افکار سوفیست چیده و به پیامدهای چنین تفکّری ملتزم شده است و آن را همچون حربه‌ای سهمگین در قلع و قمع هرگونه معرفت به کار می‌گیرد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بین این دو،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مقدّمه گذشت، حکیمان پیش از سقراط و افلاطون،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و در رسالة پروتاگوراس نیز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اما بعد از رویارویی سقراط با اندیشة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نسبی‌انگارانه و شکّاکیت، معنایی منفی یافت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سوفیست در این معنا، صرفاً با استفاده از از زبان‌آوری و به تعبیر سقراط، صفت چاپلوسی و نه فنّ سخنوری،</w:t>
      </w:r>
      <w:r>
        <w:rPr>
          <w:rStyle w:val="FootnoteAnchor"/>
          <w:rtl w:val="true"/>
        </w:rPr>
        <w:footnoteReference w:id="93"/>
      </w:r>
      <w:r>
        <w:rPr>
          <w:rFonts w:ascii="IRNazanin" w:hAnsi="IRNazanin" w:eastAsia="IRNazanin"/>
          <w:color w:val="111111"/>
          <w:sz w:val="28"/>
          <w:sz w:val="28"/>
          <w:szCs w:val="28"/>
          <w:rtl w:val="true"/>
          <w:lang w:bidi="fa-IR"/>
        </w:rPr>
        <w:t>می‌کوشد برای هر سخنی، سخنی در مقابل آن بیاورد و حقیقت را واژگونه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موضع معرفت‌شناختی آنان، شکّاکیت، نسبی‌انگاری و عدم امکان معرفت است و گاهی هم به مرحلة انکار معرفت رسیده‌اند</w:t>
      </w:r>
      <w:r>
        <w:rPr>
          <w:rFonts w:eastAsia="IRNazanin" w:cs="IRNazanin"/>
          <w:color w:val="111111"/>
          <w:sz w:val="28"/>
          <w:szCs w:val="28"/>
          <w:rtl w:val="true"/>
          <w:lang w:bidi="fa-IR"/>
        </w:rPr>
        <w:t xml:space="preserve">. </w:t>
      </w:r>
      <w:bookmarkStart w:id="82" w:name="pg5678_50321"/>
    </w:p>
    <w:p>
      <w:pPr>
        <w:pStyle w:val="Heading2"/>
        <w:numPr>
          <w:ilvl w:val="1"/>
          <w:numId w:val="1"/>
        </w:numPr>
        <w:rPr/>
      </w:pPr>
      <w:bookmarkStart w:id="83" w:name="__RefHeading___Toc3561797_581953129"/>
      <w:bookmarkStart w:id="84" w:name="_Toc30"/>
      <w:bookmarkEnd w:id="82"/>
      <w:bookmarkEnd w:id="83"/>
      <w:r>
        <w:rPr>
          <w:rtl w:val="true"/>
        </w:rPr>
        <w:t>معرفت‌شناسی از دیدگاه افلاطون</w:t>
      </w:r>
      <w:bookmarkEnd w:id="84"/>
    </w:p>
    <w:p>
      <w:pPr>
        <w:pStyle w:val="Heading3"/>
        <w:numPr>
          <w:ilvl w:val="2"/>
          <w:numId w:val="1"/>
        </w:numPr>
        <w:rPr/>
      </w:pPr>
      <w:bookmarkStart w:id="85" w:name="__RefHeading___Toc3561799_581953129"/>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محمداسحاق عارفی</w:t>
      </w:r>
    </w:p>
    <w:p>
      <w:pPr>
        <w:pStyle w:val="Heading3"/>
        <w:numPr>
          <w:ilvl w:val="2"/>
          <w:numId w:val="1"/>
        </w:numPr>
        <w:rPr/>
      </w:pPr>
      <w:bookmarkStart w:id="87" w:name="__RefHeading___Toc3561801_581953129"/>
      <w:bookmarkStart w:id="88" w:name="_Toc32"/>
      <w:bookmarkEnd w:id="87"/>
      <w:r>
        <w:rPr>
          <w:rtl w:val="true"/>
        </w:rPr>
        <w:t>مقدّمه</w:t>
      </w:r>
      <w:bookmarkEnd w:id="88"/>
    </w:p>
    <w:p>
      <w:pPr>
        <w:pStyle w:val="BookText"/>
        <w:rPr/>
      </w:pPr>
      <w:r>
        <w:rPr>
          <w:rFonts w:ascii="IRNazanin" w:hAnsi="IRNazanin" w:eastAsia="IRNazanin"/>
          <w:color w:val="111111"/>
          <w:sz w:val="28"/>
          <w:sz w:val="28"/>
          <w:szCs w:val="28"/>
          <w:rtl w:val="true"/>
          <w:lang w:bidi="fa-IR"/>
        </w:rPr>
        <w:t>روح حقیقت‌جویی انسان، همواره عطش شناخت را در اعماق وجود خود احساس می‌کند و مسائلی بنیادین برایش مطرح می‌شود که پاسخ دادن به آنها ضروری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عالم چیست؟ ریشة هستی را در کجا باید جست‌وجو کرد؟ آیا مبدأ عالم واحد است یا کثیر؟ آیا عالم، هدف و غایتی دارد؟ ارتباط انسان با عالم هستی چگونه است؟ سعادت و شقاوت آدمی در 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بی‌گمان، قبل از پاسخ دادن به پرسشهای مزبور، دو سؤال اساسی‌تر دیگر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ذهن و درک بشر، توانایی حلّ مسائل یادشده را دارد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می‌تواند به واقعیات و حقایق، آن گونه که وجود دارد، دست یابد یا خیر؟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 باید ذهن و درک انسان را خوب شناخت و از ویژگیها و عملکرد آن کاملاً آگاه شد، در غیر این صورت و در صورت بی‌اطلاعی از قوانین حاکم بر آن، در تمام علوم و آگاهیها دچار اشتباه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ذهن،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می‌شود؛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ارزش افکار فلسفی و علمی انسان می‌باشد؛ بنابراین، تا این مسائل روشن نگردد، نه تنها ارزش آن، بلکه ارزش هیچ مکتب </w:t>
      </w:r>
    </w:p>
    <w:p>
      <w:pPr>
        <w:pStyle w:val="BookText"/>
        <w:rPr/>
      </w:pPr>
      <w:r>
        <w:rPr>
          <w:rFonts w:ascii="IRNazanin" w:hAnsi="IRNazanin" w:eastAsia="IRNazanin"/>
          <w:color w:val="111111"/>
          <w:sz w:val="28"/>
          <w:sz w:val="28"/>
          <w:szCs w:val="28"/>
          <w:rtl w:val="true"/>
          <w:lang w:bidi="fa-IR"/>
        </w:rPr>
        <w:t>فلسفی یا علمی دیگری نیز 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فلاسفة یونان باستان از نخستین کسانی‌اند که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ویژه‌ای را در این باب ایفا کرده و مسائل متعدّدی را تحقیق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دیدگاه این فیلسوف بزرگ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می‌توان گفت، افلاطون، مسائل مهمی را در باب معرفت‌شناسی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معرفت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باب معرفت‌شناسی که در جهان، به ویژه غرب، مطرح است، از این فیلسوف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عمده‌ای که افلاطون به آن پرداخته و در این جستار بررسی می‌شود،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حصول معرفت برای آدمی امکان‌پذیر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حصول معرفت، چه مقداری از ادراکات انسان معرفت به شمار می‌رود و حدّ و مرز آن کجاست؟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به دست آوردن معرفت چیست؛ آیا از راه آموختن باید آن را به دست آورد یا آموختن آن ممکن نیست و باید راه دیگری را در پیش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معرفت‌شناسی با هستی‌شناسی و جهان‌بینی چه رابطه‌ای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رابطة باور صحیح با معرفت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باور صادق با معرفت چگونه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باور صحیح با باور صادق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باور صحیح و باور صادق، هر دو، یکی است یا نه؟</w:t>
      </w:r>
    </w:p>
    <w:p>
      <w:pPr>
        <w:pStyle w:val="BookText"/>
        <w:rPr/>
      </w:pPr>
      <w:r>
        <w:rPr>
          <w:rFonts w:ascii="IRNazanin" w:hAnsi="IRNazanin" w:eastAsia="IRNazanin"/>
          <w:color w:val="111111"/>
          <w:sz w:val="28"/>
          <w:sz w:val="28"/>
          <w:szCs w:val="28"/>
          <w:rtl w:val="true"/>
          <w:lang w:bidi="fa-IR"/>
        </w:rPr>
        <w:t>برای دست‌یابی به پاسخ پرسشهای یادشده، بررسی مباحث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ثبوتی و سلبی معرفت؛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 استحاله آموختن معرفت؛ </w:t>
      </w:r>
      <w:bookmarkStart w:id="89" w:name="pg5678_50323"/>
    </w:p>
    <w:p>
      <w:pPr>
        <w:pStyle w:val="BookText"/>
        <w:rPr/>
      </w:pPr>
      <w:bookmarkEnd w:id="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نظام هستی و معرفت و ارتباط میان آن دو؛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معرفت؛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اشکالات وارد شده بر نظریة افلاطون در باب معرفت‌شناسی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در این نوشتار، برای بررسی معرفت‌شناسی افلاطون، توجّه اصلی به کتابها و رساله‌های او معطوف است و مراجعه به کتابهای دیگر، صرفاً برای نقد و بررسی برخی اشکالات وارد بر دیدگاه افلاطون یا توضیح برخی عبارتها و اصطلاحات وی است؛ بنابراین، زیادی منابع در این جستار جایگاه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هر دیدگاهی دربارة یک شیء، از جمله دیدگاه افلاطون در باب معرفت‌شناسی، از دو جنبة ثبوتی و سلبی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باب معرفت‌شناسی، در هیچ‌یک از محاورات خود، با بیانی منظم و منسجم سخن نگفته است؛ به عبارت دیگر، افلاطون معرفت‌شناسی را با ترتیب منطقی آن در یک جا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رسالة تئتتوس به مباحث معرفت پرداخته و صرفاً جنبة سلبی آن را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در ضمن مباحث فلسفة سیاسی به جنبة اثباتی معرفت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منون بحثِ یادآوری را مطرح کرده و در رساله‌های اتوفرون، فایدون و برخی از رساله‌های دیگر، هم جنبة سلبی معرفت و هم مسائل دیگر را مطرح کرده است؛ از این رو خلاصه کردن معرفت‌شناسی افلاطون و ارائه آن به صورت یک مجموعة منظم، کاری دشوار و پیچیده است؛ به هر حال، کوشیده‌ایم مباحث معرفت‌شناسی افلاطون را به صورت مجموعه‌ای منظم بیان کنیم</w:t>
      </w:r>
      <w:r>
        <w:rPr>
          <w:rFonts w:eastAsia="IRNazanin" w:cs="IRNazanin"/>
          <w:color w:val="111111"/>
          <w:sz w:val="28"/>
          <w:szCs w:val="28"/>
          <w:rtl w:val="true"/>
          <w:lang w:bidi="fa-IR"/>
        </w:rPr>
        <w:t>.</w:t>
      </w:r>
    </w:p>
    <w:p>
      <w:pPr>
        <w:pStyle w:val="Heading3"/>
        <w:numPr>
          <w:ilvl w:val="2"/>
          <w:numId w:val="1"/>
        </w:numPr>
        <w:rPr/>
      </w:pPr>
      <w:bookmarkStart w:id="90" w:name="__RefHeading___Toc3561803_581953129"/>
      <w:bookmarkStart w:id="91" w:name="_Toc33"/>
      <w:bookmarkEnd w:id="90"/>
      <w:r>
        <w:rPr>
          <w:rtl w:val="true"/>
        </w:rPr>
        <w:t>جنبة ثبوتی معرفت از دیدگاه افلاطون</w:t>
      </w:r>
      <w:bookmarkEnd w:id="91"/>
    </w:p>
    <w:p>
      <w:pPr>
        <w:pStyle w:val="BookText"/>
        <w:rPr/>
      </w:pPr>
      <w:r>
        <w:rPr>
          <w:rFonts w:ascii="IRNazanin" w:hAnsi="IRNazanin" w:eastAsia="IRNazanin"/>
          <w:color w:val="111111"/>
          <w:sz w:val="28"/>
          <w:sz w:val="28"/>
          <w:szCs w:val="28"/>
          <w:rtl w:val="true"/>
          <w:lang w:bidi="fa-IR"/>
        </w:rPr>
        <w:t xml:space="preserve">جنبة ثبوتی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ویژگیهای مثبت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مسئله‌ای است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پس از مفروض گرفتن امکان حصول معرفت، ویژگیهای متعدّدی را برای آن در نظر گرفته است، ولی آنها را به صورت منظم ذکر نکرده است، بلکه به صورت پراکنده و در مناسبتهای مختلف، هر یک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ویژگیهای معرفت از دیدگاه وی را می‌توان به صورت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هستی‌ها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معرفت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نیستی‌ها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موارد متعدّد، به این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رسالة جمهوری، کتاب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هر سو بنگریم، بدین نتیجه خواهیم رسید که چیزی که کاملاً هست، کاملاً قابل شناسایی خواهد بود، ولی آنچه به هیچ‌وجه نیست، به هیچ روی شناختی</w:t>
      </w:r>
      <w:r>
        <w:rPr>
          <w:rStyle w:val="FootnoteAnchor"/>
          <w:rtl w:val="true"/>
        </w:rPr>
        <w:footnoteReference w:id="96"/>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همو در جایی دیگر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خاصیتش این است که چیزی را که هست، بشناسد؟</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معرفت، باید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صائر و در عین حال 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بر این ویژگی، تأکید فراوان داشته و در مواضع متعدّدی، از جمله رسالة تئتتوس، آن را مطرح کرده و با ادلّة گوناگون، آن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در این باره را می‌توان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صائر و در حال سیلان، جزء موجودات و هستی‌ها نیست، در حالی که معرفت دربارة هست‌هاست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معرفت، امر صائر باشد، باید با تغییر متعلّق، معرفت نیز تغییر کند؛ در حالی که این‌گونه دگرگونی در توان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دگرگونی مزبور، در توان انسان باشد، به مجرّد اظهار متعلّق، معرفت، تغییر یافته، مطابق با واقع نخواهد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با توجّه به مطالب یادشده، این پرسش مطرح می‌شود که اگر امر صائر، در زمرة هستی‌ها قرار ندارد، آیا به وادی نیستی‌ها پیوسته است، یا واسطه‌ای بین این دو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آخر کتاب پنجم جمهوری، پس از بررسی مطلب مزبور، سرانجام به این </w:t>
      </w:r>
      <w:bookmarkStart w:id="92" w:name="pg5678_50325"/>
    </w:p>
    <w:p>
      <w:pPr>
        <w:pStyle w:val="BookText"/>
        <w:rPr/>
      </w:pPr>
      <w:bookmarkEnd w:id="92"/>
      <w:r>
        <w:rPr>
          <w:rFonts w:ascii="IRNazanin" w:hAnsi="IRNazanin" w:eastAsia="IRNazanin"/>
          <w:color w:val="111111"/>
          <w:sz w:val="28"/>
          <w:sz w:val="28"/>
          <w:szCs w:val="28"/>
          <w:rtl w:val="true"/>
          <w:lang w:bidi="fa-IR"/>
        </w:rPr>
        <w:t xml:space="preserve">نتیجه رسیده است که امر صائر و در حال سیلان، نه در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واسطه‌ای بین این دوست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باید همراه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مستدل و موجّه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بر این باور است که صرف رسیدن به پاسخ درست یک مسئله، معرفت نیست، بلکه ممکن است صرفاً در حکم باور صادق باشد، ولی لازمة معرفت، ارائة ادلّه‌ای است که پاسخ بر آنها مبتنی باشد و ماهیّت متعلَّق شناسایی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رسالة جمهوری، کتاب هفتم،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روش فراگیری معرفت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نتواند ماهیّت چیزی را برای خود و دیگران با استدلال روشن کند، آن کس دربارة آن چیز، 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کار، دربارة ایدة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است؛ یعنی اگر کسی قادر نباشد،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نماید و حدود آن را از مفاهیم دیگر مجزا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گفت که او نه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می‌شناسد و نه می‌داند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باید صادق و خطاناپذیر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مناسبتهای مختلف به این امر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وی پس از بررسی تعریف فیلسوف در رسالة جمهوری، کتاب پنجم، چنین است که کسی که شبیه چیزی را خودِ آن چیز پندارد، آن کس در خواب و فعالیّت درونیش،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کسی که خودِ شیء را کما هو درک کند، آن کس بیدار و فعالیّت درونیش،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
      </w:r>
      <w:r>
        <w:rPr>
          <w:rFonts w:ascii="IRNazanin" w:hAnsi="IRNazanin" w:eastAsia="IRNazanin"/>
          <w:color w:val="111111"/>
          <w:sz w:val="28"/>
          <w:sz w:val="28"/>
          <w:szCs w:val="28"/>
          <w:rtl w:val="true"/>
          <w:lang w:bidi="fa-IR"/>
        </w:rPr>
        <w:t xml:space="preserve">به عبارت دیگر، کسی که بتواند ماهیّت راستین چیزی را دریابد،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کسی که نتواند ماهیّت چیزی را درک کند و آن را مستدل سازد،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93" w:name="__RefHeading___Toc3561805_581953129"/>
      <w:bookmarkStart w:id="94" w:name="_Toc34"/>
      <w:bookmarkEnd w:id="93"/>
      <w:r>
        <w:rPr>
          <w:rtl w:val="true"/>
        </w:rPr>
        <w:t>جنبة سلبی معرفت از دیدگاه افلاطون</w:t>
      </w:r>
      <w:bookmarkEnd w:id="94"/>
    </w:p>
    <w:p>
      <w:pPr>
        <w:pStyle w:val="Heading4"/>
        <w:numPr>
          <w:ilvl w:val="3"/>
          <w:numId w:val="1"/>
        </w:numPr>
        <w:rPr/>
      </w:pPr>
      <w:bookmarkStart w:id="95" w:name="__RefHeading___Toc3561807_581953129"/>
      <w:bookmarkStart w:id="96" w:name="_Toc35"/>
      <w:bookmarkEnd w:id="95"/>
      <w:r>
        <w:rPr>
          <w:rtl w:val="true"/>
        </w:rPr>
        <w:t>اشاره</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جنبة سلبی معرفت، یعنی حدود و مرزهایی که معرفت را از سایر ادراکها جدا می‌کند، مسائل زیر مطرح است</w:t>
      </w:r>
      <w:r>
        <w:rPr>
          <w:rFonts w:eastAsia="IRNazanin" w:cs="IRNazanin"/>
          <w:color w:val="111111"/>
          <w:sz w:val="28"/>
          <w:szCs w:val="28"/>
          <w:rtl w:val="true"/>
          <w:lang w:bidi="fa-IR"/>
        </w:rPr>
        <w:t xml:space="preserve">: </w:t>
      </w:r>
      <w:bookmarkStart w:id="97" w:name="pg5678_50326"/>
    </w:p>
    <w:p>
      <w:pPr>
        <w:pStyle w:val="Heading4"/>
        <w:numPr>
          <w:ilvl w:val="3"/>
          <w:numId w:val="1"/>
        </w:numPr>
        <w:rPr/>
      </w:pPr>
      <w:bookmarkStart w:id="98" w:name="__RefHeading___Toc3561809_581953129"/>
      <w:bookmarkStart w:id="99" w:name="_Toc36"/>
      <w:bookmarkEnd w:id="97"/>
      <w:bookmarkEnd w:id="98"/>
      <w:r>
        <w:rPr/>
        <w:t>1</w:t>
      </w:r>
      <w:r>
        <w:rPr>
          <w:rtl w:val="true"/>
        </w:rPr>
        <w:t xml:space="preserve">. </w:t>
      </w:r>
      <w:r>
        <w:rPr>
          <w:rtl w:val="true"/>
        </w:rPr>
        <w:t>معرفت، ادراک حسّی نیست</w:t>
      </w:r>
      <w:bookmarkEnd w:id="99"/>
    </w:p>
    <w:p>
      <w:pPr>
        <w:pStyle w:val="BookText"/>
        <w:rPr/>
      </w:pPr>
      <w:r>
        <w:rPr>
          <w:rFonts w:ascii="IRNazanin" w:hAnsi="IRNazanin" w:eastAsia="IRNazanin"/>
          <w:color w:val="111111"/>
          <w:sz w:val="28"/>
          <w:sz w:val="28"/>
          <w:szCs w:val="28"/>
          <w:rtl w:val="true"/>
          <w:lang w:bidi="fa-IR"/>
        </w:rPr>
        <w:t>افلاطون با این مطلب، نظر سوفسطاییان، به ویژه پروتاگوراس را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پروتاگوراس معتقد بود معرفت با ادراک حسّی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 از زبان افلاطون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مقیاس همه‌چیز است؛ مقیاس هستی آنچه هست و چگونه است، مقیاس نیستی آنچه نیست و 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چیز برای من چنان است که بر من نمودار می‌شود و برای تو چنان است که بر تو نمودار می‌گردد؛ زیرا من و تو هر دو آدمی هستیم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افلاطون دیدگاه پروتاگوراس را در رساله تئتتوس به تفصیل مورد بحث قرار داده و با بیانهای مختلف، آن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 به طور کلّی، دو گونه بیان می‌شود؛ در برخی موارد، تساوی معرفت را با ادراک حسّی مردود دانسته است و در برخی دیگر، اثبات کرده است که ادراک حسّی نه تنها با معرفت مساوی نیست، بلکه اساساً ادراک حسّی معرفت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 هر یک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ممکن نیست با ادراک حسّی مساوی باشد؛ زیرا لازمة انحصار معرفت در ادراک حسّی، معرفت نبودن یادآوریِ امرِ محسوس است؛ برای مثال، اگر کسی چهرة طرف را دید، سپس چند لحظه، چشم خود را بسته، چهرة او را در ذهن خود مجسّم کرد، باید نسبت به چهرة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چون مسلّم است که در این زمان، ادراک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تفاعل حس با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باید در طی مدّت یادشده، معرفت محقّق نباشد؛ در حالی که بی‌گمان، معرفت در اینجا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این دلیل را در تئتتوس از زبان سقراط به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تئتتوس جوان، دانشجوی ریاضی، اعتراف می‌گیرد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نتیجة انحصار معرفت به ادراک حسّی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کسی که چیزی را شناخته است، چون آن را به یاد بیاورد، نمی‌تواند بشناسد؛ چون آن را نمی‌بیند و حال آنکه گفتیم چنین چیزی ممکن نیست و هیچ کسی نمی‌تواند چنین سخنی بگوید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با ادراک حسّی مساوی باشد، باید امور غیر محسوس شناختنی نباشد؛ در </w:t>
      </w:r>
    </w:p>
    <w:p>
      <w:pPr>
        <w:pStyle w:val="BookText"/>
        <w:rPr/>
      </w:pPr>
      <w:r>
        <w:rPr>
          <w:rFonts w:ascii="IRNazanin" w:hAnsi="IRNazanin" w:eastAsia="IRNazanin"/>
          <w:color w:val="111111"/>
          <w:sz w:val="28"/>
          <w:sz w:val="28"/>
          <w:szCs w:val="28"/>
          <w:rtl w:val="true"/>
          <w:lang w:bidi="fa-IR"/>
        </w:rPr>
        <w:t>حالی که انسان اموری را می‌داند که از حسّ به دست نیامده است؛ پس معرفت با ادراک حسّی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برای توضیح این دلیل، جنبة کلّی اشیا را یادآور می‌شود؛ به گونه‌ای که جنبة کلّی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هستی، نیستی، همانندی، ناهمانندی، وحدت، کثرت، فردی، زوجی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شناختنی است، ولی در عین حال، هیچ یک از این امور، محسوس نبوده، با آلات حس ادراک‌شدنی نیست؛ پس نباید معرفت را با ادراک حسّی مساوی دانست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با ادراک حسّی مساوی باشد، باید هیچ‌کسی از دیگری داناتر نباشد؛ چون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مقیاس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حسّی هرکس، برایش عین حقیقت خواهد بود؛ بنابراین، چون هر انسانی دارای ادراک حسّی است، کسی از کسی دیگر عالم‌تر نخواهد بود، حال آنکه بطلان این مطلب ناگفته پیداست؛ زیرا بی‌گمان، در هر فنّی، برخی از برخی دیگر داناترند و نیز در هر یک از فنون، یک نفر از دیگران داناتر است؛ پس معرفت با ادراک حسّی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دلیل را در رسالة تئتتوس با بیانهای گوناگون ذکر کرده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با ادراک حسّی مساوی باشد، حقیقت نسبی خواهد شد، لکن نسبی بودنِ حقیقت باطل است؛ پس تساوی معرفت با ادراک حسّی نیز ابطال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تمامیّت این دلیل بر اثباتِ ملازمه و بطلانِ لازم،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مقام بیان ملازمه، نه تنها از نسبی بودن نسبت به اشخاص سخن می‌گوید، بلکه نسبی بودن نسبت به شخص واحد در اوضاع مختلف را نیز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تئتتوس از زبان سقراط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بگوییم، یک چیز به چشم تو نیز همیشه یکسان نمودار نمی‌شود؛ چون تو نیز همواره همان، نیستی و حالت، همیشه به یک منوال نمی‌ماند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طبق این بیان، شخص واحد از شیء واحد در اوضاع مختلف، ادراکهای گوناگون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ادراک حسّی با معرفت مساوی است، بیانگر حقیقت خواهد بود؛ پس حقیقت، نسبت به شخص واحد نیز نسبی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لازم از دو جهت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نسبیت حقایق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تمام حقایق، نسبی باشد، پس این سخن سوفسطاییان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نسبی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خطا نرفته است؛ چون حقیقت نسبی و عقیدة هرکس، حقیقت خواهد بود؛ پس ایدة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گفتار افلاطون از زبان سقراط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 بیندیشی، خواهی دید که پروتاگوراس با سخن خود، درستی عقیدة مخالفان را تصدیق می‌کند؛ چون مدّعی است که تصوّر و عقیدة هر کس، حقیقت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برخی بر این دلیل افلاطون اشکال گرفته و آن را مخدوش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قضیه با محکیِ آن ارتباط دارد، اگر مطابق با محکی باشد، صادق و در غیر این صورت،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خود قضیه ممکن نیست محکیِ خودش باشد و دربارة خودش حرف بزند؛ زیرا اتّحاد حاکی و محکی معقول نیست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پاسخ باید گفت، به نظر می‌رسد این اشکال، پذیرفتنی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 فرض که قضیة مربوط به دلالت لفظی، شامل خودش شود، این شمولیّت، با تنقیح مناط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بنا بر باور پروتاگوراس که حقیقت نسبی و عقیدة هر کس به نوبة خود، حقیقت است و با واقع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خطا نرفته‌اند و اعتقادشان بیانگر واقع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به ادراک حسّی منحصر باشد، آدمی از حیث دانایی با جانوران مساوی خواهد بود؛ زیرا جانوران نیز مانند انسانها ادراک حسّی دارند؛ پس از حیث ادراک باید مانند انسان باشند، در حالی که بطلان این مطلب آشکار است؛ بنابراین، تساوی معرفت با ادراک حسّی نیز باطل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بالاتر از بطلان تساوی معرفت با ادراک حسّی، این است که نه تنها معرفت با ادراک حسّی مساوی نیست، بلکه اساساً ادراک حسّی، معرفت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دلیل این ادّعا را در قالب قیاس منطقی، می‌توان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محسوسات، متغیر و در حال سیلان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متغیّری ممکن نیست متعلّق معرفت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محسوسات ممکن نیست متعلّق معرفت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قیاس، آن است که ادراک حسّی، معرفت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مقدّمة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رسالة تئتتوس به تفصیل بررسی کرده و به این نتیجه رسیده است که هر محسوسی، در حال تغییر و دگرگونی است، لکن برخی از محسوسات، تنها تغییر و حرکت کیفی دارد و از حالی به حال دیگر تبدیل می‌شود و پاره‌ای دیگر از محسوسات، هم حرکت مکانی و هم حرکتی کیفی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بررسی بیشتر نتیجه می‌گیرد که در همة محسوسات، هر دو نوع حرکت و تغییر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چیزها هر دو نوع جنبش را دارند؛ یعنی هم جای خود را تغییر می‌دهند و هم دگرگون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فقط جای خود را تغییر می‌داد و خود دگرگون نمی‌شد، می‌توانستیم بگوییم که آنچه جای خود را تغییر می‌دهد،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چون چیزها از حیث چگونگی هم ثبات و قراری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به آنها نامی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مقدّمة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متغیّر ممکن نیست متعلّق معرفت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قبل به تفصیل بررسی شد و به این نتیجه رسیدیم که متعلّق معرفت باید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امر صائر و در حال تغییر، هرگز ممکن نیست متعلّق معرفت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اثبات این دو مقدّمه، آن است که ادراک حسّی اساساً معرفت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حسّی معرفت باشد، باید ملتزم شویم که حس خطا نمی‌کند، لکن لازم باطل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ملازمه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مباحث قبل مشخص شد که معرفت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اگر ادراک حسّی، معرفت باشد، چاره‌ای نیست جز اینکه </w:t>
      </w:r>
      <w:bookmarkStart w:id="100" w:name="pg5678_50330"/>
    </w:p>
    <w:p>
      <w:pPr>
        <w:pStyle w:val="BookText"/>
        <w:rPr/>
      </w:pPr>
      <w:bookmarkEnd w:id="100"/>
      <w:r>
        <w:rPr>
          <w:rFonts w:ascii="IRNazanin" w:hAnsi="IRNazanin" w:eastAsia="IRNazanin"/>
          <w:color w:val="111111"/>
          <w:sz w:val="28"/>
          <w:sz w:val="28"/>
          <w:szCs w:val="28"/>
          <w:rtl w:val="true"/>
          <w:lang w:bidi="fa-IR"/>
        </w:rPr>
        <w:t>بگوییم، ادراک حسّی،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لازم باطل است؛ چون ادراکهای حسّی، متناقض است؛ از این رو، خطاناپذیری با ادراکهای متناقض،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جمهوری، کتاب پنجم، این مطلب را یک اصل بدیهی دانسته، بر این باور است که شیء محسوس، پیوسته در معرض سیلان است و در آنِ واحد، اوصاف متقابل را پذیراست؛ بنابراین، به هیچ روی ممکن نیست متعلّق معرفت قرار گیرد، بلکه تنها متعلّق پندار قرار می‌گیرد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01" w:name="__RefHeading___Toc3561811_581953129"/>
      <w:bookmarkStart w:id="102" w:name="_Toc37"/>
      <w:bookmarkEnd w:id="101"/>
      <w:r>
        <w:rPr/>
        <w:t>2</w:t>
      </w:r>
      <w:r>
        <w:rPr>
          <w:rtl w:val="true"/>
        </w:rPr>
        <w:t xml:space="preserve">. </w:t>
      </w:r>
      <w:r>
        <w:rPr>
          <w:rtl w:val="true"/>
        </w:rPr>
        <w:t>معرفت، حکم نیست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افلاطون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دلیل بر اینکه حکم مزبور ممکن نیست معرفت باشد، این است که حکم، گاهی صحیح است و گاهی باطل؛ گاهی صادق است و گاهی کاذب؛ گاهی موجّه است و گاهی غیر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پیش از این معلوم شد که معرفت باید صادق و موجّه باشد؛ بنابراین، صِرف یک حکم را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3" w:name="__RefHeading___Toc3561813_581953129"/>
      <w:bookmarkStart w:id="104" w:name="_Toc38"/>
      <w:bookmarkEnd w:id="103"/>
      <w:r>
        <w:rPr/>
        <w:t>3</w:t>
      </w:r>
      <w:r>
        <w:rPr>
          <w:rtl w:val="true"/>
        </w:rPr>
        <w:t xml:space="preserve">. </w:t>
      </w:r>
      <w:r>
        <w:rPr>
          <w:rtl w:val="true"/>
        </w:rPr>
        <w:t xml:space="preserve">معرفت، </w:t>
      </w:r>
      <w:r>
        <w:rPr>
          <w:rtl w:val="true"/>
        </w:rPr>
        <w:t>«</w:t>
      </w:r>
      <w:r>
        <w:rPr>
          <w:rtl w:val="true"/>
        </w:rPr>
        <w:t>حکم حقیقی</w:t>
      </w:r>
      <w:r>
        <w:rPr>
          <w:rtl w:val="true"/>
        </w:rPr>
        <w:t xml:space="preserve">» </w:t>
      </w:r>
      <w:r>
        <w:rPr>
          <w:rtl w:val="true"/>
        </w:rPr>
        <w:t xml:space="preserve">یا </w:t>
      </w:r>
      <w:r>
        <w:rPr>
          <w:rtl w:val="true"/>
        </w:rPr>
        <w:t>«</w:t>
      </w:r>
      <w:r>
        <w:rPr>
          <w:rtl w:val="true"/>
        </w:rPr>
        <w:t>حکم صحیح</w:t>
      </w:r>
      <w:r>
        <w:rPr>
          <w:rtl w:val="true"/>
        </w:rPr>
        <w:t xml:space="preserve">» </w:t>
      </w:r>
      <w:r>
        <w:rPr>
          <w:rtl w:val="true"/>
        </w:rPr>
        <w:t>نیست</w:t>
      </w:r>
      <w:bookmarkEnd w:id="1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در رسالة تئتتوس بعد از آنکه تساوی معرفت با ادراک حسّی ابطال می‌گردد و نیز روشن می‌شود که ادراک حسّی به تنهایی ممکن نیست معرفت باشد، تئتتوس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از زبان سقراط، مطالبی را بیان می‌کند و سرانجام، خاطرنشان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نیست معرفت باشد؛ زیرا 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معرفت به حقیقت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وکلای دعاوی و قضات در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وکیل ماهر با استدلال، احساسات قاضی را برانگیزاند تا شخص </w:t>
      </w:r>
      <w:bookmarkStart w:id="105" w:name="pg5678_50331"/>
    </w:p>
    <w:p>
      <w:pPr>
        <w:pStyle w:val="BookText"/>
        <w:rPr/>
      </w:pPr>
      <w:bookmarkEnd w:id="105"/>
      <w:r>
        <w:rPr>
          <w:rFonts w:ascii="IRNazanin" w:hAnsi="IRNazanin" w:eastAsia="IRNazanin"/>
          <w:color w:val="111111"/>
          <w:sz w:val="28"/>
          <w:sz w:val="28"/>
          <w:szCs w:val="28"/>
          <w:rtl w:val="true"/>
          <w:lang w:bidi="fa-IR"/>
        </w:rPr>
        <w:t>بی‌گناه را محکوم کند؛ چون مدارک کافی علیه این شخص چنان قوی است که نمی‌تواند بی‌گناهی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قاضی علیه شخص بی‌گناه، حکم صحیح و پندار درست خواهد بود، ولی با واقع مطابقت ندارد و هرگز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افلاطون از زبان سقراط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قضاتِ دادگاه در مورد واقعه‌ای، چنان اعتقادی پدید آورد که تنها شخصی که آن واقعه را به چشم دیده است، آن گونه اعتقاد می‌توان داشت و قضات هم براساس این اعتقاد که از راه شنیدن در آنان پدید آمده است، داوری کنند، باید گفت که آن قضات براساس پنداری درست، بی‌آنکه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باشند، داوری کرده‌اند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ممکن است حکم، حکمی صحیح و مطابق با واقع باشد، ولی از روی حدَث و بی‌هدف صادر شده باشد، این حکم نیز معرفت نخواهد بود؛ چون موجّه و معقول نیست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06" w:name="__RefHeading___Toc3561815_581953129"/>
      <w:bookmarkStart w:id="107" w:name="_Toc39"/>
      <w:bookmarkEnd w:id="106"/>
      <w:r>
        <w:rPr/>
        <w:t>4</w:t>
      </w:r>
      <w:r>
        <w:rPr>
          <w:rtl w:val="true"/>
        </w:rPr>
        <w:t xml:space="preserve">. </w:t>
      </w:r>
      <w:r>
        <w:rPr>
          <w:rtl w:val="true"/>
        </w:rPr>
        <w:t xml:space="preserve">معرفت، حکم صحیح به علاوه یک </w:t>
      </w:r>
      <w:r>
        <w:rPr>
          <w:rtl w:val="true"/>
        </w:rPr>
        <w:t>«</w:t>
      </w:r>
      <w:r>
        <w:rPr>
          <w:rtl w:val="true"/>
        </w:rPr>
        <w:t>بیان</w:t>
      </w:r>
      <w:r>
        <w:rPr>
          <w:rtl w:val="true"/>
        </w:rPr>
        <w:t xml:space="preserve">» </w:t>
      </w:r>
      <w:r>
        <w:rPr>
          <w:rtl w:val="true"/>
        </w:rPr>
        <w:t>نیست</w:t>
      </w:r>
      <w:bookmarkEnd w:id="1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حکم صحیح به علاوه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آنکه معلوم شد معرفت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تئتتوس اظهار می‌دارد که افزودن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درست، آن را به معرفت تبدیل خواهد کرد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افلاطون پس از بررسی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می‌رسد که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تحقّق معرفت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بررسی این مطلب، سه احتمال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حکم صحیح، صرفاً باید در قالب الفاظ تجلّی یابد و با کلمات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نخست این است که آدمی، اندیشة خود را به یاری صدا از راه به کار بردن اسامی و افعال ظاهر کند؛ بدین‌سان، تصوّر خود را در آنچه می‌گوید، نمایان سازد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افلاطون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برای به دست آوردن معرفت کارساز نبوده، باعث انتقال عقیده به معرفت نخواهد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از همه برمی‌آید؛ زیرا هر کس می‌تواند عقیده‌ای را که دربارة چیزی دارد، </w:t>
      </w:r>
    </w:p>
    <w:p>
      <w:pPr>
        <w:pStyle w:val="BookText"/>
        <w:rPr/>
      </w:pPr>
      <w:r>
        <w:rPr>
          <w:rFonts w:ascii="IRNazanin" w:hAnsi="IRNazanin" w:eastAsia="IRNazanin"/>
          <w:color w:val="111111"/>
          <w:sz w:val="28"/>
          <w:sz w:val="28"/>
          <w:szCs w:val="28"/>
          <w:rtl w:val="true"/>
          <w:lang w:bidi="fa-IR"/>
        </w:rPr>
        <w:t>بیان کند و توضیح دهد، مگر آنکه کر یا لال باشد؛ پس هر کسی که پندار درست دارد، می‌تواند پندار خویش را بدان‌سان توضیح دهد؛ بنابراین، باید بگوییم که پندار درست در هر حال شناسایی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گفتار افلاطون، این استدلال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به عقیده و پندار درست،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باید هر پندار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هر پندار و عقیده‌ای در قالب الفاظ بیان‌شدنی است، در حالی که قبلاً به اثبات رسید که پندار درست با معرفت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تجزیة مرکب به اجزای اولیّه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آیا افزایش بیان با این معنا، برای تبدیل حکم درست به معرفت کافی است؟ افلاطون معتقد است در این فرض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نخواهد آمد؛ زیرا اوّلاً، لازمة این مطلب، تعلّق نگرفتن معرفت به مرکب و شناختنی نبودن امر بسیط است؛ چون امر بسیط تجزیه‌شدنی نیست، در حالی که بی‌تردید، امر بسیط نه تنها صلاحیت متعلّق معرفت را دارد، بلکه تنها متعلّق معرفت خواهد بود؛ زیرا متعلّق معرفت باید ثابت و جاودان باشد و تنها امر بسیط، این ویژگی را دارد؛ چون در غیر این صورت، اجزای مرکب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رسالة فیدون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نتیجة ترکیب پیدا آمده یا بالطبع مرکب‌اند، ممکن است روزی اجزای ترکیب‌دهندة آنها از هم جدا شود، در حالی که چیزهای غیر مرکب و بسیط از این عارضه مصون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همواره به یک حال می‌ماند، غیر مرکب است و حال آنکه مرکب گاه چنین می‌گردد و گاه چنان و همواره به یک حال نمی‌ماند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ثانیاً لازمة فرض مزبور این است که بگوییم علم و معرفت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تشکیل می‌شود؛ زیرا مجموع مرکب جز اجزای بسیط، چیز دیگری نخواهد بود؛ هر چه از اجزا تشکیل یافته، مجموع اجزاست، خواه واحد باشد، خواه کل</w:t>
      </w:r>
      <w:r>
        <w:rPr>
          <w:rFonts w:eastAsia="IRNazanin" w:cs="IRNazanin"/>
          <w:color w:val="111111"/>
          <w:sz w:val="28"/>
          <w:szCs w:val="28"/>
          <w:rtl w:val="true"/>
          <w:lang w:bidi="fa-IR"/>
        </w:rPr>
        <w:t>.</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اجزای بسیط و عناصر اولیّه چون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p>
    <w:p>
      <w:pPr>
        <w:pStyle w:val="BookText"/>
        <w:rPr/>
      </w:pPr>
      <w:r>
        <w:rPr>
          <w:rFonts w:ascii="IRNazanin" w:hAnsi="IRNazanin" w:eastAsia="IRNazanin"/>
          <w:color w:val="111111"/>
          <w:sz w:val="28"/>
          <w:sz w:val="28"/>
          <w:szCs w:val="28"/>
          <w:rtl w:val="true"/>
          <w:lang w:bidi="fa-IR"/>
        </w:rPr>
        <w:t>شناختنی نیز نخواهد بود؛ پس هر یک از اجزای مرکب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یاد آور که عناصر اولیّه‌ای که چیزهای دیگر از ترکیب آنها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توضیح‌ناپذیر و نشناختنی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نتیجة مطالب مزبور این است که اگر تجزیه به اجزای اولیّه، معرفت را موجب شود، لازمه‌اش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ضمیمة جهل‌ها به یکدیگر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نتیجه، آشکار است؛ از این رو، نمی‌توان گفت که مرکب، شناختنی و اجزای آن، نشناختنی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تفسیر پیشنهادی افلاطون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ادامة ویژگیها و صفات ممیزة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همان است که بیشتر مردمان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درمی‌یابند؛ یعنی بیان خصوصیاتی که چیزی خاص را از دیگر چیزها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توضیحی که دربارة آفتاب می‌توان بیان کرد، این است که بگوییم، آفتاب درخشان‌ترین اجرام آسمانی است که به گرد زمین می‌گردد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افلاطون بر این باور است که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 یادشده، تبدیل حکم صحیح به معرفت را نیز موجب نمی‌شود، بلکه اساساً چنین چیزی معقول نیست؛ زیرا قبل از افزودن صفات ممیزه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صفات مزبور در پندار درست، موجود است یا نه؟ اگر موجود است، افزودن آن لغو خواهد بود و اگر موجود نیست، پندار مذکور، پندار صحیح نخواهد بود؛ چون پندار صحیح از یک شیء، آن است که صفات ممیزة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درست دربارة چیزی، به هر حال، شامل خصوصیاتی است که آن را از دیگر چیزها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می‌گویند، پندار درست باید با تعریف و توضیح همراه باشد، چه معنا دارد؟ اگر مراد این است که پندار درست باید با تصوّر خصوصیات مشخّصه توأم باشد، این سخن خنده‌آور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این نتیجه می‌رسیم که معرفت، حکم صحیح یا پندار درست به ضمیمه یک بیان نیز نخواهد بود</w:t>
      </w:r>
      <w:r>
        <w:rPr>
          <w:rFonts w:eastAsia="IRNazanin" w:cs="IRNazanin"/>
          <w:color w:val="111111"/>
          <w:sz w:val="28"/>
          <w:szCs w:val="28"/>
          <w:rtl w:val="true"/>
          <w:lang w:bidi="fa-IR"/>
        </w:rPr>
        <w:t xml:space="preserve">. </w:t>
      </w:r>
      <w:bookmarkStart w:id="108" w:name="pg5678_50334"/>
    </w:p>
    <w:p>
      <w:pPr>
        <w:pStyle w:val="Heading4"/>
        <w:numPr>
          <w:ilvl w:val="3"/>
          <w:numId w:val="1"/>
        </w:numPr>
        <w:rPr/>
      </w:pPr>
      <w:bookmarkStart w:id="109" w:name="__RefHeading___Toc3561817_581953129"/>
      <w:bookmarkStart w:id="110" w:name="_Toc40"/>
      <w:bookmarkEnd w:id="108"/>
      <w:bookmarkEnd w:id="109"/>
      <w:r>
        <w:rPr/>
        <w:t>5</w:t>
      </w:r>
      <w:r>
        <w:rPr>
          <w:rtl w:val="true"/>
        </w:rPr>
        <w:t xml:space="preserve">. </w:t>
      </w:r>
      <w:r>
        <w:rPr>
          <w:rtl w:val="true"/>
        </w:rPr>
        <w:t>معرفت، باور صادق نیست</w:t>
      </w:r>
      <w:bookmarkEnd w:id="110"/>
    </w:p>
    <w:p>
      <w:pPr>
        <w:pStyle w:val="BookText"/>
        <w:rPr/>
      </w:pPr>
      <w:r>
        <w:rPr>
          <w:rFonts w:ascii="IRNazanin" w:hAnsi="IRNazanin" w:eastAsia="IRNazanin"/>
          <w:color w:val="111111"/>
          <w:sz w:val="28"/>
          <w:sz w:val="28"/>
          <w:szCs w:val="28"/>
          <w:rtl w:val="true"/>
          <w:lang w:bidi="fa-IR"/>
        </w:rPr>
        <w:t xml:space="preserve">در بحث از جنبة ثبوتی معرفت روشن شد که یکی از ویژگیهای معرفت، این است که معرفت باید با امر معقول هم‌رأی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صرف رسیدن به پاسخ درست یک مسئله، معرفت نیست، بلکه تنها در حکم باور صادق است؛ پس معرفت، باور صادق نیست</w:t>
      </w:r>
      <w:r>
        <w:rPr>
          <w:rFonts w:eastAsia="IRNazanin" w:cs="IRNazanin"/>
          <w:color w:val="111111"/>
          <w:sz w:val="28"/>
          <w:szCs w:val="28"/>
          <w:rtl w:val="true"/>
          <w:lang w:bidi="fa-IR"/>
        </w:rPr>
        <w:t>.</w:t>
      </w:r>
    </w:p>
    <w:p>
      <w:pPr>
        <w:pStyle w:val="Heading4"/>
        <w:numPr>
          <w:ilvl w:val="3"/>
          <w:numId w:val="1"/>
        </w:numPr>
        <w:rPr/>
      </w:pPr>
      <w:bookmarkStart w:id="111" w:name="__RefHeading___Toc3561819_581953129"/>
      <w:bookmarkStart w:id="112" w:name="_Toc41"/>
      <w:bookmarkEnd w:id="111"/>
      <w:r>
        <w:rPr>
          <w:rtl w:val="true"/>
        </w:rPr>
        <w:t>نتیجه‌گیری</w:t>
      </w:r>
      <w:bookmarkEnd w:id="112"/>
    </w:p>
    <w:p>
      <w:pPr>
        <w:pStyle w:val="BookText"/>
        <w:rPr/>
      </w:pPr>
      <w:r>
        <w:rPr>
          <w:rFonts w:ascii="IRNazanin" w:hAnsi="IRNazanin" w:eastAsia="IRNazanin"/>
          <w:color w:val="111111"/>
          <w:sz w:val="28"/>
          <w:sz w:val="28"/>
          <w:szCs w:val="28"/>
          <w:rtl w:val="true"/>
          <w:lang w:bidi="fa-IR"/>
        </w:rPr>
        <w:t>با توجّه به ویژگیهای مثبت و منفی معرفت از دیدگاه افلاطون، می‌توان چنین تعریفی را از آن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امر موجودی ثابت و صادق، همراه توجیه و امر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به تعریفی که امروزه از معرفت صورت می‌گیرد؛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Heading3"/>
        <w:numPr>
          <w:ilvl w:val="2"/>
          <w:numId w:val="1"/>
        </w:numPr>
        <w:rPr/>
      </w:pPr>
      <w:bookmarkStart w:id="113" w:name="__RefHeading___Toc3561821_581953129"/>
      <w:bookmarkStart w:id="114" w:name="_Toc42"/>
      <w:bookmarkEnd w:id="113"/>
      <w:r>
        <w:rPr>
          <w:rtl w:val="true"/>
        </w:rPr>
        <w:t>نظریة یادآوری</w:t>
      </w:r>
      <w:bookmarkEnd w:id="114"/>
    </w:p>
    <w:p>
      <w:pPr>
        <w:pStyle w:val="BookText"/>
        <w:rPr/>
      </w:pPr>
      <w:r>
        <w:rPr>
          <w:rFonts w:ascii="IRNazanin" w:hAnsi="IRNazanin" w:eastAsia="IRNazanin"/>
          <w:color w:val="111111"/>
          <w:sz w:val="28"/>
          <w:sz w:val="28"/>
          <w:szCs w:val="28"/>
          <w:rtl w:val="true"/>
          <w:lang w:bidi="fa-IR"/>
        </w:rPr>
        <w:t xml:space="preserve">پس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پرسش مطرح می‌شود که آیا معرفت، آموختنی است یا نه؟</w:t>
      </w:r>
    </w:p>
    <w:p>
      <w:pPr>
        <w:pStyle w:val="BookText"/>
        <w:rPr/>
      </w:pPr>
      <w:r>
        <w:rPr>
          <w:rFonts w:ascii="IRNazanin" w:hAnsi="IRNazanin" w:eastAsia="IRNazanin"/>
          <w:color w:val="111111"/>
          <w:sz w:val="28"/>
          <w:sz w:val="28"/>
          <w:szCs w:val="28"/>
          <w:rtl w:val="true"/>
          <w:lang w:bidi="fa-IR"/>
        </w:rPr>
        <w:t xml:space="preserve">افلاطون بر این باور است که نه تنها معرفت آموختنی نیست، بلکه اساساً آموختن آن امکان‌پذیر نیست و تنها راه تحصیل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افلاطون نیز مرکب از دو جنبة ثبوتی و سلبی است؛ جهت سلبی آن، آموختنی نبودن معرفت و جهت ثبوتی آن، به دست آمدن معرفت از راه یادآوری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رسالة منون، ضمن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جنبة سلبی این ادّعا استدلال کرده و آن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دلیل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یک شیء معرفت یابد، از دو حال بیرون نخواهد بود؛ یا آن شیء را از قبل می‌داند 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آموختن شیء یادشده امکان‌پذیر نیست؛ زیرا اگر از قبل آن را می‌داند، آموختن آن تحصیل حاصل بوده و یک امر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نمی‌داند، آموختن آن امکان نخواهد داشت؛ زیرا وقتی که می‌آموزد، نمی‌تواند آن را به عنوان یک حقیقت تشخیص دهد و بگوید آنچه آموخته‌ام، همان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چیزی که برای انسان به کلّی ناشناخته و مجهول است، چگونه می‌تواند آن را مورد جست‌وجو و </w:t>
      </w:r>
    </w:p>
    <w:p>
      <w:pPr>
        <w:pStyle w:val="BookText"/>
        <w:rPr/>
      </w:pPr>
      <w:r>
        <w:rPr>
          <w:rFonts w:ascii="IRNazanin" w:hAnsi="IRNazanin" w:eastAsia="IRNazanin"/>
          <w:color w:val="111111"/>
          <w:sz w:val="28"/>
          <w:sz w:val="28"/>
          <w:szCs w:val="28"/>
          <w:rtl w:val="true"/>
          <w:lang w:bidi="fa-IR"/>
        </w:rPr>
        <w:t>تحقیق قرار دهد و طالب آموختن آن باشد؟ هرگز چنین چیزی امکان‌پذیر نیست؛ چون طلب مجهول مطلق، امری محال و غیر ممکن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جنبة ثبوتی این دیدگاه، براساس نظریة وی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رسالة فیدون به اثبات آن پرداخته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افلاطون بر این باور است که ما پیش از آمدن به این دنیا همه‌چیز را می‌شناخته‌ایم، ولی با آمدن به این جهان، آن را فراموش کرده‌ایم؛ بنابراین، تمام معرفت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است که از قبل دانسته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مدّعای مذکور را در رسالة منون در ضمن یک گفت‌وگو با بردة جوانی که هیچ‌گاه ریاضی را نیاموخته بود،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این گفت‌وگو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از بردة مزبور می‌خواهد این مسئله را حل کند که اگر مربعی داشته باشیم که طول هر یک از اضلاع آن، یک متر باشد، طول اضلاع مربعی که مساحتش دو برابر این مربع است، چه قدر خواهد بود؟ آیا مساحت مربع دوم، دو برابر دو متر نخواهد بود؟ برده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دو متر چند متر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مربعی داشته باشیم که هر ضلع آن، دو برابر ضلع مربع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ضلع آن چهار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چند متر خواهد بود؟ برده سرانجام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برابر مربع قبلی خواهد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پس از این گفت‌وگو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بردة مزبور هرگز چیزی از ریاضیات نیاموخته بود و در عین حال، جواب صحیح را تنها با پرسش و انتقاد درمی‌یابد، کاشف از این است که وی پیش از این، پاسخ را می‌دانسته و فراموش کرده است و با پرسش و انتقاد،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پس معرفت تنها یادآوری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رسالة تئتتوس نیز به این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سقراط در ضمن یک گفت‌وگوی مفصّل،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مأمور ساخته که به زاییدن دیگران یاری کنم، ولی نه استعداد باردار کردن را به من بخشید و نه توانایی زاییدن را؛ از این‌رو، نه دانشی دارم و نه روحم می‌تواند دانش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من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الهی شامل حالشان باشد، </w:t>
      </w:r>
      <w:bookmarkStart w:id="115" w:name="pg5678_50336"/>
    </w:p>
    <w:p>
      <w:pPr>
        <w:pStyle w:val="BookText"/>
        <w:rPr/>
      </w:pPr>
      <w:bookmarkEnd w:id="115"/>
      <w:r>
        <w:rPr>
          <w:rFonts w:ascii="IRNazanin" w:hAnsi="IRNazanin" w:eastAsia="IRNazanin"/>
          <w:color w:val="111111"/>
          <w:sz w:val="28"/>
          <w:sz w:val="28"/>
          <w:szCs w:val="28"/>
          <w:rtl w:val="true"/>
          <w:lang w:bidi="fa-IR"/>
        </w:rPr>
        <w:t xml:space="preserve">با گامهای بلند در راه دانش پیش می‌روند، در حالی که کوچک‌ترین نکته‌ای از من نمی‌آموزند، بلکه همة دانشهای زیبا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می‌یابند و آنگاه خدا و من به ایشان یاری می‌کنیم که آنچه یافته‌اند، بزایند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آنچه گذشت،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یادگیری و آموختن به دست می‌آید و نه از راه تجربه حسّی و معمولی؛ چون تجربة حسّی به محسوسات مربوط است و صلاحیت متعلّق معرفت را ندارد، بلکه معرفت از ابتدا با آدمی خلق شده و جزء طبیعت او گردیده است و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این پرسش مطرح شود که اگر معرفت جزء طبیعت انسان است، چرا همة انسانها از معرفت برخوردار نیستند؟</w:t>
      </w:r>
    </w:p>
    <w:p>
      <w:pPr>
        <w:pStyle w:val="BookText"/>
        <w:rPr/>
      </w:pPr>
      <w:r>
        <w:rPr>
          <w:rFonts w:ascii="IRNazanin" w:hAnsi="IRNazanin" w:eastAsia="IRNazanin"/>
          <w:color w:val="111111"/>
          <w:sz w:val="28"/>
          <w:sz w:val="28"/>
          <w:szCs w:val="28"/>
          <w:rtl w:val="true"/>
          <w:lang w:bidi="fa-IR"/>
        </w:rPr>
        <w:t>افلاطون در پاسخ این پرسش، همان‌گونه که پیش از این نیز اشاره شد، بر این باور است که ما همه‌چیز را از پیش می‌دانستیم، ولی همة این شناختها هنگام تولد فراموش شده است که در اثر به کار انداختن حواس یا تفکّر یا پرسش و انتقاد، دوباره آنها را یادآور می‌شویم؛ بنابراین، آموختن و امثال آن، جز به‌یادآوردن، چیز دیگری نیست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16" w:name="__RefHeading___Toc3561823_581953129"/>
      <w:bookmarkStart w:id="117" w:name="_Toc43"/>
      <w:bookmarkEnd w:id="116"/>
      <w:r>
        <w:rPr>
          <w:rtl w:val="true"/>
        </w:rPr>
        <w:t>نظام هستی و معرفت</w:t>
      </w:r>
      <w:bookmarkEnd w:id="117"/>
    </w:p>
    <w:p>
      <w:pPr>
        <w:pStyle w:val="BookText"/>
        <w:rPr/>
      </w:pPr>
      <w:r>
        <w:rPr>
          <w:rFonts w:ascii="IRNazanin" w:hAnsi="IRNazanin" w:eastAsia="IRNazanin"/>
          <w:color w:val="111111"/>
          <w:sz w:val="28"/>
          <w:sz w:val="28"/>
          <w:szCs w:val="28"/>
          <w:rtl w:val="true"/>
          <w:lang w:bidi="fa-IR"/>
        </w:rPr>
        <w:t>پس از بررسی جنبة ثبوتی و سلبی معرفت و اثبات اینکه متعلّق معرفت باید امر ثابت باشد، به مسائل زیر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وعاء موجودات ثابت کجاست؟ آیا جایگاه آنها ذهن است، یا خارج، یا هر 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موجودات مزبور دارای درجات و مراتب‌اند یا از مرتبة واحد برخوردارند؟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معرفت به تعدّد یا وحدت مراتب موجودات ثابت، واحد یا متعدّد می‌شود یا 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مسائل، باید نظام هستی و معرفت از دیدگاه افلاطون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یک از این دو را با یکدیگر متناظر دانسته، برای هر کدام، درجات متعدّد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رسالة جمهوری، کتاب ششم، نخست قلمرو هستی را به دو عالم معقول و محسوس تقسیم کرده است و سپس عالم معقول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محسوس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با این تقسیم، ادراکهای آدمی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معرفت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خطی را ترسیم کن که به دو بخش نابرابر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بخش، عالم دیدنیهاست و دیگری، عالم شنیدنیها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بخش را به همان نسبت به دو جزء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جزء عالم دیدنیها را از حیث روشنی و تاریکیِ چیزهایی که به چشم دیده می‌شوند با یکدیگر مقایسه کنی، خواهی دید که یکی از آن دو جزء از تصاویر تشکیل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تصاویر، سایه‌ها و تصویرهایی است که در آبها یا در سطح اجسام صاف و درخشان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دیگر، خود آن چیزهایی است که تصاویر و سایه‌ها از آنها ناشی شده است؛ مانند جانوران، گیاهان و چیزهایی که به دست آدمیان ساخته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شناختنیها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جزء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نخستین، روح آدمی ناچار است محتوای خود را از راه به یاری گرفتن مفروضات ثابت‌نشده به دست بیاورد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دوم عالم شناختنیها چیزهایی است که خرد، بی‌واسطه و به یاری دیالکتیک به دست می‌آورد و به هنگام تحقیق دربارة آنها جز مفاهیم مجرّد از هیچ‌چیز دیگر استمداد نمی‌جوید؛ بدین معنا که مفروضات را به جای اصولِ مسلّم نمی‌گیرد، بلکه آنها را همان‌گونه که هستند، تلقّی می‌کند</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افلاطون طبق این تقسیم، عالم مثل را موضوع معرفت، عالم ریاضیات را موضوع استدلال، عالم محسوسات را موضوع عقیده و عالم سایه‌های محسوسات را موضوع پندار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هفتم جمهوری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قدر کافی است که نخستین و عالی‌ترین فعالیّت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فعالیّت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از راه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فعالیّت اخیر را با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دو فعالیّت نخستین را یکجا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عقیده،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دستخوش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شناساییِ خردمندانه، هستی راستین است که هرگز دگرگون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شناسایی </w:t>
      </w:r>
    </w:p>
    <w:p>
      <w:pPr>
        <w:pStyle w:val="BookText"/>
        <w:rPr/>
      </w:pPr>
      <w:r>
        <w:rPr>
          <w:rFonts w:ascii="IRNazanin" w:hAnsi="IRNazanin" w:eastAsia="IRNazanin"/>
          <w:color w:val="111111"/>
          <w:sz w:val="28"/>
          <w:sz w:val="28"/>
          <w:szCs w:val="28"/>
          <w:rtl w:val="true"/>
          <w:lang w:bidi="fa-IR"/>
        </w:rPr>
        <w:t xml:space="preserve">خردمندانه و عقیده، همان فرق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از راه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اختلاف وجود دارد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نمودار درجات هستی و معرفت از دیدگاه افلاطون، طبق تصویر کاپلستون چنین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tl w:val="true"/>
        </w:rPr>
        <mc:AlternateContent>
          <mc:Choice Requires="wps">
            <w:drawing>
              <wp:inline distT="0" distB="0" distL="0" distR="0">
                <wp:extent cx="5334000" cy="4686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مزبور روشن می‌شود که ارتباط عمیقی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چنان عمیق است که برخی معتقدند معرفت‌شناسی او بر هستی‌شناسی وی مقدّم بوده و این هستی‌شناسی از معرفت‌شناسی به دست آمده است،</w:t>
      </w:r>
      <w:r>
        <w:rPr>
          <w:rStyle w:val="FootnoteAnchor"/>
          <w:rtl w:val="true"/>
        </w:rPr>
        <w:footnoteReference w:id="137"/>
      </w:r>
      <w:r>
        <w:rPr>
          <w:rFonts w:ascii="IRNazanin" w:hAnsi="IRNazanin" w:eastAsia="IRNazanin"/>
          <w:color w:val="111111"/>
          <w:sz w:val="28"/>
          <w:sz w:val="28"/>
          <w:szCs w:val="28"/>
          <w:rtl w:val="true"/>
          <w:lang w:bidi="fa-IR"/>
        </w:rPr>
        <w:t>اما برخی دیگر، عکس آن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همان‌گونه که کاپلستون معتقد است تفکیک بین معرفت‌شناسی و وجودشناختی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کار بسیار دشوار و پیچیده‌ای است؛</w:t>
      </w:r>
      <w:r>
        <w:rPr>
          <w:rStyle w:val="FootnoteAnchor"/>
          <w:rtl w:val="true"/>
        </w:rPr>
        <w:footnoteReference w:id="138"/>
      </w:r>
      <w:bookmarkStart w:id="118" w:name="pg5678_50339"/>
    </w:p>
    <w:p>
      <w:pPr>
        <w:pStyle w:val="BookText"/>
        <w:rPr/>
      </w:pPr>
      <w:bookmarkEnd w:id="118"/>
      <w:r>
        <w:rPr>
          <w:rFonts w:ascii="IRNazanin" w:hAnsi="IRNazanin" w:eastAsia="IRNazanin"/>
          <w:color w:val="111111"/>
          <w:sz w:val="28"/>
          <w:sz w:val="28"/>
          <w:szCs w:val="28"/>
          <w:rtl w:val="true"/>
          <w:lang w:bidi="fa-IR"/>
        </w:rPr>
        <w:t>زیرا منظور دقیق خود را با الفاظ واضح و غیر مبهم روشن نکرده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19" w:name="__RefHeading___Toc3561825_581953129"/>
      <w:bookmarkStart w:id="120" w:name="_Toc44"/>
      <w:bookmarkEnd w:id="119"/>
      <w:r>
        <w:rPr>
          <w:rtl w:val="true"/>
        </w:rPr>
        <w:t>تمثیل غار</w:t>
      </w:r>
      <w:bookmarkEnd w:id="120"/>
    </w:p>
    <w:p>
      <w:pPr>
        <w:pStyle w:val="BookText"/>
        <w:rPr/>
      </w:pPr>
      <w:r>
        <w:rPr>
          <w:rFonts w:ascii="IRNazanin" w:hAnsi="IRNazanin" w:eastAsia="IRNazanin"/>
          <w:color w:val="111111"/>
          <w:sz w:val="28"/>
          <w:sz w:val="28"/>
          <w:szCs w:val="28"/>
          <w:rtl w:val="true"/>
          <w:lang w:bidi="fa-IR"/>
        </w:rPr>
        <w:t xml:space="preserve">افلاطون تقسیم‌بندی درجات هستی و معرفت را با داستانی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را از زبان سقراط بیان کرده است که خلاصة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بگذار منظره‌ای به تو نشان دهم تا پی ببری که طبیعت ما چه اندازه روشن یا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آدمیانی را در نظر بگیر که در یک غار زیرزمینی که مدخل آن رو به روشنایی است،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کودکی در آنجا بوده‌اند و پاها و گردنهایشان با زنجیر بسته شده است، به طوری که نمی‌توانند حرکت کنند و تنها می‌توانند پیش روی خویش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آنان، آتشی برافروخته‌شده، بر فراز یک بلندی از دور می‌درخشد و میان آتش و این زندانیان راهی است بر بلندی و در طول راه، دیوار کوتاهی است، همچون پرده‌ای که شعبده‌بازان میان خود و تماشاگران می‌کشند تا از بالای آن، هنرهای خود را به نمایش بگذارند و نیز در طول این دیوار، مردمانی می‌گذرند که همه نوع آلات، ادوات، مجسمه‌ها و پیکرة حیوانات ساخته‌شده از مواد مختلف را با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سخن می‌گویند و برخی دیگر خاموش‌اند؛ بنابراین، با توجّه به وضعیت زندانیان مزبور، آنها تنها سایه‌های همدیگر و نیز سایه‌های آنچه از کنار دیوار حمل می‌شود،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زندانیان بتوانند با همدیگر سخن بگویند، موضوع گفتارشان جز سایه‌ها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از بیرون منعکس می‌شود، به پندار آنان، سخن آن سایه‌ها با یکدیگر است؛ در نتیجه، آنان هیچ‌چیز دیگری را جز سایه‌ها حقیقی نمی‌پندارند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آنها از بند آزاد شود و از نادانی رهایی یابد و به روشنایی بنگرد، متحمّل رنج می‌شود و نمی‌تواند واقعیات را به خوبی ببیند، به ویژه اگر ناگهانی از تاریکی بیرون شده، مستقیماً به طرف خورشید بنگرد که در این صورت، چیزی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این کوری، ناشی از معرفت واقعی است، چندان طول نخواهد کشید، بلکه پس از مدّتی عادت می‌کند و می‌تواند اشیایی که قبلاً سایه‌های آنها را دیده بود، ببیند</w:t>
      </w:r>
      <w:r>
        <w:rPr>
          <w:rFonts w:eastAsia="IRNazanin" w:cs="IRNazanin"/>
          <w:color w:val="111111"/>
          <w:sz w:val="28"/>
          <w:szCs w:val="28"/>
          <w:rtl w:val="true"/>
          <w:lang w:bidi="fa-IR"/>
        </w:rPr>
        <w:t xml:space="preserve">. </w:t>
      </w:r>
      <w:bookmarkStart w:id="121" w:name="pg5678_50340"/>
    </w:p>
    <w:p>
      <w:pPr>
        <w:pStyle w:val="BookText"/>
        <w:rPr/>
      </w:pPr>
      <w:bookmarkEnd w:id="121"/>
      <w:r>
        <w:rPr>
          <w:rFonts w:ascii="IRNazanin" w:hAnsi="IRNazanin" w:eastAsia="IRNazanin"/>
          <w:color w:val="111111"/>
          <w:sz w:val="28"/>
          <w:sz w:val="28"/>
          <w:szCs w:val="28"/>
          <w:rtl w:val="true"/>
          <w:lang w:bidi="fa-IR"/>
        </w:rPr>
        <w:t>اگر کسی پس از صعود به روشنی خورشید، دوباره به غار برگردد، به علّت تاریکی داخل غار، به دیدن قادر نیست و مورد تمسخر زندانیان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دیگران را آزاد کند، زندانیان او را به مرگ محکوم خواهند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تمثیل با بیان پیشین افلاطون دربارة درجات هستی و معرفت، کاملاً تطبیق‌پذیر است؛ زندان غار همین دنیای محسوسات و روشنایی آتش، در حکم خورشید و بیرون شدن از غار و تماشای اشیای گوناگون در روی زمین به منزلة سیر و صعود روح آدمی به عالم معقول و شناسایی خواهد بود</w:t>
      </w:r>
      <w:r>
        <w:rPr>
          <w:rFonts w:eastAsia="IRNazanin" w:cs="IRNazanin"/>
          <w:color w:val="111111"/>
          <w:sz w:val="28"/>
          <w:szCs w:val="28"/>
          <w:rtl w:val="true"/>
          <w:lang w:bidi="fa-IR"/>
        </w:rPr>
        <w:t>.</w:t>
      </w:r>
    </w:p>
    <w:p>
      <w:pPr>
        <w:pStyle w:val="Heading3"/>
        <w:numPr>
          <w:ilvl w:val="2"/>
          <w:numId w:val="1"/>
        </w:numPr>
        <w:rPr/>
      </w:pPr>
      <w:bookmarkStart w:id="122" w:name="__RefHeading___Toc3561827_581953129"/>
      <w:bookmarkStart w:id="123" w:name="_Toc45"/>
      <w:bookmarkEnd w:id="122"/>
      <w:r>
        <w:rPr>
          <w:rtl w:val="true"/>
        </w:rPr>
        <w:t xml:space="preserve">راه تحصیل معرفت </w:t>
      </w:r>
      <w:r>
        <w:rPr>
          <w:rtl w:val="true"/>
        </w:rPr>
        <w:t>(</w:t>
      </w:r>
      <w:r>
        <w:rPr>
          <w:rtl w:val="true"/>
        </w:rPr>
        <w:t>یک برنامة تربیتی</w:t>
      </w:r>
      <w:r>
        <w:rPr>
          <w:rtl w:val="true"/>
        </w:rPr>
        <w:t>)</w:t>
      </w:r>
      <w:bookmarkEnd w:id="123"/>
    </w:p>
    <w:p>
      <w:pPr>
        <w:pStyle w:val="Heading4"/>
        <w:numPr>
          <w:ilvl w:val="3"/>
          <w:numId w:val="1"/>
        </w:numPr>
        <w:rPr/>
      </w:pPr>
      <w:bookmarkStart w:id="124" w:name="__RefHeading___Toc3561829_58195312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پس از بیان درجات معرفت و تکمیل آن با تمثیل غار، این پرسش مطرح می‌شود که چگونه انسان می‌تواند از زندان محسوسات رهایی یابد و به عالم شناسایی و معرفت صعود کند؟ راه رهایی از عالم محسوس و رسیدن به عالم معقول چیست؟</w:t>
      </w:r>
    </w:p>
    <w:p>
      <w:pPr>
        <w:pStyle w:val="BookText"/>
        <w:rPr/>
      </w:pPr>
      <w:r>
        <w:rPr>
          <w:rFonts w:ascii="IRNazanin" w:hAnsi="IRNazanin" w:eastAsia="IRNazanin"/>
          <w:color w:val="111111"/>
          <w:sz w:val="28"/>
          <w:sz w:val="28"/>
          <w:szCs w:val="28"/>
          <w:rtl w:val="true"/>
          <w:lang w:bidi="fa-IR"/>
        </w:rPr>
        <w:t>افلاطون برای رهایی از عالم محسوس و تعالی جستن به عالم معقول، یک برنامة تربیتی را برای کسانی که می‌خواهند حاکمان حکیم باشند، طرح می‌کند تا با آن، به شناسایی عالم مُثُل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افلاطون همان‌گونه که گذشت، فراگیری و آموختن معرفت را ممکن نمی‌داند؛ بنابراین، برنامة افلاطون برای رسیدن به معرفت، یک برنامه آموزشی نخواهد بود، بلکه جنبة پرورشی دارد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برنامة مزبور دارای این مراحل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عقلی یا دیالکتیک</w:t>
      </w:r>
      <w:r>
        <w:rPr>
          <w:rFonts w:eastAsia="IRNazanin" w:cs="IRNazanin"/>
          <w:color w:val="111111"/>
          <w:sz w:val="28"/>
          <w:szCs w:val="28"/>
          <w:rtl w:val="true"/>
          <w:lang w:bidi="fa-IR"/>
        </w:rPr>
        <w:t>.</w:t>
      </w:r>
    </w:p>
    <w:p>
      <w:pPr>
        <w:pStyle w:val="Heading4"/>
        <w:numPr>
          <w:ilvl w:val="3"/>
          <w:numId w:val="1"/>
        </w:numPr>
        <w:rPr/>
      </w:pPr>
      <w:bookmarkStart w:id="126" w:name="__RefHeading___Toc3561831_581953129"/>
      <w:bookmarkStart w:id="127" w:name="_Toc47"/>
      <w:bookmarkEnd w:id="126"/>
      <w:r>
        <w:rPr/>
        <w:t>1</w:t>
      </w:r>
      <w:r>
        <w:rPr>
          <w:rtl w:val="true"/>
        </w:rPr>
        <w:t xml:space="preserve">. </w:t>
      </w:r>
      <w:r>
        <w:rPr>
          <w:rtl w:val="true"/>
        </w:rPr>
        <w:t>به کارگیری عقل</w:t>
      </w:r>
      <w:bookmarkEnd w:id="1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برای این امر، توجّه کردن انسان به نقص و عدم کفایت آگاهی حسّی و وادار کردن نیروی عقل به تفکّر و جست‌وجو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راه برخی ادراکهای حسّی دست‌یافتنی است؛ زیرا برخی از این ادراکها، انسان را به تفکّر وادار نمی‌کند، ولی برخی دیگر، آدمی را وامی‌دارد تا با متوسل شدن به نیروی تفکّر، دریافتهای حسّی را بیازماید؛ </w:t>
      </w:r>
      <w:bookmarkStart w:id="128" w:name="pg5678_50341"/>
    </w:p>
    <w:p>
      <w:pPr>
        <w:pStyle w:val="BookText"/>
        <w:rPr/>
      </w:pPr>
      <w:bookmarkEnd w:id="128"/>
      <w:r>
        <w:rPr>
          <w:rFonts w:ascii="IRNazanin" w:hAnsi="IRNazanin" w:eastAsia="IRNazanin"/>
          <w:color w:val="111111"/>
          <w:sz w:val="28"/>
          <w:sz w:val="28"/>
          <w:szCs w:val="28"/>
          <w:rtl w:val="true"/>
          <w:lang w:bidi="fa-IR"/>
        </w:rPr>
        <w:t>چون در این باره، انسان معتقد است آنچه از راه حس به دست آمده است، مطابق با حقیقت نخواهد بود و آن، عبارت است از ادراکهایی که با ضدّ خود، توأم است؛ مثلاً انگشت چهارم را در نظر گرفته، آن را با انگشت وسطی و آخری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مزبور نسبت به انگشت وسطی، کوچک و نسبت به انگشت آخری،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متضاد از ناحیة حس، قوّة تفکّر را وامی‌دارد تا درصدد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از این رو، ذهن، جست‌وجو و تفحص کلیّات و مثل را آغاز می‌کند</w:t>
      </w:r>
      <w:r>
        <w:rPr>
          <w:rFonts w:eastAsia="IRNazanin" w:cs="IRNazanin"/>
          <w:color w:val="111111"/>
          <w:sz w:val="28"/>
          <w:szCs w:val="28"/>
          <w:rtl w:val="true"/>
          <w:lang w:bidi="fa-IR"/>
        </w:rPr>
        <w:t>.</w:t>
      </w:r>
    </w:p>
    <w:p>
      <w:pPr>
        <w:pStyle w:val="Heading4"/>
        <w:numPr>
          <w:ilvl w:val="3"/>
          <w:numId w:val="1"/>
        </w:numPr>
        <w:rPr/>
      </w:pPr>
      <w:bookmarkStart w:id="129" w:name="__RefHeading___Toc3561833_581953129"/>
      <w:bookmarkStart w:id="130" w:name="_Toc48"/>
      <w:bookmarkEnd w:id="129"/>
      <w:r>
        <w:rPr/>
        <w:t>2</w:t>
      </w:r>
      <w:r>
        <w:rPr>
          <w:rtl w:val="true"/>
        </w:rPr>
        <w:t xml:space="preserve">. </w:t>
      </w:r>
      <w:r>
        <w:rPr>
          <w:rtl w:val="true"/>
        </w:rPr>
        <w:t>علم حساب</w:t>
      </w:r>
      <w:bookmarkEnd w:id="130"/>
    </w:p>
    <w:p>
      <w:pPr>
        <w:pStyle w:val="BookText"/>
        <w:rPr/>
      </w:pPr>
      <w:r>
        <w:rPr>
          <w:rFonts w:ascii="IRNazanin" w:hAnsi="IRNazanin" w:eastAsia="IRNazanin"/>
          <w:color w:val="111111"/>
          <w:sz w:val="28"/>
          <w:sz w:val="28"/>
          <w:szCs w:val="28"/>
          <w:rtl w:val="true"/>
          <w:lang w:bidi="fa-IR"/>
        </w:rPr>
        <w:t>کسی که می‌خواهد به سوی شناسایی سیر کند، باید علم حساب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حساب دارای نتیجه‌ای بزرگ و تعالی‌بخش است که انسان را وامی‌دارد تا دربارة اعداد انتزاعی تفکّر کند و اشیای مرئی را از مرحلة استدلال کنار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علم را می‌آموزد، با آموختن عمل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شمردن با انگشتان، از زندان محسوسات رهایی می‌یابد و به فهم اجمالی صور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تأکید می‌کند که علم حساب به اندازه‌ای که در زندگی روزانه ضروری است و بازرگانان آن را در خرید و فروش به کار می‌برند، کافی نیست، بلکه باید آن را تا حدّی فراگیرد که بتواند با دیدة روح، ذات و ماهیّت اعداد را ببیند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31" w:name="__RefHeading___Toc3561835_581953129"/>
      <w:bookmarkStart w:id="132" w:name="_Toc49"/>
      <w:bookmarkEnd w:id="131"/>
      <w:r>
        <w:rPr/>
        <w:t>3</w:t>
      </w:r>
      <w:r>
        <w:rPr>
          <w:rtl w:val="true"/>
        </w:rPr>
        <w:t xml:space="preserve">. </w:t>
      </w:r>
      <w:r>
        <w:rPr>
          <w:rtl w:val="true"/>
        </w:rPr>
        <w:t>هندسه</w:t>
      </w:r>
      <w:bookmarkEnd w:id="132"/>
    </w:p>
    <w:p>
      <w:pPr>
        <w:pStyle w:val="BookText"/>
        <w:rPr/>
      </w:pPr>
      <w:r>
        <w:rPr>
          <w:rFonts w:ascii="IRNazanin" w:hAnsi="IRNazanin" w:eastAsia="IRNazanin"/>
          <w:color w:val="111111"/>
          <w:sz w:val="28"/>
          <w:sz w:val="28"/>
          <w:szCs w:val="28"/>
          <w:rtl w:val="true"/>
          <w:lang w:bidi="fa-IR"/>
        </w:rPr>
        <w:t>پس از آنکه انسان، علم حساب را فراگرفت، باید در هندسه مهارت یابد؛ زیرا معرفتی که در هندسه مورد نظر است، شناسایی ثابت و جاوید بوده، تابع زمان و مکان نخواهد بود؛ بنابراین، هندسه روح آدمی را به سوی هستی ابدی رهبری و او را به جهان حقیقت متوجّه می‌کند</w:t>
      </w:r>
      <w:r>
        <w:rPr>
          <w:rFonts w:eastAsia="IRNazanin" w:cs="IRNazanin"/>
          <w:color w:val="111111"/>
          <w:sz w:val="28"/>
          <w:szCs w:val="28"/>
          <w:rtl w:val="true"/>
          <w:lang w:bidi="fa-IR"/>
        </w:rPr>
        <w:t>.</w:t>
      </w:r>
    </w:p>
    <w:p>
      <w:pPr>
        <w:pStyle w:val="Heading4"/>
        <w:numPr>
          <w:ilvl w:val="3"/>
          <w:numId w:val="1"/>
        </w:numPr>
        <w:rPr/>
      </w:pPr>
      <w:bookmarkStart w:id="133" w:name="__RefHeading___Toc3561837_581953129"/>
      <w:bookmarkStart w:id="134" w:name="_Toc50"/>
      <w:bookmarkEnd w:id="133"/>
      <w:r>
        <w:rPr/>
        <w:t>4</w:t>
      </w:r>
      <w:r>
        <w:rPr>
          <w:rtl w:val="true"/>
        </w:rPr>
        <w:t xml:space="preserve">. </w:t>
      </w:r>
      <w:r>
        <w:rPr>
          <w:rtl w:val="true"/>
        </w:rPr>
        <w:t xml:space="preserve">نجوم </w:t>
      </w:r>
      <w:r>
        <w:rPr>
          <w:rtl w:val="true"/>
        </w:rPr>
        <w:t>(</w:t>
      </w:r>
      <w:r>
        <w:rPr>
          <w:rtl w:val="true"/>
        </w:rPr>
        <w:t>یا هندسة فضایی</w:t>
      </w:r>
      <w:r>
        <w:rPr>
          <w:rtl w:val="true"/>
        </w:rPr>
        <w:t>)</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بعدی، مطالعة حرکات اجرام آسمانی است؛ زیرا گرچه اجرام آسمانی مرئی است، متعلّق معرفت قرار نخواهد گرفت، ولی مطالعة حرکات آنها به عهدة عقل است و انسان را به سوی حقیقت نامتغیر و ابدی می‌کشاند</w:t>
      </w:r>
      <w:r>
        <w:rPr>
          <w:rFonts w:eastAsia="IRNazanin" w:cs="IRNazanin"/>
          <w:color w:val="111111"/>
          <w:sz w:val="28"/>
          <w:szCs w:val="28"/>
          <w:rtl w:val="true"/>
          <w:lang w:bidi="fa-IR"/>
        </w:rPr>
        <w:t xml:space="preserve">. </w:t>
      </w:r>
      <w:bookmarkStart w:id="135" w:name="pg5678_50342"/>
    </w:p>
    <w:p>
      <w:pPr>
        <w:pStyle w:val="Heading4"/>
        <w:numPr>
          <w:ilvl w:val="3"/>
          <w:numId w:val="1"/>
        </w:numPr>
        <w:rPr/>
      </w:pPr>
      <w:bookmarkStart w:id="136" w:name="__RefHeading___Toc3561839_581953129"/>
      <w:bookmarkStart w:id="137" w:name="_Toc51"/>
      <w:bookmarkEnd w:id="135"/>
      <w:bookmarkEnd w:id="136"/>
      <w:r>
        <w:rPr/>
        <w:t>5</w:t>
      </w:r>
      <w:r>
        <w:rPr>
          <w:rtl w:val="true"/>
        </w:rPr>
        <w:t xml:space="preserve">. </w:t>
      </w:r>
      <w:r>
        <w:rPr>
          <w:rtl w:val="true"/>
        </w:rPr>
        <w:t>موسیقی</w:t>
      </w:r>
      <w:bookmarkEnd w:id="137"/>
    </w:p>
    <w:p>
      <w:pPr>
        <w:pStyle w:val="BookText"/>
        <w:rPr/>
      </w:pPr>
      <w:r>
        <w:rPr>
          <w:rFonts w:ascii="IRNazanin" w:hAnsi="IRNazanin" w:eastAsia="IRNazanin"/>
          <w:color w:val="111111"/>
          <w:sz w:val="28"/>
          <w:sz w:val="28"/>
          <w:szCs w:val="28"/>
          <w:rtl w:val="true"/>
          <w:lang w:bidi="fa-IR"/>
        </w:rPr>
        <w:t>آخرین مرحلة مطالعات مقدماتی، مطالعة علم اصوات یا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مطالعة نجوم آدمی را از اشیای محسوس به تفکّر انتزاعی، نزدیک و به سوی حقیقت، رهبری می‌کند، مطالعة هماهنگی اصوات نیز از چیزهای مسموع آغاز می‌شود و انسان را به تعقّل انتزاعی آشنا می‌سازد و او را به عالم شناسایی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مطالعة خود اصوات مراد نیست، بلکه روابط میان آنها و اعدادی که پایة صداها را تشکیل می‌دهد، منظور و مورد تأکید است</w:t>
      </w:r>
      <w:r>
        <w:rPr>
          <w:rFonts w:eastAsia="IRNazanin" w:cs="IRNazanin"/>
          <w:color w:val="111111"/>
          <w:sz w:val="28"/>
          <w:szCs w:val="28"/>
          <w:rtl w:val="true"/>
          <w:lang w:bidi="fa-IR"/>
        </w:rPr>
        <w:t>.</w:t>
      </w:r>
    </w:p>
    <w:p>
      <w:pPr>
        <w:pStyle w:val="Heading4"/>
        <w:numPr>
          <w:ilvl w:val="3"/>
          <w:numId w:val="1"/>
        </w:numPr>
        <w:rPr/>
      </w:pPr>
      <w:bookmarkStart w:id="138" w:name="__RefHeading___Toc3561841_581953129"/>
      <w:bookmarkStart w:id="139" w:name="_Toc52"/>
      <w:bookmarkEnd w:id="138"/>
      <w:r>
        <w:rPr/>
        <w:t>6</w:t>
      </w:r>
      <w:r>
        <w:rPr>
          <w:rtl w:val="true"/>
        </w:rPr>
        <w:t xml:space="preserve"> . </w:t>
      </w:r>
      <w:r>
        <w:rPr>
          <w:rtl w:val="true"/>
        </w:rPr>
        <w:t>جدال عقلی یا دیالکتیک</w:t>
      </w:r>
      <w:bookmarkEnd w:id="139"/>
    </w:p>
    <w:p>
      <w:pPr>
        <w:pStyle w:val="BookText"/>
        <w:rPr/>
      </w:pPr>
      <w:r>
        <w:rPr>
          <w:rFonts w:ascii="IRNazanin" w:hAnsi="IRNazanin" w:eastAsia="IRNazanin"/>
          <w:color w:val="111111"/>
          <w:sz w:val="28"/>
          <w:sz w:val="28"/>
          <w:szCs w:val="28"/>
          <w:rtl w:val="true"/>
          <w:lang w:bidi="fa-IR"/>
        </w:rPr>
        <w:t xml:space="preserve">انسان پس از طی مراحل مقدماتی، سرانجام برای آخرین مرحله آماده می‌شود که همان رهایی کامل از سایه‌های غار به وسیله مطالعة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مرحله، آدمی نه تنها با صور و کلیّات آگاه و آشنا می‌گردد، بلکه آنها را می‌داند و می‌فهمد و می‌تواند شناسایی حقیقی و تردیدناپذیر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40" w:name="__RefHeading___Toc3561843_581953129"/>
      <w:bookmarkStart w:id="141" w:name="_Toc53"/>
      <w:bookmarkEnd w:id="140"/>
      <w:r>
        <w:rPr>
          <w:rtl w:val="true"/>
        </w:rPr>
        <w:t>چیستی روش دیالکتیک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درست پرسیدن و درست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دیالکتیک، یا مجاب کردن حریف است، یا همکاری دو تن برای روشن ساختن یک مطلب</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نوشته‌های افلاطون، دیالکتیک هنر حقیقی فیلسوف است و می‌توان به جنبه‌های ثبوتی و سلبی آن اشاره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دیالکتیک، در جنبة ثبوتی،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نخست از مفروضات شروع می‌شود و به چیزی می‌رسد که بر هیچ مفروضی متّکی نیست، یعنی به مبدأ و آغاز همة چیزها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ایدیة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رسالة جمهوری، کتاب هفتم، به همین راه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می‌کند که 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 حساب، هندسه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تا به مبدأ نخستین و حقیقت اشیا نایل گردد</w:t>
      </w:r>
      <w:r>
        <w:rPr>
          <w:rFonts w:eastAsia="IRNazanin" w:cs="IRNazanin"/>
          <w:color w:val="111111"/>
          <w:sz w:val="28"/>
          <w:szCs w:val="28"/>
          <w:rtl w:val="true"/>
          <w:lang w:bidi="fa-IR"/>
        </w:rPr>
        <w:t>.</w:t>
      </w:r>
      <w:r>
        <w:rPr>
          <w:rStyle w:val="FootnoteAnchor"/>
          <w:rtl w:val="true"/>
        </w:rPr>
        <w:footnoteReference w:id="144"/>
      </w:r>
      <w:bookmarkStart w:id="142" w:name="pg5678_50343"/>
    </w:p>
    <w:p>
      <w:pPr>
        <w:pStyle w:val="BookText"/>
        <w:rPr/>
      </w:pPr>
      <w:bookmarkEnd w:id="142"/>
      <w:r>
        <w:rPr>
          <w:rFonts w:ascii="IRNazanin" w:hAnsi="IRNazanin" w:eastAsia="IRNazanin"/>
          <w:color w:val="111111"/>
          <w:sz w:val="28"/>
          <w:sz w:val="28"/>
          <w:szCs w:val="28"/>
          <w:rtl w:val="true"/>
          <w:lang w:bidi="fa-IR"/>
        </w:rPr>
        <w:t>راه دوم دیالکتیک، راه بازگشت از بالا تا پایین‌ترین و آخرین 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اوّلاً باید جزئیات کثیر و پراکنده را یکجا و با هم ببینیم و ثانیاً باید ایدة واحد را به گونة درستی به اجزای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مثلاً ایدة نیک را به ایدة عدالت، ایدة شجاعت، ایدة احسان، ایدة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تا سرانجام، به حقیقت هر یک از ایده‌های پایین‌تر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راه را در رسالة فایدروس بیان کرده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 در جنبة سلبی دیالکتیک می‌توان به اختلاف بین مطالعة ریاضیات و مطالعة دیالکتیک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 دو، این است که ریاضیات بر فرضهایی مبتنی است که ریاضیدان بدون مطالعه و بررسی، آنها را مسلّم می‌گیرد و با به کارگیری صور یا کلّیات، خصوصیات آنها را فرض می‌کند، ولی نمی‌تواند ذات آنها را تبیین کند و نمی‌تواند علّت وجود چنین ذات و ماهیّتی را برای آنها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فرضها و مفاهیم خود را مطالعه و بررسی کند تا به فهم تام و کامل آنها برسد، در واقع، مطالعة دیالکتیک را انجام می‌دهد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افلاطون خاطر نشان می‌کند که وقتی آدمی محتوای واقعی دیالکتیک را می‌داند که دربارة هر چیز بتواند هستی راستین و ماهیّت آن چیز را دریافته و به فهم کامل آن رسیده 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وی تأکید می‌کند که انسان تنها با روش دیالکتیک مفروضات ثابت‌نشده را کنار می‌گذارد و در هر مورد، چنان به عمق فرو می‌رود که به آغازین و نخستین پایة اصلی می‌رسد که در این صورت، بر آن استوار می‌ماند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43" w:name="__RefHeading___Toc3561845_581953129"/>
      <w:bookmarkStart w:id="144" w:name="_Toc54"/>
      <w:bookmarkEnd w:id="143"/>
      <w:r>
        <w:rPr>
          <w:rtl w:val="true"/>
        </w:rPr>
        <w:t>نقد و بررسی اشکالات دیدگاه افلاطون</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بر دیدگاه افلاطون در باب معرفت‌شناسی گرفته شده است که به بررسی و ارزیابی آنها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اشکال، اشکال دوری است؛ بدین معنا که هر یک از وجودشناختی و معرفت‌شناسی بر دیگری متوقف است؛ بدین بیان که افلاطون با معرفت‌شناسی،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کرده است؛ چون معتقد است موضوع معرفت باید امری ثابت باشد، در حالی که عالم محسوسات ثبات ندارد؛ پس وجودشناسی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معرفت‌شناسی وی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معرفت‌شناسی او بر وجود شناختی‌اش به محسوسات متوقف است؛ زیرا وی از راه وجودشناسی محسوسات، به معرفت‌شناسی رسیده است؛ بدین معنا که گفته است، معرفت باید مطابق با واقع باشد و چنین معرفتی به اشیای محسوس تعلّق نخواهد گرفت؛ چون اشیای محسوس، دائماً در تطوّر است و اگر معرفت به آنها تعلّق بگیرد، باید با تطوّر آنها منظور شود و این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افلاطون می‌خواهد عالم مثال را اثبات کند، وجودشناسی وی بر معرفت‌شناسی متوقف است و آنجا که می‌خواهد تطوّر و سیلان محسوسات را بیان کند، یک نوع وجودشناسی دارد که معرفت‌شناسی را از آن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پرسش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مطلب وجودشناختی است، از کجا به دست آمده است؟ اگر افلاطون قصد داشت در باب عالم محسوسات سخن بگوید، باید نخست، روش شناخت این عالم را تنقیح مناط کرده باشد، سپس بگوید با این روش، عالم محسوسات را یافتم و دانستم که در گذر است، در حالی که چنین روشی را ذکر نکرده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پاسخ این اشکال می‌گوییم، به نظر می‌رسد اشکال مزبور دفاع‌پذیر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اشکال یادشده مبتنی بر این است که معرفت‌شناسی افلاطون بر وجودشناسی او مقدّم باشد، تا اینکه بگوییم، او با معرفت‌شناسی به هستی‌شناسی و اثبات عالم مُثُل نائل آمده است، در حالی که خود این مطلب به تأمّل جدّی نیاز دارد و این احتمال که وجودشناسی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معرفت‌شناسی وی مقدّم باشد، قوّت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 فرض که افلاطون با معرفت‌شناسی، عالم مُثُل را اثبات کرده و به هستی‌شناسی رسیده باشد و نیز از راه تطوّر و تغیّر عالم محسوسات، معرفت‌شناسی را به دست آورده باشد، در عین حال، هیچ دوری پیش نخواهد آمد؛ زیرا در دور، همواره دو چیز، هر کدام </w:t>
      </w:r>
    </w:p>
    <w:p>
      <w:pPr>
        <w:pStyle w:val="BookText"/>
        <w:rPr/>
      </w:pPr>
      <w:r>
        <w:rPr>
          <w:rFonts w:ascii="IRNazanin" w:hAnsi="IRNazanin" w:eastAsia="IRNazanin"/>
          <w:color w:val="111111"/>
          <w:sz w:val="28"/>
          <w:sz w:val="28"/>
          <w:szCs w:val="28"/>
          <w:rtl w:val="true"/>
          <w:lang w:bidi="fa-IR"/>
        </w:rPr>
        <w:t xml:space="preserve">بر دیگری متوقف است و توقف دو چیز بر هم نیز دو گونه است؛ گاهی بدون واسطه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واسطه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غیر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صورت، توقف دو چیز بر یکدیگر است؛ در غیر این صورت، دور، موضوعیّت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در اینجا توقف دو طرفه نیست؛ زیرا طبق آنچه در اشکال ذکر شده است، اثبات عالم مُثُل بر معرفت‌شناسی و معرفت‌شناسی بر سیلان و تطوّر عالم محسوسات متوقف است، اما سیلان عالم محسوسات نه بر اثبات عالم مُثُل و نه بر معرفت‌شناسی متوقف نیست؛ بنابراین، توقف دو طرفه نیست تا دور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اساساً معرفت‌شناسی افلاطون در اینجا بر وجودشناسی متوقف نیست؛ زیرا این سخن که خطاناپذیری معرفت و ثبات متعلّق آن بر وجودشناسی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متوقف به سیلان و گذرا بودن عالم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چون بر فرض محال، اگر عالم محسوسات هیچ‌گونه حرکت و سیلانی نداشته باشد، خدشه‌ای در خطاناپذیری معرفت و ثبات متعلّق آن پدید نخواهد آمد؛ به تعبیر دیگر، اگر افلاطون به تطوّر و سیلان محسوسات معتقد نباشد، در اعتقاد وی به خطاناپذیری ثبات متعلّق، خدشه‌ای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مطلب که افلاطون تطوّر عالم محسوسات را اثبات نکرده است، پذیرفتنی نیست؛ زیرا او در رسائل متعدّد و با بیانهای گوناگون، متغیّر بودن عالم محسوسات را اثبات کرده است؛ از جمله در رسالة تئتتوس در مقام ردّ دیدگاه پروتاگوراس، مطلب مزبور را به تفصیل و با بیانهای مختلف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این است که آیا افلاطون همة اسامی عام و مفاهیم کلّیه را دارای صور و مُثُل می‌داند یا برخی آنها را؟ این اشکال در هر صورت، با مشکل مواجه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دارای صور و مُثُل باشد و برخی نباشد، با دو اشکال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مفاهیم کلّیه در عالم مُثُل واقعیت نداشته باشد، مطابقت با واقع گزاره‌هایی که این مفاهیم در آن به کار رفته است، چگونه به دست می‌آید؟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مفاهیم مزبور، دارای واقعیت متناظر باشد و برخی نباشد، ترجیح بلامرجّح است؛ چون مفهوم، مفهوم است؛ پس چرا برخی دارای واقعیت باشد و برخی نباشد؟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پاسخ این بخش از اشکال این است که به نظر می‌رسد این اشکال نیز مخدوش است؛ زیرا ترجیح بلامرجّح در جایی است که دو چیز از هر جهت مساوی باشد، اما مفاهیم کلیّه تنها در مفهوم بودن مشترک و در سایر خصوصیات، کاملاً متفاوت و دارای اقسام گوناگونی است؛ مثلاً برخی جزء معقولات اولیّه بوده، ما به ازائی خارجی دارد و برخی دیگر، جزء معقولات ثانی فلسفی است که تنها منشأ انتزاع در خارج دارد و دستة دیگر، جزء معقولات ثانی منطقی است که جایگاهی جز ذهن ندارد؛ بنابراین، اگر برخی مفاهیم کلیّه در عالم مُثُل واقعیت نداشته باشد و برخی دیگر، دارای واقعیت باشد، هیچ‌گونه ترجیح بلامرجّحی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 مفهوم کلّی در عالم مثل واقعیت متناظر داشته باشد، با اشکالات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ماهوی، به ویژه مفاهیم نوعیة جواهر، مفاهیمی است که در بین آنها نظام طولی برقرار است؛ مثلاً انسان در طولِ حیوان، حیوان در طولِ نامی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مطلب، این است که اگر انسان بخواهد در عالم مُثُل تحقّق داشته باشد، باید علاوه بر اینکه انسان است، جسم، نامی و حیوان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آنچه افلاطون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عالم مثل، صرف بوده، مخالطت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صورت دیگر نیز قابل بیان است و آن اینکه در عالم مثل، غیر از صورت حیوانهای خاص، مثل انسان، شتر، گوسفند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به صورت عام نیز وجود دارد یا نه؟ اگر بگویید وجود دارد، قطعاً باید آن حیوان، یک حیوان خاص باشد که خلاف فرض است؛ چون که حیوان مفروض، همان حیوانهای خاص مانند انسان،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نه صورت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وجود ندارد، پس باید از هر دسته، مفاهیمی که جنس در آنها مشترک است، تنها انواعشان در عالم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خود این انواع برای انواع ذیل خودشان نیز در حکم اجناس است؛ پس باید برای آنها نیز وجودی نباشد و برای آنها انواع پایین‌تری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سیر ادامه داده شود، تنها باید افراد وجود داشته باشد و افراد هم کلّی نیست؛ بنابراین، دیدگاه افلاطون نسبت به اینکه کلیّات در عالم مثل تحقّق دارد، مردود بوده، دفاع‌پذیر نخواهد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اشکال در برخی مفاهیم ریاضی نیز جاری است؛ چون در بین این مفاهیم نیز نظام طولی برقرار است؛ مثلاً جایگاه دایره در طولِ منحنی، مربع و مستطیل در طولِ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در مفاهیم نوعیه جوهری بود، در اینجا نیز وجود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پاسخ اشکال این است که ظاهراً اشکال یادشده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افلاطون معتقد به وجود آن در عالم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سعة مفهومی نیست، بلکه به معنای سعة وجودی است؛ بدین معنا که از حیث وجود، نسبت به همة افراد توسعه و سیطره دارد و از تمام کمالات 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عالم مُثُل تنها حقیقت و واقعیت هر نوع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حقیقت هر شیء به فصل اخیر آن است یا به چیز دیگر، بحث دیگری است، ولی در عالم مثل، جز حقیقت هر نوع، چیز دیگری وجود ندارد و از آن حقیقت، مفاهیم متعدّدی را می‌توان انتزاع 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مُثُل وجود دارد و مفاهیم دیگری، مانند مفهوم ناطق،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وجود باری تعالی که یک وجود محض صرف است و هیچ مخالطتی در آن راه ندارد و در عین حال، مفاهیم متعدّدی، مانند قادر، عالم،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انتزاع می‌گردد، بدون اینکه صدمه‌ای به صرافت آن وارد شود؛ بنابراین، انتزاع مفاهیم متعدّد از یک نوع در عالم مُثُل با صرافت آن تنافی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مفاهیم طولی، مثل جنس، نوع و فصل، به ارسطو منتسب است و افلاطون چنین چیزی را اصلاً قبول نداشته است تا با مشکلی مواجه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افلاطون به تحقّق هر مفهومی در عالم مثل معتقد باشد، با اشکال دیگری نیز مواجه خواهد شد؛ این اشکال که مفاهیم عرضی طبق تعریفی که از آن به عمل آمده است، باید به جوهر متّکی باشد، در حالی که در عالم مثل، اگر اعراض به جوهر اتّکا داشته باشد، از مخالطت فارغ نیست، در غیر این صورت، عرض بر آنها صدق نخواهد کرد؛ بنابراین، مفاهیم عرضی در عالم مُثُل، واقعیت و مطابقتی نخواهد داشت و این، خلاف فرض است؛ چرا که فرض این است که همة مفاهیم کلّیه در عالم مُثُل، واقعیت متناظر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اشکال مزبور، از چند جهت قابل تأمّل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وجود یک مفهوم در یک وعاء، ممکن است شدیدتر یا ضعیف‌تر از وجود آن در وعائی دیگر باشد؛ مثلاً ماهیّت جوهر وقتی در ذهن پدید می‌آید، به ذهن وابسته بوده، وجود لغیره دارد، اما در خارج، وجود مستقل دارد و بی‌نیاز از موضوع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صور جوهری در عالم مادّه، به مادّه نیاز دارد و بدون آن تحقّق‌یافتنی نخواهد بود، در حالی که در عالم مجرّدات، از مادّه بی‌نیاز است و مستقلاً محقّق خواهد شد؛ بنابراین، مفاهیم عرضی نیز ممکن است در عالم مادّه به جوهر نیاز داشته باشد، ولی در عالم مثل بی‌نیاز و مستقل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تعریف ارائه‌شده برای مفاهیم عرضی، ممکن است مخصوص اعراض مادّی باشد و اعراض مجرّد را شامل نشود؛ چنان 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جوهرهای خارجی اختصاص دارد و جوهر ذهنی را شامل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در مفاهیم عرضی نسبی، با اشکال دیگری روبه‌رو می‌گردد؛ زیرا از یک طرف، مفاهیم نسبی مانند محبّت،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طرف قائم است و بدون آنها در خارج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 معتقد است از هر صورت نوعی در عالم مُثُل تنها یک فرد محقّق است؛ مثلاً تنها یک انسان در آن عالم وجود دارد؛ پس در این صورت، چگونه عشق انسان به انسان دیگر یا تنفّر انسان از انسان دیگر تحقّق می‌یابد و همچنین است در سایر مفاهیم 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این اشکال نیز مخدوش است؛ زیرا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مفاهیم نسبی مانند عشق،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دو طرف نیاز دارد و بدون آن دو محقّق نخواهد شد، لازم نیست این دوگانگی و تعدّد، حقیقی و واقعی باشد، بلکه تعدّد اعتباری نیز کافی است؛ بنابراین، اگر شیء واحد به دو اعتبار، متعدّد در نظر گرفته شود، مفاهیم نسبی تحقّق‌پذیر خواهد بود؛ مثلاً علم یک مفهوم اضافی و نسبی است و برای تحقّق یافتن، به عالِم و معلوم نیاز دارد، ولی یک انسان می‌تواند نسبت به خودش، هم علم باشد و هم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گرچه در حقیقت، یک انسان بیش نیست، اما همین انسان واحد، متعدّد اعتبار شده و مفهوم علم در آن تحقّق می‌یابد؛ بدین معنا که انسان مزبور به یک </w:t>
      </w:r>
    </w:p>
    <w:p>
      <w:pPr>
        <w:pStyle w:val="BookText"/>
        <w:rPr/>
      </w:pPr>
      <w:r>
        <w:rPr>
          <w:rFonts w:ascii="IRNazanin" w:hAnsi="IRNazanin" w:eastAsia="IRNazanin"/>
          <w:color w:val="111111"/>
          <w:sz w:val="28"/>
          <w:sz w:val="28"/>
          <w:szCs w:val="28"/>
          <w:rtl w:val="true"/>
          <w:lang w:bidi="fa-IR"/>
        </w:rPr>
        <w:t>اعتبار، عالِم و به اعتبار دیگر، معلوم است و اعتبار عالم بودن، غیر از اعتبار معلوم بودن است؛ از این رو، تحقّق علم در این مورد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مفهوم محبّت، عشق و سایر مفاهیم نسبی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گرچه در عالم مُثُل، حقیقتاً بیش از یک انسان وجود ندارد، همین انسان واحد به یک اعتبار، ممکن است عاشق باشد و به اعتبار دیگر، معشوق؛ به یک اعتبار محِب و به اعتبار دیگر، محبوب؛ به یک اعتبار عالِم و به اعتبار دیگر، معلوم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وحدت انسان در عالم مُثُل با تحقّق مفاهیم نسبی، هیچ‌گونه تنافی‌ای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در تحقّق مفاهیم نسبی مانند عشق و محبّت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دوگانگی حقیقی معتبر است و تعدّد اعتباری کارساز نباشد، تحقّق این مفاهیم در عالم مثل با هیچ مشکلی مواجه نخواهد بود؛ زیرا در تحقّق مفاهیم مزبور، تحقّق دو انسان لزومی ندارد، بلکه تحقّق دو موجود، کافی است و آن دو موجود، ممکن است یکی انسان و دیگری غیر از انسان باشد؛ مثلاً اگر انسان به موجودات بالاتر و کامل‌تر عشق بورزد و آنها را دوست بدارد، مفهوم عشق و محبّت محقّق خواهد شد، همچنین است در دیگر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مفاهیم عرضی نسبی در عالم مُثُل با مشکلی مواجه نخواهد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دیگر این است که آیا به نظر افلاطون، جوامد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عدالت، صداقت، جمال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مثل صورت دارد، یا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عادل، جمیل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وی، هر دو احتمال وجود دارد و هر یک از دو احتمال،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جامد، مثال داشته باشد، با نظر او در باب نام‌گذاری اشیا سازگار نیست؛ زیرا وی معتقد است اعضای یک گروه همنام به دلیل اشتراکشان در صورت و مُثُل، به فلان نام تسمیه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 مقام نام‌گذاری اشیا، نخست اسم جامد را به کار ببریم؛ مثلاً در عالم مُثُل، چون زردی، جمال و عدالت را دیده‌ایم، پس باید در این جهان بگوییم این، زردی است، آن، جمال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مطلب برعکس است؛ یعنی ما نخست می‌گوییم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پدید می‌آید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اگر مشتقّات در عالم مُثُل، صور و مثال داشته باشد، در این </w:t>
      </w:r>
    </w:p>
    <w:p>
      <w:pPr>
        <w:pStyle w:val="BookText"/>
        <w:rPr/>
      </w:pPr>
      <w:r>
        <w:rPr>
          <w:rFonts w:ascii="IRNazanin" w:hAnsi="IRNazanin" w:eastAsia="IRNazanin"/>
          <w:color w:val="111111"/>
          <w:sz w:val="28"/>
          <w:sz w:val="28"/>
          <w:szCs w:val="28"/>
          <w:rtl w:val="true"/>
          <w:lang w:bidi="fa-IR"/>
        </w:rPr>
        <w:t>صورت، صرافت موجودات آن عالم با مشکل روبه‌رو خواهد شد؛ زیرا مشتق، مرکب از ذات و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یعنی ذاتی که عدالت برای او ثابت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پاسخ این اشکال می‌گوییم، این اشکال مخدوش است؛ زیرا متوجّه بودن این اشکال به افلاطون، بر برخی از مبانی در باب مشتق مبتنی است، ولی طبق مبنای مشهور در باب مشتق، اشکال یادشده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امر چنین است که در باب مشتق، این بحث مطرح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بسیط است یا مرکب؛ به تعبیر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یکی است و فرق آن دو اعتباری است، یا هر یک از این دو، حقیقتاً غیر از دیگری است و دو چیز را تشکیل می‌دهد؟ برخی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بسیط،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مبدأ و ذات است؛ بنابراین، مبدأ و مشتق، حقیقتاً دو چیز و غیر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معروف و مشهور معقتدند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است و تعدّد و امتیاز این دو، تنها اعتباری است؛ بدین معنا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لا لحاظ شود، نه حمل‌شدنی بر اشیای دیگر است و نه مصداق مشتق، بلکه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 شرط لحاظ گردد، هم مشتق بر آن صدق می‌کند و هم حمل‌شدنی بر اشیای دیگر است؛ بنابراین، طبق مبنای مشهور، اشکال مذکور بی‌اساس است؛ چون طبق این مبنا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مُثُل با صرافت آنها تنافی نخواهد داشت؛ پس نه در باب نام‌گذاری اشیا و نه در صرافت موجودات عالم مُثُل مشکلی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مفاهیم اعراض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کیف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رنگها، مزه‌ها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دیگری بر افلاطون وارد است و آن اینکه اعراض مزبور از اوصاف مختصّ به مادّیات است، پس چگونه اشیای معقول ممکن است معروض چنین اعراضی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همان‌گونه که گذشت، ممکن است گفته شود اختصاص این اعراض به امور مادّی همانند نیازمندی صور جوهری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جوهری همان‌گونه که در عالم محسوسات به مادّه نیاز دارد و بدون آن در خارج تحقّق‌پذیر نیست، ولی در عالم مجرّدات از مادّه، بی‌نیاز و مستقلاً موجود است، اعراض یادشده نیز در عالم مادّه به </w:t>
      </w:r>
      <w:bookmarkStart w:id="145" w:name="pg5678_50351"/>
    </w:p>
    <w:p>
      <w:pPr>
        <w:pStyle w:val="BookText"/>
        <w:rPr/>
      </w:pPr>
      <w:bookmarkEnd w:id="145"/>
      <w:r>
        <w:rPr>
          <w:rFonts w:ascii="IRNazanin" w:hAnsi="IRNazanin" w:eastAsia="IRNazanin"/>
          <w:color w:val="111111"/>
          <w:sz w:val="28"/>
          <w:sz w:val="28"/>
          <w:szCs w:val="28"/>
          <w:rtl w:val="true"/>
          <w:lang w:bidi="fa-IR"/>
        </w:rPr>
        <w:t>امور مادّی نیاز دارد و از اوصاف مختصّ به آنها بوده است، ولی در عالم مُثُل و عالم مجرّدات، از مادّه، بی‌نیاز و از امور مادّی مستقل است</w:t>
      </w:r>
      <w:r>
        <w:rPr>
          <w:rFonts w:eastAsia="IRNazanin" w:cs="IRNazanin"/>
          <w:color w:val="111111"/>
          <w:sz w:val="28"/>
          <w:szCs w:val="28"/>
          <w:rtl w:val="true"/>
          <w:lang w:bidi="fa-IR"/>
        </w:rPr>
        <w:t>.</w:t>
      </w:r>
    </w:p>
    <w:p>
      <w:pPr>
        <w:pStyle w:val="Heading3"/>
        <w:numPr>
          <w:ilvl w:val="2"/>
          <w:numId w:val="1"/>
        </w:numPr>
        <w:rPr/>
      </w:pPr>
      <w:bookmarkStart w:id="146" w:name="__RefHeading___Toc3561847_581953129"/>
      <w:bookmarkStart w:id="147" w:name="_Toc55"/>
      <w:bookmarkEnd w:id="146"/>
      <w:r>
        <w:rPr>
          <w:rtl w:val="true"/>
        </w:rPr>
        <w:t>نکته</w:t>
      </w:r>
      <w:bookmarkEnd w:id="147"/>
    </w:p>
    <w:p>
      <w:pPr>
        <w:pStyle w:val="BookText"/>
        <w:rPr/>
      </w:pPr>
      <w:r>
        <w:rPr>
          <w:rFonts w:ascii="IRNazanin" w:hAnsi="IRNazanin" w:eastAsia="IRNazanin"/>
          <w:color w:val="111111"/>
          <w:sz w:val="28"/>
          <w:sz w:val="28"/>
          <w:szCs w:val="28"/>
          <w:rtl w:val="true"/>
          <w:lang w:bidi="fa-IR"/>
        </w:rPr>
        <w:t xml:space="preserve">با قطع نظر از اشکالات مزبور، این پرسش جدّی مطرح است که آیا افلاطون تنها امور طبیعی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یا مصنوعاتی که به دست انسان ساخته می‌شود، نیز دارای مُثُل است؟</w:t>
      </w:r>
    </w:p>
    <w:p>
      <w:pPr>
        <w:pStyle w:val="BookText"/>
        <w:rPr/>
      </w:pPr>
      <w:r>
        <w:rPr>
          <w:rFonts w:ascii="IRNazanin" w:hAnsi="IRNazanin" w:eastAsia="IRNazanin"/>
          <w:color w:val="111111"/>
          <w:sz w:val="28"/>
          <w:sz w:val="28"/>
          <w:szCs w:val="28"/>
          <w:rtl w:val="true"/>
          <w:lang w:bidi="fa-IR"/>
        </w:rPr>
        <w:t xml:space="preserve">از برخی سخنان وی برداشت می‌شود که وی افزون بر امور طبیعی، مصنوعات انسان را نیز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رسالة جمهوری، کتاب هفتم، به ایدة مصنوعات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صنعتگری که پیشه‌اش ساختن تخت است، چه می‌گویی؟ اندکی پیش گفتی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که به عقیدة ما تخت حقیقی است، نمی‌سازد، بلکه کار او، ساختن این تخت معیّن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جای دیگر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اصلی و ایده‌آل که آن را خدا ساخته است؛ دوم، تختی که صنعتگر می‌سازد و سوم، تختی که نقّاش می‌سازد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وی در رسالة کراتیلوس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بافندگی سخن می‌گوید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کارل بورمان</w:t>
      </w:r>
      <w:r>
        <w:rPr>
          <w:rStyle w:val="FootnoteAnchor"/>
          <w:rtl w:val="true"/>
        </w:rPr>
        <w:footnoteReference w:id="15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ارسطو چنین برمی‌آید که افلاطون برای مصنوعات، معتقد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او در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حق داشت که برای اشیای طبیعی،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شود، البته به شرط اینکه اصلاً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باشد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این حرف، بدین معناست که مصنوعات،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دیگری به وجود می‌آیند که دارای مثل نیستند؛ مثل </w:t>
      </w:r>
      <w:bookmarkStart w:id="148" w:name="pg5678_50352"/>
    </w:p>
    <w:p>
      <w:pPr>
        <w:pStyle w:val="BookText"/>
        <w:rPr/>
      </w:pPr>
      <w:bookmarkEnd w:id="148"/>
      <w:r>
        <w:rPr>
          <w:rFonts w:ascii="IRNazanin" w:hAnsi="IRNazanin" w:eastAsia="IRNazanin"/>
          <w:color w:val="111111"/>
          <w:sz w:val="28"/>
          <w:sz w:val="28"/>
          <w:szCs w:val="28"/>
          <w:rtl w:val="true"/>
          <w:lang w:bidi="fa-IR"/>
        </w:rPr>
        <w:t>خانه یا انگشتر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این مطلب نیز بیانگر این است که مصنوعات،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به نظر می‌رسد این برداشت بورمان از حرف ارسطو درست نیست؛ زیرا جملة نخست او بیانگر این است که از نظر ارسطو، اگر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باشد، در امور طبیعی نیز پذیرفتنی است و افلاطون در این امور حق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اما از این جمله فهمیده نمی‌شود که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دوم بورمان، اصلاً نقل قول افلاطون نیست، بلکه مال خود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بگوید که دربارة مصنوعات انسان، مانند انگشتر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ندارد؛ بنابراین، در امور طبیعی نیز چنین خواهد بود</w:t>
      </w:r>
      <w:r>
        <w:rPr>
          <w:rFonts w:eastAsia="IRNazanin" w:cs="IRNazanin"/>
          <w:color w:val="111111"/>
          <w:sz w:val="28"/>
          <w:szCs w:val="28"/>
          <w:rtl w:val="true"/>
          <w:lang w:bidi="fa-IR"/>
        </w:rPr>
        <w:t>.</w:t>
      </w:r>
    </w:p>
    <w:p>
      <w:pPr>
        <w:pStyle w:val="Heading3"/>
        <w:numPr>
          <w:ilvl w:val="2"/>
          <w:numId w:val="1"/>
        </w:numPr>
        <w:rPr/>
      </w:pPr>
      <w:bookmarkStart w:id="149" w:name="__RefHeading___Toc3561849_581953129"/>
      <w:bookmarkStart w:id="150" w:name="_Toc56"/>
      <w:bookmarkEnd w:id="149"/>
      <w:r>
        <w:rPr>
          <w:rtl w:val="true"/>
        </w:rPr>
        <w:t>نتیجه‌گیری</w:t>
      </w:r>
      <w:bookmarkEnd w:id="150"/>
    </w:p>
    <w:p>
      <w:pPr>
        <w:pStyle w:val="BookText"/>
        <w:rPr/>
      </w:pPr>
      <w:r>
        <w:rPr>
          <w:rFonts w:ascii="IRNazanin" w:hAnsi="IRNazanin" w:eastAsia="IRNazanin"/>
          <w:color w:val="111111"/>
          <w:sz w:val="28"/>
          <w:sz w:val="28"/>
          <w:szCs w:val="28"/>
          <w:rtl w:val="true"/>
          <w:lang w:bidi="fa-IR"/>
        </w:rPr>
        <w:t xml:space="preserve">از نظر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معقول، مستدل و خطاناپذیر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تحقّق‌یافتنی است که متعلّق آن، امر ثابت و تغییرناپذیر باشد؛ بنابراین، محسوسات و صرف حکم صحیح، از حوزة معرفت خارج می‌شود؛ زیرا محسوسات در حال دگرگونی است و حکم صحیح نیز در عین حال که با مدارک کافی به دست آمده است، ممکن است مطابق با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هستی متناظر با یکدیگر بوده، هر یک از مراتب متعدّد برخوردار است؛ بدین معنا که قلمرو هستی به دو عالم معقول و محسوس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معقول به مثل و ریاضیات، عالم محسوس به اشیای محسوس و سایه‌های آن تقسیم‌پذیر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ادراکهای آدمی نیز به معرفت و گمان، معرفت به شناخت و استدلال، و گمان به عقیده و پندار تقسیم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آموختن معرفت ممکن نیست، بلکه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یادآوردن آن، پس از توجّه به عدم کفایت حس و وادار کردن عقل به جست‌وجو و تفکّر، باید علم حساب، هندسه، نجوم و موسیقی را فرا گرفت و به مطالعة دیالکتیک روی آورد، تا سرانجام با صور کلیّات و مُثُل آشنا گردیده، به شناسایی تردیدناپذیر برسیم</w:t>
      </w:r>
      <w:r>
        <w:rPr>
          <w:rFonts w:eastAsia="IRNazanin" w:cs="IRNazanin"/>
          <w:color w:val="111111"/>
          <w:sz w:val="28"/>
          <w:szCs w:val="28"/>
          <w:rtl w:val="true"/>
          <w:lang w:bidi="fa-IR"/>
        </w:rPr>
        <w:t xml:space="preserve">. </w:t>
      </w:r>
      <w:bookmarkStart w:id="151" w:name="pg5678_50353"/>
    </w:p>
    <w:p>
      <w:pPr>
        <w:pStyle w:val="Heading2"/>
        <w:numPr>
          <w:ilvl w:val="1"/>
          <w:numId w:val="1"/>
        </w:numPr>
        <w:rPr/>
      </w:pPr>
      <w:bookmarkStart w:id="152" w:name="__RefHeading___Toc3561851_581953129"/>
      <w:bookmarkStart w:id="153" w:name="_Toc57"/>
      <w:bookmarkEnd w:id="151"/>
      <w:bookmarkEnd w:id="152"/>
      <w:r>
        <w:rPr>
          <w:rtl w:val="true"/>
        </w:rPr>
        <w:t>معرفت‌شناسی اپیکور</w:t>
      </w:r>
      <w:bookmarkEnd w:id="153"/>
    </w:p>
    <w:p>
      <w:pPr>
        <w:pStyle w:val="Heading3"/>
        <w:numPr>
          <w:ilvl w:val="2"/>
          <w:numId w:val="1"/>
        </w:numPr>
        <w:rPr/>
      </w:pPr>
      <w:bookmarkStart w:id="154" w:name="__RefHeading___Toc3561853_581953129"/>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علی قربانی</w:t>
      </w:r>
    </w:p>
    <w:p>
      <w:pPr>
        <w:pStyle w:val="Heading3"/>
        <w:numPr>
          <w:ilvl w:val="2"/>
          <w:numId w:val="1"/>
        </w:numPr>
        <w:rPr/>
      </w:pPr>
      <w:bookmarkStart w:id="156" w:name="__RefHeading___Toc3561855_581953129"/>
      <w:bookmarkStart w:id="157" w:name="_Toc59"/>
      <w:bookmarkEnd w:id="156"/>
      <w:r>
        <w:rPr>
          <w:rtl w:val="true"/>
        </w:rPr>
        <w:t>مقدّمه</w:t>
      </w:r>
      <w:bookmarkEnd w:id="157"/>
    </w:p>
    <w:p>
      <w:pPr>
        <w:pStyle w:val="BookText"/>
        <w:rPr/>
      </w:pPr>
      <w:r>
        <w:rPr>
          <w:rFonts w:ascii="IRNazanin" w:hAnsi="IRNazanin" w:eastAsia="IRNazanin"/>
          <w:color w:val="111111"/>
          <w:sz w:val="28"/>
          <w:sz w:val="28"/>
          <w:szCs w:val="28"/>
          <w:rtl w:val="true"/>
          <w:lang w:bidi="fa-IR"/>
        </w:rPr>
        <w:t>وجود جنبة عقلانی و قوّة تفکّر در انسان، او را از سایر موجودات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امور خویش را از روی اراده، آگاهی و عاقبت‌اندیشی انجام می‌دهد و در صدد کشف ناشناخته‌هاست، خصوصاً پاسخ به پرسشهایی بنیادین که مدام، ذهنش را مشغول می‌دارد؛ پرسشهایی دربارة جهان هستی و موقعیتش در این جهان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چنین پرسشهایی، در صورتی امکان‌پذیر است که اولاً معرفت، دست‌یافتنی و ثانیاً اعتبار آن از قبل،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امر، تنها در معرفت‌شناسی میسّر است؛ بنابراین، قبل از هر بحثی، پرداختن به معرفت‌شناسی لازم و ضروری است؛ ازاین رو، مسئلة شناخت و معرفت‌شناسی، از دیرباز برای انسانها مطرح بوده، اما به طور مستقل، از سه قرن پیش در غرب آغاز گردیده و پیوسته بر اهمیت آن افزوده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در سه قرن قبل از میلاد، آیا ایده‌هایی در باب معرفت‌شناسی مطرح بوده است یا خیر؟ اپیکور</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حکمای این دوران است، آیا معرفت را </w:t>
      </w:r>
      <w:bookmarkStart w:id="158" w:name="pg5678_50354"/>
    </w:p>
    <w:p>
      <w:pPr>
        <w:pStyle w:val="BookText"/>
        <w:rPr/>
      </w:pPr>
      <w:bookmarkEnd w:id="158"/>
      <w:r>
        <w:rPr>
          <w:rFonts w:ascii="IRNazanin" w:hAnsi="IRNazanin" w:eastAsia="IRNazanin"/>
          <w:color w:val="111111"/>
          <w:sz w:val="28"/>
          <w:sz w:val="28"/>
          <w:szCs w:val="28"/>
          <w:rtl w:val="true"/>
          <w:lang w:bidi="fa-IR"/>
        </w:rPr>
        <w:t>دست‌یافتنی می‌دانست یا خیر؟ در صورت مثبت بودن پاسخ، معرفت از چه طریق به دست می‌آید و شرایط آن 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نوشتار حاضر کنکاشی است در معرفت‌شناسی از دیدگاه اپیکور</w:t>
      </w:r>
      <w:r>
        <w:rPr>
          <w:rFonts w:eastAsia="IRNazanin" w:cs="IRNazanin"/>
          <w:color w:val="111111"/>
          <w:sz w:val="28"/>
          <w:szCs w:val="28"/>
          <w:rtl w:val="true"/>
          <w:lang w:bidi="fa-IR"/>
        </w:rPr>
        <w:t>.</w:t>
      </w:r>
    </w:p>
    <w:p>
      <w:pPr>
        <w:pStyle w:val="Heading3"/>
        <w:numPr>
          <w:ilvl w:val="2"/>
          <w:numId w:val="1"/>
        </w:numPr>
        <w:rPr/>
      </w:pPr>
      <w:bookmarkStart w:id="159" w:name="__RefHeading___Toc3561857_581953129"/>
      <w:bookmarkStart w:id="160" w:name="_Toc60"/>
      <w:bookmarkEnd w:id="159"/>
      <w:r>
        <w:rPr>
          <w:rtl w:val="true"/>
        </w:rPr>
        <w:t>ادراک حسّی</w:t>
      </w:r>
      <w:bookmarkEnd w:id="160"/>
    </w:p>
    <w:p>
      <w:pPr>
        <w:pStyle w:val="BookText"/>
        <w:rPr/>
      </w:pPr>
      <w:r>
        <w:rPr>
          <w:rFonts w:ascii="IRNazanin" w:hAnsi="IRNazanin" w:eastAsia="IRNazanin"/>
          <w:color w:val="111111"/>
          <w:sz w:val="28"/>
          <w:sz w:val="28"/>
          <w:szCs w:val="28"/>
          <w:rtl w:val="true"/>
          <w:lang w:bidi="fa-IR"/>
        </w:rPr>
        <w:t>حس از اهمّ ابزارهای وصول به واقعیت در دیدگاه اپیکور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ادراک، به جهت وضوح در واقع‌نمایی، به معیار نیاز ندارد؛ از این رو، داده‌های حسّی، مطابق با واقع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نظر اپیکور، این ادراک، زمانی محقّق می‌شود که تصاویر به اندامهای حسّی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حاصل از این فرایند، همیشه مقرون به حقیقت است، البته بعضی از ادراکها، دقیق و بعضی دیگر،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حاصل از دریافت تصاویر از اندامهای حسّی نسبت به ادراکهای حاصل از دریافت تصاویر از ناحیة منافذ دقیق‌تر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احساس، به اشیای محسوس پی می‌بریم، همان‌سان که هستند، نه به 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چیزی را درمی‌یابیم که قبلاً آن را درنمی‌یافتیم و این، یعنی افزایش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چه دلیلی وجود دارد که یافته‌های ما از طریق احساس، مخدوش و نامطمئن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حس می‌کنیم و قلب ما مطمئن می‌شود که مجهولی بر او مکشوف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ایجاد خلل در این اطمینان وجود دارد؟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واقع‌نمایی می‌کند و قابل اعتماد است، دلیل بر استثنای بعضی در این واقع‌نمایی وجود ندارد؛ بنابراین، در این واقع‌نمایی، همة حواس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چیچرو</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Cicero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احساس را غلط بدانیم، به منزلة این است که بر آن باشیم که هیچ چیز نمی‌تواند ادراک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1" w:name="pg5678_50355"/>
    </w:p>
    <w:p>
      <w:pPr>
        <w:pStyle w:val="Heading3"/>
        <w:numPr>
          <w:ilvl w:val="2"/>
          <w:numId w:val="1"/>
        </w:numPr>
        <w:rPr/>
      </w:pPr>
      <w:bookmarkStart w:id="162" w:name="__RefHeading___Toc3561859_581953129"/>
      <w:bookmarkStart w:id="163" w:name="_Toc61"/>
      <w:bookmarkEnd w:id="161"/>
      <w:bookmarkEnd w:id="162"/>
      <w:r>
        <w:rPr>
          <w:rtl w:val="true"/>
        </w:rPr>
        <w:t>چگونگی ادراک حسّی</w:t>
      </w:r>
      <w:bookmarkEnd w:id="163"/>
    </w:p>
    <w:p>
      <w:pPr>
        <w:pStyle w:val="BookText"/>
        <w:rPr/>
      </w:pPr>
      <w:r>
        <w:rPr>
          <w:rFonts w:ascii="IRNazanin" w:hAnsi="IRNazanin" w:eastAsia="IRNazanin"/>
          <w:color w:val="111111"/>
          <w:sz w:val="28"/>
          <w:sz w:val="28"/>
          <w:szCs w:val="28"/>
          <w:rtl w:val="true"/>
          <w:lang w:bidi="fa-IR"/>
        </w:rPr>
        <w:t>یکی از دغدغه‌های اپیکور، وجود ترس در دل و جان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ترس از خدایان و ترس از سایر چیزهای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فائق شدن بر این ترس، به اتم‌گرایی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دموکریتوس</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اتم‌گرایی معتقد بود، اما ارسطو با آن،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دموکریتوس دربارة جسم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مجموع اجزای صغار و سخت و دارای حجم است که تقسیم وهمی و عقلی را می‌پذیرد، ولی تقسیم خارجی را نمی‌پذیرد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نظریه دربارة اجسام، اپیکور را بر آن داشت تا دربارة چگونگی ادراک حسّی، عقیدة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احساس، زمانی محقّق می‌شود که اتمهایی از شیء محسوس، وارد اندامهای حسّی شود؛ بنابراین، حواس می‌توانند ما را به واقعیتهای بیرونی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اپیکور در جهت انهدام پایه‌های شکّاکیت،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شکّاکیت این است که ما برای وصول به حقیقت هیچ معیاری نداریم و با توجّه به خطای حواس و تعارض داده‌های حسّی، نمی‌توان بر حواس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شکّاکان نیز مانند اپیکوریان، به دنبال لذّت‌اند؛ با این تفاوت که شکّاکان، لذّت را در این می‌دانند که دربارة هیچ چیز، هیچ حکمی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راه شکّاکان، در وصول به لذّت، کوتاه‌تر و کم‌هزینه‌تر باشد، ولی اپیکوریان معتقدند شکّاکان، خوش‌بینانه گمان می‌کنند که به آرامش نائل می‌شوند؛ زیرا مردد بودن بین دو تصمیم و مذبذب بودن، خود، مایة تشویش و نگرانی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پاسخ اپیکوریان به شکّاکان، اعتماد به حواس است؛ اعتماد به کلیة داده‌های حسّی؛ به گونه‌ای که این اعتماد، استثناپذیر نیست؛ زیرا نتیجة آن، عدم اعتماد به کلیة داده‌های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شکّاکان قائل‌اند، مواردی هست که داده‌های حسّی اعتمادپذیر نیست، پس عدم اعتماد به همة داده‌های حسّی سرایت می‌کند</w:t>
      </w:r>
      <w:r>
        <w:rPr>
          <w:rFonts w:eastAsia="IRNazanin" w:cs="IRNazanin"/>
          <w:color w:val="111111"/>
          <w:sz w:val="28"/>
          <w:szCs w:val="28"/>
          <w:rtl w:val="true"/>
          <w:lang w:bidi="fa-IR"/>
        </w:rPr>
        <w:t>.</w:t>
      </w:r>
      <w:r>
        <w:rPr>
          <w:rStyle w:val="FootnoteAnchor"/>
          <w:rtl w:val="true"/>
        </w:rPr>
        <w:footnoteReference w:id="168"/>
      </w:r>
      <w:bookmarkStart w:id="164" w:name="pg5678_50356"/>
    </w:p>
    <w:p>
      <w:pPr>
        <w:pStyle w:val="BookText"/>
        <w:rPr/>
      </w:pPr>
      <w:bookmarkEnd w:id="164"/>
      <w:r>
        <w:rPr>
          <w:rFonts w:ascii="IRNazanin" w:hAnsi="IRNazanin" w:eastAsia="IRNazanin"/>
          <w:color w:val="111111"/>
          <w:sz w:val="28"/>
          <w:sz w:val="28"/>
          <w:szCs w:val="28"/>
          <w:rtl w:val="true"/>
          <w:lang w:bidi="fa-IR"/>
        </w:rPr>
        <w:t>دکارت</w:t>
      </w:r>
      <w:r>
        <w:rPr>
          <w:rStyle w:val="FootnoteAnchor"/>
          <w:rtl w:val="true"/>
        </w:rPr>
        <w:footnoteReference w:id="169"/>
      </w:r>
      <w:r>
        <w:rPr>
          <w:rFonts w:ascii="IRNazanin" w:hAnsi="IRNazanin" w:eastAsia="IRNazanin"/>
          <w:color w:val="111111"/>
          <w:sz w:val="28"/>
          <w:sz w:val="28"/>
          <w:szCs w:val="28"/>
          <w:rtl w:val="true"/>
          <w:lang w:bidi="fa-IR"/>
        </w:rPr>
        <w:t>معتقد است موارد خطا در واقع‌نمایی حواس، مشاهده کرده است، ولی به این نتیجه نمی‌رسد که حواس کلاً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تجربه کرده‌ام که این حواس فریبنده است و عاقلانه‌تر آن است که به چیزی که یک بار ما را فریب داده است، کاملاً اعتماد نکنیم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توجّه به این مطالب، سه نظریة زیر را می‌توان نتیجه‌گیری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حواس به هیچ روی اعتمادپذیر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شکّاکان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حواس در بعضی موارد، اعتمادپذیر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ادراکهای حسّی به تمامه اعتمادپذیر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اپیکوریان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کامل اپیکوریان به تمام گزارشهای حسّی، آنان را با اعتراضاتی روبه‌رو کرده است؛ از جمله اینکه در موارد تعارض دریافتهای حسّی، باید دو گزارش متفاوت را بپذیریم؛ در حالی که بنا بر عقیدة اپیکور، تعارض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براساس نظریة اتمی توجیه کرد، به این صورت که وقتی چوبی را در آب قرار می‌دهید و آن را خمیده مشاهده می‌کنید، به این علّت است که اتمهای واصله از آن چوب به اندامهای حسّی شما غیر آن را اقتضا ندارد؛ بنابراین، شما، آن طوری می‌بینید که اقتضا می‌کند و خطا در صورتی خواهد بود که این چوب، خمیده مشاهده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قضاوت و توقع شما که انتظار دارید، چوب را در آب مستقیم ببینید، اشتباه است؛ بنابراین، شما باید نظر عادی را از خود دور کنید و عمیق بیندیشید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65" w:name="__RefHeading___Toc3561861_581953129"/>
      <w:bookmarkStart w:id="166" w:name="_Toc62"/>
      <w:bookmarkEnd w:id="165"/>
      <w:r>
        <w:rPr>
          <w:rtl w:val="true"/>
        </w:rPr>
        <w:t>تناقض یا خطای حواس</w:t>
      </w:r>
      <w:bookmarkEnd w:id="166"/>
    </w:p>
    <w:p>
      <w:pPr>
        <w:pStyle w:val="Heading4"/>
        <w:numPr>
          <w:ilvl w:val="3"/>
          <w:numId w:val="1"/>
        </w:numPr>
        <w:rPr/>
      </w:pPr>
      <w:bookmarkStart w:id="167" w:name="__RefHeading___Toc3561863_581953129"/>
      <w:bookmarkStart w:id="168" w:name="_Toc63"/>
      <w:bookmarkEnd w:id="167"/>
      <w:r>
        <w:rPr>
          <w:rtl w:val="true"/>
        </w:rPr>
        <w:t>اشاره</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حواس چیزی است که برای همه اتفاق افتاده و امری مسلّم است و این امر، موجب می‌شود تا در واقع‌نمایی حواس، تردید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خطا چگونه پیش می‌آید و پاسخ اپیکوریان به این اشکال چیست؟ </w:t>
      </w:r>
      <w:bookmarkStart w:id="169" w:name="pg5678_50357"/>
    </w:p>
    <w:p>
      <w:pPr>
        <w:pStyle w:val="BookText"/>
        <w:rPr/>
      </w:pPr>
      <w:bookmarkEnd w:id="169"/>
      <w:r>
        <w:rPr>
          <w:rFonts w:ascii="IRNazanin" w:hAnsi="IRNazanin" w:eastAsia="IRNazanin"/>
          <w:color w:val="111111"/>
          <w:sz w:val="28"/>
          <w:sz w:val="28"/>
          <w:szCs w:val="28"/>
          <w:rtl w:val="true"/>
          <w:lang w:bidi="fa-IR"/>
        </w:rPr>
        <w:t>اپیکوریان معتقدند خطا در مرحلة حکم پدید می‌آید؛ آن هنگام که یک شیء و تصویرش را با هم مقایسه می‌کنیم و می‌گوییم که این دو، کاملاً با هم مطابق‌اند، در حالی که چنین نیست و بالعکس؛ مثلاً تصویر در آینه، بیانگر واقع خارجی و یک حقیقت است، ولی هنگامی که بخواهیم دربارة تصویر موجود در آن حکم کنیم و بگوییم اندازة این تصویر، فلان مقدار است، در این صورت، ممکن است اشتباهی رخ دهد، یا مثلاً چون از دور، شبحی را می‌نگریم، می‌پنداریم که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می‌شویم، می‌بینیم که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حواس در این مورد، مرتکب اشتباه نشده‌اند؟ اپیکوریان می‌گویند، اشتباه در صورتی محقّق است که شما هنگامی که نزدیک شدید، باز هم آن لشکر را جنگل مشاهده کنید؛ بنابراین، اشتباه در احساس نیست، بلکه در احکام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استاد مطهری در پاورقی اصول فلسفه و روش رئالیسم، پنج پاسخ را برای اشکال مورد نظر ذکر می‌کند و اشکال وارده بر حواس را مغلطه می‌نامند؛</w:t>
      </w:r>
      <w:r>
        <w:rPr>
          <w:rStyle w:val="FootnoteAnchor"/>
          <w:rtl w:val="true"/>
        </w:rPr>
        <w:footnoteReference w:id="173"/>
      </w:r>
      <w:r>
        <w:rPr>
          <w:rFonts w:ascii="IRNazanin" w:hAnsi="IRNazanin" w:eastAsia="IRNazanin"/>
          <w:color w:val="111111"/>
          <w:sz w:val="28"/>
          <w:sz w:val="28"/>
          <w:szCs w:val="28"/>
          <w:rtl w:val="true"/>
          <w:lang w:bidi="fa-IR"/>
        </w:rPr>
        <w:t>بنابراین، به نظر اپیکوریان، اصلْ در معرفت، حس است و معرفت فقط از این طریق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خطاپذیر نیست، بلکه خطا از صور متعدّدی که از شیء واحد به حواس می‌رسد، ناشی می‌شود و اینجاست که برداشتهای مردم از این صورِ متفاوت، متفاوت می‌گردد، در حالی که موردِ محسوس، همیشه یکی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دیوید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هاملین</w:t>
      </w:r>
      <w:r>
        <w:rPr>
          <w:rStyle w:val="FootnoteAnchor"/>
          <w:rtl w:val="true"/>
        </w:rPr>
        <w:footnoteReference w:id="175"/>
      </w:r>
      <w:r>
        <w:rPr>
          <w:rFonts w:ascii="IRNazanin" w:hAnsi="IRNazanin" w:eastAsia="IRNazanin"/>
          <w:color w:val="111111"/>
          <w:sz w:val="28"/>
          <w:sz w:val="28"/>
          <w:szCs w:val="28"/>
          <w:rtl w:val="true"/>
          <w:lang w:bidi="fa-IR"/>
        </w:rPr>
        <w:t>در تاریخ معرفت‌شناسی، نظر اپیکور را این گونه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اپیکور، احساسات بدون لگوس هستند؛ یعنی بدون حکم‌اند و از این جمله، لزوماً استنباط نمی‌گردد که خطا غیر ممکن است، بلکه در این مرحله، اصولاً صدق و کذب مطرح نمی‌شود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70" w:name="__RefHeading___Toc3561865_581953129"/>
      <w:bookmarkStart w:id="171" w:name="_Toc64"/>
      <w:bookmarkEnd w:id="170"/>
      <w:r>
        <w:rPr>
          <w:rtl w:val="true"/>
        </w:rPr>
        <w:t>الف</w:t>
      </w:r>
      <w:r>
        <w:rPr>
          <w:rtl w:val="true"/>
        </w:rPr>
        <w:t xml:space="preserve">) </w:t>
      </w:r>
      <w:r>
        <w:rPr>
          <w:rtl w:val="true"/>
        </w:rPr>
        <w:t>چگونگی علم بر اشیای غیر محسوس</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اپیکور به اموری معتقد بوده است که تنها از راه عقل دست‌یافتنی است، نه اموری که از راه </w:t>
      </w:r>
      <w:bookmarkStart w:id="172" w:name="pg5678_50358"/>
    </w:p>
    <w:p>
      <w:pPr>
        <w:pStyle w:val="BookText"/>
        <w:rPr/>
      </w:pPr>
      <w:bookmarkEnd w:id="172"/>
      <w:r>
        <w:rPr>
          <w:rFonts w:ascii="IRNazanin" w:hAnsi="IRNazanin" w:eastAsia="IRNazanin"/>
          <w:color w:val="111111"/>
          <w:sz w:val="28"/>
          <w:sz w:val="28"/>
          <w:szCs w:val="28"/>
          <w:rtl w:val="true"/>
          <w:lang w:bidi="fa-IR"/>
        </w:rPr>
        <w:t>حس به دست می‌آید؛ برای مثال، وی به اجزای صغار نامرئی در ترکیب عالم قائل بوده است؛ بنابراین، اگر اپیکوریان تجربه‌گرایند؛ پس چگونه چنین امری را اثبات می‌کنند؟</w:t>
      </w:r>
    </w:p>
    <w:p>
      <w:pPr>
        <w:pStyle w:val="BookText"/>
        <w:rPr/>
      </w:pPr>
      <w:r>
        <w:rPr>
          <w:rFonts w:ascii="IRNazanin" w:hAnsi="IRNazanin" w:eastAsia="IRNazanin"/>
          <w:color w:val="111111"/>
          <w:sz w:val="28"/>
          <w:sz w:val="28"/>
          <w:szCs w:val="28"/>
          <w:rtl w:val="true"/>
          <w:lang w:bidi="fa-IR"/>
        </w:rPr>
        <w:t>اپیکوریان معتقدند اگر یک امر را نتوانستی از راه حس اثبات کنی، در صورتی که مورد نقضی نداشت، باز هم اثبات‌شدنی است؛ بنابراین، عدم نقض ادّعایی، دلیلی بر معتبر بودن چنین ادّعایی است؛ برای مثال، خلأ وجود دارد و حال آنکه نامرئی است، ولی آن را از راه یک امر بدیهی، مثلاً حرکت می‌توان اثبات کرد؛ بنابراین، خلأ وجود دارد؛ زیرا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همه جا ملاء باشد، حرکت محقّق نمی‌شود؛ زیرا جسم مکانی ندارد که بتواند در آن مکان، جابه‌جا 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صدرالمتألهین نظر اپیکور را دربارة خلأ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اپیکور به خلأ از آن جهت که امری عدمی است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در نظر وی، همان هیولای اوّلیّه است که عدم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وجود بادها، بوها و صداها و افزایش تدریجی در اشیا، همگی مستلزم این است که اجزای صغار نامرئی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چگونه چنین استلزامی مسلّم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عدم نقض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برداشتهایی نقض نمی‌شود، می‌توان نتیجه گرفت که این برداشتها مقرون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مذکور به سبب ارتباطشان با اشیای مشهود، معلوم گشته‌اند</w:t>
      </w:r>
      <w:r>
        <w:rPr>
          <w:rFonts w:eastAsia="IRNazanin" w:cs="IRNazanin"/>
          <w:color w:val="111111"/>
          <w:sz w:val="28"/>
          <w:szCs w:val="28"/>
          <w:rtl w:val="true"/>
          <w:lang w:bidi="fa-IR"/>
        </w:rPr>
        <w:t>.</w:t>
      </w:r>
    </w:p>
    <w:p>
      <w:pPr>
        <w:pStyle w:val="Heading4"/>
        <w:numPr>
          <w:ilvl w:val="3"/>
          <w:numId w:val="1"/>
        </w:numPr>
        <w:rPr/>
      </w:pPr>
      <w:bookmarkStart w:id="173" w:name="__RefHeading___Toc3561867_581953129"/>
      <w:bookmarkStart w:id="174" w:name="_Toc65"/>
      <w:bookmarkEnd w:id="173"/>
      <w:r>
        <w:rPr>
          <w:rtl w:val="true"/>
        </w:rPr>
        <w:t>ب</w:t>
      </w:r>
      <w:r>
        <w:rPr>
          <w:rtl w:val="true"/>
        </w:rPr>
        <w:t xml:space="preserve">) </w:t>
      </w:r>
      <w:r>
        <w:rPr>
          <w:rtl w:val="true"/>
        </w:rPr>
        <w:t xml:space="preserve">مفهوم </w:t>
      </w:r>
      <w:r>
        <w:rPr>
          <w:rtl w:val="true"/>
        </w:rPr>
        <w:t>(</w:t>
      </w:r>
      <w:r>
        <w:rPr>
          <w:rtl w:val="true"/>
        </w:rPr>
        <w:t>تصوّر مسبوق به احساس</w:t>
      </w:r>
      <w:r>
        <w:rPr>
          <w:rtl w:val="true"/>
        </w:rPr>
        <w:t>)</w:t>
      </w:r>
      <w:bookmarkEnd w:id="1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اپیکوریان، همان تصویر موجود در حافظه است؛ مانند تصویر کلّی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حقیقی و مطابق با واقع است، مگر آن هنگام که دربارة آن، حکمی را مطرح کنیم و برای پی بردن به صدق و کذب آن، ناچاریم به تجربه مراجعه کنیم و صدقش در صورتی است که تجربه، آن حکم را تأیید کند، یا دست‌کم، با آن، متناقض نباشد</w:t>
      </w:r>
      <w:r>
        <w:rPr>
          <w:rFonts w:eastAsia="IRNazanin" w:cs="IRNazanin"/>
          <w:color w:val="111111"/>
          <w:sz w:val="28"/>
          <w:szCs w:val="28"/>
          <w:rtl w:val="true"/>
          <w:lang w:bidi="fa-IR"/>
        </w:rPr>
        <w:t>.</w:t>
      </w:r>
      <w:r>
        <w:rPr>
          <w:rStyle w:val="FootnoteAnchor"/>
          <w:rtl w:val="true"/>
        </w:rPr>
        <w:footnoteReference w:id="179"/>
      </w:r>
      <w:bookmarkStart w:id="175" w:name="pg5678_50359"/>
    </w:p>
    <w:p>
      <w:pPr>
        <w:pStyle w:val="BookText"/>
        <w:rPr/>
      </w:pPr>
      <w:bookmarkEnd w:id="175"/>
      <w:r>
        <w:rPr>
          <w:rFonts w:ascii="IRNazanin" w:hAnsi="IRNazanin" w:eastAsia="IRNazanin"/>
          <w:color w:val="111111"/>
          <w:sz w:val="28"/>
          <w:sz w:val="28"/>
          <w:szCs w:val="28"/>
          <w:rtl w:val="true"/>
          <w:lang w:bidi="fa-IR"/>
        </w:rPr>
        <w:t>اگر شیئی از دور دیده شود، این سؤال در ذهن پدید می‌آید که آیا حیوان است یا انسان؟ طرح چنین سؤالی، مستلزم وجود تصوّری از انسان یا حیوان است که از قبل در ذهن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 مسبوق به تجربة حسّی است که مقدّم بر این تصوّر، تحقّق یافته است؛ بدین معنا که قبلاً انسان یا حیوانی دیده شده و تصوّری از آنها در ذهن ایجاد گشته است و سپس آن مرئی، محلّ تردید واقع شده که با کدام یک از دو صورت موجود قبلی در ذهن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تصوّری، مسبوق به حس است، نه آنکه از قوّة خیال سرچشمه گرفته باشد؛ از این رو، با نزدیک شدن به آن شیء، می‌توان حکم کرد که آن صورت در ذهن، با یکی از دو فرد مشکوک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یقین برای ناظر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تصوّر مسبوق به حس، کمک می‌کند که هنگام نزدیک شدن به آن شیء، به طور یقینی حکم کنیم که آن شیء، انسان است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مستلزم صدور حکمی بدیهی دربارة وجود شیء است و اعتبار تجربة گذشتة ما که چنین تصوّری به نحوی از انحا نتیجة آن است، از تجربة کنونی که با همین تصوّر با آن مواجه می‌شویم، کمتر نبوده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76" w:name="__RefHeading___Toc3561869_581953129"/>
      <w:bookmarkStart w:id="177" w:name="_Toc66"/>
      <w:bookmarkEnd w:id="176"/>
      <w:r>
        <w:rPr>
          <w:rtl w:val="true"/>
        </w:rPr>
        <w:t>ج</w:t>
      </w:r>
      <w:r>
        <w:rPr>
          <w:rtl w:val="true"/>
        </w:rPr>
        <w:t xml:space="preserve">) </w:t>
      </w:r>
      <w:r>
        <w:rPr>
          <w:rtl w:val="true"/>
        </w:rPr>
        <w:t xml:space="preserve">انفعالات </w:t>
      </w:r>
      <w:r>
        <w:rPr>
          <w:rtl w:val="true"/>
        </w:rPr>
        <w:t>(</w:t>
      </w:r>
      <w:r>
        <w:rPr>
          <w:rtl w:val="true"/>
        </w:rPr>
        <w:t>لذّت و الم</w:t>
      </w:r>
      <w:r>
        <w:rPr>
          <w:rtl w:val="true"/>
        </w:rPr>
        <w:t>)</w:t>
      </w:r>
      <w:bookmarkEnd w:id="177"/>
    </w:p>
    <w:p>
      <w:pPr>
        <w:pStyle w:val="BookText"/>
        <w:rPr/>
      </w:pPr>
      <w:r>
        <w:rPr>
          <w:rFonts w:ascii="IRNazanin" w:hAnsi="IRNazanin" w:eastAsia="IRNazanin"/>
          <w:color w:val="111111"/>
          <w:sz w:val="28"/>
          <w:sz w:val="28"/>
          <w:szCs w:val="28"/>
          <w:rtl w:val="true"/>
          <w:lang w:bidi="fa-IR"/>
        </w:rPr>
        <w:t>انفعالاتی از قبیل احساس لذّت و الم، سومین ملاک برای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احساس لذّت کردیم، می‌فهمیم که چنین چیزی، انتخاب‌شدنی است و اگر آن چیز برای ما خوشایند نبود، می‌فهمیم که اجتناب‌شدنی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 الم در نظر اپیکوریان، به عنوان یک ملاک مدّ نظر است؛ هم در نظر اپیکور و هم در نظر آریستیپوس</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ازنظر آریستیپوس، حالت شهوانی، ادراک‌پذیر است و علّتِ موجدِ لذّت و الم، ادراک‌ناپذیر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اپیکور، نه تنها لذّت ادراک‌پذیر است، بلکه این ادراک پی بردن به علّت لذّت و الم را نیز موجب می‌شود؛ بنابراین، لذّت و الم، واقع‌نمایی کرده، علّت خود را تبیین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خوشایندی و ناخوشایندی، انتخاب یا اجتناب را به دنبال دارد؛ بنابراین، احساس لذّت یا الم، در چگونگی نگرش انسان به امور، نقش مهمی را ایفا می‌کند؛ از این رو، اپیکور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ما چیزی نیست؛ زیرا چیزی که از میان رفته است، عاری از احساس است و چیزی که عاری از احساس است، نزد ما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موقع مرگ که اتمهای نفس جدا گردید، ادراک هم مفقود می‌گردد و مرگ، چیزی جز ذهاب ادراک نمی‌باشد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تا حال، سه ملاک از ملاکهای حقیقت که مورد قبول اپیکوریان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انتخابها و دیدگاههای اپیکور را می‌توان نام برد که بیانگر این است که این سه ملاک، در ارائة چنین آرایی و انتخاب چنین نمونه‌هایی دخیل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برگزیده شدن نظام دموکریتوس از سوی اپیکور، سودمندتر بودن این نظام برای اهداف وی و بیشتر تأمین شدن مقاصدش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علّت تلقّی کردن کل جهان را به مثابه یک جسم از سوی وی، گواهی دادن حواس به این مطلب است و گواهی حواس، ملاک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سؤال مطرح است که آیا طبیعت نامحسوس و لمس‌نشدنی وجود دارد یا نه؟ پاسخ مثبت است؛ زیرا اگر خلأ وجود نمی‌داشت، اجسامی که حواس ما به وجود آنها گواهی می‌دهند، در کجا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خلأ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ما به کمک حواس به طبیعت نامحسوس پی بردیم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اپیکور برای خدایان، اوصافی را از قبیل مرکب بودن آنها از اتمها، لطیف بودن بدن آنان، مذکر یا مؤنث بودن و در آرامش بسر بردن آنان،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ممکن است مطرح باشد که اثبات این اوصاف برای خدایان چگونه امکان دارد؟ بنا بر باور اپیکور، پاسخ این است که تصاویر و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در خواب بر ما نمودار می‌گردد و در نتیجه،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سعادت دائمی آنها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اپیکور به واقعیت خارجی و به امکان وصول به این واقعیت معتقد است و شیوة وی برای وصول به این مهم، تکیه بر حواس و داده‌های حسّی است</w:t>
      </w:r>
      <w:r>
        <w:rPr>
          <w:rFonts w:eastAsia="IRNazanin" w:cs="IRNazanin"/>
          <w:color w:val="111111"/>
          <w:sz w:val="28"/>
          <w:szCs w:val="28"/>
          <w:rtl w:val="true"/>
          <w:lang w:bidi="fa-IR"/>
        </w:rPr>
        <w:t xml:space="preserve">. </w:t>
      </w:r>
      <w:bookmarkStart w:id="178" w:name="pg5678_50361"/>
    </w:p>
    <w:p>
      <w:pPr>
        <w:pStyle w:val="Heading4"/>
        <w:numPr>
          <w:ilvl w:val="3"/>
          <w:numId w:val="1"/>
        </w:numPr>
        <w:rPr/>
      </w:pPr>
      <w:bookmarkStart w:id="179" w:name="__RefHeading___Toc3561871_581953129"/>
      <w:bookmarkStart w:id="180" w:name="_Toc67"/>
      <w:bookmarkEnd w:id="178"/>
      <w:bookmarkEnd w:id="179"/>
      <w:r>
        <w:rPr>
          <w:rtl w:val="true"/>
        </w:rPr>
        <w:t>د</w:t>
      </w:r>
      <w:r>
        <w:rPr>
          <w:rtl w:val="true"/>
        </w:rPr>
        <w:t xml:space="preserve">) </w:t>
      </w:r>
      <w:r>
        <w:rPr>
          <w:rtl w:val="true"/>
        </w:rPr>
        <w:t xml:space="preserve">لمح بصر </w:t>
      </w:r>
      <w:r>
        <w:rPr>
          <w:rtl w:val="true"/>
        </w:rPr>
        <w:t>(</w:t>
      </w:r>
      <w:r>
        <w:rPr>
          <w:rtl w:val="true"/>
        </w:rPr>
        <w:t>شهود فکری</w:t>
      </w:r>
      <w:r>
        <w:rPr>
          <w:rtl w:val="true"/>
        </w:rPr>
        <w:t>)</w:t>
      </w:r>
      <w:bookmarkEnd w:id="180"/>
    </w:p>
    <w:p>
      <w:pPr>
        <w:pStyle w:val="BookText"/>
        <w:rPr/>
      </w:pPr>
      <w:r>
        <w:rPr>
          <w:rFonts w:ascii="IRNazanin" w:hAnsi="IRNazanin" w:eastAsia="IRNazanin"/>
          <w:color w:val="111111"/>
          <w:sz w:val="28"/>
          <w:sz w:val="28"/>
          <w:szCs w:val="28"/>
          <w:rtl w:val="true"/>
          <w:lang w:bidi="fa-IR"/>
        </w:rPr>
        <w:t>اپیکور معتقد است هرگاه بخواهیم بدون دخالت دادن حواس در شناخت به چیزی از طریق نگاه درونی و تجربة درونی پی بریم، به ملاک دیگری برمی‌خوریم که به شهود روحانی و فکری نام‌گذاری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هنگامی تحقّق می‌یابد که با دید وسیع‌تری بنگریم؛ یعنی از دیدن اجزا به دیدن کل روی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مجموعة هستی یا مجموعة اجزای لایتجزّی را مدّ نظر قرار دهیم و از شهود حسّی، پا را فراتر بگذاریم، در این صورت، به معرفت دفعی می‌رسیم و رضایت خاطر ما حاصل می‌گردد؛ از این رو، اشیای نامرئی را بدون وساطتِ احساس، درمی‌یابیم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 توجّه به مطالب فوق، نمی‌توان با قاطعیّت، اپیکوریان را تجربه‌گرا نامید؛ بدین معنا که راه معرفت را در حواس خلاصه کرده‌اند، بلکه آنان به عوامل دیگری، غیر از حواس در پیدایش معرفت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از دیدگاه اپیکور، فقط دو ملاک اصلی برای شناسایی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سایر ملاکهای وی، مشتقّ از احساس است؛ برای مثال، اگر تصوّرات مسبوق به احساس را که از قبل با ماست و بر اثر احساسات گذشته، برای ما حاصل شده است، به محسوسات فعلی بیفزاییم، شناخت برای ما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تصوّرات مسبوق به احساس را نمی‌توان به عنوان یک ملاک جداگانه ذکر کرد؛ زیرا این تصوّرات، اطلاعاتی اجمالی است که از قبل به دنبال احساس، برای ما حاصل شده است؛ به عبارت دیگر، حوادث مختلف که با احساسات متفاوت مقرون بوده است، خاطراتی را در ما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ضمیمه شدن خاطرات قبلی و معلومات حاصل شده از مشاهده و احساس فعلی، می‌توانیم به یک جمع‌بندی و برداشت برسیم</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81" w:name="__RefHeading___Toc3561873_581953129"/>
      <w:bookmarkStart w:id="182" w:name="_Toc68"/>
      <w:bookmarkEnd w:id="181"/>
      <w:r>
        <w:rPr>
          <w:rtl w:val="true"/>
        </w:rPr>
        <w:t>انتقاد اپیکوریان بر فلاسفه</w:t>
      </w:r>
      <w:bookmarkEnd w:id="1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پلوتارخوس</w:t>
      </w:r>
      <w:r>
        <w:rPr>
          <w:rStyle w:val="FootnoteAnchor"/>
          <w:rtl w:val="true"/>
        </w:rPr>
        <w:footnoteReference w:id="185"/>
      </w:r>
      <w:r>
        <w:rPr>
          <w:rFonts w:ascii="Amiri" w:hAnsi="Amiri" w:eastAsia="Amiri" w:cs="Amiri"/>
          <w:color w:val="111111"/>
          <w:sz w:val="28"/>
          <w:sz w:val="28"/>
          <w:szCs w:val="28"/>
          <w:rtl w:val="true"/>
          <w:lang w:bidi="ar-SA"/>
        </w:rPr>
        <w:t>رساله‌ای با عنوان بر ضد کُلُتِس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کُلُتس</w:t>
      </w:r>
      <w:r>
        <w:rPr>
          <w:rStyle w:val="FootnoteAnchor"/>
          <w:rtl w:val="true"/>
        </w:rPr>
        <w:footnoteReference w:id="186"/>
      </w:r>
      <w:r>
        <w:rPr>
          <w:rFonts w:ascii="IRNazanin" w:hAnsi="IRNazanin" w:eastAsia="IRNazanin"/>
          <w:color w:val="111111"/>
          <w:sz w:val="28"/>
          <w:sz w:val="28"/>
          <w:szCs w:val="28"/>
          <w:rtl w:val="true"/>
          <w:lang w:bidi="fa-IR"/>
        </w:rPr>
        <w:t>شاگرد بی‌واسطة اپیکور است</w:t>
      </w:r>
      <w:r>
        <w:rPr>
          <w:rFonts w:eastAsia="IRNazanin" w:cs="IRNazanin"/>
          <w:color w:val="111111"/>
          <w:sz w:val="28"/>
          <w:szCs w:val="28"/>
          <w:rtl w:val="true"/>
          <w:lang w:bidi="fa-IR"/>
        </w:rPr>
        <w:t xml:space="preserve">. </w:t>
      </w:r>
      <w:bookmarkStart w:id="183" w:name="pg5678_50362"/>
    </w:p>
    <w:p>
      <w:pPr>
        <w:pStyle w:val="BookText"/>
        <w:rPr/>
      </w:pPr>
      <w:bookmarkEnd w:id="183"/>
      <w:r>
        <w:rPr>
          <w:rFonts w:ascii="IRNazanin" w:hAnsi="IRNazanin" w:eastAsia="IRNazanin"/>
          <w:color w:val="111111"/>
          <w:sz w:val="28"/>
          <w:sz w:val="28"/>
          <w:szCs w:val="28"/>
          <w:rtl w:val="true"/>
          <w:lang w:bidi="fa-IR"/>
        </w:rPr>
        <w:t>از طریق این رساله می‌توان به انتقادات فیلسوفِ اپیکوری بر فلاسفة دیگر پی برد؛ به گونه‌ای که همة این انتقادات، در جهت تقویت شناسایی حس و تأکید بر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سخن دِموکریتوس که شناسایی حس، فاقد اصل صحیح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باور پارمنیدس که کثرت اشیا را منکر است،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امپدوکلس نیز بدین سبب باطل است که اختلاف طبایع در بین اشیا را نپذیرفته است و سقراط بدین دلیل که در جست‌وجوی تعریفی دربارة مفهوم انسان بوده است، مورد انتقاد است؛ چراکه مفهوم انسان، مفهومی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ایدة سلب جوهریّت برای اشیای محسوس از ناحیة افلاطون، ممکن نیست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استیلپن</w:t>
      </w:r>
      <w:r>
        <w:rPr>
          <w:rStyle w:val="FootnoteAnchor"/>
          <w:rtl w:val="true"/>
        </w:rPr>
        <w:footnoteReference w:id="187"/>
      </w:r>
      <w:r>
        <w:rPr>
          <w:rFonts w:ascii="IRNazanin" w:hAnsi="IRNazanin" w:eastAsia="IRNazanin"/>
          <w:color w:val="111111"/>
          <w:sz w:val="28"/>
          <w:sz w:val="28"/>
          <w:szCs w:val="28"/>
          <w:rtl w:val="true"/>
          <w:lang w:bidi="fa-IR"/>
        </w:rPr>
        <w:t>نیز به دلیل اعتقادش مبنی بر اینکه هیچ‌چیز را نمی‌توان دربارة هیچ‌چیز گفت، نهایت بی‌توجّهی به داده‌های حسّی است و سرانجام، این سخن از آرکسیلائوس</w:t>
      </w:r>
      <w:r>
        <w:rPr>
          <w:rStyle w:val="FootnoteAnchor"/>
          <w:rtl w:val="true"/>
        </w:rPr>
        <w:footnoteReference w:id="188"/>
      </w:r>
      <w:r>
        <w:rPr>
          <w:rFonts w:ascii="IRNazanin" w:hAnsi="IRNazanin" w:eastAsia="IRNazanin"/>
          <w:color w:val="111111"/>
          <w:sz w:val="28"/>
          <w:sz w:val="28"/>
          <w:szCs w:val="28"/>
          <w:rtl w:val="true"/>
          <w:lang w:bidi="fa-IR"/>
        </w:rPr>
        <w:t>که پی بردن به وجود واقعی اشیا به وساطت تصوّرات، امر ممکنی نیست، سخنی به غایت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این موارد، اپیکوریان در تلاش‌اند تا به نوعی بر شناسایی از راه حواس تأکید کنند و حواس را به عنوان ملاک واقعی و راه دست‌یابی به جهان خارج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اپیکوریان در همة موارد فوق، به اعتقادات خود پایبند بوده‌اند؟ تنها پاسخی که پلوتارخوس به همة این انتقادات داده است، این است که شواهدی از نصوص اقوال اپیکور در دست است که این حکیم، به نسبیّت احساسات اقرار دارد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84" w:name="__RefHeading___Toc3561875_581953129"/>
      <w:bookmarkStart w:id="185" w:name="_Toc69"/>
      <w:bookmarkEnd w:id="184"/>
      <w:r>
        <w:rPr>
          <w:rtl w:val="true"/>
        </w:rPr>
        <w:t>اپیکوریان و قداست‌زدایی از معرفت</w:t>
      </w:r>
      <w:bookmarkEnd w:id="1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اپیکوری از مکاتبی است که قداست‌زدایی از معرفت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طبیعتاً دارای قداست است؛ زیرا با حقّ اصلی و اوّلی، یعنی سرچشمة هر امر قدسی، رابطه‌ای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امروزی از احساس حیرت بی‌بهره است و اینکه در دنیای متجدّد، قوة عاقله فقط به معنای زیرکی و زرنگی آن به کار رفته و حکمت ذوقی بسیار کمرنگ گشته و عقل استدلالی به معنای ظاهری و ابتدایی‌اش تنزّل یافته است، همه، گواه این است </w:t>
      </w:r>
      <w:bookmarkStart w:id="186" w:name="pg5678_50363"/>
    </w:p>
    <w:p>
      <w:pPr>
        <w:pStyle w:val="BookText"/>
        <w:rPr/>
      </w:pPr>
      <w:bookmarkEnd w:id="186"/>
      <w:r>
        <w:rPr>
          <w:rFonts w:ascii="IRNazanin" w:hAnsi="IRNazanin" w:eastAsia="IRNazanin"/>
          <w:color w:val="111111"/>
          <w:sz w:val="28"/>
          <w:sz w:val="28"/>
          <w:szCs w:val="28"/>
          <w:rtl w:val="true"/>
          <w:lang w:bidi="fa-IR"/>
        </w:rPr>
        <w:t>که معرفت از جایگاه رفیعِ خود تا حدّ زیادی به زیر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منطقی و ریاضی قطعیت دارد، اما منشأ این قطعیت چیست؟ باید گفت، این قطعیت، سرچشمة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اساساً سرچشمه قدسی دارد، اما به این مسئله توجّه نمی‌شود، بلکه در برهه‌ای، حتی برای دفاع از دین، با منطق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امکان شناخت برخوردار است و حتی می‌تواند به حقیقی الحقائق آگاه شود،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مقدّس است تا آنجا که آنسلم</w:t>
      </w:r>
      <w:r>
        <w:rPr>
          <w:rStyle w:val="FootnoteAnchor"/>
          <w:rtl w:val="true"/>
        </w:rPr>
        <w:footnoteReference w:id="19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می‌آورم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ایمان، معرفت پی‌ریزی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قداست‌زدایی از معرفت در جهان غرب، یونان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مخالف چنین روندی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ظهور مکاتبی همچون سفسطه‌گرایی و اپیکوری و بعضی دیگر از مکاتب که استدلال‌گرایی در آنها تحت شعاع قرار گرفته بود و اینکه معرفت به دلیل‌پردازی و یا صرف نقّادیهای ذهنی تنزل یافته بود، باعث تنزل ارزش معرفت گشت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87" w:name="__RefHeading___Toc3561877_581953129"/>
      <w:bookmarkStart w:id="188" w:name="_Toc70"/>
      <w:bookmarkEnd w:id="187"/>
      <w:r>
        <w:rPr>
          <w:rtl w:val="true"/>
        </w:rPr>
        <w:t>لذّت‌جویی اپیکوری</w:t>
      </w:r>
      <w:bookmarkEnd w:id="188"/>
    </w:p>
    <w:p>
      <w:pPr>
        <w:pStyle w:val="BookText"/>
        <w:rPr/>
      </w:pPr>
      <w:r>
        <w:rPr>
          <w:rFonts w:ascii="IRNazanin" w:hAnsi="IRNazanin" w:eastAsia="IRNazanin"/>
          <w:color w:val="111111"/>
          <w:sz w:val="28"/>
          <w:sz w:val="28"/>
          <w:szCs w:val="28"/>
          <w:rtl w:val="true"/>
          <w:lang w:bidi="fa-IR"/>
        </w:rPr>
        <w:t>اپیکور بر لذّت‌جویی، راحت بودن و دور کردن الم و درد از خود تأکید می‌کرد و خودپسندی را که موجب می‌شود انسانها زندگی را بر خود، تیره و تار کنند، مذموم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او این نبود که الم و رنج وجود ندارد، بلکه معتقد بود شرور، بیش از خیرات، اطراف ما را فراگرفته است، ولی آنچه مهم است، چگونگی برخورد و عکس‌العمل ما در برابر این آلام و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نامه‌ای که در آخرین لحظات عمر خویش به یکی از دوستانش نوشته است، مشهود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آخرین روز فرخندة زندگیم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مثانه، مرا سخت معذّب داشته و چنان از درد به خود می‌پیچم که تن را دیگر، یارای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 به رغم همة این درد و عذاب، به یاد افکار و سخنانی که در گذشته داشتیم، دل‌خوشم</w:t>
      </w:r>
      <w:r>
        <w:rPr>
          <w:rFonts w:eastAsia="IRNazanin" w:cs="IRNazanin"/>
          <w:color w:val="111111"/>
          <w:sz w:val="28"/>
          <w:szCs w:val="28"/>
          <w:rtl w:val="true"/>
          <w:lang w:bidi="fa-IR"/>
        </w:rPr>
        <w:t>.</w:t>
      </w:r>
      <w:r>
        <w:rPr>
          <w:rStyle w:val="FootnoteAnchor"/>
          <w:rtl w:val="true"/>
        </w:rPr>
        <w:footnoteReference w:id="192"/>
      </w:r>
      <w:bookmarkStart w:id="189" w:name="pg5678_50364"/>
    </w:p>
    <w:p>
      <w:pPr>
        <w:pStyle w:val="BookText"/>
        <w:rPr/>
      </w:pPr>
      <w:bookmarkEnd w:id="189"/>
      <w:r>
        <w:rPr>
          <w:rFonts w:ascii="IRNazanin" w:hAnsi="IRNazanin" w:eastAsia="IRNazanin"/>
          <w:color w:val="111111"/>
          <w:sz w:val="28"/>
          <w:sz w:val="28"/>
          <w:szCs w:val="28"/>
          <w:rtl w:val="true"/>
          <w:lang w:bidi="fa-IR"/>
        </w:rPr>
        <w:t xml:space="preserve">منظور او از لذّت، آرامش خاطر و صفای روح و آسودگی خیال بود و آنچه امروزه در اروپا برخورداری از لذائذ جسمانی را زندگی اپیکوری می‌نامند، صحیح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اپیکور در حقیقت، اپیکوری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حتی معتقد بود که لذّت از راه حکمت به دست می‌آید و حکمت عملی، اخلاق و تهذیب نفس را غایت حکمت نظری می‌دانست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مطالعة تاریخ فلسفه چنین برمی‌آید که منظور اپیکور از لذائذ، لذائذ زودگذر و آنی نبوده، بلکه منظورش لذائذ پایدار و با دوام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لذائذی در صورتی تحقّق می‌یابد که کردار و گفتار فرد براساس عقل، منطق و معنویات پایه‌ریزی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امروزه لاابالیگری و دم‌غنیمتی را به اپیکور نسبت می‌دهند، ولی همچنین گفته شده که او معتقد به لذّات معنوی و پایدار بوده و لذائذ را تنها در لذائذ حیوانی منحصر نمی‌نمود، بلکه لذائذ معنوی را ترجیح می‌داد؛ زیرا لذائذ معنوی دوامشان بیشتر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90" w:name="__RefHeading___Toc3561879_581953129"/>
      <w:bookmarkStart w:id="191" w:name="_Toc71"/>
      <w:bookmarkEnd w:id="190"/>
      <w:r>
        <w:rPr>
          <w:rtl w:val="true"/>
        </w:rPr>
        <w:t>اپیکور و نفس</w:t>
      </w:r>
      <w:bookmarkEnd w:id="191"/>
    </w:p>
    <w:p>
      <w:pPr>
        <w:pStyle w:val="BookText"/>
        <w:rPr/>
      </w:pPr>
      <w:r>
        <w:rPr>
          <w:rFonts w:ascii="IRNazanin" w:hAnsi="IRNazanin" w:eastAsia="IRNazanin"/>
          <w:color w:val="111111"/>
          <w:sz w:val="28"/>
          <w:sz w:val="28"/>
          <w:szCs w:val="28"/>
          <w:rtl w:val="true"/>
          <w:lang w:bidi="fa-IR"/>
        </w:rPr>
        <w:t xml:space="preserve">از آنجا که اپیکور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به نفس نیز با این دید می‌نگرد؛ یعنی نفس را متشکل از اتمها می‌داند؛ چنان که سایر اشیای اطراف ما از اتمها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نفس مادّی و میراست؛ از این رو، لزومی ندارد که از حوادث بعد از مرگ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اپیکور در این باره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کن بیندیشی که مرگ، هیچ‌چیز برای ما نیست؛ چون هر خیر و شری، در احساس است و مرگ محروم شدن از احساس؛ بنابراین، شناخت درست از مرگ که مرگ هیچ‌چیزی برای ما نیست، جنبة میرایی زندگی را لذّت‌بخش می‌سازد، نه با افزودن زمان نامحدود، بلکه باور داشتن اشتیاق به نامیرایی</w:t>
      </w:r>
      <w:r>
        <w:rPr>
          <w:rFonts w:eastAsia="IRNazanin" w:cs="IRNazanin"/>
          <w:color w:val="111111"/>
          <w:sz w:val="28"/>
          <w:szCs w:val="28"/>
          <w:rtl w:val="true"/>
          <w:lang w:bidi="fa-IR"/>
        </w:rPr>
        <w:t>.</w:t>
      </w:r>
      <w:r>
        <w:rPr>
          <w:rStyle w:val="FootnoteAnchor"/>
          <w:rtl w:val="true"/>
        </w:rPr>
        <w:footnoteReference w:id="196"/>
      </w:r>
      <w:bookmarkStart w:id="192" w:name="pg5678_50365"/>
    </w:p>
    <w:p>
      <w:pPr>
        <w:pStyle w:val="BookText"/>
        <w:rPr/>
      </w:pPr>
      <w:bookmarkEnd w:id="192"/>
      <w:r>
        <w:rPr>
          <w:rFonts w:ascii="IRNazanin" w:hAnsi="IRNazanin" w:eastAsia="IRNazanin"/>
          <w:color w:val="111111"/>
          <w:sz w:val="28"/>
          <w:sz w:val="28"/>
          <w:szCs w:val="28"/>
          <w:rtl w:val="true"/>
          <w:lang w:bidi="fa-IR"/>
        </w:rPr>
        <w:t>اپیکور از کدام ترسها سخن می‌گوید؟ می‌توان گفت، منظور وی ترسهایی است که کفالس</w:t>
      </w:r>
      <w:r>
        <w:rPr>
          <w:rStyle w:val="FootnoteAnchor"/>
          <w:rtl w:val="true"/>
        </w:rPr>
        <w:footnoteReference w:id="197"/>
      </w:r>
      <w:r>
        <w:rPr>
          <w:rFonts w:ascii="IRNazanin" w:hAnsi="IRNazanin" w:eastAsia="IRNazanin"/>
          <w:color w:val="111111"/>
          <w:sz w:val="28"/>
          <w:sz w:val="28"/>
          <w:szCs w:val="28"/>
          <w:rtl w:val="true"/>
          <w:lang w:bidi="fa-IR"/>
        </w:rPr>
        <w:t>در پاسخ سقراط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سودی که از ثروت هنگفت برده‌ای، کدام است؟ وی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بگویم مردم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سقراط، باید بدانی که آدمی چون به مرحله‌ای از زندگی می‌رسد که مرگ را نزدیک می‌بیند، در اندیشة چیزهایی می‌افتد که پیش از آن به خاطرش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راجع به جهان دیگر و اینکه ستمکاران در آنجا کیفر کارهای خود را می‌بینند، یعنی همان سخنانی که در جوانی به آنها می‌خندیدیم، در این مرحله، مایة تشویش و نگرانی می‌شود و آدمی به این فکر می‌افتد که نکند که همة آن سخنها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 به علّت ناتوانی و پیری و خواه به سبب نزدیکی مرگ، به سرنوشتی که در جهان دیگر خواهد داشت، توجّهی بیشتر می‌یابد و به بیم و هراس می‌افتد و در زندگی گذشتة خود به جست‌وجو می‌پردازد تا ببیند آیا کسی را آزرده و حقّ کسی را پایمال ساخته است یا نه؟ کسی که در زندگی گذشتة خود، کارهای ظالمانه به مقدار فراوان بیابد، به تشویش می‌افتد و چشم به راه کیفر می‌نشیند، حتی گاه چون کودکان، خوابهای وحشت‌زا می‌بیند و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در گذشتة خود، عملی ظالمانه پیدا نکند، آرامش خود را بازمی‌یابد و امید که پیندار</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غمگسار دوران پیری نامیده است، یار او می‌شود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93" w:name="__RefHeading___Toc3561881_581953129"/>
      <w:bookmarkStart w:id="194" w:name="_Toc72"/>
      <w:bookmarkEnd w:id="193"/>
      <w:r>
        <w:rPr>
          <w:rtl w:val="true"/>
        </w:rPr>
        <w:t>نتیجه‌گیری</w:t>
      </w:r>
      <w:bookmarkEnd w:id="194"/>
    </w:p>
    <w:p>
      <w:pPr>
        <w:pStyle w:val="BookText"/>
        <w:rPr/>
      </w:pPr>
      <w:r>
        <w:rPr>
          <w:rFonts w:ascii="IRNazanin" w:hAnsi="IRNazanin" w:eastAsia="IRNazanin"/>
          <w:color w:val="111111"/>
          <w:sz w:val="28"/>
          <w:sz w:val="28"/>
          <w:szCs w:val="28"/>
          <w:rtl w:val="true"/>
          <w:lang w:bidi="fa-IR"/>
        </w:rPr>
        <w:t>با توجّه به مجموع بحثهای گذشته، اکنون این پرسش مطرح می‌گردد که پاسخ اپیکور به پرسشهای فراوانی که در باب معرفت‌شناسی مطرح است، چیست؟ از لابه‌لای شرح حال وی در تاریخ فلسفه، به برخی از پاسخهای وی در باب معرفت‌شناسی، می‌توان دست 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اپیکور، معرفت را حاصل‌شدنی می‌داند؛ زیرا از یک سو، به جهان خارج اذعان دارد و از سوی دیگر، حواس را راه وصول به واقعیات خارجی می‌داند و بر آن تأکید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وصول به معرفت از ناحیة حواس، شرایطی لازم است که بدون تحقّق این شرایط، معرفت حاصل نمی‌گردد؛ در عین حال، اپیکور اعتقاد به امور نامرئی را نیز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با کمک حواس می‌توان عقیده‌ای را موجّه ساخت و حتی داوریهای عقل هم مبتنی بر حواس است؛ یعنی با میزان می‌توان مسائل مختلف را سنجید؛ اگر با حواس تأیید شدند، موجّه‌اند و در غیر این صورت، غیر موجّه‌اند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حسّی زمانی محقّق می‌شود که اتمهایی از شیء محسوس به اندامهای حسّی نفوذ کرده، به اتمهای روح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لذّت، علّتِ موجدِ لذّت هم فهم می‌گردد و فعل مورد نظر را شایستة انجام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اشیای نامرئی، توجیه درستی ارائه شود، اپیکور به آن معتقد می‌گردد و گاهی هم یادآوری می‌کند که در موارد نبود نقض، می‌توان به امری معتقد شد و سرانجام، اینکه انسان می‌تواند بداند و معیار مطابقت با واقع، حواس است</w:t>
      </w:r>
      <w:r>
        <w:rPr>
          <w:rFonts w:eastAsia="IRNazanin" w:cs="IRNazanin"/>
          <w:color w:val="111111"/>
          <w:sz w:val="28"/>
          <w:szCs w:val="28"/>
          <w:rtl w:val="true"/>
          <w:lang w:bidi="fa-IR"/>
        </w:rPr>
        <w:t xml:space="preserve">. </w:t>
      </w:r>
      <w:bookmarkStart w:id="195" w:name="pg5678_50367"/>
    </w:p>
    <w:p>
      <w:pPr>
        <w:pStyle w:val="Heading2"/>
        <w:numPr>
          <w:ilvl w:val="1"/>
          <w:numId w:val="1"/>
        </w:numPr>
        <w:rPr/>
      </w:pPr>
      <w:bookmarkStart w:id="196" w:name="__RefHeading___Toc3561883_581953129"/>
      <w:bookmarkStart w:id="197" w:name="_Toc73"/>
      <w:bookmarkEnd w:id="195"/>
      <w:bookmarkEnd w:id="196"/>
      <w:r>
        <w:rPr>
          <w:rtl w:val="true"/>
        </w:rPr>
        <w:t>معرفت‌شناسی از منظر رواقیان</w:t>
      </w:r>
      <w:bookmarkEnd w:id="197"/>
    </w:p>
    <w:p>
      <w:pPr>
        <w:pStyle w:val="Heading3"/>
        <w:numPr>
          <w:ilvl w:val="2"/>
          <w:numId w:val="1"/>
        </w:numPr>
        <w:rPr/>
      </w:pPr>
      <w:bookmarkStart w:id="198" w:name="__RefHeading___Toc3561885_581953129"/>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محمد وحیدیان و محمداسحاق عارفی</w:t>
      </w:r>
    </w:p>
    <w:p>
      <w:pPr>
        <w:pStyle w:val="Heading3"/>
        <w:numPr>
          <w:ilvl w:val="2"/>
          <w:numId w:val="1"/>
        </w:numPr>
        <w:rPr/>
      </w:pPr>
      <w:bookmarkStart w:id="200" w:name="__RefHeading___Toc3561887_581953129"/>
      <w:bookmarkStart w:id="201" w:name="_Toc75"/>
      <w:bookmarkEnd w:id="200"/>
      <w:r>
        <w:rPr>
          <w:rtl w:val="true"/>
        </w:rPr>
        <w:t>مقدّمه</w:t>
      </w:r>
      <w:bookmarkEnd w:id="201"/>
    </w:p>
    <w:p>
      <w:pPr>
        <w:pStyle w:val="BookText"/>
        <w:rPr/>
      </w:pPr>
      <w:r>
        <w:rPr>
          <w:rFonts w:ascii="IRNazanin" w:hAnsi="IRNazanin" w:eastAsia="IRNazanin"/>
          <w:color w:val="111111"/>
          <w:sz w:val="28"/>
          <w:sz w:val="28"/>
          <w:szCs w:val="28"/>
          <w:rtl w:val="true"/>
          <w:lang w:bidi="fa-IR"/>
        </w:rPr>
        <w:t>آدمی در آغاز تفکّر فلسفی خویش، در پی کشف واقعیتهای هستی و برگرفتن حجاب از طبیعت اشیا بوده است تا به گوهر آنها معرفت یابد و از علّی‌العلل مواد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هر روز، عنصری از عناصر به عنوان مادّی‌المواد معرّفی می‌شد، اما پس از روشن شدن ضرورت فلسفه برای هستی‌شناسی، پرسشهای آدمی تغییر کرد و جهتِ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پرسشها دربارة طبیعت بود، اکنون آن پرسشها خود انسان را نشانه گرفته است و ممکن است تمام آنچه در گذشته به دست آمده است، مُهر تأیید یا ابطال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پرسشها به صورت زیر طرح‌شدنی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انسان می‌تواند به واقعیات و حقایق، آن‌گونه که هست، دست یابد، یا در برابر فهم بشر، مشکلاتی وجود دارد که نمی‌تواند به همة حقایق یا بخش عمده‌ای از آن راه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کارایی عقل و حسّ بشر چه اندازه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یا ابزارهای کارآمد فهم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در چه صورتی مطابق با واقع است و معیار سنجش فهم بشر چیست؟ </w:t>
      </w:r>
      <w:bookmarkStart w:id="202" w:name="pg5678_50368"/>
    </w:p>
    <w:p>
      <w:pPr>
        <w:pStyle w:val="BookText"/>
        <w:rPr/>
      </w:pPr>
      <w:bookmarkEnd w:id="202"/>
      <w:r>
        <w:rPr>
          <w:rFonts w:ascii="IRNazanin" w:hAnsi="IRNazanin" w:eastAsia="IRNazanin"/>
          <w:color w:val="111111"/>
          <w:sz w:val="28"/>
          <w:sz w:val="28"/>
          <w:szCs w:val="28"/>
          <w:rtl w:val="true"/>
          <w:lang w:bidi="fa-IR"/>
        </w:rPr>
        <w:t xml:space="preserve">براساس این، محور بحث از هستی‌شناسی به معرفت‌شناسی تغییر جهت داد و سبب شد تا باب جدیدی در حوزة معرفت بشر گشوده شود و دانشی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گردد؛ هرچند از پیدایش معرفت‌شناسی به عنوان یک رشته علمی بیش از یک سده نمی‌گذرد، با وجود این، چنان گسترش یافته است که مکاتب زیادی در این حوزه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نوشتار، دیدگاه رواقیان در باب معرفت‌شناسی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پیشینة تاریخی و فلسفی این مکتب اشاره می‌گردد</w:t>
      </w:r>
      <w:r>
        <w:rPr>
          <w:rFonts w:eastAsia="IRNazanin" w:cs="IRNazanin"/>
          <w:color w:val="111111"/>
          <w:sz w:val="28"/>
          <w:szCs w:val="28"/>
          <w:rtl w:val="true"/>
          <w:lang w:bidi="fa-IR"/>
        </w:rPr>
        <w:t>.</w:t>
      </w:r>
    </w:p>
    <w:p>
      <w:pPr>
        <w:pStyle w:val="Heading3"/>
        <w:numPr>
          <w:ilvl w:val="2"/>
          <w:numId w:val="1"/>
        </w:numPr>
        <w:rPr/>
      </w:pPr>
      <w:bookmarkStart w:id="203" w:name="__RefHeading___Toc3561889_581953129"/>
      <w:bookmarkStart w:id="204" w:name="_Toc76"/>
      <w:bookmarkEnd w:id="203"/>
      <w:r>
        <w:rPr>
          <w:rtl w:val="true"/>
        </w:rPr>
        <w:t>عصر یونانی‌مآبی</w:t>
      </w:r>
      <w:bookmarkEnd w:id="204"/>
    </w:p>
    <w:p>
      <w:pPr>
        <w:pStyle w:val="BookText"/>
        <w:rPr/>
      </w:pPr>
      <w:r>
        <w:rPr>
          <w:rFonts w:ascii="IRNazanin" w:hAnsi="IRNazanin" w:eastAsia="IRNazanin"/>
          <w:color w:val="111111"/>
          <w:sz w:val="28"/>
          <w:sz w:val="28"/>
          <w:szCs w:val="28"/>
          <w:rtl w:val="true"/>
          <w:lang w:bidi="fa-IR"/>
        </w:rPr>
        <w:t>با ظهور اسکندر و گسترش فتوحات او و جانشینانش، دیگر از آزادی و استقلال دولت‌شهرهای یونانی، جز اسم و لفظی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میان دولت‌شهرها برچیده شد و تفکّر امپراتوری اسکندر، جایگزین تفکّر دولت‌شهر ارسطو و افلاطون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کوچک سیاسی به گنجینة تاریخ سپرده شد و فرهنگ یونانی انتشار یافت و مورد اشتراک همة ممالک دریای مدیترانه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از زمان مرگ اسکندر تا غلبه رومیان، اندک اندک از مصر و سوریه تا روم و اسپانیا، از محافل روشنفکران یهود تا مجامع اشراف روم غالب گردید</w:t>
      </w:r>
      <w:r>
        <w:rPr>
          <w:rStyle w:val="FootnoteAnchor"/>
          <w:rtl w:val="true"/>
        </w:rPr>
        <w:footnoteReference w:id="200"/>
      </w:r>
      <w:r>
        <w:rPr>
          <w:rFonts w:ascii="IRNazanin" w:hAnsi="IRNazanin" w:eastAsia="IRNazanin"/>
          <w:color w:val="111111"/>
          <w:sz w:val="28"/>
          <w:sz w:val="28"/>
          <w:szCs w:val="28"/>
          <w:rtl w:val="true"/>
          <w:lang w:bidi="fa-IR"/>
        </w:rPr>
        <w:t>و سبب شد تا با گسترش فتوحات فرهنگ یونانی، تحت تأثیر فرهنگهای دیگر، خصوصاً جوامع شرقی،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فرهنگ یونانی اصالت خود را از دست داد و به تمدّن یونانی‌مآبی مبدّل شد؛ از این رو، پس از مرگ فاتح بزرگ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تمدّن یونانی‌مآبی، بیشتر سخن بگوییم تا از تمدّن یونان باستان</w:t>
      </w:r>
      <w:r>
        <w:rPr>
          <w:rFonts w:eastAsia="IRNazanin" w:cs="IRNazanin"/>
          <w:color w:val="111111"/>
          <w:sz w:val="28"/>
          <w:szCs w:val="28"/>
          <w:rtl w:val="true"/>
          <w:lang w:bidi="fa-IR"/>
        </w:rPr>
        <w:t>.</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یعنی فاصلة میان مرگ اسکندر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قرون وسطی در قرن چهاردهم میلادی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هلینیزم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پریشانی اوضاع سیاسی دولت‌شهرهای یونان، انحطاط اجتماعی و اقتصادی را در پی داشت؛ حالت یأس، ناامیدی و بی‌دفاعی در برابر نیروهای سیاسی و اجتماعی تازه با خوش‌بینی عصر افلاطون جابه‌جا شد؛ چیزی به نام امنیّت و ایمنی وجود نداشت و در نظام </w:t>
      </w:r>
    </w:p>
    <w:p>
      <w:pPr>
        <w:pStyle w:val="BookText"/>
        <w:rPr/>
      </w:pPr>
      <w:r>
        <w:rPr>
          <w:rFonts w:ascii="IRNazanin" w:hAnsi="IRNazanin" w:eastAsia="IRNazanin"/>
          <w:color w:val="111111"/>
          <w:sz w:val="28"/>
          <w:sz w:val="28"/>
          <w:szCs w:val="28"/>
          <w:rtl w:val="true"/>
          <w:lang w:bidi="fa-IR"/>
        </w:rPr>
        <w:t>امور بشری، هیچ‌چیزی معقول جلوه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بعد از پیروزیهای درخشان اسکندر، شدّت بیشتری گرفت و به سبب نبودن فرمانده‌ای توانا که بتواند نیروی پایداری را به دست آورد، یا به واسطة نداشتن اصل نیرومندی که بتواند هماهنگی اجتماعی را تأمین کند، دنیای یونانی اندک اندک در هرج و مرج فرو رفت و فکر یونانی، در حلّ مشکلات سیاسی به کلّی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به قول راسل، هدف زندگی، بیشتر، در بردن گلیم خویش از موج بود، تا سعی در گرفتن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اوّلی در طاق نسیان می‌افتد و اخلاق که اکنون جنبة فردی دارد، در طراز اوّل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دیگر خط آتشی در پیشاپیش جویندگان حقیقت نیست، بلکه نعش‌کشی است که به دنبال کاروان تلاش معاش حرکت می‌کند و درماندگان و زخمیان را از سر راه برمی‌دارد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شرایط خاص، سبب شکل‌گیری فلسفه‌های کلبی، رواقی و اپیکوری گردید که همة آنها در پی فراهم آوردن سعادتی سهل‌الوصول و دست‌یافتنی برای آدمی بودند و او را از این وانفسای روزگار نجات بخشند؛ از این رو، یکی از ویژگیهای این مکاتب، عدول از افلاطون و ارسطو و توجّه به سقراط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غایت قصوای خود را سعات انسان و اخلاق قرار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فلسفة 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تعبیر دیگری بیان می‌شود و گفته می‌شود که فلسفة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نجات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نجات، یعنی این اندیشه که ای انسان، وضع موجود تو هم مطلوب نیست، وضع مطلوب تو هم موجود نیست و می‌توان از این وضع موجود نامطلوب به وضع مطلوب ناموجود رسید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وجه اشتراک این فلسفه‌ها این است که مدار همة آنها به گِرد فرد انسان است و به او اخلاقی را توصیه می‌کند تا به کمک آنها بتواند روزگار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فلسفه‌ها به امکان زندگی خوب با بدبینی می‌نگرد و هدف همة آنها صدور این نسخه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w:t>
      </w:r>
      <w:bookmarkStart w:id="205" w:name="pg5678_50370"/>
    </w:p>
    <w:p>
      <w:pPr>
        <w:pStyle w:val="BookText"/>
        <w:rPr/>
      </w:pPr>
      <w:bookmarkEnd w:id="205"/>
      <w:r>
        <w:rPr>
          <w:rFonts w:ascii="IRNazanin" w:hAnsi="IRNazanin" w:eastAsia="IRNazanin"/>
          <w:color w:val="111111"/>
          <w:sz w:val="28"/>
          <w:sz w:val="28"/>
          <w:szCs w:val="28"/>
          <w:rtl w:val="true"/>
          <w:lang w:bidi="fa-IR"/>
        </w:rPr>
        <w:t>خوب، زندگی‌ای است که ممکن 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نتیجه، فلسفة ایشان شامل پند و اندرز به افراد انسانی برای رسیدن به رستگاری شخص در یک دنیای خردکننده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علاقه به فلسفه به سبب خود فلسفه نبود، بلکه بدین سبب بود که فلسفه، فراهم‌کنندة پایه و مبنای اخلاق و آمادگی برای آن بود؛ از این رو، این مکاتب، وقتی را برای اصول نظری صرف نمی‌کردند و برای پایه‌های جهان‌شناسی نظامهایشان، به فکر پیش از سقراطی بازگشتند و حتی برای اندیشه یا گرایشهای اخلاقی خود، به پیش از سقراطیان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رواقیان، آن را از اخلاق کلبی و اپیکوریان، از کورنائیان گرفته بودند</w:t>
      </w:r>
      <w:r>
        <w:rPr>
          <w:rFonts w:eastAsia="IRNazanin" w:cs="IRNazanin"/>
          <w:color w:val="111111"/>
          <w:sz w:val="28"/>
          <w:szCs w:val="28"/>
          <w:rtl w:val="true"/>
          <w:lang w:bidi="fa-IR"/>
        </w:rPr>
        <w:t>.</w:t>
      </w:r>
    </w:p>
    <w:p>
      <w:pPr>
        <w:pStyle w:val="Heading3"/>
        <w:numPr>
          <w:ilvl w:val="2"/>
          <w:numId w:val="1"/>
        </w:numPr>
        <w:rPr/>
      </w:pPr>
      <w:bookmarkStart w:id="206" w:name="__RefHeading___Toc3561891_581953129"/>
      <w:bookmarkStart w:id="207" w:name="_Toc77"/>
      <w:bookmarkEnd w:id="206"/>
      <w:r>
        <w:rPr>
          <w:rtl w:val="true"/>
        </w:rPr>
        <w:t>مکتب رواقی</w:t>
      </w:r>
      <w:bookmarkEnd w:id="207"/>
    </w:p>
    <w:p>
      <w:pPr>
        <w:pStyle w:val="Heading4"/>
        <w:numPr>
          <w:ilvl w:val="3"/>
          <w:numId w:val="1"/>
        </w:numPr>
        <w:rPr/>
      </w:pPr>
      <w:bookmarkStart w:id="208" w:name="__RefHeading___Toc3561893_581953129"/>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فلسفة رواقی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غیر یونانی به نام زنون</w:t>
      </w:r>
      <w:r>
        <w:rPr>
          <w:rStyle w:val="FootnoteAnchor"/>
          <w:rtl w:val="true"/>
        </w:rPr>
        <w:footnoteReference w:id="207"/>
      </w:r>
      <w:r>
        <w:rPr>
          <w:rFonts w:ascii="IRNazanin" w:hAnsi="IRNazanin" w:eastAsia="IRNazanin"/>
          <w:color w:val="111111"/>
          <w:sz w:val="28"/>
          <w:sz w:val="28"/>
          <w:szCs w:val="28"/>
          <w:rtl w:val="true"/>
          <w:lang w:bidi="fa-IR"/>
        </w:rPr>
        <w:t>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کیتیون</w:t>
      </w:r>
      <w:r>
        <w:rPr>
          <w:rStyle w:val="FootnoteAnchor"/>
          <w:rtl w:val="true"/>
        </w:rPr>
        <w:footnoteReference w:id="208"/>
      </w:r>
      <w:r>
        <w:rPr>
          <w:rFonts w:ascii="IRNazanin" w:hAnsi="IRNazanin" w:eastAsia="IRNazanin"/>
          <w:color w:val="111111"/>
          <w:sz w:val="28"/>
          <w:sz w:val="28"/>
          <w:szCs w:val="28"/>
          <w:rtl w:val="true"/>
          <w:lang w:bidi="fa-IR"/>
        </w:rPr>
        <w:t>در جزیرة قبرس</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Cyprus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متولد شد و به سال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بهانة فعالیّت تجاری به همراه پدر خویش به آتن آمد، اما با خواندن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گزنفون و خطبة دفاعیّة سقراط، شدیداً مجذوب سیرت و خصلت سقراط شد و چون همه این خصوصیات را در کراتس کلبی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دید، در محضر او به شاگردی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رواقی، ساخت یک اندیشه نیست و تاریخی نسبتاً طولانی دارد و در سرنوشت نسبتاً طولانی خود، در معرض تحوّلات اساسی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به منزلة تحوّل و پیشرفت مذهب کلبی بود و پایان آن، صورتی از ایدئالیسم افلاطونی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فلسفة رواقی، به علّت تاریخ طولانی آن و رخ دادن دگرگونیهایی در نظریات رواقیان، به سه دوره تقسیم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رواقیان قدیم؛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رواقیان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رواقیان امپراتوری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نهایت این مکتب نزدیک‌تر می‌شویم، گرایش به تعالیم اخلاقی و تأکید بر جنبة عملی فلسفه بیشتر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زنون، کلئانتس</w:t>
      </w:r>
      <w:r>
        <w:rPr>
          <w:rStyle w:val="FootnoteAnchor"/>
          <w:rtl w:val="true"/>
        </w:rPr>
        <w:footnoteReference w:id="210"/>
      </w:r>
      <w:r>
        <w:rPr>
          <w:rFonts w:ascii="IRNazanin" w:hAnsi="IRNazanin" w:eastAsia="IRNazanin"/>
          <w:color w:val="111111"/>
          <w:sz w:val="28"/>
          <w:sz w:val="28"/>
          <w:szCs w:val="28"/>
          <w:rtl w:val="true"/>
          <w:lang w:bidi="fa-IR"/>
        </w:rPr>
        <w:t>اهل آسوس</w:t>
      </w:r>
      <w:r>
        <w:rPr>
          <w:rStyle w:val="FootnoteAnchor"/>
          <w:rtl w:val="true"/>
        </w:rPr>
        <w:footnoteReference w:id="211"/>
      </w:r>
      <w:r>
        <w:rPr>
          <w:rFonts w:eastAsia="IRNazanin" w:cs="IRNazanin"/>
          <w:color w:val="111111"/>
          <w:sz w:val="28"/>
          <w:szCs w:val="28"/>
          <w:rtl w:val="true"/>
          <w:lang w:bidi="fa-IR"/>
        </w:rPr>
        <w:t>(</w:t>
      </w:r>
      <w:r>
        <w:rPr>
          <w:rFonts w:eastAsia="IRNazanin" w:cs="IRNazanin"/>
          <w:color w:val="111111"/>
          <w:sz w:val="28"/>
          <w:szCs w:val="28"/>
          <w:lang w:bidi="fa-IR"/>
        </w:rPr>
        <w:t>330/331</w:t>
      </w:r>
      <w:r>
        <w:rPr>
          <w:rFonts w:eastAsia="IRNazanin" w:cs="IRNazanin"/>
          <w:color w:val="111111"/>
          <w:sz w:val="28"/>
          <w:szCs w:val="28"/>
          <w:rtl w:val="true"/>
          <w:lang w:bidi="fa-IR"/>
        </w:rPr>
        <w:t>-</w:t>
      </w:r>
      <w:r>
        <w:rPr>
          <w:rFonts w:eastAsia="IRNazanin" w:cs="IRNazanin"/>
          <w:color w:val="111111"/>
          <w:sz w:val="28"/>
          <w:szCs w:val="28"/>
          <w:lang w:bidi="fa-IR"/>
        </w:rPr>
        <w:t>1/2/233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خروسیپوس</w:t>
      </w:r>
      <w:r>
        <w:rPr>
          <w:rStyle w:val="FootnoteAnchor"/>
          <w:rtl w:val="true"/>
        </w:rPr>
        <w:footnoteReference w:id="212"/>
      </w:r>
      <w:r>
        <w:rPr>
          <w:rFonts w:ascii="IRNazanin" w:hAnsi="IRNazanin" w:eastAsia="IRNazanin"/>
          <w:color w:val="111111"/>
          <w:sz w:val="28"/>
          <w:sz w:val="28"/>
          <w:szCs w:val="28"/>
          <w:rtl w:val="true"/>
          <w:lang w:bidi="fa-IR"/>
        </w:rPr>
        <w:t>اهل سولوئی</w:t>
      </w:r>
      <w:r>
        <w:rPr>
          <w:rStyle w:val="FootnoteAnchor"/>
          <w:rtl w:val="true"/>
        </w:rPr>
        <w:footnoteReference w:id="213"/>
      </w:r>
      <w:r>
        <w:rPr>
          <w:rFonts w:ascii="IRNazanin" w:hAnsi="IRNazanin" w:eastAsia="IRNazanin"/>
          <w:color w:val="111111"/>
          <w:sz w:val="28"/>
          <w:sz w:val="28"/>
          <w:szCs w:val="28"/>
          <w:rtl w:val="true"/>
          <w:lang w:bidi="fa-IR"/>
        </w:rPr>
        <w:t>در کیلیکیا</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Cilicia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278/281</w:t>
      </w:r>
      <w:r>
        <w:rPr>
          <w:rFonts w:eastAsia="IRNazanin" w:cs="IRNazanin"/>
          <w:color w:val="111111"/>
          <w:sz w:val="28"/>
          <w:szCs w:val="28"/>
          <w:rtl w:val="true"/>
          <w:lang w:bidi="fa-IR"/>
        </w:rPr>
        <w:t xml:space="preserve">- </w:t>
      </w:r>
      <w:r>
        <w:rPr>
          <w:rFonts w:eastAsia="IRNazanin" w:cs="IRNazanin"/>
          <w:color w:val="111111"/>
          <w:sz w:val="28"/>
          <w:szCs w:val="28"/>
          <w:lang w:bidi="fa-IR"/>
        </w:rPr>
        <w:t>205/208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مکتب را به عهده گرفت که به علّت تنظیم نظریات رواقی،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رواقی مشهور نامیده شد، حتی دربارة او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خروسیپوس نبود، استوآ</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حوزة رواقی متوسط، افرادی مانند پانتیوس رُدِسی</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پوزیدونیوس</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Poseidonius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آپامئا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مکتب رواقی را به عهده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حوزة رواقی متأخّر، می‌توان از سه چهرة سرشناس آن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آنائیوس سنکا</w:t>
      </w:r>
      <w:r>
        <w:rPr>
          <w:rStyle w:val="FootnoteAnchor"/>
          <w:rtl w:val="true"/>
        </w:rPr>
        <w:footnoteReference w:id="217"/>
      </w:r>
      <w:r>
        <w:rPr>
          <w:rFonts w:ascii="IRNazanin" w:hAnsi="IRNazanin" w:eastAsia="IRNazanin"/>
          <w:color w:val="111111"/>
          <w:sz w:val="28"/>
          <w:sz w:val="28"/>
          <w:szCs w:val="28"/>
          <w:rtl w:val="true"/>
          <w:lang w:bidi="fa-IR"/>
        </w:rPr>
        <w:t>اهل کوردوبا،</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Cordoba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و وزیر نرون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امپراطور؛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اپیکتتوس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ابتدا بردة نرون</w:t>
      </w:r>
      <w:bookmarkStart w:id="210" w:name="pg5678_50372"/>
    </w:p>
    <w:p>
      <w:pPr>
        <w:pStyle w:val="BookText"/>
        <w:rPr/>
      </w:pPr>
      <w:bookmarkEnd w:id="210"/>
      <w:r>
        <w:rPr>
          <w:rFonts w:ascii="IRNazanin" w:hAnsi="IRNazanin" w:eastAsia="IRNazanin"/>
          <w:color w:val="111111"/>
          <w:sz w:val="28"/>
          <w:sz w:val="28"/>
          <w:szCs w:val="28"/>
          <w:rtl w:val="true"/>
          <w:lang w:bidi="fa-IR"/>
        </w:rPr>
        <w:t>بود و مارکوس اورلیوس</w:t>
      </w:r>
      <w:r>
        <w:rPr>
          <w:rStyle w:val="FootnoteAnchor"/>
          <w:rtl w:val="true"/>
        </w:rPr>
        <w:footnoteReference w:id="219"/>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متأسفانه شناخت ما به فلسفة رواقی، خصوصاً رواقیان در دورة نخست آن، بسیار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متعدّد زنون و از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خروسیپوس، جز قسمتی از عناوین آنها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کتابهایی که از رواقیان در دست می‌باشد، آثار سنکا، اپیکتتوس و مارکوس اورلیوس است که در دورة امپراتوری روم، یعنی چهار قرن بعد از تأسیس حوزة رواقی، می‌زیسته‌اند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شاید بتوان این موارد را به عنوان خواص اصلی فلسفة رواقی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حقیقی،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عملی، همان عمل مطابق با عقل است و عمل مطابق عقل، عملی است که به مقتضای قوانین طبیعت باشد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11" w:name="__RefHeading___Toc3561895_581953129"/>
      <w:bookmarkStart w:id="212" w:name="_Toc79"/>
      <w:bookmarkEnd w:id="211"/>
      <w:r>
        <w:rPr>
          <w:rtl w:val="true"/>
        </w:rPr>
        <w:t>رواقیان جزم‌گرا یا شکّاک؟</w:t>
      </w:r>
      <w:bookmarkEnd w:id="212"/>
    </w:p>
    <w:p>
      <w:pPr>
        <w:pStyle w:val="BookText"/>
        <w:rPr/>
      </w:pPr>
      <w:r>
        <w:rPr>
          <w:rFonts w:ascii="IRNazanin" w:hAnsi="IRNazanin" w:eastAsia="IRNazanin"/>
          <w:color w:val="111111"/>
          <w:sz w:val="28"/>
          <w:sz w:val="28"/>
          <w:szCs w:val="28"/>
          <w:rtl w:val="true"/>
          <w:lang w:bidi="fa-IR"/>
        </w:rPr>
        <w:t>قبل از بیان مبانی معرفت‌شناسی هر گروهی، باید نظر کلّی آنها در باب امکان معرفت یا عدم دسترسی به آن روشن شود و سپس در باب ابزار این معرفت و حدود آن بحث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فلاسفة یونان را می‌توان به دو دستة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جزم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مباحث معرفت‌شناسی که با ظهور سوفسطاییان و سقراط افلاطون مورد توجّه فلاسفه یونان قرار گرفت، فلاسفة یونان را اجمالاً و به طور کلّی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اصحاب جزم و یقین، یعنی قائلان به امکان علم و دیگری کسانی که امکان حصول علم را برای انسان مورد شک و تردید یا انکار قرار داده‌اند که به آنها معمولاً شکّاک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گام نخست باید مشخص کنیم که رواقیان از اهل شک هستند یا از طرفداران جزم و یقین که انسان را قادر به ادراک حقایق اشیا می‌دانند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رواقیان، در معرفت‌شناسی از اصحاب جزم و یقین قلمداد شده‌اند؛ یعنی به این قائل‌اند </w:t>
      </w:r>
    </w:p>
    <w:p>
      <w:pPr>
        <w:pStyle w:val="BookText"/>
        <w:rPr/>
      </w:pPr>
      <w:r>
        <w:rPr>
          <w:rFonts w:ascii="IRNazanin" w:hAnsi="IRNazanin" w:eastAsia="IRNazanin"/>
          <w:color w:val="111111"/>
          <w:sz w:val="28"/>
          <w:sz w:val="28"/>
          <w:szCs w:val="28"/>
          <w:rtl w:val="true"/>
          <w:lang w:bidi="fa-IR"/>
        </w:rPr>
        <w:t>که وصول به معرفت، امری ممکن و میسّر است و احساس را نیز به عنوان ابزار حصول این شناسایی و رسیدن به حقیقت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منطقی، رواقیان از کسانی‌اند که به قوای روحی بشر بسیار اعتماد دارند و معتقدند ما می‌توانیم حقیقت را دریابیم و می‌توانیم بدانیم که در بعضی موارد، بدان پی می‌بریم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سخنانی از پیشوایان مکتب رواقی نقل شده است که بر گریز آنها از دام سوفسطاییان و شک‌گرایی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مارکوس اورلیوس در اندیشه‌ها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روستیکوس</w:t>
      </w:r>
      <w:r>
        <w:rPr>
          <w:rStyle w:val="FootnoteAnchor"/>
          <w:rtl w:val="true"/>
        </w:rPr>
        <w:footnoteReference w:id="224"/>
      </w:r>
      <w:r>
        <w:rPr>
          <w:rFonts w:ascii="IRNazanin" w:hAnsi="IRNazanin" w:eastAsia="IRNazanin"/>
          <w:color w:val="111111"/>
          <w:sz w:val="28"/>
          <w:sz w:val="28"/>
          <w:szCs w:val="28"/>
          <w:rtl w:val="true"/>
          <w:lang w:bidi="fa-IR"/>
        </w:rPr>
        <w:t>آموختم در دام سوفسطاییان نیفتادن را و در باب مسائل نظری، قلم‌فرسایی نکردن را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نیز در بخش دیگری از سخنانش چنین خدا را 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مدیون خدایانم،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هنگامی که به جانب فلسفه تمایل داشتم، به دست سوفسطاییان نیفتادم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تاریخ نیز بیانگر ستیز و جدال رواقیان با شکّاکان، به ویژه شکّاکان آکادمی است و در آثار مختلف بر این امر، تکیه شده است، حتی اکثر اطلاعات و آثار مربوط به رواقیان، از مبارزات این دو حوزه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بریه جز یک مأخذ، بقیة آثاری را که به فلسفة رواقیان پرداخته است، نشئت‌گرفته از مبارزات این دو حوزه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این مأخذ، باید گفت که همه آثاری که دربارة رواقیان پرداخته است، از مبارزات حوزة رواقی با حوزه آکادمیها یا اصحاب شکّ، مایه گرفته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تناقضی که از گفتار شکّاکان آکادمی برمی‌خواست، واقف بودند و برای الزام آنان به عدول از مذهب خود،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کارفاس</w:t>
      </w:r>
      <w:r>
        <w:rPr>
          <w:rStyle w:val="FootnoteAnchor"/>
          <w:rtl w:val="true"/>
        </w:rPr>
        <w:footnoteReference w:id="228"/>
      </w:r>
      <w:r>
        <w:rPr>
          <w:rFonts w:ascii="IRNazanin" w:hAnsi="IRNazanin" w:eastAsia="IRNazanin"/>
          <w:color w:val="111111"/>
          <w:sz w:val="28"/>
          <w:sz w:val="28"/>
          <w:szCs w:val="28"/>
          <w:rtl w:val="true"/>
          <w:lang w:bidi="fa-IR"/>
        </w:rPr>
        <w:t>باید بپذیرد که لااقل، یک چیز را می‌توان درک کرد و آن یک چیز، این است که هیچ‌چیز را نمی‌توان ادراک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بیان علّت این رویکرد و نیز جبهه‌گیری خصمانه میان رواقیان و شکّاکان، توجّه به غایت فلسفة رواقی و نیز دیدگاههای شکّاکان آکادمی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پیروان پیشوای مکتب شکّاکان، دامنة شک را به منطق و اخلاق نیز تسرّی دادند؛ بدین صورت که بر این باور بودند هیچ زمینة منطقی برای قبول یا رد، انجام دادن یا انجام ندادن کاری وجود ندارد؛ از این رو، هیچ حقیقت یا ارزش اخلاقی‌ای ممکن نیست به طور عینی و تردیدناپذیر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 پیشنهادی شکّاکان برای گذران زندگی و رسیدن به سعادت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آرکسیلائوس از شکّاکان آکادمی به نقّادی و بحث دربارة عقاید و آرای مدّعیان وصول به حقیقت، به ویژه رواقیان، می‌پرداخت و روشن می‌ساخت که آنچه آنها حقیقت پنداشته‌اند، فقط حقیقت‌نماست و رعایت حزم و احتیاط حکم نکردن و به عبارت دیگر، تعلیق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آشکار است که این مطلب، چه اندازه ممکن است سدّ راه فلسفه‌ای باشد که اخلاق و فلسفة عملی را به عنوان اصلی‌ترین هدف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رواقیان، شکّاکان را مورد انتقاد قرار می‌دادند و آنها را در دایرة عمل و مقام اخلاق در تنگنا می‌گذاشتند؛ بدین گونه که تعلیق حکم دربارة مسائل حکمت نظری در عالم فکر، اگر چندان مشکل به نظر نیاید، در زمینة حکمت عملی و اخلاق، دشوار و ناممکن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از اگوستین در توضیح این مطلب بی‌فایده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زندگی، فقط به دنبال سعادت هستیم، ولی سعادت بدون معرفت امکان‌پذیر نیست؛ از این رو، به نظر من، خیانتی که شکّاکان به بشر کرده‌اند، این نبود که انسان را از یک سلسله غایات نظری محروم کرده باشند، بلکه بشر را از سعادتمند شدن نومید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قابل حصول نیست و چون معرفت، مقدّمه‌ای برای سعادت بود، پس ذی‌المقدمه هم قابل حصول نیست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این رو، ارجاع نظر به عمل</w:t>
      </w:r>
      <w:r>
        <w:rPr>
          <w:rStyle w:val="FootnoteAnchor"/>
          <w:rtl w:val="true"/>
        </w:rPr>
        <w:footnoteReference w:id="231"/>
      </w:r>
      <w:r>
        <w:rPr>
          <w:rFonts w:ascii="IRNazanin" w:hAnsi="IRNazanin" w:eastAsia="IRNazanin"/>
          <w:color w:val="111111"/>
          <w:sz w:val="28"/>
          <w:sz w:val="28"/>
          <w:szCs w:val="28"/>
          <w:rtl w:val="true"/>
          <w:lang w:bidi="fa-IR"/>
        </w:rPr>
        <w:t>یکی از دلایل قوی مواجهة رواقیان با شکّاکان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بدوی در این باره می‌گوید</w:t>
      </w:r>
      <w:r>
        <w:rPr>
          <w:rFonts w:eastAsia="IRNazanin" w:cs="IRNazanin"/>
          <w:color w:val="111111"/>
          <w:sz w:val="28"/>
          <w:szCs w:val="28"/>
          <w:rtl w:val="true"/>
          <w:lang w:bidi="fa-IR"/>
        </w:rPr>
        <w:t xml:space="preserve">: </w:t>
      </w:r>
      <w:bookmarkStart w:id="213" w:name="pg5678_50375"/>
    </w:p>
    <w:p>
      <w:pPr>
        <w:pStyle w:val="BookText"/>
        <w:rPr/>
      </w:pPr>
      <w:bookmarkEnd w:id="213"/>
      <w:r>
        <w:rPr>
          <w:rFonts w:ascii="IRNazanin" w:hAnsi="IRNazanin" w:eastAsia="IRNazanin"/>
          <w:color w:val="111111"/>
          <w:sz w:val="28"/>
          <w:sz w:val="28"/>
          <w:szCs w:val="28"/>
          <w:rtl w:val="true"/>
          <w:lang w:bidi="fa-IR"/>
        </w:rPr>
        <w:t xml:space="preserve">قوی‌ترین دلیل آنها بر ضد شکّاک این بود که انکار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عمل بازمی‌دارد؛ چون انسان برای اینکه عمل کند، باید طبق تصوّرات ذهنی که به صحیح بودن آنها رسیده است، عمل کند و در نتیجه، ناگزیر از اقتناع به صحت تصوّرات خود می‌باشد و در نتیجه، باید بپذیرد که امکان معرفت صحیح وجود دارد تا طبق آن عمل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البته ستیز و جدال شکّاکان بی‌تأثیر نبود و به متمایل شدن تدریجی مکتب رواقی به نوعی شکّاکیت منجر شد و از شدّت جزم و قوّت یقین اصحاب آن تعالیم کاسته شد</w:t>
      </w:r>
      <w:r>
        <w:rPr>
          <w:rFonts w:eastAsia="IRNazanin" w:cs="IRNazanin"/>
          <w:color w:val="111111"/>
          <w:sz w:val="28"/>
          <w:szCs w:val="28"/>
          <w:rtl w:val="true"/>
          <w:lang w:bidi="fa-IR"/>
        </w:rPr>
        <w:t>.</w:t>
      </w:r>
    </w:p>
    <w:p>
      <w:pPr>
        <w:pStyle w:val="Heading4"/>
        <w:numPr>
          <w:ilvl w:val="3"/>
          <w:numId w:val="1"/>
        </w:numPr>
        <w:rPr/>
      </w:pPr>
      <w:bookmarkStart w:id="214" w:name="__RefHeading___Toc3561897_581953129"/>
      <w:bookmarkStart w:id="215" w:name="_Toc80"/>
      <w:bookmarkEnd w:id="214"/>
      <w:r>
        <w:rPr>
          <w:rtl w:val="true"/>
        </w:rPr>
        <w:t>غایت معرفت</w:t>
      </w:r>
      <w:bookmarkEnd w:id="215"/>
    </w:p>
    <w:p>
      <w:pPr>
        <w:pStyle w:val="BookText"/>
        <w:rPr/>
      </w:pPr>
      <w:r>
        <w:rPr>
          <w:rFonts w:ascii="IRNazanin" w:hAnsi="IRNazanin" w:eastAsia="IRNazanin"/>
          <w:color w:val="111111"/>
          <w:sz w:val="28"/>
          <w:sz w:val="28"/>
          <w:szCs w:val="28"/>
          <w:rtl w:val="true"/>
          <w:lang w:bidi="fa-IR"/>
        </w:rPr>
        <w:t>علوم براساس غایت آنها به دو دستة علوم نظری و علوم عملی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علوم نظری، کسب معرفت است به جهت خودش، اما در علوم عملی کسب معرفت است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ارسطو و افلاطون که اهمیت زیادی برای علوم نظری قائل بودند، در بین رواقیان به سبب همان شرایط زمانی و مکانی، جایگاه علوم نظری از دست رفت و جای خود را به علوم عملی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رواقیان متأخر که فلسفة رواقی کاملاً غیر یونانی و کلاً رومی شده بود، به دلیل خصایص خاصّ رومیها، رنگ و بوی بیشتری را به خود گرفت و پیشوایان این حوزه‌ها بیشتر توصیه‌های اخلاقی داشتند تا فلسفة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رواقیان فلسفه را به سه قسمت منطق، طبیعیات و اخلاق تقسیم کردند، اما آنچه برای آنها اهمیت بیشتری داشت و نقش محوری را ایفا کرد،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حقیقی نزد آنان، همان فلسفة عملی بود و نگرش آنان به فلسفه با وصف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زنون و رواقیان رومی، همة تحقیقات نظری را تابع و فرع اخلاق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زنون می‌گوید که فلسفه همچون باغی است که در آن، منطق دیوار است و طبیعیات، درختان و اخلاق،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تخم مرغی است که در آن، منطق، پوسته و طبیعیات، سفیده و اخلاق، زرده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رواقیان حکمت نظری محض را بدون جنبة عملی و اخلاقی آن، نوعی هواپرستی می‌دانستند و آن را گام برداشتن بر سیر هوای نفس تلقّی می‌کردند و معتقد بودند حکیمی </w:t>
      </w:r>
      <w:bookmarkStart w:id="216" w:name="pg5678_50376"/>
    </w:p>
    <w:p>
      <w:pPr>
        <w:pStyle w:val="BookText"/>
        <w:rPr/>
      </w:pPr>
      <w:bookmarkEnd w:id="216"/>
      <w:r>
        <w:rPr>
          <w:rFonts w:ascii="IRNazanin" w:hAnsi="IRNazanin" w:eastAsia="IRNazanin"/>
          <w:color w:val="111111"/>
          <w:sz w:val="28"/>
          <w:sz w:val="28"/>
          <w:szCs w:val="28"/>
          <w:rtl w:val="true"/>
          <w:lang w:bidi="fa-IR"/>
        </w:rPr>
        <w:t>که فقط به دنبال فلسفة نظری باشد، بر مسیر هوای نفس گام برمی‌دارد و به مقتضای طبیعت خود، گام برنمی‌دارد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غایت معرفت در نزد رواقیان، کسب فضیلت و عمل به آن بود، نه تحقیقات نظری دربارة ماهیّت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دربارة سنکا</w:t>
      </w:r>
      <w:r>
        <w:rPr>
          <w:rStyle w:val="FootnoteAnchor"/>
          <w:rtl w:val="true"/>
        </w:rPr>
        <w:footnoteReference w:id="235"/>
      </w:r>
      <w:r>
        <w:rPr>
          <w:rFonts w:ascii="IRNazanin" w:hAnsi="IRNazanin" w:eastAsia="IRNazanin"/>
          <w:color w:val="111111"/>
          <w:sz w:val="28"/>
          <w:sz w:val="28"/>
          <w:szCs w:val="28"/>
          <w:rtl w:val="true"/>
          <w:lang w:bidi="fa-IR"/>
        </w:rPr>
        <w:t>شخصیت حوزة رواقی متأخر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معرفت عقلانی را برای خودِ آن جست‌وجو نمی‌کرد، بلکه از آن رو به فلسفه می‌پرداخت که آن را وسیله‌ای برای کسب فضیلت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ضروری است، لیکن باید با در نظر داشتن یک غایت عملی در طلب آن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اپیکتتوس از دیگر شخصیتهای بزرگ این دوره،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ضروری‌ترین باب حکمت دربارة به کار بستن اصول است؛ فی‌المثل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توجیه اصول می‌آید؛ فی‌المثل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گفتن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به استقرا و تحلیل این دو مرحله پرداخته می‌شود؛ فی‌المثل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توجیه به چیست؟ توجیه چیست؟ نتیجه چیست؟ تضاد چیست؟ حقیقت چیست؟ خطا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باب سوم، حجت باب دوم و باب دوم، حجت باب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باب، اهم بابهاست و ما باید آن را دریابیم، لیکن معمولاً این قاعده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خود را با سومین باب مشغول می‌داریم و از نخستین، یکسره غافل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دروغ می‌گوییم، لیکن همیشه آماده‌ایم تا بطلان دروغ را به اثبات رسانیم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 این همه، بررسی مسائل نظری در نزد بعضی از فیلسوفان رواقی، به ویژه در دوره‌های اولیّه، رایج بوده است؛ مثلاً راسل دربارة خروسیپوس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نظر می‌رسد خروسیپوس برای تحقیقات نظری قائل به ارزش فراوان بوده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17" w:name="__RefHeading___Toc3561899_581953129"/>
      <w:bookmarkStart w:id="218" w:name="_Toc81"/>
      <w:bookmarkEnd w:id="217"/>
      <w:r>
        <w:rPr>
          <w:rtl w:val="true"/>
        </w:rPr>
        <w:t>مصادر معرفت</w:t>
      </w:r>
      <w:bookmarkEnd w:id="2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مکالمة زنون با یک شکّاک را پی می‌گیریم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زنون ابتدا وجود جهان واقعی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شکّاک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جهان واقعی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جهان جسمانی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این میز جسم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روح چطور؟ زنون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مادّیند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داشته باشند، از این میز هم مادّی‌ترند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یا عدالت یا قوانین سه‌گانه، اینها هم اجسام مادّیند؟ زنون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کاملاً مادّیند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سخن از یکی از بنیانگذاران مکتب رواقی، به خوبی نمایانگر شدّت مادّی‌گرایی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مادّی‌گرایی بر تمام ارکان فلسفة آنها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 این باور بودند وجود حقیقی، همان وجود جسمانی است و حتی عقل نیز در شیء محسوس مجسم و محقّق است و اساساً اختلافی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رواقیان دو مبدأ برای طبیعت قائل بودند و می‌گفتند در واقعیت، دو اصل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 که همان عقل است و دیگری انفعال که مادّة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خلاف افلاطون، به ثنویت و دوگانگی این دو قائل نشدند و گفتند که هر دو عامل، یکی و عین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اصل مادّی هستند و با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به نظر آنان، تنها اجسام وجود دارد؛ زیرا شیئی هست که قابل فعل و انفعال باشد و تنها اجسام این گونه استعدادی را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مادّی‌گرایی محض سبب شد که رواقیان تمام معرفت را بر ادراک حسّی بنیاد نهند و بگویند معرفت فقط به اجسام مادّی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اتمیستها این باور را داشتند که اشیا بر روح تأثیر می‌گذارد و حتی از احساس هم یک تصویر مادّی ارائه دادند؛ با این استدلال که معرفت از حواس ناشی می‌شود و آنچه شناخته می‌شود، مادّی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ادامة بحث شایسته است به این سؤال مهم و مطرح در مباحث معرفت قدیم توجّه کنیم؛ این سؤال که آیا این نظر افراطی رواقیان راجع به مادّیت در طبیعیات به </w:t>
      </w:r>
    </w:p>
    <w:p>
      <w:pPr>
        <w:pStyle w:val="BookText"/>
        <w:rPr/>
      </w:pPr>
      <w:r>
        <w:rPr>
          <w:rFonts w:ascii="IRNazanin" w:hAnsi="IRNazanin" w:eastAsia="IRNazanin"/>
          <w:color w:val="111111"/>
          <w:sz w:val="28"/>
          <w:sz w:val="28"/>
          <w:szCs w:val="28"/>
          <w:rtl w:val="true"/>
          <w:lang w:bidi="fa-IR"/>
        </w:rPr>
        <w:t>معرفت‌شناسی آنها برمی‌گشت یا نه؟ به عبارت روشن‌تر، آیا هستی‌شناسی آنها از معرفت‌شناسی آنها منشعب می‌شد یا خیر، بلکه معرفت‌شناسیشان وامدار هستی‌شناسی آنها بود؟ یعنی چون فقط حواس بر ادراک توانایی دارند و تنها مصدر معرفتی‌اند و آن هم نمی‌تواند غیر مادّیات را درک کند، گفته‌اند که همة عالم، یا موجود جسمی مادّی است یا امر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این پایة معرفتی نمی‌تواند به تنهایی برای توجیه مادّیت در وجود کافی باشد؛ زیرا چه بسیار از حس‌گرایان و تجربه‌گرایان هستند که به وجود غیر مادّی قائل شده‌اند؛ بلکه عکس این مطلب درست به نظر می‌رسد؛ در نتیجه، رواقیان با توجّه به این نظریه دربارة وجود، به آن نظریة معرفتی قائل شده‌اند و آن اینکه وجود، جسمانی یا مادّی خالص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هر حال، با توجّه به این نگرش کاملاً مادّی، احساس به عنوان اساسی‌ترین منبع معرفتی برای رواقیان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رواقیان بر خلاف سقراط که ادّعای پیروی از او را می‌کردند، متعلّق علم را امور جزئی و محسوسات می‌دانستند، در حالی که سقراط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سوفسطاییان مدعی‌اند متعلّق علم، حقیقتاً امور جزئی و ظواهر و عوارض ناپایدار، یعنی محسوسات باشد و بالتبع وسیلة حصول علم احساس باشد، البته علم ناممکن خواهد بود؛ زیرا که به وسیلة حواس می‌توان فقط امور جزئی و جلوه‌های گذران و متغیر آنها را دریافت و شناختی که از این راه حاصل می‌شود، قهراً نسبی و شامل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علم، بر خلاف گفتة سوفسطاییان، مفاهیم کلی است و وسیلة شناخت و حصول علم هم عقل است نه حس</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رواقیان راه رسیدن به حقیقت را احساس معرفی کردند و تمام معرفت را بر ادراک حسّی بنیان نهادند و تعریفی کاملاً حس‌گرایانه از ادراک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فریبندگی حواس به خود آنها مربوط نیست، بلکه به حکم نادرست حواس برمی‌گردد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فریبندگی حواس در حقیقت، دادن حکم نادرست است و می‌توان با اندکی دقّت از آن احتراز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رواقیان ادراکات و علم را مستقیماً ناشی از حس و حواس ظاهری می‌دانستند و معتقد بودند ما با حواس و نظارت بر کار آنها توسط عقل و خرد می‌توانیم حقیقت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نفس را همچون لوح سفیدی می‌دانستند که برای شناخت به ادراک حسّی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لوح نانوشته‌ای است و برای آنکه بشناسد، به ادراک حسّی نیاز 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یکی از نویسندگان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رواقیان در باب معرفت به نظریة حسّی رو آورده‌اند؛ زیرا از نظر آنان، ذهن انسان، همانند لوح سفیدی است که صورتهای حسّی خارجی در آن نقش می‌بندد، همانند نقش انگشتر بر موم و سپس تصورات پدید می‌آید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مکانیسم شناخت و معرفت از نظر آنان را می‌توان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شناسایی و رسیدن به حقیقت را صرفاً احساس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وسیلة ارتسامها و صورتهای جزئی خیالی یا ادراکات حصولی می‌شناسیم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نظر زنون، صورت جزئی خیالی در نتیجة تلاقی و برخورد شیئی مادّی با روح ما که آن هم مادّی است،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کمابیش قوی، نقش و اثری در روح ما می‌گذارد یا ترسیم و منطبع می‌کند شبیه به اثر مُهر در موم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و اثر هم ممکن است ضعیف یا صریح و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نقشها یا ارتسامها به اندازه‌ای واضح و قوی است که ممکن نیست بدون متعلّقی واقعی، این‌گونه واضح 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نقشها را ادراکات یا تصوّرات مفهوم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این، رواقیان به مصدری دیگر برای معرفت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که براساس آن می‌توان آنان را علاوه بر حسّی‌مذهب، تجربی‌مذهب هم نامید؛ چراکه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فعل ادراک حسّی یک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آن باقی می‌ماند، یعنی وقتی که شیء بالفعل دیگر آنجا نیست و تجربه از کثرتی از خاطرات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از جمع شدن تعدادی از تصوّرات حسّی، تصوّری کلّی از آنها شکل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طبق همان مبنای حسّی خودشان، بر این بودند که این تصوّر کلّی، چیزی غیر از مجموعة تصوّرات 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تصویر جامع با تراکم تصاویر، خود به خود، مفهومی کلّی به وجود می‌آید که رواقیان، مانند اپیکور،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مفهوم کلّی، به این اعتبار است که از تصویر جامع ناشی می‌شود، لکن این مفهوم کلّی، ارزش دیگری بیش از ارزش یک اندیشه ندارد و از نظر کلّیّت خود با هیچ وجود متحقّق دیگری مطابقت نمی‌کند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افزون بر این، رواقیان به نوع دیگری از کلّیات قائل بودند که با دیدگاه حسّی و نومینالیستی آنها سازگار نبود که براساس آن می‌توان آنان را از قائلان به اصالت عقل به شمار آورد؛ یعنی به نوعی اصالت عقل قائل بودند که چندان با موضع کاملاً تجربی‌مذهب و قائل به اصالت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تصوّرات و مفاهیم کلّی از نظر آنان دو دسته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 و مفاهیمی کلّی که از روی قصد و تأمّل تشکیل شده است که از تکامل ادراک حسّی توسط عقل ناشی می‌شود و تنها بعد از چهارده سالگی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عقل فقط جهت‌دهی و تأیید ادراک حسّی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 کلّی‌ای که تصوّرات ذهنی صرف بوده و مادّی نیست و از ادراک حسّی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تصوّرات با اساس مذهب رواقی که تنها وجود محسوس و مادّی را وجود حقیقی می‌دانست، سازگار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تصوّرات به طور درخشانی، آشکار و مورد اجماع عام است و ظاهراً بر تجربه مقدّم است و بدین سبب که آمادگی و استعداد طبیعی برای تشکیل آنها داریم،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مفاهیم بالقوّه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فطری را همچون اصول اقلیدس که اساس قیاس و استنتاج قرار می‌گرفت، می‌توان به عنوان مبدأ تعاریف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فقط از راه عقل است که می‌توان نظام واقعیت را شناخت و کمال مطلوب وجود انسان، حقیقتاً عاقل بودن آن است</w:t>
      </w:r>
      <w:r>
        <w:rPr>
          <w:rFonts w:eastAsia="IRNazanin" w:cs="IRNazanin"/>
          <w:color w:val="111111"/>
          <w:sz w:val="28"/>
          <w:szCs w:val="28"/>
          <w:rtl w:val="true"/>
          <w:lang w:bidi="fa-IR"/>
        </w:rPr>
        <w:t xml:space="preserve">. </w:t>
      </w:r>
      <w:bookmarkStart w:id="219" w:name="pg5678_50381"/>
    </w:p>
    <w:p>
      <w:pPr>
        <w:pStyle w:val="Heading4"/>
        <w:numPr>
          <w:ilvl w:val="3"/>
          <w:numId w:val="1"/>
        </w:numPr>
        <w:rPr/>
      </w:pPr>
      <w:bookmarkStart w:id="220" w:name="__RefHeading___Toc3561901_581953129"/>
      <w:bookmarkStart w:id="221" w:name="_Toc82"/>
      <w:bookmarkEnd w:id="219"/>
      <w:bookmarkEnd w:id="220"/>
      <w:r>
        <w:rPr>
          <w:rtl w:val="true"/>
        </w:rPr>
        <w:t>مراتب معرفت</w:t>
      </w:r>
      <w:bookmarkEnd w:id="221"/>
    </w:p>
    <w:p>
      <w:pPr>
        <w:pStyle w:val="BookText"/>
        <w:rPr/>
      </w:pPr>
      <w:r>
        <w:rPr>
          <w:rFonts w:ascii="IRNazanin" w:hAnsi="IRNazanin" w:eastAsia="IRNazanin"/>
          <w:color w:val="111111"/>
          <w:sz w:val="28"/>
          <w:sz w:val="28"/>
          <w:szCs w:val="28"/>
          <w:rtl w:val="true"/>
          <w:lang w:bidi="fa-IR"/>
        </w:rPr>
        <w:t>با اینکه از نظر رواقیان، شناخت و معرفت، تزلزل‌ناپذیر است، برای وصول به علم، مراحل چهارگانه‌ای را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تلاشی را که روح برای درک اشیا به کار می‌برد، با کوششی که دست برای گرفتن، دست باز، دست نیمه‌بسته، و دست بسته و فشرده‌شده با دست دیگر انجام می‌دهد، مقایسه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حالت اخیر است که عمل گرفتن به طور کامل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از سوی زنون، بنیانگذار فلسفة رواقی، ذکر شده و در آن، مراحل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زنون دست گشودة خود را با انگشتان کشیده نشان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انگشتان را اندکی خم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ایقاع نسبت،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مشت فروبستة خود را نشان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مشت دست خود را که بسته بود، در دست چپ می‌فشرد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که جز به حکیم تعلّق ندارد، چنین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چنان‌چه مکانیسم معرفت در فلسفة رواقی را بررسی کنیم، مطابقت آن با این مثال زنون مشهود است؛ بدین صورت که معرفت از صورت خیالی یا تصوّر آغاز می‌شود و صورت خیالی، ارتسام شیء واقعی در نفس است که در اثر برخورد و فعل و انفعال شیء مادّی و نفس حاصل می‌شود و این، به مثابه نخستین حکم دربارة اشیایی است که به نفس عرضه می‌شود و همان‌گونه که از مثال مشهود است، در این مرحله، چیزی اخذ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بعد، نفس ما طی یک فرایند کاملاً ارادی به ایقاع نسبت دربارة این صورت خیالی می‌پردازد؛ یعنی نفس به طور ارادی به قبول یا ردّ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مرحلة دوم معرفت است که زنون آن را به مشت بسته، اما نه چندان محکم تشبیه می‌کند و مقصودش تصدیقی است که در نفس برای پاسخ‌گویی به تأثیر خارجی پدید می‌آید و به اراده تعلّق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ایقاع نسبت، مقدّمه‌ای است که نفس را برای ادراک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 نسبت </w:t>
      </w:r>
      <w:bookmarkStart w:id="222" w:name="pg5678_50382"/>
    </w:p>
    <w:p>
      <w:pPr>
        <w:pStyle w:val="BookText"/>
        <w:rPr/>
      </w:pPr>
      <w:bookmarkEnd w:id="222"/>
      <w:r>
        <w:rPr>
          <w:rFonts w:ascii="IRNazanin" w:hAnsi="IRNazanin" w:eastAsia="IRNazanin"/>
          <w:color w:val="111111"/>
          <w:sz w:val="28"/>
          <w:sz w:val="28"/>
          <w:szCs w:val="28"/>
          <w:rtl w:val="true"/>
          <w:lang w:bidi="fa-IR"/>
        </w:rPr>
        <w:t>از دو حال خارج نیست؛ اگر نادرست انجام گیرد، نفس در خطاست و ظنِّ غلط دارد و اگر درست انجام گیرد، فهم یا ادراک نسبت به شیء که متعلّق تصوّر است،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مرحلة سومِ معرفت است که زنون آن را به مشت تمام‌بسته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مفهوم محوری معرفت‌شناسی رواقی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مفهومی</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محوری رواقی، شهود یا فهم است و بنا بر اشارة سکتوس امپریکوس، منتقد شکّاک، برای آنان، ملاکِ صدق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تصوّر مفهومی، نخستین مرتبة یقین است و علم، چیزی جز افزایش همین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 چهارمین مرحلة معرفت، علم است که خاصّ حکیم است و زنون، آن را به مشت بسته‌ای در درون دست دیگر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شیء مورد معرفت،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 نظر رواقیان، هیئت تألیفی دارد و آن،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دیگر، علم، جمع‌آوری ادراکات جزئی و به رشته کشیدن آنها در یک مجموعة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تنظیم و تأیید ادراکات،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ادراک استوار و پایداری است که عقل آن را متزلزل نمی‌سازد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ملاحظه می‌شود که تفاوت مرحلة سوم و چهارم این است که علم تنها از دیار یقین حاصل می‌شود و در مرحلة ادراک می‌باشد و اگر ادراکات حکیم به گونه‌ای باشد که مؤید یکدیگر و متّکی به یکدیگر باشد و به تأیید عقل برسد،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باعث می‌شود که چند یقین آنی حاصل از ادراکات و جدا از یکدیگر مجتمع شود و یکدیگر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ادراکی است که می‌توان بدان اطمینان یافت؛ زیرا تام و جامع است و این، بدان معناست که بگوییم علم، دارای هیئت تألیفی است یا خود، ادراک عقلی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23" w:name="__RefHeading___Toc3561903_581953129"/>
      <w:bookmarkStart w:id="224" w:name="_Toc83"/>
      <w:bookmarkEnd w:id="223"/>
      <w:r>
        <w:rPr>
          <w:rtl w:val="true"/>
        </w:rPr>
        <w:t>معیار حقیقت</w:t>
      </w:r>
      <w:bookmarkEnd w:id="2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مسائلی که در حوزه‌های فلسفی، خصوصاً بعد از ارسطو، اعم از آکادمی، پورنی، رواقی </w:t>
      </w:r>
    </w:p>
    <w:p>
      <w:pPr>
        <w:pStyle w:val="BookText"/>
        <w:rPr/>
      </w:pPr>
      <w:r>
        <w:rPr>
          <w:rFonts w:ascii="IRNazanin" w:hAnsi="IRNazanin" w:eastAsia="IRNazanin"/>
          <w:color w:val="111111"/>
          <w:sz w:val="28"/>
          <w:sz w:val="28"/>
          <w:szCs w:val="28"/>
          <w:rtl w:val="true"/>
          <w:lang w:bidi="fa-IR"/>
        </w:rPr>
        <w:t xml:space="preserve">و اپیکوری، بیشتر مورد بحث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نشانی و علامتی که بتوان با آن، میان حقیقت و خطا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فلسفة رواقی از اهمیت بسیاری برخوردار بود و کشمکشها و جدالهای فراوانی را میان شکّاکان و فلاسفة آکادمی با فیلسوفان مکتب رواقی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جدالها و انتقادها سبب اصلاحاتی در باب معیار حقیقت از سوی فلاسفة متأخر رواقی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ادّعاهای رواقی دربارة معیار تا اندازه‌ای، علّت و تا اندازه‌ای، معلول انتقادهای شکّاکان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رواقیان تصوّرات مفهوم را معیار و ملاک حقیقت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آنها معتقد بودند بر اثر تلاقی شیء خارجی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اثری از آن شیء در روح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صورت جزئی خیالی حاصل‌شده، چنان واضح و قوی باشد که ممکن نباشد بدون اینکه از واقعی حکایت کند، این‌گونه واضح و قوی باشد، به این نوع نقشها ادراک یا تصوّر مفهوم می‌گویند که در مقابل ظن و رأی ضعیف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اشیا بر روح تأثیرگذار است، این تأثیرات، الزاماً اموری واقع‌نما نیست؛ چه اینکه تنها تأثیراتی که واضح و متمایز باشد، واقع‌نماست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رواقیان این نوع نقشهای واضح و 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حقیقت همان تصوّرات مفهوم است؛ یعنی تصوّراتی که از شدّت وضوح و قوّت، چنان است که نمی‌توان آنها را قبول و تصدیق نکرد و به آنها اذعان ننمود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بر این مبنا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عمل تصوّر است، نه ماهیّت آن؛ بدین معنا که این تصوّر قابلیّت دارد که قبول حقیقی را در ذهن ما نسبت به شیء پدید آورد و ادراک آن شیء را حاصل کند، نه اینکه تصوّر، خود به خود بتواند فهم یا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زنون، مؤسس حوزة رواقی، دربارة تصوّر مفهومی چنین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مرتسم در نفس است که ناشی از شیئی خارجی است و مطابق با همین شیء می‌باشد؛ به طوری که اگر شیء واقعی صادر نمی‌شد،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مفهومی همان است که ادراک حقیقی را ممکن می‌دارد و حتی آن </w:t>
      </w:r>
    </w:p>
    <w:p>
      <w:pPr>
        <w:pStyle w:val="BookText"/>
        <w:rPr/>
      </w:pPr>
      <w:r>
        <w:rPr>
          <w:rFonts w:ascii="IRNazanin" w:hAnsi="IRNazanin" w:eastAsia="IRNazanin"/>
          <w:color w:val="111111"/>
          <w:sz w:val="28"/>
          <w:sz w:val="28"/>
          <w:szCs w:val="28"/>
          <w:rtl w:val="true"/>
          <w:lang w:bidi="fa-IR"/>
        </w:rPr>
        <w:t>را ایجاد می‌کند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خروسیپوس، جانشین او،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مفهوم، ناشی از شیء واقعی محسوس است و مطابق با آن شیء و دارای اعتبار واقعی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اینکه چگونه تصوّری به صورت تصوّر مفهوم مبدّل می‌شود، محلّ سؤال است؟</w:t>
      </w:r>
    </w:p>
    <w:p>
      <w:pPr>
        <w:pStyle w:val="BookText"/>
        <w:rPr/>
      </w:pPr>
      <w:r>
        <w:rPr>
          <w:rFonts w:ascii="IRNazanin" w:hAnsi="IRNazanin" w:eastAsia="IRNazanin"/>
          <w:color w:val="111111"/>
          <w:sz w:val="28"/>
          <w:sz w:val="28"/>
          <w:szCs w:val="28"/>
          <w:rtl w:val="true"/>
          <w:lang w:bidi="fa-IR"/>
        </w:rPr>
        <w:t xml:space="preserve">رواقیان معتقد بودند شناخت یک شیء یا قبول امری با استفاده از ظواهر آن که از راه حس دریافت می‌شود، کافی نیست، بلکه باید این مشاهدات، تأیید و تصویب شود و به باورهای یقینی تبدیل گردد و این تأیید و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تفکّر و عقل امکان دارد؛ برای مثال، فرض کنید یک دیوار قرمز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دلایلی، قبول کرده باشیم که آن دیوار سفید است و صرفاً نوری قرمز به آن می‌تابد، دیگر نمی‌توانیم باور کنیم که دیوار قرمز است و برای اینکه باور کنیم دیوار قرمز است، باید امور مورد مشاهدة حسّی را به وسیلة تحوّل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تصویب این صورت که امری ارادی از جانب ماست، سبب می‌شود تا یک تأثر حسّی، به صورت تصوّر مفهوم و در نتیجه، به صورت شناسایی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معیار، آنها توجّه خاصّی به مسئلة اقتناع نفس داشتند و معتقد بودند هر یک از صدق و کذب، به درجة اقتناع نفس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بدوی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 همواره مربوط به احکام یا قضایاست، ولی رواقیان صدق و کذب را از احوال ذاتی نفس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جای اینکه بگویند صدق،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مضمون قضیه با 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 صدق به میزان پذیرش منوط است؛ بنابراین، قضیه‌ای که بر نفس وارد می‌شود، اگر به گونه‌ای بر نفس ظاهر شود که نفس آن را بپذیرد، صادق است، در غیر این صورت، کاذب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 اعتقاد رواقیان، تنها تحریک خارجی و اثر گذاشتن آن در حواس،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شرط لازم است، بلکه شناسایی وقتی حاصل می‌شود که علاوه بر تحریک شیء خارجی در حواس، ذهن ما آن را بپذیرد</w:t>
      </w:r>
      <w:r>
        <w:rPr>
          <w:rFonts w:eastAsia="IRNazanin" w:cs="IRNazanin"/>
          <w:color w:val="111111"/>
          <w:sz w:val="28"/>
          <w:szCs w:val="28"/>
          <w:rtl w:val="true"/>
          <w:lang w:bidi="fa-IR"/>
        </w:rPr>
        <w:t xml:space="preserve">. </w:t>
      </w:r>
      <w:bookmarkStart w:id="225" w:name="pg5678_50385"/>
    </w:p>
    <w:p>
      <w:pPr>
        <w:pStyle w:val="BookText"/>
        <w:rPr/>
      </w:pPr>
      <w:bookmarkEnd w:id="225"/>
      <w:r>
        <w:rPr>
          <w:rFonts w:ascii="IRNazanin" w:hAnsi="IRNazanin" w:eastAsia="IRNazanin"/>
          <w:color w:val="111111"/>
          <w:sz w:val="28"/>
          <w:sz w:val="28"/>
          <w:szCs w:val="28"/>
          <w:rtl w:val="true"/>
          <w:lang w:bidi="fa-IR"/>
        </w:rPr>
        <w:t xml:space="preserve">انتقادهای شکّاکان، به ویژه آرکسیلائوس، راجع به مرحلة دوم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مسئلة قبول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رواقیان سدة میانه، در مسئلة ملاک حقیقت تجدید نظر کنند و صرف تصوّر مفهوم را برای ملاک یقین، کافی ندانند، بلکه آن را مشروط به این سازند که قبول و تصدیق آن با هیچ مانع و معارضی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تعالیم رواقی در دورة استادانی که در طی قرن دوم قبل از میلاد،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پیاپی جانشین خروسیپوس در این حوزه شدند، تغییر پذیرفت و بدان جانب روی آورد که از شدّت جزم و یقینِ اصحابِ آن تعالیم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مکستس بی‌آنکه تصریح بیشتر کند، گفته است که رواقیان جدید، تنها تصوّر مفهومی را ملاک معرفت نمی‌شمردند و با مثالهایی نشان می‌دادند که چه بسا تصوّر مفهومی حاصل می‌آید، بی‌آنکه اعتقادی را ایجاب کند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26" w:name="__RefHeading___Toc3561905_581953129"/>
      <w:bookmarkStart w:id="227" w:name="_Toc84"/>
      <w:bookmarkEnd w:id="226"/>
      <w:r>
        <w:rPr>
          <w:rtl w:val="true"/>
        </w:rPr>
        <w:t>نظریة رواقیان در باب کلّی</w:t>
      </w:r>
      <w:bookmarkEnd w:id="227"/>
    </w:p>
    <w:p>
      <w:pPr>
        <w:pStyle w:val="BookText"/>
        <w:rPr/>
      </w:pPr>
      <w:r>
        <w:rPr>
          <w:rFonts w:ascii="IRNazanin" w:hAnsi="IRNazanin" w:eastAsia="IRNazanin"/>
          <w:color w:val="111111"/>
          <w:sz w:val="28"/>
          <w:sz w:val="28"/>
          <w:szCs w:val="28"/>
          <w:rtl w:val="true"/>
          <w:lang w:bidi="fa-IR"/>
        </w:rPr>
        <w:t>مسئلة کلیّات و چگونگی وجود کلّی در خارج، از مباحث مورد توجّه بوده و دیدگاههای مختلفی دربارة آن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کلّی در خارج وجود حقیقی دارد و در صورت وجود خارجی آن، چگونه متصوّر است؟ رابطة کلّی و افرادش چگونه است؟ این پرسشها از مسائل مهم فلسفه است که عنایت خاصّی به آنها، به ویژه در قرون وسطی،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نظریه‌پردازانی که در این باب سخن رانده‌اند،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وجود عینی کلیّات در خارج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باور دارند که کلیّات صرفاً به منزلة مفاهیم در ذهن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وجود کلیّات را انکار می‌کنند و آنها را فقط الفاظ می‌دانند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رواقیان بر مبنای مذهب مادّی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براساس آن تنها هر آنچه محسوس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تنها فرد وجود دارد و معرفت ما، صرفاً شناسایی اشیای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نه تنها نظریة افلاطونی کلّی متعالی، بلکه نظریة ارسطو دربارة کلّی انضمامی را </w:t>
      </w:r>
    </w:p>
    <w:p>
      <w:pPr>
        <w:pStyle w:val="BookText"/>
        <w:rPr/>
      </w:pPr>
      <w:r>
        <w:rPr>
          <w:rFonts w:ascii="IRNazanin" w:hAnsi="IRNazanin" w:eastAsia="IRNazanin"/>
          <w:color w:val="111111"/>
          <w:sz w:val="28"/>
          <w:sz w:val="28"/>
          <w:szCs w:val="28"/>
          <w:rtl w:val="true"/>
          <w:lang w:bidi="fa-IR"/>
        </w:rPr>
        <w:t>نیز رد کردند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البته در این عقیده، مادّی‌گرایی محض ایشان، قطعاً نقش تعیین‌کننده‌ای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هویداست که مادّه‌باوری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دربردارندة تمایل نام‌انگارانه مؤکّدی است تا همة پدیده‌ها را بر حسب جزئی‌انگاری و زمان و مکان تفسیر 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بی‌گمان سخنان و تعالیم آنتیس‌تِنس کلبی،</w:t>
      </w:r>
      <w:r>
        <w:rPr>
          <w:rStyle w:val="FootnoteAnchor"/>
          <w:rtl w:val="true"/>
        </w:rPr>
        <w:footnoteReference w:id="264"/>
      </w:r>
      <w:r>
        <w:rPr>
          <w:rFonts w:ascii="IRNazanin" w:hAnsi="IRNazanin" w:eastAsia="IRNazanin"/>
          <w:color w:val="111111"/>
          <w:sz w:val="28"/>
          <w:sz w:val="28"/>
          <w:szCs w:val="28"/>
          <w:rtl w:val="true"/>
          <w:lang w:bidi="fa-IR"/>
        </w:rPr>
        <w:t>استاد زنون رواقی، نیز در ظهور این عقیده مؤثر بوده است؛ زیرا وی و پیروانش دربارة مفاهیم و شناسایی، عقیده‌ای تقریباً شبیه عقیدة اصحاب اصالت تسمیه در قرون وسطی داشتند و براساس این، شدیداً بر نظریة مُثُل انتقاد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رواقیان، بی‌تردید سخنان آنتیس‌تِنس کلبی را مبنی بر اینکه او یک اسب را می‌بیند، نه فرمیست را، بازگو می‌کردند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به عقیدة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آنتیس‌تِنس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واقعی دارد، فرد فرد افراد است و مفاهیم کلّی، بیان‌کنندة ذات و ماهیّت اشیا نیست، بلکه صرفاً تعبیرکنندة فکر انسان دربارة اشیاست؛ زیرا آنچه ما می‌بینیم، افراد انسان و افراد اسب است، نه انسان کلّی و اسب کلّی</w:t>
      </w:r>
      <w:r>
        <w:rPr>
          <w:rFonts w:eastAsia="IRNazanin" w:cs="IRNazanin"/>
          <w:color w:val="111111"/>
          <w:sz w:val="28"/>
          <w:szCs w:val="28"/>
          <w:rtl w:val="true"/>
          <w:lang w:bidi="fa-IR"/>
        </w:rPr>
        <w:t>.</w:t>
      </w:r>
      <w:r>
        <w:rPr>
          <w:rStyle w:val="FootnoteAnchor"/>
          <w:rtl w:val="true"/>
        </w:rPr>
        <w:footnoteReference w:id="2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رواقیان دربارة مفهوم کلّی معتقد بودند این مفهوم از اجتماع تعدادی از ادراکها و تصاویر حاصل می‌شود و حقیقتی جدای از ادراکهای منفرد ندارد؛ بدین صورت که انسان بعد از اینکه تعدادی تصوّرات حسّیه در او جمع شد، تصوّری کلّی برایش حاصل می‌شود که البته چیزی غیر از مجموعه‌ای از تصوّرات حسّیه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بیش از ارزش یک اندیشه ارزش دیگری ندارد و از نظر کلّیّت خود با هیچ وجود متحققی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افرادی که همه با یکدیگر فرق دارند، واقعی‌اند؛ از این رو، زنون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افلاطون وجود ندارد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معانی کلّی جز احساساتی که به خودی خود و بدون قصد و تفکّر </w:t>
      </w:r>
      <w:bookmarkStart w:id="228" w:name="pg5678_50387"/>
    </w:p>
    <w:p>
      <w:pPr>
        <w:pStyle w:val="BookText"/>
        <w:rPr/>
      </w:pPr>
      <w:bookmarkEnd w:id="228"/>
      <w:r>
        <w:rPr>
          <w:rFonts w:ascii="IRNazanin" w:hAnsi="IRNazanin" w:eastAsia="IRNazanin"/>
          <w:color w:val="111111"/>
          <w:sz w:val="28"/>
          <w:sz w:val="28"/>
          <w:szCs w:val="28"/>
          <w:rtl w:val="true"/>
          <w:lang w:bidi="fa-IR"/>
        </w:rPr>
        <w:t>ایجاد می‌شود، چیز دیگری نیست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وجود این، آنها به نوع دیگری از کلّی قائل بودند که با مذهب کاملاً مادّی آنها مغایرت داشت و آنها را از صف اسم‌گرایان مطلق خارج می‌کرد؛ از این رو به نوعی اصالت عقل قائل بودند؛ قائل به نوعی اصالت عقل که چندان با موضع کاملاً تجربی مذهب و قائل به اصالت تسمیه سازگار نبود؛</w:t>
      </w:r>
      <w:r>
        <w:rPr>
          <w:rStyle w:val="FootnoteAnchor"/>
          <w:rtl w:val="true"/>
        </w:rPr>
        <w:footnoteReference w:id="269"/>
      </w:r>
      <w:r>
        <w:rPr>
          <w:rFonts w:ascii="IRNazanin" w:hAnsi="IRNazanin" w:eastAsia="IRNazanin"/>
          <w:color w:val="111111"/>
          <w:sz w:val="28"/>
          <w:sz w:val="28"/>
          <w:szCs w:val="28"/>
          <w:rtl w:val="true"/>
          <w:lang w:bidi="fa-IR"/>
        </w:rPr>
        <w:t>از این رو، معتقد بودند تصوّرات کلیّة دیگری وجود دارد که صرفاً ذهنی و از هر امر حسّی، خارج است و این مفاهیم کلّی، پیشین و مقدّم بر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و مفاهیم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ظاهراً بر تجربه مقدّم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براساس این، می‌توان گفت که رواقیان در باب کلّی، همانند بسیاری از موارد دیگر، دچار تناقض شده‌اند و حدّ وسط بین مکتب اسم‌گرایی مطلق و واقع‌گرایی مطلق را در پیش گرفته‌اند</w:t>
      </w:r>
      <w:r>
        <w:rPr>
          <w:rFonts w:eastAsia="IRNazanin" w:cs="IRNazanin"/>
          <w:color w:val="111111"/>
          <w:sz w:val="28"/>
          <w:szCs w:val="28"/>
          <w:rtl w:val="true"/>
          <w:lang w:bidi="fa-IR"/>
        </w:rPr>
        <w:t>.</w:t>
      </w:r>
    </w:p>
    <w:p>
      <w:pPr>
        <w:pStyle w:val="Heading3"/>
        <w:numPr>
          <w:ilvl w:val="2"/>
          <w:numId w:val="1"/>
        </w:numPr>
        <w:rPr/>
      </w:pPr>
      <w:bookmarkStart w:id="229" w:name="__RefHeading___Toc3561907_581953129"/>
      <w:bookmarkStart w:id="230" w:name="_Toc85"/>
      <w:bookmarkEnd w:id="229"/>
      <w:r>
        <w:rPr>
          <w:rtl w:val="true"/>
        </w:rPr>
        <w:t>نتیجه‌گیری</w:t>
      </w:r>
      <w:bookmarkEnd w:id="230"/>
    </w:p>
    <w:p>
      <w:pPr>
        <w:pStyle w:val="BookText"/>
        <w:rPr/>
      </w:pPr>
      <w:r>
        <w:rPr>
          <w:rFonts w:ascii="IRNazanin" w:hAnsi="IRNazanin" w:eastAsia="IRNazanin"/>
          <w:color w:val="111111"/>
          <w:sz w:val="28"/>
          <w:sz w:val="28"/>
          <w:szCs w:val="28"/>
          <w:rtl w:val="true"/>
          <w:lang w:bidi="fa-IR"/>
        </w:rPr>
        <w:t>مکتب رواقی به سه دوره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میانه و امپراتوری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پایان این مکتب نزدیک شویم، گرایش به تعالیم اخلاقی و تأکید بر جنبة عملی فلسفه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رواقیان در معرفت‌شناسی، از اصحاب جزم و یقین به شمار می‌روند؛ یعنی معتقدند معرفت برای آدمی ممکن و دست‌یافتنی است، ولی ابزار آن، تنها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علوم عملی اهمیّت می‌دادند، غایت معرفت را عمل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چهار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صورت خیالی و حس؛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یا ردِّ صورت خیالی از سوی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بررسی خطا و صواب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مراد از علم، جمع‌آوری ادراکهای حسّی و جزئی و به رشته کشیدن آن در یک مجموعة مناسب است و این، کار عقل است و اختصاص به حکیم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صدق و کذب یک معرفت، مطابقت مضمون آن با موضوع خارجی و نیز اقتناع نفس به آن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رواقیان دربارة کلّی، براساس مبنای مادّی‌گری، وجود کلّیات را به تمام معنا انکار می‌کردند و آنها را تنها الفاظ می‌دانستند، ولی در عین حال، به یک نوع کلّی که تنها در ذهن وجود دارد، معقتد بودند و این، تناقضی است که در کلام آنها به چشم می‌خورد</w:t>
      </w:r>
      <w:r>
        <w:rPr>
          <w:rFonts w:eastAsia="IRNazanin" w:cs="IRNazanin"/>
          <w:color w:val="111111"/>
          <w:sz w:val="28"/>
          <w:szCs w:val="28"/>
          <w:rtl w:val="true"/>
          <w:lang w:bidi="fa-IR"/>
        </w:rPr>
        <w:t xml:space="preserve">. </w:t>
      </w:r>
      <w:bookmarkStart w:id="231" w:name="pg5678_50389"/>
    </w:p>
    <w:p>
      <w:pPr>
        <w:pStyle w:val="Heading2"/>
        <w:numPr>
          <w:ilvl w:val="1"/>
          <w:numId w:val="1"/>
        </w:numPr>
        <w:rPr/>
      </w:pPr>
      <w:bookmarkStart w:id="232" w:name="__RefHeading___Toc3561909_581953129"/>
      <w:bookmarkStart w:id="233" w:name="_Toc86"/>
      <w:bookmarkEnd w:id="231"/>
      <w:bookmarkEnd w:id="232"/>
      <w:r>
        <w:rPr>
          <w:rtl w:val="true"/>
        </w:rPr>
        <w:t>درآمدی بر معرفت‌شناسی فلوطین</w:t>
      </w:r>
      <w:bookmarkEnd w:id="233"/>
    </w:p>
    <w:p>
      <w:pPr>
        <w:pStyle w:val="Heading3"/>
        <w:numPr>
          <w:ilvl w:val="2"/>
          <w:numId w:val="1"/>
        </w:numPr>
        <w:rPr/>
      </w:pPr>
      <w:bookmarkStart w:id="234" w:name="__RefHeading___Toc3561911_581953129"/>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محمدعلی ندائی</w:t>
      </w:r>
    </w:p>
    <w:p>
      <w:pPr>
        <w:pStyle w:val="Heading3"/>
        <w:numPr>
          <w:ilvl w:val="2"/>
          <w:numId w:val="1"/>
        </w:numPr>
        <w:rPr/>
      </w:pPr>
      <w:bookmarkStart w:id="236" w:name="__RefHeading___Toc3561913_581953129"/>
      <w:bookmarkStart w:id="237" w:name="_Toc88"/>
      <w:bookmarkEnd w:id="236"/>
      <w:r>
        <w:rPr>
          <w:rtl w:val="true"/>
        </w:rPr>
        <w:t>مقدّمه</w:t>
      </w:r>
      <w:bookmarkEnd w:id="237"/>
    </w:p>
    <w:p>
      <w:pPr>
        <w:pStyle w:val="BookText"/>
        <w:rPr/>
      </w:pPr>
      <w:r>
        <w:rPr>
          <w:rFonts w:ascii="IRNazanin" w:hAnsi="IRNazanin" w:eastAsia="IRNazanin"/>
          <w:color w:val="111111"/>
          <w:sz w:val="28"/>
          <w:sz w:val="28"/>
          <w:szCs w:val="28"/>
          <w:rtl w:val="true"/>
          <w:lang w:bidi="fa-IR"/>
        </w:rPr>
        <w:t>تحوّلی که در اندیشه و تفکّر فلسفی غرب با دکارت آغاز شد، و با انقلاب کوپرنیکیِ کانت</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E. Kant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اوج رسید، محور فلسفه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روز به روز بر اهمیّت مسائل معرفت‌شناسی افزوده شد و به مباحث آن بیشتر توجّه گردید؛ به عبارت دیگر، با پدید آمدن دگردیسی پس از رنسانس در فکر و اندیشة غرب، متافیزیک مَدْرسی و کلاسیک که بر محور و مدار وجود و هستی استوار شده بود، در فضای اومانیستی جدید، جای خود را به فاعل‌شناسی و مباحث معرفت‌شناسی داد؛ بدین ترتیب، وجود و امور عامّه، اهمیّت خود را از دست داد و به محاق فراموشی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که تبیین مکانیکی و ریاضی‌گونة جهان، رویکرد غالب را تشکیل می‌داد، علّت فاعلی و غائی یا مبدأ و معاد کمرنگ شد و چِرایی در اشیای معقول واقع گشت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نگرشهای علمی بر فلسفه و به تعبیری دیگر، علمی شدن فلسفه، از یک سو، </w:t>
      </w:r>
      <w:bookmarkStart w:id="238" w:name="pg5678_50390"/>
    </w:p>
    <w:p>
      <w:pPr>
        <w:pStyle w:val="BookText"/>
        <w:rPr/>
      </w:pPr>
      <w:bookmarkEnd w:id="238"/>
      <w:r>
        <w:rPr>
          <w:rFonts w:ascii="IRNazanin" w:hAnsi="IRNazanin" w:eastAsia="IRNazanin"/>
          <w:color w:val="111111"/>
          <w:sz w:val="28"/>
          <w:sz w:val="28"/>
          <w:szCs w:val="28"/>
          <w:rtl w:val="true"/>
          <w:lang w:bidi="fa-IR"/>
        </w:rPr>
        <w:t>زمینة پیدایی فلسفه‌های مضاف را فراهم ساخت و از سوی دیگر، ذهن و قوای ادراکی انسان، باز تعریف شد و بسترهای پیدایی معرفت‌شناسی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اندیشه‌های افلاطون، ارسطو و دیگران با رویکردهای معرفت‌شناسانه مطالعه گردید و هر روز گسترة این دانش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مطالعه و بررسی دیدگاههای معرفت‌شناسانة فلوطین</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مؤثرترین فیلسوفان باستان بر فلسفة اسلامی است، به گونه‌ای که فلسفة نوافلاطونی، پایه و اساس فلسفة اسلامی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پیش‌درآمد و مدخلی بر بررسی اندیشه‌های معرفت‌شناختی فیلسوفان مسلمان، به ویژه ابن سینا، فارابی، سهروردی و ملاصدرا،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جستار، نخستین پژوهشی است که دیدگاههای معرفت‌شناختی فلوطین را مورد مطالعه قرار می‌دهد و به نوعی سرآغاز آن به شمار می‌رود، تلاش می‌شود با غور و جست‌وجو در آثار فلوطین، آرا و دیدگاههای معرفتی وی استخراج شود و هندسة معرفت‌شناسی او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کلیاتی دربارة فلسفة فلوطین و جایگاه وی در سنّت فلسفی و مسائل آن مطرح می‌کنیم و در بخش دوم، آرای معرفت‌شناختی فلوطین را تحلیل و بررسی می‌کنیم</w:t>
      </w:r>
      <w:r>
        <w:rPr>
          <w:rFonts w:eastAsia="IRNazanin" w:cs="IRNazanin"/>
          <w:color w:val="111111"/>
          <w:sz w:val="28"/>
          <w:szCs w:val="28"/>
          <w:rtl w:val="true"/>
          <w:lang w:bidi="fa-IR"/>
        </w:rPr>
        <w:t>.</w:t>
      </w:r>
    </w:p>
    <w:p>
      <w:pPr>
        <w:pStyle w:val="Heading3"/>
        <w:numPr>
          <w:ilvl w:val="2"/>
          <w:numId w:val="1"/>
        </w:numPr>
        <w:rPr/>
      </w:pPr>
      <w:bookmarkStart w:id="239" w:name="__RefHeading___Toc3561915_581953129"/>
      <w:bookmarkStart w:id="240" w:name="_Toc89"/>
      <w:bookmarkEnd w:id="239"/>
      <w:r>
        <w:rPr>
          <w:rtl w:val="true"/>
        </w:rPr>
        <w:t>جایگاه فلسفی فلوطین</w:t>
      </w:r>
      <w:bookmarkEnd w:id="240"/>
    </w:p>
    <w:p>
      <w:pPr>
        <w:pStyle w:val="BookText"/>
        <w:rPr/>
      </w:pPr>
      <w:r>
        <w:rPr>
          <w:rFonts w:ascii="IRNazanin" w:hAnsi="IRNazanin" w:eastAsia="IRNazanin"/>
          <w:color w:val="111111"/>
          <w:sz w:val="28"/>
          <w:sz w:val="28"/>
          <w:szCs w:val="28"/>
          <w:rtl w:val="true"/>
          <w:lang w:bidi="fa-IR"/>
        </w:rPr>
        <w:t>تقریباً اکثر محقّقان از فلوطین، به بزرگی یاد کرده و بسیاری، او را آخرین فیلسوف بزرگی شمرده‌اند که پس از چند قرن رکود و رخوت و انحرافی که دامنگیر فلسفة افلاطونی و ارسطویی شده بود، مجدداً فلسفة اصیل افلاطونی و ارسطویی را زنده کرد و حاکمیّت فرد را به عنوان ابزار فلسفه و کلید حقیقت، مستقر گردانید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این بازسازی و احیا و مبارزه با کج‌فهمیها که در تفکّر فلوطین نمود یافته بود، عنصر نقد و نقّادی را در فلسفة وی پررنگ‌تر ساخته است تا حدّی که اغلاق و پیچیدگی آثارش را در پی داشته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در تاریخ فلسفه از فلوطین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فرد فلاسفة بزرگ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27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نقل از اسقف اینگ</w:t>
      </w:r>
      <w:r>
        <w:rPr>
          <w:rStyle w:val="FootnoteAnchor"/>
          <w:rtl w:val="true"/>
        </w:rPr>
        <w:footnoteReference w:id="27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بار دیگر زندگی کرده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مؤلف کتاب درآمدی بر فلسفة افلوطین، فلوطین را از بزرگ‌ترین فیلسوفان غرب و فلسفه‌اش را از مهم‌ترین مکتبهای فلسفی برشمرده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محققی دیگر،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برجسته‌ترین فیلسوفان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فلوطین و مکتب او که محقّقان اروپایی در اواسط قرن نوزدهم،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دادند،</w:t>
      </w:r>
      <w:r>
        <w:rPr>
          <w:rStyle w:val="FootnoteAnchor"/>
          <w:rtl w:val="true"/>
        </w:rPr>
        <w:footnoteReference w:id="279"/>
      </w:r>
      <w:r>
        <w:rPr>
          <w:rFonts w:ascii="IRNazanin" w:hAnsi="IRNazanin" w:eastAsia="IRNazanin"/>
          <w:color w:val="111111"/>
          <w:sz w:val="28"/>
          <w:sz w:val="28"/>
          <w:szCs w:val="28"/>
          <w:rtl w:val="true"/>
          <w:lang w:bidi="fa-IR"/>
        </w:rPr>
        <w:t>از منظر تاریخی نیز حائز اهمیت است؛ چرا که وی، حلقة واسط و به تعبیر راسل، انجام فلاسفة یونانی و آغاز کیش مسیحی</w:t>
      </w:r>
      <w:r>
        <w:rPr>
          <w:rStyle w:val="FootnoteAnchor"/>
          <w:rtl w:val="true"/>
        </w:rPr>
        <w:footnoteReference w:id="280"/>
      </w:r>
      <w:r>
        <w:rPr>
          <w:rFonts w:ascii="IRNazanin" w:hAnsi="IRNazanin" w:eastAsia="IRNazanin"/>
          <w:color w:val="111111"/>
          <w:sz w:val="28"/>
          <w:sz w:val="28"/>
          <w:szCs w:val="28"/>
          <w:rtl w:val="true"/>
          <w:lang w:bidi="fa-IR"/>
        </w:rPr>
        <w:t>و یکی از عوامل مؤثر در تشکیل مسیحیّت قرون وسطایی و الهیّات کاتولیکی به شمار می‌رود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تأثیر فلوطین بر فیلسوفان مسلمان و فلسفة اسلامی نیز شایان توجّه است که در بحثهای بعدی،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پاسخ این سؤال که آیا فلوطین صاحب مکتب و نظامی خاص است یا اینکه صرفاً شارح اندیشه‌های پیشینیان، به ویژه افلاطون، است، می‌توان گفت، تقریباً همة محقّقان و مورخان، وی را صاحب مکتب می‌دانند و جایگاهی فراتر از شارحیت برایش قائل‌اند؛ هرچند فلوطین، خود، گفته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دیدگاههایی که ما خود بیان کرده‌ایم، چیز تازه‌ای نیست، بلکه مدّتها پیش از این، هرچند نه بدین روشنی و صراحت، به میان آورده شده بود و سخنان کنونی ما تنها تفسیر آن دیدگاههای قدیم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 همین اساس، مترجم دورة آثار فلوطین، در مقدمة ترجمه‌اش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نوافلاطونی، اعم از فلوطین و دیگران، خود را بنیانگذار فلسفه‌ای تازه نمی‌دانند، بلکه برآن‌اند که افلاطون را از کجیها و تحریفهایی که در آن راه یافته است، بپیرایند و آن را چنان که به راستی هست، بر پویندگان راه فلسفه بنمایند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فیلسوفان نوافلاطونی نظام فلسفی خاصّی را به وجود آوردند که گرچه به ظاهر با فلسفة افلاطون شباهت و بستگی دارد، ولی از حیث معنا و مقصد، به کلّی غیر از آن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همو در مقدمة پایدیا، فلسفة نوافلاطونی را یکی از دو رود عظیمی</w:t>
      </w:r>
      <w:r>
        <w:rPr>
          <w:rStyle w:val="FootnoteAnchor"/>
          <w:rtl w:val="true"/>
        </w:rPr>
        <w:footnoteReference w:id="284"/>
      </w:r>
      <w:r>
        <w:rPr>
          <w:rFonts w:ascii="IRNazanin" w:hAnsi="IRNazanin" w:eastAsia="IRNazanin"/>
          <w:color w:val="111111"/>
          <w:sz w:val="28"/>
          <w:sz w:val="28"/>
          <w:szCs w:val="28"/>
          <w:rtl w:val="true"/>
          <w:lang w:bidi="fa-IR"/>
        </w:rPr>
        <w:t>شمرده که به موازات یکدیگر از افلاطون سرچشمه گرفته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نظر مؤلف سیر حکمت در اروپا، گرچه فلوطین از تحقیقات جمیع دانشمندان سلف بهره برده و با این ملاحظه، از حکمای التقاطی به شمار آمده، شکّی نیست که وی، مردی صاحب‌نظر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مایة طبیعی خود، دایرة تحقیقات فلسفی را بسط کلّی داده و حکمتی تأسیس کرده است که می‌توان آن را نظیر حکمت افلاطون و ارسطو دانست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نصرالله پورجوادی هم بر جهان‌بینی و نظام مابعدالطبیعة خاصّ فلوطین تأکید می‌کند و فلسفة او را یکی از مهم‌ترین مکتبهای فلسفی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افلوطین دارای جهان‌بینی و نظام مابعدطبیعی خاصّی است که تقریباً در همة رساله‌های او، بدون اینکه به طور منظم و یک جا شرح شده باشد، منظور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همة رساله‌های نه‌گانه، بیان تفصیلی این نظام فلسفی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امیل بریه نیز اذعان دارد که فلوطین در همة مطالب با استناد به جهان‌بینی خاصّی که همیشه مورد توجّه او و مؤثر در فکر او بود،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این جهان‌بینی، خاصّ بلوتینوس نبود و طرح اجمالی آن در آثار پژیدُنیوس قبلاً مطرح شده است،</w:t>
      </w:r>
      <w:r>
        <w:rPr>
          <w:rStyle w:val="FootnoteAnchor"/>
          <w:rtl w:val="true"/>
        </w:rPr>
        <w:footnoteReference w:id="288"/>
      </w:r>
      <w:r>
        <w:rPr>
          <w:rFonts w:ascii="IRNazanin" w:hAnsi="IRNazanin" w:eastAsia="IRNazanin"/>
          <w:color w:val="111111"/>
          <w:sz w:val="28"/>
          <w:sz w:val="28"/>
          <w:szCs w:val="28"/>
          <w:rtl w:val="true"/>
          <w:lang w:bidi="fa-IR"/>
        </w:rPr>
        <w:t xml:space="preserve">در عین حال، همین مورخ در شرح فلسفة فلوطین بارها از مابعدالطبیعة فلوطینی و نوآوریها و </w:t>
      </w:r>
    </w:p>
    <w:p>
      <w:pPr>
        <w:pStyle w:val="BookText"/>
        <w:rPr/>
      </w:pPr>
      <w:r>
        <w:rPr>
          <w:rFonts w:ascii="IRNazanin" w:hAnsi="IRNazanin" w:eastAsia="IRNazanin"/>
          <w:color w:val="111111"/>
          <w:sz w:val="28"/>
          <w:sz w:val="28"/>
          <w:szCs w:val="28"/>
          <w:rtl w:val="true"/>
          <w:lang w:bidi="fa-IR"/>
        </w:rPr>
        <w:t>تغییراتی که فلوطین در آرای پیشینیان صورت داده،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w:t>
      </w:r>
      <w:r>
        <w:rPr>
          <w:rStyle w:val="FootnoteAnchor"/>
          <w:rtl w:val="true"/>
        </w:rPr>
        <w:footnoteReference w:id="289"/>
      </w:r>
      <w:r>
        <w:rPr>
          <w:rFonts w:ascii="IRNazanin" w:hAnsi="IRNazanin" w:eastAsia="IRNazanin"/>
          <w:color w:val="111111"/>
          <w:sz w:val="28"/>
          <w:sz w:val="28"/>
          <w:szCs w:val="28"/>
          <w:rtl w:val="true"/>
          <w:lang w:bidi="fa-IR"/>
        </w:rPr>
        <w:t>و کاپلستون،</w:t>
      </w:r>
      <w:r>
        <w:rPr>
          <w:rStyle w:val="FootnoteAnchor"/>
          <w:rtl w:val="true"/>
        </w:rPr>
        <w:footnoteReference w:id="290"/>
      </w:r>
      <w:r>
        <w:rPr>
          <w:rFonts w:ascii="IRNazanin" w:hAnsi="IRNazanin" w:eastAsia="IRNazanin"/>
          <w:color w:val="111111"/>
          <w:sz w:val="28"/>
          <w:sz w:val="28"/>
          <w:szCs w:val="28"/>
          <w:rtl w:val="true"/>
          <w:lang w:bidi="fa-IR"/>
        </w:rPr>
        <w:t>در موارد متعدّد، از نظام فلسفی خاصّ فلوطین صحبت کرده‌اند و در تشریح دیدگاههای وی به مثابه یک مکتب فلسفی به او نگریسته‌اند و از این زاویه به تبیین دیدگاههای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خالد هم در فلوطین رائد الوحدانیه که رسالة دکتری وی بوده است،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آرا و اندیشه‌های فیلسوفان پیشین را نه از موضع یک مورخ فلسفه، بلکه همچون مرشدی حکیم مورد نقد و بررسی قرار داده است؛ چرا که تمام مشکلات فکری که او به حل آن اقدام کرده، قبلاً یا به عنوان مسئله‌ای فلسفی و یا موضوعی دینی مورد بحث قرار گرفته است؛ بنابراین، نقش او در این باب به تألیف و ترکیب آن دیدگاهها به گونه‌ای جدید و نقد و بررسی آنها و در نهایت، به استخراج نتایج تازه‌ای منحصر است که دربردارندة دیدگاههای ابتکاری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یکی دیگر از محقّقان، اهمیت فلوطین را هم از نظر تأسیس مکتبی جدید و هم از نظر موقعیت تاریخی مورد توجّه قرار داده،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فلسفة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خود در موارد بسیاری از افلاطون شاهد آورده و خود را وامدار 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بیش از شرح و تکمیل فلسفة افلاطون است؛ چرا که می‌توان گفت که او در هدف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نوعی وحدت وجود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با افلاطون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اهمیت نظام فلسفی فلوطین به دلیل موقعیت تاریخی اوست؛ زیرا وی در نقطه‌ای ایستاده است که محل التقای راهها و جریانات فلسفی فیلون، آرای فیثاغوریان، مذهب رواقی، مذهب ارفه‌ای یونانی، وحدت‌گرایی پارمنیدی و تأثری از دیگر جریانات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هندی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بهره‌وری از نقاط مثبت هر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تحلیل خاصّ خود و با کل‌نگری ویژه‌اش، در ارائه نظامی یک‌پارچه در تبیین حقیقتی که مراد اصلی فلسفه است، تلاش کرد</w:t>
      </w:r>
      <w:r>
        <w:rPr>
          <w:rFonts w:eastAsia="IRNazanin" w:cs="IRNazanin"/>
          <w:color w:val="111111"/>
          <w:sz w:val="28"/>
          <w:szCs w:val="28"/>
          <w:rtl w:val="true"/>
          <w:lang w:bidi="fa-IR"/>
        </w:rPr>
        <w:t>.</w:t>
      </w:r>
      <w:r>
        <w:rPr>
          <w:rStyle w:val="FootnoteAnchor"/>
          <w:rtl w:val="true"/>
        </w:rPr>
        <w:footnoteReference w:id="292"/>
      </w:r>
      <w:bookmarkStart w:id="241" w:name="pg5678_50394"/>
    </w:p>
    <w:p>
      <w:pPr>
        <w:pStyle w:val="Heading3"/>
        <w:numPr>
          <w:ilvl w:val="2"/>
          <w:numId w:val="1"/>
        </w:numPr>
        <w:rPr/>
      </w:pPr>
      <w:bookmarkStart w:id="242" w:name="__RefHeading___Toc3561917_581953129"/>
      <w:bookmarkStart w:id="243" w:name="_Toc90"/>
      <w:bookmarkEnd w:id="241"/>
      <w:bookmarkEnd w:id="242"/>
      <w:r>
        <w:rPr>
          <w:rtl w:val="true"/>
        </w:rPr>
        <w:t>تفاوتهای افلاطون و فلوطین</w:t>
      </w:r>
      <w:bookmarkEnd w:id="243"/>
    </w:p>
    <w:p>
      <w:pPr>
        <w:pStyle w:val="BookText"/>
        <w:rPr/>
      </w:pPr>
      <w:r>
        <w:rPr>
          <w:rFonts w:ascii="IRNazanin" w:hAnsi="IRNazanin" w:eastAsia="IRNazanin"/>
          <w:color w:val="111111"/>
          <w:sz w:val="28"/>
          <w:sz w:val="28"/>
          <w:szCs w:val="28"/>
          <w:rtl w:val="true"/>
          <w:lang w:bidi="fa-IR"/>
        </w:rPr>
        <w:t>حال، شایسته است به برخی از تفاوتهای اساسی افلاطون و فلوطین برای روشن شدن رویکردها و هویّت نظام فکری فلوطین اشاره‌ای مختصر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هدف و غایت، از مهم‌ترین تفاوتهای این دو فیلسوف است؛ بدین معنا که هدف و غایت در فلسفة افلاطون، شناختن عالم معقول برای عالم معقول نیست و عروج به آن، صرفاً برای عروج به آنجا و رهایی از این جریان و رسیدن به سعادت و رستگاری نیست، بلکه برای این است که فیلسوف پس از عروج و آشنایی با حقایق عالم معقول، دوباره به این جهان محسوس باز گردد و آن را مطابق و به تقلید از حقایقِ معقول، سامان بخشد تا زندگی در این جهان، ارزش زندگی کردن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فلوطین معنا و غایت فلسفه، شناختن عالم محسوس به یاری عالم معقول و اثربخشی در عالم محسوس نیست، بلکه صرفاً پاک ساختن روح از علایق دنیوی و عروج به عالم معقول و یگانه شدن با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فلوطین هر عملی را در جهان محسوسات حقیر می‌شمارد</w:t>
      </w:r>
      <w:r>
        <w:rPr>
          <w:rStyle w:val="FootnoteAnchor"/>
          <w:rtl w:val="true"/>
        </w:rPr>
        <w:footnoteReference w:id="293"/>
      </w:r>
      <w:r>
        <w:rPr>
          <w:rFonts w:ascii="IRNazanin" w:hAnsi="IRNazanin" w:eastAsia="IRNazanin"/>
          <w:color w:val="111111"/>
          <w:sz w:val="28"/>
          <w:sz w:val="28"/>
          <w:szCs w:val="28"/>
          <w:rtl w:val="true"/>
          <w:lang w:bidi="fa-IR"/>
        </w:rPr>
        <w:t>و در جهت ترک دنیا و علایق دنیوی گام برمی‌دارد و بر خلاف افلاطون، به سیاست و فلسفة سیاست، چندان علاقه‌ای نشان نمی‌دهد؛</w:t>
      </w:r>
      <w:r>
        <w:rPr>
          <w:rStyle w:val="FootnoteAnchor"/>
          <w:rtl w:val="true"/>
        </w:rPr>
        <w:footnoteReference w:id="294"/>
      </w:r>
      <w:r>
        <w:rPr>
          <w:rFonts w:ascii="IRNazanin" w:hAnsi="IRNazanin" w:eastAsia="IRNazanin"/>
          <w:color w:val="111111"/>
          <w:sz w:val="28"/>
          <w:sz w:val="28"/>
          <w:szCs w:val="28"/>
          <w:rtl w:val="true"/>
          <w:lang w:bidi="fa-IR"/>
        </w:rPr>
        <w:t>به بیانی دیگر، افلاطون در پی درک حقیقت بود، اما فلوطین در پی وصول به حقیقت و اتّحاد با آن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افلاطون خیر و حق را اعلی مرتبة مُثُل و رأس معقولات می‌دانست و فلوطین، احد را برتر از آنها می‌شمرد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44" w:name="__RefHeading___Toc3561919_581953129"/>
      <w:bookmarkStart w:id="245" w:name="_Toc91"/>
      <w:bookmarkEnd w:id="244"/>
      <w:r>
        <w:rPr>
          <w:rtl w:val="true"/>
        </w:rPr>
        <w:t>تأثیر فلوطین در اندیشه و تفکّر غرب</w:t>
      </w:r>
      <w:bookmarkEnd w:id="2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فلسفة فلوطین بیشتر رنگ عرفانی دارد و دغدغة او، حلّ دو مسئلة اساسی، یعنی دین و فلسفه است و می‌خواست ثابت کند که فلسفة عقلی دارای ارزش دینی نیز هست،</w:t>
      </w:r>
      <w:r>
        <w:rPr>
          <w:rStyle w:val="FootnoteAnchor"/>
          <w:rtl w:val="true"/>
        </w:rPr>
        <w:footnoteReference w:id="297"/>
      </w:r>
      <w:r>
        <w:rPr>
          <w:rFonts w:ascii="IRNazanin" w:hAnsi="IRNazanin" w:eastAsia="IRNazanin"/>
          <w:color w:val="111111"/>
          <w:sz w:val="28"/>
          <w:sz w:val="28"/>
          <w:szCs w:val="28"/>
          <w:rtl w:val="true"/>
          <w:lang w:bidi="fa-IR"/>
        </w:rPr>
        <w:t xml:space="preserve">تفکّر وی تأثیر زیادی در مسیحیت داشته است؛ به گونه‌ای که راسل، وی را یکی از عوامل </w:t>
      </w:r>
      <w:bookmarkStart w:id="246" w:name="pg5678_50395"/>
    </w:p>
    <w:p>
      <w:pPr>
        <w:pStyle w:val="BookText"/>
        <w:rPr/>
      </w:pPr>
      <w:bookmarkEnd w:id="246"/>
      <w:r>
        <w:rPr>
          <w:rFonts w:ascii="IRNazanin" w:hAnsi="IRNazanin" w:eastAsia="IRNazanin"/>
          <w:color w:val="111111"/>
          <w:sz w:val="28"/>
          <w:sz w:val="28"/>
          <w:szCs w:val="28"/>
          <w:rtl w:val="true"/>
          <w:lang w:bidi="fa-IR"/>
        </w:rPr>
        <w:t>مؤثر در تشکیل مسیحیّت قرون وسطایی و الهیات کاتولیکی دانسته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ملکیان نیز مدّعی شده به نظر عموم تاریخ‌نویسان، بسیاری از متفکّران مسیحی، از جمله اگوستین،</w:t>
      </w:r>
      <w:r>
        <w:rPr>
          <w:rStyle w:val="FootnoteAnchor"/>
          <w:rtl w:val="true"/>
        </w:rPr>
        <w:footnoteReference w:id="299"/>
      </w:r>
      <w:r>
        <w:rPr>
          <w:rFonts w:ascii="IRNazanin" w:hAnsi="IRNazanin" w:eastAsia="IRNazanin"/>
          <w:color w:val="111111"/>
          <w:sz w:val="28"/>
          <w:sz w:val="28"/>
          <w:szCs w:val="28"/>
          <w:rtl w:val="true"/>
          <w:lang w:bidi="fa-IR"/>
        </w:rPr>
        <w:t>از فلوطین تأثیر پذیرفته‌اند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هر حال، نفوذ فلوطین در قرون وسطی و رنسانس و تأثیرش بر برخی فلاسفة جدید غرب آشکار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فلسفة فلوطین که با ظهور خود، مکاتب دیگر را از صحنه خارج کرد و یکه‌تاز میدان شد، تأثیر زیادی در مسیحیّت گذاشت، به حدّی که در اوایل قرن ششم میلادی، دیونوسیوس</w:t>
      </w:r>
      <w:r>
        <w:rPr>
          <w:rStyle w:val="FootnoteAnchor"/>
          <w:rtl w:val="true"/>
        </w:rPr>
        <w:footnoteReference w:id="302"/>
      </w:r>
      <w:r>
        <w:rPr>
          <w:rFonts w:ascii="IRNazanin" w:hAnsi="IRNazanin" w:eastAsia="IRNazanin"/>
          <w:color w:val="111111"/>
          <w:sz w:val="28"/>
          <w:sz w:val="28"/>
          <w:szCs w:val="28"/>
          <w:rtl w:val="true"/>
          <w:lang w:bidi="fa-IR"/>
        </w:rPr>
        <w:t>تلاش کرد مسیحیّت را با فلسفة فلوطین جمع کند؛ از این رو، درصدد برآمد تا تثلیت مسیحیّت و کیفیّت خلقت را با دیدگاههای فلوطین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دیونوسیوس بر متفکّران قرون وسطی تأثیر زیادی گذاشت و آرای او توسط جان اسکاتس،</w:t>
      </w:r>
      <w:r>
        <w:rPr>
          <w:rStyle w:val="FootnoteAnchor"/>
          <w:rtl w:val="true"/>
        </w:rPr>
        <w:footnoteReference w:id="303"/>
      </w:r>
      <w:r>
        <w:rPr>
          <w:rFonts w:ascii="IRNazanin" w:hAnsi="IRNazanin" w:eastAsia="IRNazanin"/>
          <w:color w:val="111111"/>
          <w:sz w:val="28"/>
          <w:sz w:val="28"/>
          <w:szCs w:val="28"/>
          <w:rtl w:val="true"/>
          <w:lang w:bidi="fa-IR"/>
        </w:rPr>
        <w:t>فیلسوف ایرلندی، به فیلسوفان بعدی انتقال یافت؛ به گونه‌ای که توماس آکوئیناس</w:t>
      </w:r>
      <w:r>
        <w:rPr>
          <w:rStyle w:val="FootnoteAnchor"/>
          <w:rtl w:val="true"/>
        </w:rPr>
        <w:footnoteReference w:id="304"/>
      </w:r>
      <w:r>
        <w:rPr>
          <w:rFonts w:ascii="IRNazanin" w:hAnsi="IRNazanin" w:eastAsia="IRNazanin"/>
          <w:color w:val="111111"/>
          <w:sz w:val="28"/>
          <w:sz w:val="28"/>
          <w:szCs w:val="28"/>
          <w:rtl w:val="true"/>
          <w:lang w:bidi="fa-IR"/>
        </w:rPr>
        <w:t>در آثار خود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پانزدهم، فلسفة فلوطین از راه ترجمه و چاپ رسائل نه‌گانه احیا شد و مطالعه و تحقیق در آثار وی تا عصر حاضر ادامه دارد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47" w:name="__RefHeading___Toc3561921_581953129"/>
      <w:bookmarkStart w:id="248" w:name="_Toc92"/>
      <w:bookmarkEnd w:id="247"/>
      <w:r>
        <w:rPr>
          <w:rtl w:val="true"/>
        </w:rPr>
        <w:t>فلوطین و فلسفة اسلامی</w:t>
      </w:r>
      <w:bookmarkEnd w:id="2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مسلمانان در قرن دوم و سوم هجری به طور جدّی، نهضت ترجمه را آغاز کردند، حدود چهارده قرن از عصر افلاطون و ارسطو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جریان تفکّر فلسفی یونان، فراز و فرودهای بسیاری را به خود دیده و مکتبها و نظامهای فلسفی متعدّدی را در دامان خود پرورانده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کانونهای فلسفه نیز در عصر هلینیزم، آکادمی و </w:t>
      </w:r>
    </w:p>
    <w:p>
      <w:pPr>
        <w:pStyle w:val="BookText"/>
        <w:rPr/>
      </w:pPr>
      <w:r>
        <w:rPr>
          <w:rFonts w:ascii="IRNazanin" w:hAnsi="IRNazanin" w:eastAsia="IRNazanin"/>
          <w:color w:val="111111"/>
          <w:sz w:val="28"/>
          <w:sz w:val="28"/>
          <w:szCs w:val="28"/>
          <w:rtl w:val="true"/>
          <w:lang w:bidi="fa-IR"/>
        </w:rPr>
        <w:t>لوکیون آتن را در نوردیده و در شهرهای رم و اسکندریه استقرار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فلوطین در اسکندریه و سپس استقرار او در رم و تلاشی که وی به منظور تنقیح، تفسیر و بازسازی اندیشه‌ها و آثار آباء فلسفی یونان، چون افلاطون، ارسطو، پارمنیدس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 مکتبهای فلسفی دیگر را متأثر ساخت و باعث شد که آنها یا میدان را خالی کنند و یا در سایة نفوذ و سیطرة آن، به حیات خود ادامه دهند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این تسلّط و استیلا موجب شد تا فلسفة یونان، پس از وی، رنگ نوافلاطونی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فلوطینی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گیرد و در گسترة وسیع هلینیزم حوزه‌های متعدّد نوافلاطونی پدید آید؛ همچون حوزه‌های سوری، برگامون، آتنی، اسکندرانی و نوافلاطونیان غرب لاتینی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با ظهور اسلام و گسترش قلمرو اسلامی و فتح شهرهایی چون اسکندریه و نیز در اثر خیزش علمی در این قلمرو، در عالم اسلامی نگاهها به سوی میراث مکتوب دیگر تمدنها و اقوام متوجّه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دوران، نظام نوافلاطونی و نوافلاطونیان، پرچمدار فلسفة یونانی بودند، این نظام، به ویژه حوزة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به گفتة کاپلستون، به دلیل رابطه‌اش با مسیحیّت به تدریج خصیصة مریی شرک‌آلود خود را از دست داده و تبدیل به یک نظام فلسفی خنثی شده بود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سایر جریانهای فکری اسلامی تأثیر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مدکور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فلاسفة اسلام، ارسطو را فقط از خلال کتابهای او یا کتابهای مکتب مشّاء شناخته بودند، به طور قطع، میراثی که برای ما می‌شناختند، غیر از این بود که اکنون هست، اما مدرسة اسکندریه، میان آنها و معلّم اوّل فاصله شد و تأثیر بسیاری در افکار آنان بر جای نهاد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برخی بر این باورند که فلسفة اسلامی، مبانی خود را بر فلسفة فلوطین قرار داد</w:t>
      </w:r>
      <w:r>
        <w:rPr>
          <w:rStyle w:val="FootnoteAnchor"/>
          <w:rtl w:val="true"/>
        </w:rPr>
        <w:footnoteReference w:id="310"/>
      </w:r>
      <w:r>
        <w:rPr>
          <w:rFonts w:ascii="IRNazanin" w:hAnsi="IRNazanin" w:eastAsia="IRNazanin"/>
          <w:color w:val="111111"/>
          <w:sz w:val="28"/>
          <w:sz w:val="28"/>
          <w:szCs w:val="28"/>
          <w:rtl w:val="true"/>
          <w:lang w:bidi="fa-IR"/>
        </w:rPr>
        <w:t xml:space="preserve">و برخی دیگر معتقدند فلسفة مشّائی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فلسفة ارسطو، افکار شارحان </w:t>
      </w:r>
    </w:p>
    <w:p>
      <w:pPr>
        <w:pStyle w:val="BookText"/>
        <w:rPr/>
      </w:pPr>
      <w:r>
        <w:rPr>
          <w:rFonts w:ascii="IRNazanin" w:hAnsi="IRNazanin" w:eastAsia="IRNazanin"/>
          <w:color w:val="111111"/>
          <w:sz w:val="28"/>
          <w:sz w:val="28"/>
          <w:szCs w:val="28"/>
          <w:rtl w:val="true"/>
          <w:lang w:bidi="fa-IR"/>
        </w:rPr>
        <w:t>اسکندرانی و فلسفة نوافلاطونیان، به ویژه فلوطین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علّت این تأثیر شگرف چیست و دامنة آن تا کجاست؟ از چه زمانی آغاز شده و تا چه عصری تداوم یافته است؟ آیا این تأثیر به پای تأثیر ارسطو در فلسفة مشّائی می‌رسد یا نه؟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ظاهراً فلسفة نوافلاطونی از قرنهای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میان متفکّران اسلامی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و معتزله نخستین کسانی‌اند که از این فلسفه متأثر شدند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مسلمانان نه تنها بخشهایی از کتاب فلوطین را در دست داشتند، بلکه با آثار نوافلاطونیان دیگر، خصوصاً فرفوریوس و پروکلوس</w:t>
      </w:r>
      <w:r>
        <w:rPr>
          <w:rStyle w:val="FootnoteAnchor"/>
          <w:rtl w:val="true"/>
        </w:rPr>
        <w:footnoteReference w:id="313"/>
      </w:r>
      <w:r>
        <w:rPr>
          <w:rFonts w:ascii="IRNazanin" w:hAnsi="IRNazanin" w:eastAsia="IRNazanin"/>
          <w:color w:val="111111"/>
          <w:sz w:val="28"/>
          <w:sz w:val="28"/>
          <w:szCs w:val="28"/>
          <w:rtl w:val="true"/>
          <w:lang w:bidi="fa-IR"/>
        </w:rPr>
        <w:t>نیز آشنا بودند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این میان، فلاسفة مسلمان بیش از متکلّمان و احتمالاً صوفیه، از آثار نوفلاطونیان بهره‌مند شدند و از آنان تأثیر قرار پذیرفتند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مهم‌ترین اثری که منشأ نفوذ و گسترش فلسفة نوافلاطونی، به ویژه فلوطین، در میان فیلسوفان اسلامی گردید، اثولوجیا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گزیده و منتخب آثار وی با روایت و تفسیر فرفوریوس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نخستین بار در قرن دوم هجری از زبان سریانی به قلم عبدالمسیح بن ناعمة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انتساب آن به ارسطو با عنوان اثولوجیا به عربی ترجمه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چنان که در مقدمة این کتاب آمده است، این اثر پس از ترجمه، توسط یعقوب کندی معروف به فیلسوف عرب، برای احمد بن معتظم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ویراستاری شده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اثولوجیا از همان آغاز، مورد توجّه فیلسوفان اسلامی و صاحب‌نظران قرار گرفت و در روند تفکّر و اندیشة اسلامی، اعم از عرفان و فلسفه، جایگاهی ممتاز یافت و به یکی از برجسته‌ترین و تأثیرگذارترین ترجمه‌های فلسفی مبدّل گشت</w:t>
      </w:r>
      <w:r>
        <w:rPr>
          <w:rStyle w:val="FootnoteAnchor"/>
          <w:rtl w:val="true"/>
        </w:rPr>
        <w:footnoteReference w:id="318"/>
      </w:r>
      <w:r>
        <w:rPr>
          <w:rFonts w:ascii="IRNazanin" w:hAnsi="IRNazanin" w:eastAsia="IRNazanin"/>
          <w:color w:val="111111"/>
          <w:sz w:val="28"/>
          <w:sz w:val="28"/>
          <w:szCs w:val="28"/>
          <w:rtl w:val="true"/>
          <w:lang w:bidi="fa-IR"/>
        </w:rPr>
        <w:t xml:space="preserve">و به تعبیر ماجد فخری، تأثیر </w:t>
      </w:r>
    </w:p>
    <w:p>
      <w:pPr>
        <w:pStyle w:val="BookText"/>
        <w:rPr/>
      </w:pPr>
      <w:r>
        <w:rPr>
          <w:rFonts w:ascii="IRNazanin" w:hAnsi="IRNazanin" w:eastAsia="IRNazanin"/>
          <w:color w:val="111111"/>
          <w:sz w:val="28"/>
          <w:sz w:val="28"/>
          <w:szCs w:val="28"/>
          <w:rtl w:val="true"/>
          <w:lang w:bidi="fa-IR"/>
        </w:rPr>
        <w:t>آن در اندیشة اسلامی از همه قاطع‌تر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ویراستار آن، یعنی کندی، شرحی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نیز در نوشته‌هایش به آن استناد کرد و یکی از پایه‌های کتاب الجمع بین رأی الحکیمین خود را در زمینة استناد به آثار ارسطو بر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ابن سینا هم تعلیقاتی بر اثولوجیا نوشت که بخشی از کتاب الانصاف او 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تعلیقات که موجود است، هم‌اکنون به چاپ رسیده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وی در نامه‌اش به ابوجعفر، محمد بن حسین بن مرزبان‌کیا، نوشته است که در کتاب الانصاف، همة موارد مشکل فلسفی را تا پایان اثولوجیا با وجود همة اعتراضهایی که به آن می‌شود، توضیح و شرح داده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روند، از سوی اخوان الصفا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جمله کسانی بودند که آرای نوافلاطونیان را در جهان اسلام اشاعه دادند و در این راه، چنان کوشیدند که نویسندگان غربی،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شیخ اشراق نیز متأثر از این کتاب بوده و از آن در حکمت اشراق الهام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متأخران نیز صدرالمتألهین، بیش از همه به این کتاب توجّه داشته است؛ به طوری که استاد آشتیانی بر این باور است که ملاصدرا نخستین کسی است که حقّ این اثر را ادا کرده و به عمق معانی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شاگردش، قاضی سعید قمی، تعلیقاتی بر چهار میمر نخست آن نوشت که با تصحیح استاد آشتیانی به چاپ رسیده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بنابراین، میزان تأثیر اثولوجیا بر اندیشة اسلامی و تأثّر فیلسوفان مسلمان از فلوطین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گونه‌ای است که یکی از محقّقان، آن را کمتر از تأثیر ارسطو بر اندیشة اسلامی و فیلسوفان مسلمان ندانسته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ماجد فخری نیز پس از بیان تأثیر قاطع‌تر اثولوجیا بر اندیشة اسلامی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کتاب اثولوجیا و الخیر المحض، نظریة فیض یا صدور که تقریباً بنیاد تمامی اندیشة اسلامی است، به تفصیل مورد بحث واقع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به رغم نفوذ فوق‌العادة اثولوجیا در فلسفة اسلامی، چندان اسمی از فلوطین در کتابهای تاریخی و فلسفی گذشتگان دیده نمی‌شود و ظاهراً گاهی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قفطی در تاریخ الحکماء و ابن ندیم در الفهرست،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اندکی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در صوان الحکمه، شهرستانی در الملل و النحل و احمد بن محمد بن مسکویه در جاویدان خرد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قفطی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است از بلاد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کتابهای ارسطاطالیس را شرح کرده و مترجمان، او را از جملة شارحان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تصانیف او، از لغت رومی به سریانی نقل شده و مرا معلوم نشد که چیزی از آنها به عربی نقل شده 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چنان که پیشتر آمد و از عبارت قفطی نیز استفاده می‌شود، هرچند اثولوجیا در تاریخ فلسفة اسلامی از جایگاه برجسته‌ای برخوردار است، نه تنها انتساب آن به فلوطین مطرح نیست، بلکه فیلسوفان مسلمان آن را به ارسطو منتسب می‌دانستند و آن را با عنوان اثولوجیا ارسطاطالیس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نیز چنین آغاز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أثولوجیا أرسطاطالیس نقله إلی العربیی عبدالمسیح بن عبدالله بن ناعمی الحمصی</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یا در آغاز میمر نخست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المیمر الأوّل من کتاب أرسطاطالیس الفیلسوف المسمّی بالیونانیی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علی الربوبیی، تفسیر فرفوریوس الصوری و نقله إلی العربیی</w:t>
      </w:r>
      <w:r>
        <w:rPr>
          <w:rFonts w:eastAsia="IRNazanin" w:cs="IRNazanin"/>
          <w:color w:val="111111"/>
          <w:sz w:val="28"/>
          <w:szCs w:val="28"/>
          <w:rtl w:val="true"/>
          <w:lang w:bidi="fa-IR"/>
        </w:rPr>
        <w:t>...».</w:t>
      </w:r>
      <w:r>
        <w:rPr>
          <w:rStyle w:val="FootnoteAnchor"/>
          <w:rtl w:val="true"/>
        </w:rPr>
        <w:footnoteReference w:id="33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نباید استقبال و تأثر فیلسوفان مسلمان را از آن، تنها به دلیل انتسابش به ارسطو پنداشت، بلکه به نظر می‌رسد بیش از آن، قابلیّت سازگاری محتوای کتاب با عقاید </w:t>
      </w:r>
      <w:bookmarkStart w:id="249" w:name="pg5678_50400"/>
    </w:p>
    <w:p>
      <w:pPr>
        <w:pStyle w:val="BookText"/>
        <w:rPr/>
      </w:pPr>
      <w:bookmarkEnd w:id="249"/>
      <w:r>
        <w:rPr>
          <w:rFonts w:ascii="IRNazanin" w:hAnsi="IRNazanin" w:eastAsia="IRNazanin"/>
          <w:color w:val="111111"/>
          <w:sz w:val="28"/>
          <w:sz w:val="28"/>
          <w:szCs w:val="28"/>
          <w:rtl w:val="true"/>
          <w:lang w:bidi="fa-IR"/>
        </w:rPr>
        <w:t>دینی آنان در این امر دخیل بوده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شاهد این مدّعا این است که تأثیر آن در فلسفة اسلامی، بیش از آثاری است که انتسابشان به ارسطو مسلّم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سرگذشت انتساب این کتاب به ارسطو و سپس به فلوطین که با تلاش محقّقان غربی در قرن نوزدهم میلادی آشکار گشت، شنیدنی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 از آنان ذهن نقّاد و ژرف‌نگر ابن سینا نخستین جرقة تردید را نسبت به صحّت انتساب اثولوجیا به ارسطو زده بود،</w:t>
      </w:r>
      <w:r>
        <w:rPr>
          <w:rStyle w:val="FootnoteAnchor"/>
          <w:rtl w:val="true"/>
        </w:rPr>
        <w:footnoteReference w:id="333"/>
      </w:r>
      <w:r>
        <w:rPr>
          <w:rFonts w:ascii="IRNazanin" w:hAnsi="IRNazanin" w:eastAsia="IRNazanin"/>
          <w:color w:val="111111"/>
          <w:sz w:val="28"/>
          <w:sz w:val="28"/>
          <w:szCs w:val="28"/>
          <w:rtl w:val="true"/>
          <w:lang w:bidi="fa-IR"/>
        </w:rPr>
        <w:t>اما در قرن نوزدهم میلادی با تحقیقات هاربریکر</w:t>
      </w:r>
      <w:r>
        <w:rPr>
          <w:rStyle w:val="FootnoteAnchor"/>
          <w:rtl w:val="true"/>
        </w:rPr>
        <w:footnoteReference w:id="3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کتابهایی چون ملل و نحل و امثال آن ذکر شده است، همان فلوطین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دهه بعد، والنتین روزه</w:t>
      </w:r>
      <w:r>
        <w:rPr>
          <w:rStyle w:val="FootnoteAnchor"/>
          <w:rtl w:val="true"/>
        </w:rPr>
        <w:footnoteReference w:id="335"/>
      </w:r>
      <w:r>
        <w:rPr>
          <w:rFonts w:ascii="IRNazanin" w:hAnsi="IRNazanin" w:eastAsia="IRNazanin"/>
          <w:color w:val="111111"/>
          <w:sz w:val="28"/>
          <w:sz w:val="28"/>
          <w:szCs w:val="28"/>
          <w:rtl w:val="true"/>
          <w:lang w:bidi="fa-IR"/>
        </w:rPr>
        <w:t>دریافت که اثولوجیا گزیده‌هایی از نه‌گانه‌های فلوطین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دکتر شرف‌الدین خراسانی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عمیق و فشرده، روند تحقیقات محقّقان غربی و نتایج آن را در این باره بررسی کرده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حال، چند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فلوطین با فلسفة اسلامی از چه روست؟ خطوط کلّی تفکّر فلسفی وی چیست؟ در یک نگاه بیرونی به تفکّر فلوطین، چه ویژگیهایی را می‌توان برای آن برشمرد؟ فلوطین چه هدفی را در نظام فلسفی خویش دنبال می‌کند و ساختاری را که وی برای دست‌یابی به آن پی می‌گیرد، 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پاسخ به پرسشهای فوق را پی می‌گیریم</w:t>
      </w:r>
      <w:r>
        <w:rPr>
          <w:rFonts w:eastAsia="IRNazanin" w:cs="IRNazanin"/>
          <w:color w:val="111111"/>
          <w:sz w:val="28"/>
          <w:szCs w:val="28"/>
          <w:rtl w:val="true"/>
          <w:lang w:bidi="fa-IR"/>
        </w:rPr>
        <w:t>.</w:t>
      </w:r>
    </w:p>
    <w:p>
      <w:pPr>
        <w:pStyle w:val="Heading3"/>
        <w:numPr>
          <w:ilvl w:val="2"/>
          <w:numId w:val="1"/>
        </w:numPr>
        <w:rPr/>
      </w:pPr>
      <w:bookmarkStart w:id="250" w:name="__RefHeading___Toc3561923_581953129"/>
      <w:bookmarkStart w:id="251" w:name="_Toc93"/>
      <w:bookmarkEnd w:id="250"/>
      <w:r>
        <w:rPr>
          <w:rtl w:val="true"/>
        </w:rPr>
        <w:t>خطوط کلّی فلسفة فلوطین</w:t>
      </w:r>
      <w:bookmarkEnd w:id="251"/>
    </w:p>
    <w:p>
      <w:pPr>
        <w:pStyle w:val="Heading4"/>
        <w:numPr>
          <w:ilvl w:val="3"/>
          <w:numId w:val="1"/>
        </w:numPr>
        <w:rPr/>
      </w:pPr>
      <w:bookmarkStart w:id="252" w:name="__RefHeading___Toc3561925_581953129"/>
      <w:bookmarkStart w:id="253" w:name="_Toc94"/>
      <w:bookmarkEnd w:id="252"/>
      <w:r>
        <w:rPr>
          <w:rtl w:val="true"/>
        </w:rPr>
        <w:t>اشاره</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علل فاعلی و غایی نظام فلسفی فلوطین را بررسی می‌کنیم و می‌کوشیم تا با ارائة تصویری اجمالی و چشم‌اندازی کلّی از نظام فکری وی، زمینه‌های درک بهتر و </w:t>
      </w:r>
    </w:p>
    <w:p>
      <w:pPr>
        <w:pStyle w:val="BookText"/>
        <w:rPr/>
      </w:pPr>
      <w:r>
        <w:rPr>
          <w:rFonts w:ascii="IRNazanin" w:hAnsi="IRNazanin" w:eastAsia="IRNazanin"/>
          <w:color w:val="111111"/>
          <w:sz w:val="28"/>
          <w:sz w:val="28"/>
          <w:szCs w:val="28"/>
          <w:rtl w:val="true"/>
          <w:lang w:bidi="fa-IR"/>
        </w:rPr>
        <w:t>عمیق‌تر اندیشه‌ها و آرای او فراهم شود و تا حدّی، هندسة معرفتی‌اش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در پی چه چیز بوده است؟ آیا در پی حل مشکلات نظری انسان معاصر خویش بوده؟ یا به دنبال ایجاد یک سلوک عملی؟ نقد او بر فلاسفة پیشین چیست؟ او با فلسفة خود می‌خواسته کدام مشکل فلسفی را که اسلافش نتوانسته بودند برای آن پاسخی بیابند و یا پاسخهای ناقصی ارائه کرده بودند، حل کند؟ غایت اساسی و بنیادین فلسفة فلوطین چیست؟ مسئلة محوری آن چیست؟ چرا و به چه علّت، تفکّر فلسفی با فلوطین، رنگ عرفانی به خود می‌گیرد و جهت‌گیری کلّی آن از فیزیک به متافیزیک تغییر می‌یابد؟ دکتر لطفی در مقدّمة دورة آثار فلوطین به این دگردیسی فلسفه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یونانی که با تالس،</w:t>
      </w:r>
      <w:r>
        <w:rPr>
          <w:rStyle w:val="FootnoteAnchor"/>
          <w:rtl w:val="true"/>
        </w:rPr>
        <w:footnoteReference w:id="338"/>
      </w:r>
      <w:r>
        <w:rPr>
          <w:rFonts w:ascii="IRNazanin" w:hAnsi="IRNazanin" w:eastAsia="IRNazanin"/>
          <w:color w:val="111111"/>
          <w:sz w:val="28"/>
          <w:sz w:val="28"/>
          <w:szCs w:val="28"/>
          <w:rtl w:val="true"/>
          <w:lang w:bidi="fa-IR"/>
        </w:rPr>
        <w:t>آغاز و با پارمنیدس، افلاطون و ارسطو به اوج و با رواقیان و اپیکوریان، قوس نزولی خود را می‌پیماید، فلسفة وجود این جهان محسوس است و روی در این جهان دارد و این وجود در نظرش امری مقدّس و الهی است؛ از این رو، آرزوی بازگشت به جهانی دیگر در این فلسفه جایی ندارد، اما فلسفه‌های پس از آن، یعنی فیثاغوری جدید، نوافلاطونی، گنوسی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نوعی دیگرند و اگر نتوان گفت منکر وجود و طبیعت‌اند، لااقل این وجود و این جهان ما را به چشم حقارت می‌نگرند و از آن می‌گریزند و هدف اصلیشان یگانه شدن با احدیّت است؛ با این تفاوت که برخی از این مکتبها گریز مطلق را توصیه می‌کنند و برخی مانند نوافلاطونیها در جهان طبیعت، خیر و زیبایی می‌بینند؛ مثلاً فلوطین این جهان را به صفت زیبایی می‌ستاد و آن را تصویر جهان معقول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خیر و زیبایی را از این امر می‌داند که این جهان بر اثر فیضان از احد، لباس وجود یافته و نردبانی است برای عروج روحانی به آن</w:t>
      </w:r>
      <w:r>
        <w:rPr>
          <w:rFonts w:eastAsia="IRNazanin" w:cs="IRNazanin"/>
          <w:color w:val="111111"/>
          <w:sz w:val="28"/>
          <w:szCs w:val="28"/>
          <w:rtl w:val="true"/>
          <w:lang w:bidi="fa-IR"/>
        </w:rPr>
        <w:t>.</w:t>
      </w:r>
      <w:r>
        <w:rPr>
          <w:rStyle w:val="FootnoteAnchor"/>
          <w:rtl w:val="true"/>
        </w:rPr>
        <w:footnoteReference w:id="33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هرچند در تفکّر فلوطین در مقایسه با اسلافش چون افلاطون و ارسطو، نوعی کم‌توجّهی به جهان محسوس و مادّی دیده می‌شود و جهان معقول و ماورای آن یعنی احد، از اصالت و اهمیت فوق‌العاده‌ای برخوردار می‌گردد، همین تفکّر در مقایسه با معاصران، چنان که اشاره شد، از اعتدال بیشتری بهره‌مند است و نزدیک‌ترین تفکّر به اسلاف وی به شمار می‌رود؛ از این رو، به دلیل همین توجّه شدید به جهان معقول و ماورای وجود، یعنی احد، برخی چون یاسپرس، فلوطین را منحصراً فیلسوف ماورای طبیعی به </w:t>
      </w:r>
    </w:p>
    <w:p>
      <w:pPr>
        <w:pStyle w:val="BookText"/>
        <w:rPr/>
      </w:pPr>
      <w:r>
        <w:rPr>
          <w:rFonts w:ascii="IRNazanin" w:hAnsi="IRNazanin" w:eastAsia="IRNazanin"/>
          <w:color w:val="111111"/>
          <w:sz w:val="28"/>
          <w:sz w:val="28"/>
          <w:szCs w:val="28"/>
          <w:rtl w:val="true"/>
          <w:lang w:bidi="fa-IR"/>
        </w:rPr>
        <w:t>معنای واقعی کلمه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از توجّه علمی به جهان دولت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امور که از واحد سرچشمه می‌گیرد و به واحد بازمی‌گردد، فارغ از تاریخ است و حضور ابدی دارد و اندیشیدن دربارة این جریان، روحی را که می‌خواهد از راه این اندیشیدن به یقین برسد، به عروج برمی‌انگیزد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امیل بریه نیز طریقة نوافلاطونی را طریقه‌ای برای وصول به وجود معقول، علم به هیئت بنای این وجود و وصف این هیئت می‌داند و معتقد است در این تفکّر، توجّه به وجود معقول، نه به منظور تبیین عالم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نظر فلوطین، موجود معقول، جهان را نمی‌شناسد و رو به سوی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قصد آن است که انسان از مرحله‌ای که معرفت و سعادت در آن امکان‌ناپذیر است، به مرتبه‌ای مرور کند که این دو در آن ممکن باشد و چون محسوس، تصویری از معقول است، باعث می‌شود که بتوان از یکی به دیگری مرور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راسل نیز با عنایت به همین ویژگی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فلوطین این عیب را دارد که انسان را تشویق می‌کند که به جای مشاهده بیرونی به مکاشفه درونی بپردازد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توجّه اصیل و شدید به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معقول و کاسته شدن وزن جهان محسوس و در سایه قرار گرفتن آن سبب شده است که از یک سو، چتر عرفان بر سراسر تفکّر فلوطین سایه افکند و سراسر آموزه‌هایش صبغة عرفانی به خود گیرد و از سوی دیگر، غایت و روش فلسفی وی را متأثر سازد؛ به گونه‌ای که غایت فلسفه از نظر وی، چیزی جز رستگاری از راه بازگشت جان آدمی به مبدأ نخستین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بازگشت، خود یک سیر و سلوک عرفانی است و به همین سبب نیز گاهی فلوطین را عارف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عرفان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گفته‌اند، او فیلسوف به معنای متداول آن نیست و روش فلسفی وی، بر نوعی از سیر و سلوک عرفانی مبتنی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غسّان خالد به نقل از فرفوریوس، بر غایت </w:t>
      </w:r>
      <w:bookmarkStart w:id="254" w:name="pg5678_50403"/>
    </w:p>
    <w:p>
      <w:pPr>
        <w:pStyle w:val="BookText"/>
        <w:rPr/>
      </w:pPr>
      <w:bookmarkEnd w:id="254"/>
      <w:r>
        <w:rPr>
          <w:rFonts w:ascii="IRNazanin" w:hAnsi="IRNazanin" w:eastAsia="IRNazanin"/>
          <w:color w:val="111111"/>
          <w:sz w:val="28"/>
          <w:sz w:val="28"/>
          <w:szCs w:val="28"/>
          <w:rtl w:val="true"/>
          <w:lang w:bidi="fa-IR"/>
        </w:rPr>
        <w:t>وحدت و بازگشت به مبدأ نخستین از طریق معرفت تأکید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فلوطین از اهمیّت شناخت انسان به ذات خودش، سخن می‌گوید، بدین سبب است که آن را راهی برای فهم جوهر انسانی به عنوان عالم صغیر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شناخت درونی را نیز فی حدّ ذاته، غایت نمی‌شمارد، بلکه آن را مرحله و روشی ضروری برای تأمّل و دست‌یابی به اتّحاد با نفس و سپس با خدا می‌داند؛ به گونه‌ای که از خود بی‌خود شود و با خود، هستی و خدا یگانه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پرتو همین وحدت‌گرایی است که به نظر غسّان خالد، مهم‌ترین محور فلسفی و مسئله‌ای که فلوطین در پی حلّ آن بوده است، چگونگی پیوند وحدت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هدف وحدت‌گرایانة فلوطین از گرایش او به آرامش ایمانی یا صرف تمایل وی به رهایی روحی استنتاج نشده است، بلکه از خواست او به خلاصی از امر دیگری که فلسفی‌روش و عقل‌برانگیز است، ناشی شده است؛ یعنی گشودن گره وحدت و کثرتی که وی آن را از یونان به ارث برده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 توجّه به آنچه اشاره شد، می‌توان خطوط کلّی و ویژگیهای زیر را برای تفکّر فلسفة فلوطین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از اسلاف و معاصران؛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چیستی فلسفة فلوطین</w:t>
      </w:r>
      <w:r>
        <w:rPr>
          <w:rFonts w:eastAsia="IRNazanin" w:cs="IRNazanin"/>
          <w:color w:val="111111"/>
          <w:sz w:val="28"/>
          <w:szCs w:val="28"/>
          <w:rtl w:val="true"/>
          <w:lang w:bidi="fa-IR"/>
        </w:rPr>
        <w:t>.</w:t>
      </w:r>
    </w:p>
    <w:p>
      <w:pPr>
        <w:pStyle w:val="Heading4"/>
        <w:numPr>
          <w:ilvl w:val="3"/>
          <w:numId w:val="1"/>
        </w:numPr>
        <w:rPr/>
      </w:pPr>
      <w:bookmarkStart w:id="255" w:name="__RefHeading___Toc3561927_581953129"/>
      <w:bookmarkStart w:id="256" w:name="_Toc95"/>
      <w:bookmarkEnd w:id="255"/>
      <w:r>
        <w:rPr>
          <w:rtl w:val="true"/>
        </w:rPr>
        <w:t>الف</w:t>
      </w:r>
      <w:r>
        <w:rPr>
          <w:rtl w:val="true"/>
        </w:rPr>
        <w:t xml:space="preserve">) </w:t>
      </w:r>
      <w:r>
        <w:rPr>
          <w:rtl w:val="true"/>
        </w:rPr>
        <w:t>نقّادی از اسلاف و معاصران</w:t>
      </w:r>
      <w:bookmarkEnd w:id="256"/>
    </w:p>
    <w:p>
      <w:pPr>
        <w:pStyle w:val="BookText"/>
        <w:rPr/>
      </w:pPr>
      <w:r>
        <w:rPr>
          <w:rFonts w:ascii="IRNazanin" w:hAnsi="IRNazanin" w:eastAsia="IRNazanin"/>
          <w:color w:val="111111"/>
          <w:sz w:val="28"/>
          <w:sz w:val="28"/>
          <w:szCs w:val="28"/>
          <w:rtl w:val="true"/>
          <w:lang w:bidi="fa-IR"/>
        </w:rPr>
        <w:t>از ویژگیهای تفکّر فلوطین، نقّادی وی از دیدگاههای پیشینیان و جریانهای معاصر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علاوه بر اینکه شاهدی بر تأسیس نظامی فلسفی از سوی وی به شمار می‌رود، سبب دشواری فهم آرا و آثار فلوطین گشته و پیچیدگی فلسفه وی را موجب شده است؛ از این رو، پیش‌شرط درک عمیق و جامع دیدگاههای فلوطین، احاطه بر آرا و اندیشه‌های پیشینیان است تا بتوان اشارات و نقدهای وی را به درستی دریافت و نفی و اثبات او را درک کرد؛ چنان که امیل بریه به این ضرورت اشاره کرده،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فلوطین دربارة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و شمول آن را بازیابیم، </w:t>
      </w:r>
    </w:p>
    <w:p>
      <w:pPr>
        <w:pStyle w:val="BookText"/>
        <w:rPr/>
      </w:pPr>
      <w:r>
        <w:rPr>
          <w:rFonts w:ascii="IRNazanin" w:hAnsi="IRNazanin" w:eastAsia="IRNazanin"/>
          <w:color w:val="111111"/>
          <w:sz w:val="28"/>
          <w:sz w:val="28"/>
          <w:szCs w:val="28"/>
          <w:rtl w:val="true"/>
          <w:lang w:bidi="fa-IR"/>
        </w:rPr>
        <w:t>مانند خود بلوتینوس باید پیوسته رأی ارسطو را دربارة نفس با آرای افلاطونیان و رواقیان در این باره مقابل سازیم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نقّادی فلوطین، هم نسبت به دیدگاهها و هم نسبت به روش فلسفی مکاتب و جریانهای 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از یک سو، جریانهای معاصر خویش را منحرف می‌دانست؛ چون در پی دست‌یابی به حقیقت، ره افسانه زده‌اند و تعالیم و آموزه‌های فیلسوفان بزرگ، چون افلاطون و ارسطو را با ظنّ خود، وارونه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چالشهایی را فراروی خود می‌دید که حل‌نشده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شدّت با سه عقیدة معروف زمان خود، یعنی مادیّت، شکّاکیّت و ثنویّت گنوشیکی مبارزه کرد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فلوطین در جاهای مختلفی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انئادها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چگونگی مواجهه و برخورد مکاتب فلسفی عصر خویش با آرای فیلسوفان بزرگ انتقاد کرده و آن را نادرست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نهم از انئاد دوم که به رد و نقد نحلة گنوسی اختصاص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 بود که به جای بدنام کردن فیلسوفان بزرگ از سر حسن نیّت، تعالیم آنان را دربارة مرگ‌ناپذیری روح، جهان معقول، خدای نخستین، تکلیف روح به گریز از دلبستگی به تن، جدایی روح از تن و گریز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می‌پذیرفتند و معنای حقیقی آنها را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پاره‌ای موارد با آن نظرها موافق نیستند، در خور سرزنش نیستند، ولی نمی‌بایست برای ترویج عقاید خود و پذیراندن آنها به شنوندگان، فیلسوفان یونانی را استهزا کنند یا در بدنام ساختن آنان بکوشند، بلکه بایستی سعی می‌کردند درستی آن قسمت از دیدگاههای خود را که مخالف عقاید فیلسوفان دیگر است، از طریق علمی و با توسّل به استدلال معقول ثابت کنند و در این کار، تنها حقیقت را در نظر می‌داشتند و به ستایش عامه اعتنا نمی‌کردند و سخن را به نکوهش گذشتگانی که بهترین نقّادان به دقّت نظرشان گواهی داده‌اند، نمی‌آلودند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مطالبی که این کسان از فیلسوفان گذشته گرفته‌اند، دقت می‌کنیم، می‌بینیم اضافاتی که به هیچ‌روی با آن موافق نیست به آنها افزوده‌اند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جملات بالا پیداست، فلوطین از چگونگی مواجهه و برخورد مکتبهای عصر خود، به ویژه نحلة گنوسی، با آرای فیلسوفانی چون افلاطون انتقاد می‌کند و تفسیرها </w:t>
      </w:r>
      <w:bookmarkStart w:id="257" w:name="pg5678_50405"/>
    </w:p>
    <w:p>
      <w:pPr>
        <w:pStyle w:val="BookText"/>
        <w:rPr/>
      </w:pPr>
      <w:bookmarkEnd w:id="257"/>
      <w:r>
        <w:rPr>
          <w:rFonts w:ascii="IRNazanin" w:hAnsi="IRNazanin" w:eastAsia="IRNazanin"/>
          <w:color w:val="111111"/>
          <w:sz w:val="28"/>
          <w:sz w:val="28"/>
          <w:szCs w:val="28"/>
          <w:rtl w:val="true"/>
          <w:lang w:bidi="fa-IR"/>
        </w:rPr>
        <w:t>و برداشتهایشان را نادرست می‌شمارد و در پی آن است که گرد و غبار چند قرن کج‌فهمی و برداشتهای نادرست شارحان و مفسّران را از دامن آرا و اندیشه‌های افلاطون و دیگر بزرگان فلسفه بزداید و تفسیری معقول و اصیل از آنها ارائه دهد و در واپسین روزهای عصر فلسفة یونان باستان، مجدداً آن را بازسازی و جلوه و جلایی دیگر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در جایی دیگر، با انتقاد از گنوسیان، به تبیین روش فلسفی خویش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اندیشیدن فلسفی، علاوه بر ویژگیهای دیگر، از ویژگی سادگی بهره دارد و با طرز فکری پاک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 به خود مغرور نیست، بلکه در پی حیثیت و شرف حقیقی است و شجاعت را با اندیشیدنِ روشن و احتیاط و رعایت جوانب بهم می‌پیوندد، پس عقاید اصحاب نحلة گنوسی را با همین معیارها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فلسفه، روشی به کلّی، مخالف روش ما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امر مهم نیست، بلکه مهم این است که آن روش در شأن ما نیست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258" w:name="__RefHeading___Toc3561929_581953129"/>
      <w:bookmarkStart w:id="259" w:name="_Toc96"/>
      <w:bookmarkEnd w:id="258"/>
      <w:r>
        <w:rPr>
          <w:rtl w:val="true"/>
        </w:rPr>
        <w:t>ب</w:t>
      </w:r>
      <w:r>
        <w:rPr>
          <w:rtl w:val="true"/>
        </w:rPr>
        <w:t xml:space="preserve">) </w:t>
      </w:r>
      <w:r>
        <w:rPr>
          <w:rtl w:val="true"/>
        </w:rPr>
        <w:t>هویّت و چیستی فلسفة فلوطین</w:t>
      </w:r>
      <w:bookmarkEnd w:id="259"/>
    </w:p>
    <w:p>
      <w:pPr>
        <w:pStyle w:val="BookText"/>
        <w:rPr/>
      </w:pPr>
      <w:r>
        <w:rPr>
          <w:rFonts w:ascii="IRNazanin" w:hAnsi="IRNazanin" w:eastAsia="IRNazanin"/>
          <w:color w:val="111111"/>
          <w:sz w:val="28"/>
          <w:sz w:val="28"/>
          <w:szCs w:val="28"/>
          <w:rtl w:val="true"/>
          <w:lang w:bidi="fa-IR"/>
        </w:rPr>
        <w:t>چنان که اشاره شد، از ویژگیهای نظام فکری فلوطین، انتقادی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سؤالهایی مطرح است؛ از قبیل هویّت فلسفة فلوطین چیست و آبشخورهای آن کدام است؟ نسبت این فلسفه با نظامهای فکری پیش از آن چگونه است؟ آیا فلوطین، صرفاً پیرو افلاطون است یا از فیلسوفان دیگر نیز متأثر شده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گفته شد، فلوطین فیلسوفی است فراتر از شارح بودن، بلکه نوآوری است مؤسس که نظام فکری خاصّی را پدید آورد و با ارائة اصول و قواعد ابتکاری، روشها و افقهای تازه‌ای را فراروی مسائل و موضوعات فلسفی قرار داد و پاره‌ای از مشکلات لاینحل را به گونه‌ای معقول و منطقی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فلسفة فلوطین از یک هویّت مستقل برخوردار است، اما بی‌تردید، این هویّت مستقل، در تفکّرات پیشین ریشه داشته و در امتداد آنها تکوّن و تکامل یافته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فلوطین با درهم آمیختن آرا و اندیشه‌های فلاسفة پیشین و ترکیب و تألیف آنها با هم، نظام فکری جدیدی را پدید آورده و با بهره‌گیری از یافته‌ها و دانشهای </w:t>
      </w:r>
    </w:p>
    <w:p>
      <w:pPr>
        <w:pStyle w:val="BookText"/>
        <w:rPr/>
      </w:pPr>
      <w:r>
        <w:rPr>
          <w:rFonts w:ascii="IRNazanin" w:hAnsi="IRNazanin" w:eastAsia="IRNazanin"/>
          <w:color w:val="111111"/>
          <w:sz w:val="28"/>
          <w:sz w:val="28"/>
          <w:szCs w:val="28"/>
          <w:rtl w:val="true"/>
          <w:lang w:bidi="fa-IR"/>
        </w:rPr>
        <w:t>دیگران، ماورائی‌ترین قرائت فلسفی از انسان و هستی را ارائه داده و بدان، رنگ عرفانی بخشیده و هندسة تثلیث خویش را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بدین سبب برای وی میسّر شد که از منظر تاریخی، فلوطین در نقطه‌ای قرار گرفته بود که محل التقای راهها و جریانهای مختلف فکری، از قبیل ارسطوگرایی، افلاطون‌گرایی، مسلک کلامی فیلون، فیثاغوریان، رواقیان، مذهب ارفه‌ای یونانی، وحدت‌گرایی پارمیندی و جریانهای شرقی بوده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بیشتر مورخان تاریخ فلسفه نیز بر این امر تأکید کرده و آبشخورهای مختلف نظام فکری فلوطین را برشمرده‌اند و بدین علّت که از تحقیقات جمیع دانشمندان پیش از خود بهره برده، محقّقان او را از حکمای التقاطی به شمار آورده‌اند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کاپلستون نیز بر این مطلب تأکید ورزیده و در بخش تبیین نظریة فلوطین، بارها از ترکیب و آمیختگی دیدگاههای وی سخن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بدین‌گونه فلوطین، دیدگاههای افلاطونی و ارسطویی را ترکیب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ادامه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آمیختگیِ دیدگاههای جهان‌شناختی افلاطونی و ارسطویی، افلوطین از نظریة ارفه‌ای و فیثاغوری دربارة مادّه به عنوان اصل شر، حمایت و دفاع می‌کند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وی پس از تبین نظریة فلوطین و آبشخورهای آن، در یک جمع‌بندی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نظام فلوطین، گرایش ارفه‌ای،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عقلانی، رستگاری از طریق تشبّه به خدا و معرفت خدا، به کامل‌ترین و منظم‌ترین بیان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اکنون نه تنها شامل منطق، جهان‌شناسی، روان‌شناسی، علم مابعدالطبیعه و علم اخلاق است، بلکه نظریة دین و عرفان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عالی‌ترین نوع معرفت، شناخت عرفانی خداست و چون فلوطین که به اغلب احتمال، نظریة خود را دربارة عرفان علاوه بر تفکّر نظری گذشته، بر تجربة خویش بنیاد نهاده است، آشکارا تجربة عرفانی را منتهای فضیلت و کمال فیلسوف حقیقی می‌داند، می‌توانیم بگوییم که در فلسفة نوافلاطونی فلوطینی، تمایل به رسیدن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ماورای خودش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نظری به عنوان هدف نهایی که باید به آن نائل شد، خودنمایی نمی‌کند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چنان که ملاحظه می‌شود، کاپلستون در تبیین هویّت نظام فلسفی فلوطین، افزون بر ترکیبی و تألیفی بودن آن، بر عرفانی بودن و صبغة دینی داشتن آن نیز تأکید می‌ورزد و بدین سبب، هدف نهایی آن را نه تفکّر و معرفت نظری، بلکه تمایل به رسیدن به دین می‌داند و تجربه عرفانی را منتهای کمال فیلسوف حقیقی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تجربة عملی را یکی از آبشخورهای تفکّر فلوطین می‌داند و سرانجام، تبیین و تحلیل خود را از مذهب نوافلاطونی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نوافلاطونی، واقعاً پاسخ عقلی مذهبانه به آرزوی زمان خود برای نجات و رستگاریِ شخصی بود؛ یعنی آن آرزوها و اشتیاقات فرد که خصیصة بارز آن عصر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فلسفة فلوطین، یک فلسفة هماهنگ است که از اصلی بسط یافته است که زیربنای آموزة خیر آرمانی افلاطون است؛ یعنی اینکه کلّی واقعی شامل‌تر، بسیطتر و بهتر از جزئی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متعالی جهان، وحدت محض و خیر محض است و هر واقعیت دیگری بر آن مبتنی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راسل نیز دیدگاهی جالب توجّه دربارة فلسفة فلوطین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او را به عنوان یکی از عوامل مؤثر در تشکیل مسیحیّت قرون وسطایی و الهیات کاتولیکی، دارای اهمیت تاریخی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او به عنوان نماینده و مؤسس یک دستگاه مهم فلسفی، اهمیت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وی را کسی می‌داند که خواسته است در عصری که بدبختی فراگیر بود، خوشبختی را در جهان معقولات جست‌وجو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او را شارح و روشنگر تعالیم افلاطون می‌داند که توانسته است دیدگاههای مشترک خویش و دیگران را در حدّ اعلای استحکام و انسجام، بسط و پرورش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او را متفکّری می‌داند که عموماً از گذشتگان، به احترام یاد می‌کند و با رواقیان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مادّه‌گرایی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اپیکوریان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واسطة مجموع فلسفة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فعّالیّت داشتند، مخالفت می‌ورزید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 تأثیر ارسطو در تعالیم فلوطین را پیش از آن چیزی می‌داند که به نظر می‌رسد مدّعی است نفوذ پارمنیدس نیز در وی احساس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امیل بریه، نویسنده صاحب نام تاریخ فلسفه، هم معتقد است در قرن سوم میلادی و پس از آن، صاحب‌نظران یونانی غیر مسیحی کوشیدند تا هیئت بنای وجود معقول و مراتب آن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این عصر، راهی برای وصف مدارج عالم مابعدالطبیعی بود که نفس با انجذاب روحانی از هر کدام از آنها به دیگری انتقال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این طرز تفکّر را شروع کرد، آمونیوس ساکاس</w:t>
      </w:r>
      <w:r>
        <w:rPr>
          <w:rStyle w:val="FootnoteAnchor"/>
          <w:rtl w:val="true"/>
        </w:rPr>
        <w:footnoteReference w:id="357"/>
      </w:r>
      <w:r>
        <w:rPr>
          <w:rFonts w:ascii="IRNazanin" w:hAnsi="IRNazanin" w:eastAsia="IRNazanin"/>
          <w:color w:val="111111"/>
          <w:sz w:val="28"/>
          <w:sz w:val="28"/>
          <w:szCs w:val="28"/>
          <w:rtl w:val="true"/>
          <w:lang w:bidi="fa-IR"/>
        </w:rPr>
        <w:t>بود که آن را به فلوطین تعلیم داد و آن را به او القا کرد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همان‌گونه که اشاره شد، از وجوه مشخّصة نظام فکری فلوطین، ترکیبی بودن آ‌ن است؛ از این رو، شایسته است به اختصار، وجوه تأثّر او از فلاسفة پیشین بیان شود تا آبشخور آرا و اندیشه‌هایش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پارمنیدس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مسئلة وحدت، هستی، اتّحاد هستی و اندیشه، نگرش به اطلاق و صرافت هستی و استفاده از دلایلی شبیه پارمنیدس در امور هستی‌شناسی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مثل، قول به بهره‌مندی در تبیین ارتباط مثل و ایده‌ها با جزئیات و کثرات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نظریة فیض را بسط‌یافتة نظریة مشارکت و بهره‌مندی افلاطون دانسته و در مقابل، بعضی آن را اساساً نظریه‌ای ابداعی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واحد خیر و زیبا به عنوان مبدأ آفرینش؛ واحدی که فوق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فلوطین جایگاه مثل را در عقل قرار داده و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را نیز بر عقل منطبق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لایتحرک بودن واحد، اتّحاد عقل، عاقل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اقنوم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ازلیت عالم، هرچند مبدأ اعلای ارسطو و اوصاف خدای او در نزد فلوطین به عقل یا نفس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وساطت و عدم ارتباط واحد با کثرات و جزئیات، قول به لوگوس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صادر اوّل بودن و نیز آن را مجمع مثل و ایده‌ها دانستن، تکیه بر کمال بودن </w:t>
      </w:r>
    </w:p>
    <w:p>
      <w:pPr>
        <w:pStyle w:val="BookText"/>
        <w:rPr/>
      </w:pPr>
      <w:r>
        <w:rPr>
          <w:rFonts w:ascii="IRNazanin" w:hAnsi="IRNazanin" w:eastAsia="IRNazanin"/>
          <w:color w:val="111111"/>
          <w:sz w:val="28"/>
          <w:sz w:val="28"/>
          <w:szCs w:val="28"/>
          <w:rtl w:val="true"/>
          <w:lang w:bidi="fa-IR"/>
        </w:rPr>
        <w:t>امر بی‌نهایت، تشبیه ارتباط خدا با عالم به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فیثاغوریان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واحد به عنوان مبدأ اصلی هستی و تشابه واحد و کثرت به یک و اعداد و برخی تمایلات اخلاقی و تهذیبی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انتقادهای فراوان او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نوعی تصویر وحدت وجودی و سریان حیات و قوای الهی در ارکان وجود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ویژگیها سبب شد تا فلسفة او به صورت مأخذی مطمئن و اعتمادپذیر برای جریانهای مختلف دینی، اشراقی، عرفانی و مشائی درآید؛ به گونه‌ای که ارسطو و افلاطون فلوطینی شده، بیشتر با طبع متأخران، اعم از مسیحی و مسلمان سازگار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حال، به دیدگاههای مهم و نظام فکری فلوطین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فلوطین از واقع‌گرایان است نه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واقعیت یا واقعیات در نظر او چیست؟ آیا واقعیت واحد است یا کثیر؟ در صورت ذو مراتب بودن واقعیت، مراتب هستی کدام است و ارتباط آنها با یکدیگر چگونه است؟ آیا فلوطین به واقعیت و وجود متعالی قائل است یا نه؟ واقعیت متعالی واحد با کثرت چه نسبتی دارد و نحوة پیدایش کثرت از واحد چگونه است؟ خصوصیات واقعیت متعالی چیست؟ پاسخ به چنین سؤالاتی تا حدّی هستی‌شناسی فلوطین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نظام فلسفی فلوطین، وحدت‌گراست و اصل متعالی جهان نزد وی، وحدت محض و خیر محض است و هر واقعیت دیگری بر آن مبتنی است؛</w:t>
      </w:r>
      <w:r>
        <w:rPr>
          <w:rStyle w:val="FootnoteAnchor"/>
          <w:rtl w:val="true"/>
        </w:rPr>
        <w:footnoteReference w:id="361"/>
      </w:r>
      <w:r>
        <w:rPr>
          <w:rFonts w:ascii="IRNazanin" w:hAnsi="IRNazanin" w:eastAsia="IRNazanin"/>
          <w:color w:val="111111"/>
          <w:sz w:val="28"/>
          <w:sz w:val="28"/>
          <w:szCs w:val="28"/>
          <w:rtl w:val="true"/>
          <w:lang w:bidi="fa-IR"/>
        </w:rPr>
        <w:t xml:space="preserve">از این رو، حلّ مشکل ارتباط وحدت با کثرت و پیدایش کثرت از مبدأ واحد با توجّه به اینکه الواحد لا یصدر عنه إلا الواحد، از مهم‌ترین موضوعاتی است که فلسفة فلوطین در پی حل آن بوده است و مهم‌ترین نظریة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چیستی مادی المواد و اصل اولی، از آغاز، در فلسفة یونان باستان مطرح بوده و آرایی را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آن را خیر محض و ارسطو، محرّک اوّل یا محرّک لایتحرّک می‌دانست، در حالی که در تبیین چگونگی صدور کثرت از وحدت </w:t>
      </w:r>
      <w:bookmarkStart w:id="260" w:name="pg5678_50410"/>
    </w:p>
    <w:p>
      <w:pPr>
        <w:pStyle w:val="BookText"/>
        <w:rPr/>
      </w:pPr>
      <w:bookmarkEnd w:id="260"/>
      <w:r>
        <w:rPr>
          <w:rFonts w:ascii="IRNazanin" w:hAnsi="IRNazanin" w:eastAsia="IRNazanin"/>
          <w:color w:val="111111"/>
          <w:sz w:val="28"/>
          <w:sz w:val="28"/>
          <w:szCs w:val="28"/>
          <w:rtl w:val="true"/>
          <w:lang w:bidi="fa-IR"/>
        </w:rPr>
        <w:t>مشکلاتی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فلوطین با طرح اقانیم سه‌گانه، یعنی احد، عقل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جریان صدور کثرت از واحد براساس نظریة فیض، گام مهمی را در استحکام بخشیدن به چگونگی پیوند کثرت به وحدت برداشت و مشکلات آن را به طور مستدلّ پاسخ گفت و ساختار منطقی و معقولی را برای آن فراهم آورد</w:t>
      </w:r>
      <w:r>
        <w:rPr>
          <w:rFonts w:eastAsia="IRNazanin" w:cs="IRNazanin"/>
          <w:color w:val="111111"/>
          <w:sz w:val="28"/>
          <w:szCs w:val="28"/>
          <w:rtl w:val="true"/>
          <w:lang w:bidi="fa-IR"/>
        </w:rPr>
        <w:t>.</w:t>
      </w:r>
    </w:p>
    <w:p>
      <w:pPr>
        <w:pStyle w:val="Heading3"/>
        <w:numPr>
          <w:ilvl w:val="2"/>
          <w:numId w:val="1"/>
        </w:numPr>
        <w:rPr/>
      </w:pPr>
      <w:bookmarkStart w:id="261" w:name="__RefHeading___Toc3561931_581953129"/>
      <w:bookmarkStart w:id="262" w:name="_Toc97"/>
      <w:bookmarkEnd w:id="261"/>
      <w:r>
        <w:rPr>
          <w:rtl w:val="true"/>
        </w:rPr>
        <w:t>هستی حقیقی و اصیل</w:t>
      </w:r>
      <w:bookmarkEnd w:id="262"/>
    </w:p>
    <w:p>
      <w:pPr>
        <w:pStyle w:val="BookText"/>
        <w:rPr/>
      </w:pPr>
      <w:r>
        <w:rPr>
          <w:rFonts w:ascii="IRNazanin" w:hAnsi="IRNazanin" w:eastAsia="IRNazanin"/>
          <w:color w:val="111111"/>
          <w:sz w:val="28"/>
          <w:sz w:val="28"/>
          <w:szCs w:val="28"/>
          <w:rtl w:val="true"/>
          <w:lang w:bidi="fa-IR"/>
        </w:rPr>
        <w:t>پیش از تبیین و توصیف ساختار هستی‌شناسی فلوطین باید توجّه داشت که هستی‌شناسی وی به شدّت رنگ متافیزیکی دارد و جایگاه ماوراءالطبیعه در آن، بسیار برجسته و محسوس است، به گونه‌ای که بدون آن، شاید هستی‌شناسی فلوطین، تصوّرنشدنی و تبیین‌ناپذیر باشد؛ هرچند فلوطین به دو عالم معقول و محسوس معتقد بود، در جاهای مختلفی از نه‌گانه‌ها بر اصیل بودن و حقیقی بودن عالم معقول و تصویر و شبح بودن عالم محسوس تأکید کرده است؛ برای نمونه، در رسالة نهم از انئاد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عقل نیست و مکانی ندارد، بلکه دائم در خود خویش ساکن و آرام و از دگرگونی و تباهی مصون است و به همین جهت، هستی راستین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جهان زمینی نیز اجسام تنها از تصاویر بهره‌مندند و از این طریق نشان می‌دهند که هستی حقیقی غیر از آنهاست؛ زیرا آنها دستخوش تغییرند، در حالی که هستی حقیقی در خود خویش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عقل هستی‌ای است که همة هستیها را در خود دارد، ولی نه چنان که او مکانی برای آنها باشد، بلکه بدین‌سان که او خود خویش را دارد و با هستی یکی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بخش دیگری از همین رساله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صوری که در جهان محسوس است، از آن جهان آمده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فلوطین در رساله‌ای که به طبقات هستی یا مقولات اختصاص داده است، با طرح این سؤال که آیا ده مقوله را باید در خصوص اشیای معقول به همان صورت پذیرفت که در خصوص محسوسات است یا اینکه همه یا برخی از آنها در جهان معقول‌اند، به انتقاد از فلاسفة پیشین می‌پردازد و بر آنان خرده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وی بر فلاسفة پیشین این است که </w:t>
      </w:r>
    </w:p>
    <w:p>
      <w:pPr>
        <w:pStyle w:val="BookText"/>
        <w:rPr/>
      </w:pPr>
      <w:r>
        <w:rPr>
          <w:rFonts w:ascii="IRNazanin" w:hAnsi="IRNazanin" w:eastAsia="IRNazanin"/>
          <w:color w:val="111111"/>
          <w:sz w:val="28"/>
          <w:sz w:val="28"/>
          <w:szCs w:val="28"/>
          <w:rtl w:val="true"/>
          <w:lang w:bidi="fa-IR"/>
        </w:rPr>
        <w:t>آنان در این تقسیم از اشیای معقول هیچ سخنی به میان نمی‌آورند؛ بنابراین، هیچ‌گاه نمی‌خواسته‌اند همة اشیای موجود را به طبقات تقسیم کنند، بلکه درست همان چیزهایی را که از حیث وجود، در مرتبة برتری قرار دارد، از نظر دور داشته‌اند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فلوطین در این سخنان، به وضوح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حتی اسلاف خود را به دلیل بی‌توجّهی به آن در تقسیم طبقات هستی یا مقولات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یاسپرس نیز با اشاره به این انتقاد فلوطین، بر این تقسیم‌بندی تأکید می‌ورزد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در هستی اندیشیدنی تنها به دو مرتبه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محسوس و هستی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معقول، هستی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هستی محسوس، هستی درجة دوم است و هستی تصویر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افزون بر آنچه ذکر شد، مهم‌ترین گواه برتریِ هستی معقول و اصیل بودن آن در نظام هستی‌شناسی فلوطین، همسان بودن رتبة عقل و هستی است؛ چرا که در دیدگاه وی، اقنوم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ماوراءِ وجود و هستی و اقنوم دوم و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هم‌رتبه و هم‌ردیف هستی است؛ چنان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هستی، به عنوان خودِ خویش می‌اندیشد، نه به عنوان هستی‌ای در جای دیگر؛ زیرا هستی نه پیشتر از اوست و نه پستر از او، بلکه نخستین قانونگذار یا به عبارت بهتر، خود قانون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راست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اندیشیدن یکی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نکتة جالب توجّه این است که چرا عقل از نظر فلوطین هستی راستین است؟ در واقع، این بحث به ویژگیهای هستی معقول و هستی محسوس و معیار اصلی و تصویری بودن هستی در نظام فلسفی او برمی‌گردد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هستی‌ای است که همة هستی‌ها را در خود دارد، ولی نه آن گونه که مکانی برای آنها باشد، بلکه بدین‌سان که او خود خویش را دارد و با هستی یکی است؛</w:t>
      </w:r>
      <w:r>
        <w:rPr>
          <w:rStyle w:val="FootnoteAnchor"/>
          <w:rtl w:val="true"/>
        </w:rPr>
        <w:footnoteReference w:id="367"/>
      </w:r>
      <w:r>
        <w:rPr>
          <w:rFonts w:ascii="IRNazanin" w:hAnsi="IRNazanin" w:eastAsia="IRNazanin"/>
          <w:color w:val="111111"/>
          <w:sz w:val="28"/>
          <w:sz w:val="28"/>
          <w:szCs w:val="28"/>
          <w:rtl w:val="true"/>
          <w:lang w:bidi="fa-IR"/>
        </w:rPr>
        <w:t xml:space="preserve">بنابراین، هستی جز عقل نیست و هستی محسوس در حقیقت، </w:t>
      </w:r>
    </w:p>
    <w:p>
      <w:pPr>
        <w:pStyle w:val="BookText"/>
        <w:rPr/>
      </w:pPr>
      <w:r>
        <w:rPr>
          <w:rFonts w:ascii="IRNazanin" w:hAnsi="IRNazanin" w:eastAsia="IRNazanin"/>
          <w:color w:val="111111"/>
          <w:sz w:val="28"/>
          <w:sz w:val="28"/>
          <w:szCs w:val="28"/>
          <w:rtl w:val="true"/>
          <w:lang w:bidi="fa-IR"/>
        </w:rPr>
        <w:t>تصویر، مرآت و مسمّای هستی حقیقی یعنی عقل است؛ چرا که هستی حقیقی در خود خویش قرار دارد و نیازمند مکان نیست؛ چون بُعد ندارد و از دگرگونی و تباهی هم مصون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خصوصیات در هستی معقول است، نه هستی محسوس؛ زیرا هستی محسوس دست‌خوش تغییر، دگرگونی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آرام نیست و در حال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دارد؛ چون دارای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دیگری است تا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 است و وجود بالقوه دارد،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 و بهره‌ور از ایده‌ها و جهان مسمّاها و تصاویر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محسوس تنها به علت بهره‌وری، مسمای نام خودند و جوهری که مایة آن است صورتشان را از جایی دیگر به دست می‌آورد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یا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زمینی نیز اجسام تنها از تصاویر بهره‌ورند و از این طریق نشان می‌دهند که هستی حقیقی غیر از آنهاست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حال، با توجّه به اینکه مشخص شد هستی حقیقی، هستی معقول است و جهان معقول ساکن و آرام، مستقل و قائم به خود و برخوردار از ایده‌ها و ناب‌هاست و هستی محسوس، هستی تصاویر و شدن و دگرگونی و ناخالصیهاست، ارتباط میان این دو جهان مشخص می‌شود و معلوم می‌گردد که همة آنچه در این جهان است، از آن جهان برین ناشی می‌شود؛ با این تفاوت که در آنجا هستی زیباتری دارد؛ زیرا همه چیز در جهان ما آمیزه‌ای است و هیچ چیز چنان نیست که در آنجاست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فلوطین در ادامه به ترسیم هستی محسوس می‌پردازد و مشخص می‌کند که هستی معقول، هستی الگو و سرمشق برای هستی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سراپای این جهان از آغاز تا پایان، از طریق صور پیوسته به هم، نگاه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مادّه از طریق صور عناصر به هم پیوسته است، سپس بر فراز هر صورت، </w:t>
      </w:r>
      <w:bookmarkStart w:id="263" w:name="pg5678_50413"/>
    </w:p>
    <w:p>
      <w:pPr>
        <w:pStyle w:val="BookText"/>
        <w:rPr/>
      </w:pPr>
      <w:bookmarkEnd w:id="263"/>
      <w:r>
        <w:rPr>
          <w:rFonts w:ascii="IRNazanin" w:hAnsi="IRNazanin" w:eastAsia="IRNazanin"/>
          <w:color w:val="111111"/>
          <w:sz w:val="28"/>
          <w:sz w:val="28"/>
          <w:szCs w:val="28"/>
          <w:rtl w:val="true"/>
          <w:lang w:bidi="fa-IR"/>
        </w:rPr>
        <w:t>صورتی دیگر است و بر فراز آن نیز صورتی دیگر و به همین جهت، یافتن مادّه دشوار است؛ زیرا مادّه در زیر صور بسیار پنهان گردیده و چون خود آن نیز صورتی از نوع پست‌تر است، پس همة این جهان، مجموعه‌ای از صور می‌باشد و سرمشقش نیز صورت بود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264" w:name="__RefHeading___Toc3561933_581953129"/>
      <w:bookmarkStart w:id="265" w:name="_Toc98"/>
      <w:bookmarkEnd w:id="264"/>
      <w:r>
        <w:rPr>
          <w:rtl w:val="true"/>
        </w:rPr>
        <w:t>نظریة فیض</w:t>
      </w:r>
      <w:bookmarkEnd w:id="265"/>
    </w:p>
    <w:p>
      <w:pPr>
        <w:pStyle w:val="Heading4"/>
        <w:numPr>
          <w:ilvl w:val="3"/>
          <w:numId w:val="1"/>
        </w:numPr>
        <w:rPr/>
      </w:pPr>
      <w:bookmarkStart w:id="266" w:name="__RefHeading___Toc3561935_581953129"/>
      <w:bookmarkStart w:id="267" w:name="_Toc99"/>
      <w:bookmarkEnd w:id="266"/>
      <w:r>
        <w:rPr>
          <w:rtl w:val="true"/>
        </w:rPr>
        <w:t>اشاره</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و مدار هستی‌شناسی فلوطین به شمار رفته و تفکّر وحدت‌گرای او در آن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عرفانی اندیشه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شده و جوهرة جهان‌بینی او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پیدایی موجودات و چگونگی صدور کثرت از واحد و حضور وحدت در کثرت را تبیین و هندسة ارتباط میان اقانیم سه‌گانه و جواهر مثلث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فیض فلوطین که بنیاد اندیشة جهان‌شناسی وی را تشکیل می‌دهد، بر این مبنا استوار است که وجود، وجودزاست؛ 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تا هنگامی که هست، به ضرورت، سبب می‌شود که از ذاتش موجودی واقعیت بیابد که بیرون از اوست و معلّق از حضور نیروی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صورت اصلی</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در جایی دیگر، کمال را منشأ فیض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که رسیده می‌شود و کامل می‌گردد، شروع به تولید می‌کند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فلوطین با طرح مثالهایی، منشأ و سبب فیضان و تولید پیش‌گفته را ملموس‌تر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آتش سبب واقعیت یافتن گرمایی می‌شود که از آن ساطع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نیز سردی را در خود نگاه نمی‌دارد، بلکه به بیرون از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روشن‌تر از اینها، مواد خوشبو است که مادام که وجود دارند و حاضرند، چیزی از آنها به وجود می‌آید که برای اطرافیانشان مطبوع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این رسیدگی و کمال چگونه پدید می‌آید و از چه چیز نشئت می‌گیرد؟ و احد یا اقنوم اوّل که به نحو ازلی 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لبریز </w:t>
      </w:r>
    </w:p>
    <w:p>
      <w:pPr>
        <w:pStyle w:val="BookText"/>
        <w:rPr/>
      </w:pPr>
      <w:r>
        <w:rPr>
          <w:rFonts w:ascii="IRNazanin" w:hAnsi="IRNazanin" w:eastAsia="IRNazanin"/>
          <w:color w:val="111111"/>
          <w:sz w:val="28"/>
          <w:sz w:val="28"/>
          <w:szCs w:val="28"/>
          <w:rtl w:val="true"/>
          <w:lang w:bidi="fa-IR"/>
        </w:rPr>
        <w:t>می‌شود و فیض و تولید تحقق می‌یابد؟</w:t>
      </w:r>
      <w:r>
        <w:rPr>
          <w:rStyle w:val="FootnoteAnchor"/>
          <w:rtl w:val="true"/>
        </w:rPr>
        <w:footnoteReference w:id="376"/>
      </w:r>
      <w:r>
        <w:rPr>
          <w:rFonts w:ascii="IRNazanin" w:hAnsi="IRNazanin" w:eastAsia="IRNazanin"/>
          <w:color w:val="111111"/>
          <w:sz w:val="28"/>
          <w:sz w:val="28"/>
          <w:szCs w:val="28"/>
          <w:rtl w:val="true"/>
          <w:lang w:bidi="fa-IR"/>
        </w:rPr>
        <w:t>اینجاست که عرفان و اشراق در تفکّر فلوطین پیدا می‌شود و عنصر عشق و نظر پا به عرصه می‌گذارد و نقش اندیشه و نظر و اهمیت آن در تولید و فیض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نگریستن، اندیشیدن و اشراق را منشأ پری و لبریزی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صدور عقل یا اقنوم دوم و صادر اوّل از احد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نیست؛ پس چگونه می‌تواند عقل را تولید کند؟ از این طریق که روی در خود دارد و خود را می‌نگرد و این نگریستن،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آنچه چیزی دیگر را درمی‌یابد و به خود می‌پذیرد، یا ادراک حسّی است یا عقل</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وی در جایی دیگر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پس از او پدید آمد، به ضرورت پدید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بی‌حرکت و بی‌آنکه به سویی بنگرد، روی در خویش داشت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 ازلی و ابدی خویش، روی در خود دارد و می‌آفریند؛ چون نخستین کامل و پر است و بی‌نیاز است و همه‌چیز را در خود دارد و چیزی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اقنوم دیگر، یعنی عقل و نفس چنین نیستند و نمی‌توانند چنین باشند؛ چون نیازمندند و هستی و حیاتشان، در گرو همین نظر و اندیشیدن و اشراق است؛ چنان که فلوطین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تا عقل باشد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به بیان دیگر، از دیدگاه فلوطین، تولید شده، هویّت تصویری و بالغیر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علاوه بر اینکه بیانگر فروتری، پیوستگی، وابستگی و نیازمندی است، تأکیدکنندة سنخیّت و تشابه میان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روی در تولیدکنندة خود دارد و با آن دوستی می‌ورزد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یا آنجا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را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چرا؟ برای اینکه اولاً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و تولید شده است، باید به معنایی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شباهتی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همان‌گونه که روشنایی با خورشید شباهت 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فلوطین در ادامه،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عقل نیست، پس چگونه می‌تواند عقل را تولید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طریق که روی در خود دارد و خود را می‌نگرد و این نگریستن،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 پاسخ، به خوبی نقش و تأثیر نظر و اندیشه را در فیض و تولید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پاسخ، روندی است که مختص به احد و اقنوم نمی‌باشد و در تمام سلسلة فیض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همین که عقل به عنوان صادر اوّل و اقنوم دوم، در مرتبة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دلیل دیگری بر اهمیت اندیشه و عقل و جایگاه آن در نظریة فیض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بزرگ‌تر از عقل پدید می‌آید، جز عقل نمی‌تواند بود، عقل بزرگ‌تر و برتر از همه چیزهاست؛ زیرا همه‌چیز پس از عقل است؛ همان‌گونه که روح، اندیشة عقل و به اصطلاح، اثرِ عقل است، همچنان که عقل اثر واحد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چگونگی صدور نفس یا روح از عقل و رابطة این دو اقنوم با یکدیگر نیز اظهار می‌دارد که روح باید در عقل بنگرد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روح، اندیشة عقل و به اصطلاح، اثرِ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در روح تاریک است؛ زیرا مثل این است که تصویری از عقل است؛ از این رو، روح، باید در عقل بنگرد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وی در جایی دیگر، با توجّه به تأثیر این نگرش در تولید،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چنانکه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نیز چون در حدّ اعلای کمال بود، روح را پدید آورد، ولی در این مورد نیز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بود فروتر از او و تصویر او باشد و در عین حال، نامتعیّن و با این همه، عقل به او صورت بخشید و متعیّنش ساخت، ولی آنچه بدین‌سان، تولید شد، اندیشه و </w:t>
      </w:r>
      <w:bookmarkStart w:id="268" w:name="pg5678_50416"/>
    </w:p>
    <w:p>
      <w:pPr>
        <w:pStyle w:val="BookText"/>
        <w:rPr/>
      </w:pPr>
      <w:bookmarkEnd w:id="268"/>
      <w:r>
        <w:rPr>
          <w:rFonts w:ascii="IRNazanin" w:hAnsi="IRNazanin" w:eastAsia="IRNazanin"/>
          <w:color w:val="111111"/>
          <w:sz w:val="28"/>
          <w:sz w:val="28"/>
          <w:szCs w:val="28"/>
          <w:rtl w:val="true"/>
          <w:lang w:bidi="fa-IR"/>
        </w:rPr>
        <w:t>وجود است؛ یعنی موجودی است که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به گرد عقل می‌گردد و نوری است که از عقل می‌تابد، تصویر عقل است و با عقل پیوسته است؛ در یک سو از عقل غذا می‌گیرد و از آن بهره‌ور می‌شود و آن را می‌اندیشد، ولی در سوی دیگر، با چیزهایی سروکار دارد که پس از او هستند و خود او آنها را پدید می‌آورد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مورد دیگری، فلوطین به صراحت، ارتباط فیض و نظر را دربارة آفرینش و تولید موجودات از سوی روح مطرح کرده است؛ آنجا که تفاوت آفرینندگی روح با عقل و احد را ذکر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عقل ساکن و ثابت بود، همان‌گونه که 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واحد ساکن و ثابت بود، ولی روح در حال سکون نمی‌آفریند، بلکه تصویر خود را در حالی می‌آفریند که حرکت می‌کند، مادام که به آنچه او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از آن آکنده می‌گردد، ولی همین که در جهت مخالف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تصویر خود روح حس‌کننده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گیاهان اثر می‌بخشد، پدید می‌آورد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هرچند تاکنون، رابطة نظریة فیض به صورت عینی و مصداقی تبیین شده، برای تکمیل بحث و از آنجا که خود فلوطین رسالة هشتم از انئاد سوم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نظر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نقش و اهمیت نظر را در هستی بررسی کرده است، شایسته است نظریة فیض را بررسی کنیم</w:t>
      </w:r>
      <w:r>
        <w:rPr>
          <w:rFonts w:eastAsia="IRNazanin" w:cs="IRNazanin"/>
          <w:color w:val="111111"/>
          <w:sz w:val="28"/>
          <w:szCs w:val="28"/>
          <w:rtl w:val="true"/>
          <w:lang w:bidi="fa-IR"/>
        </w:rPr>
        <w:t>.</w:t>
      </w:r>
    </w:p>
    <w:p>
      <w:pPr>
        <w:pStyle w:val="Heading4"/>
        <w:numPr>
          <w:ilvl w:val="3"/>
          <w:numId w:val="1"/>
        </w:numPr>
        <w:rPr/>
      </w:pPr>
      <w:bookmarkStart w:id="269" w:name="__RefHeading___Toc3561937_581953129"/>
      <w:bookmarkStart w:id="270" w:name="_Toc100"/>
      <w:bookmarkEnd w:id="269"/>
      <w:r>
        <w:rPr>
          <w:rtl w:val="true"/>
        </w:rPr>
        <w:t>اهمیت و کارکرد نظر در نظریة فیض</w:t>
      </w:r>
      <w:bookmarkEnd w:id="270"/>
    </w:p>
    <w:p>
      <w:pPr>
        <w:pStyle w:val="BookText"/>
        <w:rPr/>
      </w:pPr>
      <w:r>
        <w:rPr>
          <w:rFonts w:ascii="IRNazanin" w:hAnsi="IRNazanin" w:eastAsia="IRNazanin"/>
          <w:color w:val="111111"/>
          <w:sz w:val="28"/>
          <w:sz w:val="28"/>
          <w:szCs w:val="28"/>
          <w:rtl w:val="true"/>
          <w:lang w:bidi="fa-IR"/>
        </w:rPr>
        <w:t xml:space="preserve">تاکنون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فلوطین و نقش آن در صدور کثرات و پیدایی موجودات به اختصار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می‌خواهیم مدعا و دیدگاه او را در باب نظر مطرح کنیم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فلوطین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ادّعا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چیزها از نظر برمی‌آید و خود نیز نظر است و تولید، نتیجة نظر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همه‌چیز خواهان نگرش و نظر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نخست، بیانگر قوس نزولی است که در نظریه فیض و صدور کثرت از وحدت </w:t>
      </w:r>
    </w:p>
    <w:p>
      <w:pPr>
        <w:pStyle w:val="BookText"/>
        <w:rPr/>
      </w:pPr>
      <w:r>
        <w:rPr>
          <w:rFonts w:ascii="IRNazanin" w:hAnsi="IRNazanin" w:eastAsia="IRNazanin"/>
          <w:color w:val="111111"/>
          <w:sz w:val="28"/>
          <w:sz w:val="28"/>
          <w:szCs w:val="28"/>
          <w:rtl w:val="true"/>
          <w:lang w:bidi="fa-IR"/>
        </w:rPr>
        <w:t>بیان شد و سخن دوم، مبیّن قوس صعودی و چگونگی بازگشت کثرت به وحدت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نخست، باید گفت، مراد فلوطین از فیض، تولید و آفرینش که در نظریة فیض مطرح شد، آفریدن صورت است؛</w:t>
      </w:r>
      <w:r>
        <w:rPr>
          <w:rStyle w:val="FootnoteAnchor"/>
          <w:rtl w:val="true"/>
        </w:rPr>
        <w:footnoteReference w:id="388"/>
      </w:r>
      <w:r>
        <w:rPr>
          <w:rFonts w:ascii="IRNazanin" w:hAnsi="IRNazanin" w:eastAsia="IRNazanin"/>
          <w:color w:val="111111"/>
          <w:sz w:val="28"/>
          <w:sz w:val="28"/>
          <w:szCs w:val="28"/>
          <w:rtl w:val="true"/>
          <w:lang w:bidi="fa-IR"/>
        </w:rPr>
        <w:t>از این روست که وی طبیعت، روح و عقل و کلاً اقانیم را اصل صورت‌بخش می‌نامد و تولیدشده را تصویر تولیدکننده می‌شمارد، به ویژه در جهان محسوس و طبیعی که به ماده‌ای مادون وجود معتقد است و این ماده، توسط طبیعت تعیّن یافته و لباس هستی بر تن می‌کند؛</w:t>
      </w:r>
      <w:r>
        <w:rPr>
          <w:rStyle w:val="FootnoteAnchor"/>
          <w:rtl w:val="true"/>
        </w:rPr>
        <w:footnoteReference w:id="389"/>
      </w:r>
      <w:r>
        <w:rPr>
          <w:rFonts w:ascii="IRNazanin" w:hAnsi="IRNazanin" w:eastAsia="IRNazanin"/>
          <w:color w:val="111111"/>
          <w:sz w:val="28"/>
          <w:sz w:val="28"/>
          <w:szCs w:val="28"/>
          <w:rtl w:val="true"/>
          <w:lang w:bidi="fa-IR"/>
        </w:rPr>
        <w:t>بنابراین، اصل صورت‌بخش، اصل معقول است و اصل معقول هم، نظر است؛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طبیعت اصلی صورت‌بخش است و می‌آفریند، در حالی که در خویشتن ثابت و بی‌حرکت می‌ماند، پس خود آن باید نظر و نگرش باشد؛ زیرا هر عملی باید مطابق اصلی معقول صورت بگیرد و بدیهی است که خود عمل غیر از آن اصل است و آن اصل که با عمل پیوسته است و عمل را رهبری می‌کند، عمل نمی‌تواند بود، و چون عمل نیست، بلکه معقول است، پس نظر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وی در جایی دیگر، با طرح این سؤال که اگر کسی از طبیعت بپرسد، چرا می‌سازد و پدید می‌آورد،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پدیدآینده‌ای حاصل نظر من در حال سکوت است و در عین حال، منظور من است که مطابق استعداد من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مهندسان در حال نظر کردن، اشکال را رسم می‌کنند، ولی من چیزی رسم نمی‌کنم، بلکه تنها می‌نگرم، و در آن حال، اشکال و اجسام پدید می‌آیند و هستی می‌یابند؛ چنانکه گویی از نظر و نگرش من بیرون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مانند حال پدر و مادر من است؛ زیرا آنها نیز از نظر و نگرش پدید می‌آیند و آنچه سبب تولد من شد، عملی از جانب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اصول معقول بزرگ‌تری هستند و چون در خود می‌نگرند، من هستی می‌یابم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فلوطین دربارة ادعای دومش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خواهان نگرش و نظر است و تنها این هدف را در نظر دارد و نه همان ذوات خردمند، بلکه موجودات بی‌خرد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چنین‌اند و هر چیز بسته به استعداد طبیعتش از </w:t>
      </w:r>
    </w:p>
    <w:p>
      <w:pPr>
        <w:pStyle w:val="BookText"/>
        <w:rPr/>
      </w:pPr>
      <w:r>
        <w:rPr>
          <w:rFonts w:ascii="IRNazanin" w:hAnsi="IRNazanin" w:eastAsia="IRNazanin"/>
          <w:color w:val="111111"/>
          <w:sz w:val="28"/>
          <w:sz w:val="28"/>
          <w:szCs w:val="28"/>
          <w:rtl w:val="true"/>
          <w:lang w:bidi="fa-IR"/>
        </w:rPr>
        <w:t>نگرش بهره‌ور است؛ یکی در حقیقت نظر می‌کند و دیگری، به تصویر و تقلیدی از نظر و مشاهده، قانع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وی پا را از این هم فراتر می‌گذارد و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در هر عملی، هدف، نظر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اعمال، شناسایی است و انگیزه‌ای که سبب انجام یافتن آن اعمال می‌شود، میل به شناسایی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او نه تنها هدف اعمال، بلکه مقصود اندیشه و حتی ادراک حسّی را هم نظاره و نگرش می‌داند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سؤالی که در اینجا مطرح می‌شود، این است که چرا همه‌چیز خواهان نظر است و منظور چیست؟ 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همه‌چیز رسیدن به اصل خویش است، پس به ضرورت، همة چیزها باید خواهان نظاره و مشاهده باشند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با توجّه به اینکه هر چیز در پی رسیدن به اصل خویش است و با عنایت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آفریده و تصاویر موجودات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فلوطین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که بتواند تصویر، یعنی صورت معقولی را که در خود اوست، نظاره کند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بودن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فلوطین استنباط کرد و نقش معرفت را در صعود به اصل خویش و واحد احد دریافت؛ همان‌گونه که در توضیح اینکه چرا عمل به سبب نظر و منظور انجام می‌گیرد،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عمل‌کننده می‌کوشد، آنچه را از طریق مستقیم نمی‌توان یافت، از بیراهه به چنگ آورد و هنگامی که به آن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نمی‌جوید که آن را نشناسد، بلکه برای اینکه بشناسد و به عنوان چیزی حاضر در روح، بنگرد و بدین جهت، عمل‌کننده همیشه عمل را به خاطر نیک می‌کند، نه برای اینکه نیک را در بیرون از خود داشته باشد و مالک آن نشود، بلکه برای اینکه نیک را به عنوان نتیجة عمل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نیک در کجاست؟ در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باز به نظر برمی‌گردد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او فرایند وحدت را در قوس صعودی نظر مطرح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طبیعت به روح است و نظر روح به عقل، و نظر، هر لحظه و با هر صعود، درونی‌تر می‌شود و با ناظر یکی می‌گردد و چون در روح مرد دانا و نیک موضوعهای شناخته‌شده از طریق نظر در این کوشش‌اند که به عقل برسند و با شناسنده یکی گردند، پس روشن است که در عقل، شناسنده و شناخته‌شده، یکی و عین یکدیگر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این همه، جریان صعودی وحدت در اینجا خاتمه نمی‌یابد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چیزی برتر و پیشتر از او وجود داشته باشد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سپس دو دلیل بر این مدعا اقامه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این جهت باید پیشتر از عقل وجود داشته باشد که کثرت پس از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عقل، عدد است و اصل عدد واحد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در آن واحد، هم عقل است و هم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چیزی را بجوییم که پیش از دو قرار دارد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فلوطین پس از اینکه اثبات می‌کند باید چیزی پیشتر از عقل باشد که هیچ کثرت و دوئی در او نباشد، دو شعله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عقل و هستی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شهود به میان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برتر از عقل را به یاری چگونه شهودی می‌توانیم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پاسخ می‌دهد که علت اینکه او را می‌توانیم دریافت کنیم این است که او با آنچه در ماست، شباهت دارد؛ زیرا در ما هم چیزی از او هست یا به عبارت بهتر، هیچ‌نقطه و هیچ‌چیزی را نمی‌توان تصوّر کرد که او در آن نباشد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سپس با تشبیه این دریافت به شنیدن صدایی که در محیطی خالی پیچیده است که به هر سو که روی آورده شود، می‌توان آن را شنید، این بحث را تکمیل می‌کند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مسئلة مطرح از سوی فلوطین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دقّت تنزیه‌گونه‌اش به تبیین بحث می‌پردازد و پس از بیان مطالبی از این قبیل که او همه‌چیز با هم </w:t>
      </w:r>
      <w:bookmarkStart w:id="271" w:name="pg5678_50420"/>
    </w:p>
    <w:p>
      <w:pPr>
        <w:pStyle w:val="BookText"/>
        <w:rPr/>
      </w:pPr>
      <w:bookmarkEnd w:id="271"/>
      <w:r>
        <w:rPr>
          <w:rFonts w:ascii="IRNazanin" w:hAnsi="IRNazanin" w:eastAsia="IRNazanin"/>
          <w:color w:val="111111"/>
          <w:sz w:val="28"/>
          <w:sz w:val="28"/>
          <w:szCs w:val="28"/>
          <w:rtl w:val="true"/>
          <w:lang w:bidi="fa-IR"/>
        </w:rPr>
        <w:t>یا یکی از همه‌چیز نیست، در پاسخ به سؤال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نه همه چیز وجود داشت و نه عقل و زندگی نخستین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برتر از زندگی است، علّت زندگی است؛ زیرا زندگی متحقّق که همه چیز و 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چنان است که گویی فی‌المثل، از چشمه‌ای فیضان می‌یابد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فلوطین در ادامه با ارائة تمثیلهای چشمه و درخت می‌کوشد درک این مسئلة مشکل را تا حدی آسان گرداند و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همه‌جا و در یکایک چیزها به واحد باز می‌گردیم و در هر چیزی، واحدی هست که تو، آن چیز را به آن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 به واحد بسیط</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بدین‌گونه از آنچه در بحث نظر ارائه شد، می‌توان اهمیت معرفت را هم در سیر نزولی و هم در قوس صعودی که اساس تفکّر فلوطین را تشکیل می‌دهد، دریافت و جایگاه والای آن را درک کرد</w:t>
      </w:r>
      <w:r>
        <w:rPr>
          <w:rFonts w:eastAsia="IRNazanin" w:cs="IRNazanin"/>
          <w:color w:val="111111"/>
          <w:sz w:val="28"/>
          <w:szCs w:val="28"/>
          <w:rtl w:val="true"/>
          <w:lang w:bidi="fa-IR"/>
        </w:rPr>
        <w:t>.</w:t>
      </w:r>
    </w:p>
    <w:p>
      <w:pPr>
        <w:pStyle w:val="Heading4"/>
        <w:numPr>
          <w:ilvl w:val="3"/>
          <w:numId w:val="1"/>
        </w:numPr>
        <w:rPr/>
      </w:pPr>
      <w:bookmarkStart w:id="272" w:name="__RefHeading___Toc3561939_581953129"/>
      <w:bookmarkStart w:id="273" w:name="_Toc101"/>
      <w:bookmarkEnd w:id="272"/>
      <w:r>
        <w:rPr>
          <w:rtl w:val="true"/>
        </w:rPr>
        <w:t>خودآگاهی اقانیم</w:t>
      </w:r>
      <w:bookmarkEnd w:id="273"/>
    </w:p>
    <w:p>
      <w:pPr>
        <w:pStyle w:val="BookText"/>
        <w:rPr/>
      </w:pPr>
      <w:r>
        <w:rPr>
          <w:rFonts w:ascii="IRNazanin" w:hAnsi="IRNazanin" w:eastAsia="IRNazanin"/>
          <w:color w:val="111111"/>
          <w:sz w:val="28"/>
          <w:sz w:val="28"/>
          <w:szCs w:val="28"/>
          <w:rtl w:val="true"/>
          <w:lang w:bidi="fa-IR"/>
        </w:rPr>
        <w:t xml:space="preserve">آخرین مطلبی که در ذیل نظریه فیض شایان یادآوری است، آن است که از نظر فلوطین، تمام ارکان هستی‌شناسی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احد، عقل،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هستی‌شناسی خود بارها نام برده است، آن را مادون وجود می‌داند؛ از این رو، جزء ارکان به شمار نیامده و بالطبع بحث خودآگاهی آن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ارکان نامبرده، خودآگاهی عقل و نفس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این دو در بحث بعدی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طبیعت نیز به صراحت در سخنان وی مطرح شده و دلیل آن نیز روشن است و آن اینکه، طبیعت در حقیقت، تصویر نفس و روح و فرزند آن است و همة ویژگیهای او را با درجه‌ای ضعیفت‌تر دارد؛ چنان که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طبیعت نامیده می‌شود، روحی است زادة روحی که پیشتر از اوست و زندگی قوی و غنی دارد؛ و در خویشتن، آرام است و دائم در حال نظر؛ نه نظر به بالا یا به پایین، بلکه نظر در حال سکون و ثبات در خود خویش، در اعتدال و به اصطلاح، در </w:t>
      </w:r>
    </w:p>
    <w:p>
      <w:pPr>
        <w:pStyle w:val="BookText"/>
        <w:rPr/>
      </w:pPr>
      <w:r>
        <w:rPr>
          <w:rFonts w:ascii="IRNazanin" w:hAnsi="IRNazanin" w:eastAsia="IRNazanin"/>
          <w:color w:val="111111"/>
          <w:sz w:val="28"/>
          <w:sz w:val="28"/>
          <w:szCs w:val="28"/>
          <w:rtl w:val="true"/>
          <w:lang w:bidi="fa-IR"/>
        </w:rPr>
        <w:t>حال خودآگاهی</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فلوطین در ادامه، ضعف خودآگاهی طبیعت را متذکر می‌شود 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او را دارای فهم و خودآگاهی بدانیم، حق نداریم بگوییم، خودآگاهیش مانند خودآگاهی ذوات دیگر است، بلکه خودآگاهی او تقریباً همچون خودآگاهی کسی است که در خواب است، در مقایسه با خودآگاهی شخصی بیدار</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این رو، نظر، طبیعت را ضعیف، ناصاف و کدر می‌شمارد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دلیل همین خودآگاهی، فلوطین همة موجودات را دارای شعور می‌داند؛ زیرا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بالایی تا جهان گیاهان گسترش می‌یابد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 اساساً اقتضای وحدت‌گرایی فلوطین، شعور، درک و خودآگاهی موجودات است؛ زیرا در نظر او، جهان، جهان تصاویر و صورتهاست، نه مادّه و هر مرتبه‌ای از وجود، تصویر مرتبة پیشین است؛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همه‌چیز حضور دارد؛ در عین اینکه همه‌چیز با هم یا یکی از همه‌چیز نیست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فلوطین، ورای عقل و هستی است و بارها در نگاه تنزیهی وی، علم از او نفی شده است؛ چنان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فراسوی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اندیشندة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کمال جزو ذاتش است، پیش از اندیشیدن کامل است و در نتیجه، به هیچ‌روی نیازی به اندیشیدن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روشن شد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برتر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نمی‌اندیشد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وی در جایی دیگر، به صراحت خودآگاهی احد را نفی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می‌تواند خود را بجوید و میل داشته باشد که روی در خود آورد و به خود خویش آگاه گردد، ولی آنچه مطلقاً واحد است، اگر بخواهد به سوی خود برود، به کجا برود؟ و چه نیازی به آگاهی بر خود خویش دارد؟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یا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چون در فراسوی هستی است؛ از این رو، در فراسوی اندیشیدن است و برتر از </w:t>
      </w:r>
    </w:p>
    <w:p>
      <w:pPr>
        <w:pStyle w:val="BookText"/>
        <w:rPr/>
      </w:pP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خود را نمی‌شناسد، سخن بی‌معنایی نگفته‌ایم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خلاصه اینکه فلوطین چون اندیشیدن و حتی خودآگاهی را متضمن نوعی دوگانگی می‌داند، آن را از واحد نفی می‌کند؛ با این حال، برخی معتقدند وی، علم حصولی را از احد نفی کرده است، نه علم حضوری را</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بر این ادّعا می‌توان شواهدی از سخنان فلوطین، ولو اندک، بر آن اقامه کرد؛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چیزی را نمی‌اندیشد که در خود او نباشد، اندیشیدنش جستن نیست، بلکه داشتن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این عبارت، بیانگر آن است که اندیشیدن احد، مفهومی متفاوت از اندیشیدن عقل و روح دارد و واحد به معنایی دیگر، اندیشینده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ویژه با توجّه به اینکه عینیت ذات و صفات را می‌توان از عبارت فلوطین برداشت کرد، بیشتر قابل تأمل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آرزوی افزایش نیست؛ چون از همه حیث کامل است و هر چه در اوست، به حدّ اعلی کامل است تا او خود، به حدّ اعلی کامل باشد و چیزی نداشته باشد که خود او نباشد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بعلاوه، آنچه پیش‌تر در نظریة فیض دربارة فیض گفته شد، می‌تواند شاهد دیگری بر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فلوطین در یکجا، اندیشیدن را چنان که در عقل هست، معنا کرده و آن را از احد نفی کرده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اندیشنده به سوی نیک، در حالی که نیک را می‌نگرد و می‌خواهد؛ زیرا دیدن و خواستن، اندیشیدن را به همراه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 به هیچ‌روی نمی‌تواند به خود بیندیشد؛ زیرا غیر از خود نیست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 همة این شواهد، فلوطین به صراحت، خودآگاهی و معرفت به خویش را از احد نفی کرده و مجال توجیه و تفسیر آن را باقی نگذاشته است؛ چنان که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معرفت به خود و برتر از اندیشیدن دربارة خود و برتر از خودآگاهی است؛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چیزی به درون خود راه نمی‌دهد، بلکه برای خود بسنده است</w:t>
      </w:r>
      <w:r>
        <w:rPr>
          <w:rFonts w:eastAsia="IRNazanin" w:cs="IRNazanin"/>
          <w:color w:val="111111"/>
          <w:sz w:val="28"/>
          <w:szCs w:val="28"/>
          <w:rtl w:val="true"/>
          <w:lang w:bidi="fa-IR"/>
        </w:rPr>
        <w:t>.</w:t>
      </w:r>
      <w:r>
        <w:rPr>
          <w:rStyle w:val="FootnoteAnchor"/>
          <w:rtl w:val="true"/>
        </w:rPr>
        <w:footnoteReference w:id="418"/>
      </w:r>
      <w:bookmarkStart w:id="274" w:name="pg5678_50423"/>
    </w:p>
    <w:p>
      <w:pPr>
        <w:pStyle w:val="BookText"/>
        <w:rPr/>
      </w:pPr>
      <w:bookmarkEnd w:id="274"/>
      <w:r>
        <w:rPr>
          <w:rFonts w:ascii="IRNazanin" w:hAnsi="IRNazanin" w:eastAsia="IRNazanin"/>
          <w:color w:val="111111"/>
          <w:sz w:val="28"/>
          <w:sz w:val="28"/>
          <w:szCs w:val="28"/>
          <w:rtl w:val="true"/>
          <w:lang w:bidi="fa-IR"/>
        </w:rPr>
        <w:t xml:space="preserve">فلوطین هر نسبتی را که بوی نیازمندی و دوگانگی از آن استشمام شود، مردود می‌شمارد تا حدّی که نیاز به خود و نگریستن در خود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Style w:val="FootnoteAnchor"/>
          <w:rtl w:val="true"/>
        </w:rPr>
        <w:footnoteReference w:id="419"/>
      </w:r>
      <w:r>
        <w:rPr>
          <w:rFonts w:ascii="IRNazanin" w:hAnsi="IRNazanin" w:eastAsia="IRNazanin"/>
          <w:color w:val="111111"/>
          <w:sz w:val="28"/>
          <w:sz w:val="28"/>
          <w:szCs w:val="28"/>
          <w:rtl w:val="true"/>
          <w:lang w:bidi="fa-IR"/>
        </w:rPr>
        <w:t>حتی نادانی را نیز از او نفی می‌کند و ساحت احد را از آن مبرا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دربارة خود خویش نمی‌اندیشد و خود را نمی‌شناسد، نادانی در او نیست؛ زیرا نادانی آنجاست که دو چیز وجود داشته باشد که یکی، دیگری را نداند؛ حال آنکه او چون تنهاست، چیزی را نمی‌شناسد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خلاصه اینکه رویکرد تنزیه‌گرایی فلوطین و اصرار او بر ناب ماندن وحدت احد، سبب شده تا وی هر آنچه متعلّق به دیگران است، حتی بودن و اندیشیدن را از او سلب کند و احد را ورای آنها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فلوطین به رغم این اثبات و نفیها هرچند اندیشیدن را متضمن نفی بساطت می‌داند، درک مستقیم و بی‌واسطه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اندیشه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بساطت نمی‌شمارد</w:t>
      </w:r>
      <w:r>
        <w:rPr>
          <w:rStyle w:val="FootnoteAnchor"/>
          <w:rtl w:val="true"/>
        </w:rPr>
        <w:footnoteReference w:id="421"/>
      </w:r>
      <w:r>
        <w:rPr>
          <w:rFonts w:ascii="IRNazanin" w:hAnsi="IRNazanin" w:eastAsia="IRNazanin"/>
          <w:color w:val="111111"/>
          <w:sz w:val="28"/>
          <w:sz w:val="28"/>
          <w:szCs w:val="28"/>
          <w:rtl w:val="true"/>
          <w:lang w:bidi="fa-IR"/>
        </w:rPr>
        <w:t xml:space="preserve">و درک شهودی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می‌داند؛ 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کیفیتی ندارد، بلکه با عمل شهودی، خود را درمی‌یابد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از احد که بگذریم، نوبت عقل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عقل و هستی در یک رتبه است و بلکه یک چیز است، اما دارای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بعدی، آثار معرفتی این وحدت بررسی می‌شود</w:t>
      </w:r>
      <w:r>
        <w:rPr>
          <w:rFonts w:eastAsia="IRNazanin" w:cs="IRNazanin"/>
          <w:color w:val="111111"/>
          <w:sz w:val="28"/>
          <w:szCs w:val="28"/>
          <w:rtl w:val="true"/>
          <w:lang w:bidi="fa-IR"/>
        </w:rPr>
        <w:t>.</w:t>
      </w:r>
    </w:p>
    <w:p>
      <w:pPr>
        <w:pStyle w:val="Heading3"/>
        <w:numPr>
          <w:ilvl w:val="2"/>
          <w:numId w:val="1"/>
        </w:numPr>
        <w:rPr/>
      </w:pPr>
      <w:bookmarkStart w:id="275" w:name="__RefHeading___Toc3561941_581953129"/>
      <w:bookmarkStart w:id="276" w:name="_Toc102"/>
      <w:bookmarkEnd w:id="275"/>
      <w:r>
        <w:rPr>
          <w:rtl w:val="true"/>
        </w:rPr>
        <w:t>اهمیت و آثار وحدت عقل و هستی</w:t>
      </w:r>
      <w:bookmarkEnd w:id="2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هستی و وحدت این دو اشاره شد و بیان گردید که در نظام هستی‌شناسی فلوطین، عقل و هستی در یک رتبه‌اند و عقل، هستی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بحث، برخی از اندیشمندان معاصر، این امر را یکی از برجستگیهای فلسفة اسلامی بعد از مطرح شدن آن از سوی نوافلاطونیان غیر مسیحی دانسته‌اند</w:t>
      </w:r>
      <w:r>
        <w:rPr>
          <w:rStyle w:val="FootnoteAnchor"/>
          <w:rtl w:val="true"/>
        </w:rPr>
        <w:footnoteReference w:id="423"/>
      </w:r>
      <w:r>
        <w:rPr>
          <w:rFonts w:ascii="IRNazanin" w:hAnsi="IRNazanin" w:eastAsia="IRNazanin"/>
          <w:color w:val="111111"/>
          <w:sz w:val="28"/>
          <w:sz w:val="28"/>
          <w:szCs w:val="28"/>
          <w:rtl w:val="true"/>
          <w:lang w:bidi="fa-IR"/>
        </w:rPr>
        <w:t>و در بحث تاریخ علم حضوری، معرفت عقلانی انسان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حائری با اشاره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رؤیت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انتزاع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هر دو سنّت فلسفی افلاطونی و ارسطویی در پی آن بودند تا به معرفت عقلانی به عنوان چیزی جدا از آگاهی تجربی حسّی برسند، عدم توافق آنان دربارة راه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عنوان رؤیت عقلانی معقولات و چه انتزاع سامانمند تجربه حسّی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مبنای آغازین معرفتی برای معرفت متعالی انسان را مبهم ساخته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وی پس از اینکه بیان می‌کند که فلسفة اسلامی در عین ابتنا بر آمیزه‌ای از رویکرد افلاطونی و ارسطویی، از آن دو گذر کرده، مشخص می‌سازد که هر دو دیدگاه می‌توانند بر مبنای یک معنای آغازین از معرفت دوباره بنیاد شوند؛ یعنی چنان بنیادین و اساسی باشند که تمام صور و درجات معرفت بشر بدان فرو کاسته 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اعتراف کنیم که این روش فلسفی، نخستین بار از سوی نوافلاطونیان غیر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غرب با فلوطین آغاز شده و با پروکلوس</w:t>
      </w:r>
      <w:r>
        <w:rPr>
          <w:rStyle w:val="FootnoteAnchor"/>
          <w:rtl w:val="true"/>
        </w:rPr>
        <w:footnoteReference w:id="425"/>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حضوری</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را پدید آوردند که همة اینها همچون گامهایی به سوی دیدگاه فلسفة اسلامی دربارة بنیاد وجودشناسانة نهایی همة معرفتها بود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فلوطین نیز خود به پیامد این وحدت و این‌همانی عقل و هستی اشاره کرده و از شناخت خود به عنوان هستی و از درستیِ نظریة یادآوری به منزلة آثار و نتایج آن یاد کرده است و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راست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اندیشیدن،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چیزهای غیر مادی، عین موضوع آن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ما می‌توانیم خود را به عنوان هستی بشناسیم و باز به همین جهت، نظریة یادآوری، نظریة درستی است؛ زیرا هیچ هستی‌ای بیرون از عقل نیست و مکانی ندارد، بلکه دائم در خود خویش ساکن و آرام و از دگرگونی و تباهی مصون است و به همین جهت، هستی راستین است</w:t>
      </w:r>
      <w:r>
        <w:rPr>
          <w:rFonts w:eastAsia="IRNazanin" w:cs="IRNazanin"/>
          <w:color w:val="111111"/>
          <w:sz w:val="28"/>
          <w:szCs w:val="28"/>
          <w:rtl w:val="true"/>
          <w:lang w:bidi="fa-IR"/>
        </w:rPr>
        <w:t>... .</w:t>
      </w:r>
      <w:r>
        <w:rPr>
          <w:rStyle w:val="FootnoteAnchor"/>
          <w:rtl w:val="true"/>
        </w:rPr>
        <w:footnoteReference w:id="430"/>
      </w:r>
      <w:bookmarkStart w:id="277" w:name="pg5678_50425"/>
    </w:p>
    <w:p>
      <w:pPr>
        <w:pStyle w:val="Heading3"/>
        <w:numPr>
          <w:ilvl w:val="2"/>
          <w:numId w:val="1"/>
        </w:numPr>
        <w:rPr/>
      </w:pPr>
      <w:bookmarkStart w:id="278" w:name="__RefHeading___Toc3561943_581953129"/>
      <w:bookmarkStart w:id="279" w:name="_Toc103"/>
      <w:bookmarkEnd w:id="277"/>
      <w:bookmarkEnd w:id="278"/>
      <w:r>
        <w:rPr>
          <w:rtl w:val="true"/>
        </w:rPr>
        <w:t>نظام معرفت‌شناسی فلوطین</w:t>
      </w:r>
      <w:bookmarkEnd w:id="279"/>
    </w:p>
    <w:p>
      <w:pPr>
        <w:pStyle w:val="Heading4"/>
        <w:numPr>
          <w:ilvl w:val="3"/>
          <w:numId w:val="1"/>
        </w:numPr>
        <w:rPr/>
      </w:pPr>
      <w:bookmarkStart w:id="280" w:name="__RefHeading___Toc3561945_581953129"/>
      <w:bookmarkStart w:id="281" w:name="_Toc104"/>
      <w:bookmarkEnd w:id="280"/>
      <w:r>
        <w:rPr>
          <w:rtl w:val="true"/>
        </w:rPr>
        <w:t>اهمیت معرفت</w:t>
      </w:r>
      <w:bookmarkEnd w:id="281"/>
    </w:p>
    <w:p>
      <w:pPr>
        <w:pStyle w:val="BookText"/>
        <w:rPr/>
      </w:pPr>
      <w:r>
        <w:rPr>
          <w:rFonts w:ascii="IRNazanin" w:hAnsi="IRNazanin" w:eastAsia="IRNazanin"/>
          <w:color w:val="111111"/>
          <w:sz w:val="28"/>
          <w:sz w:val="28"/>
          <w:szCs w:val="28"/>
          <w:rtl w:val="true"/>
          <w:lang w:bidi="fa-IR"/>
        </w:rPr>
        <w:t>در نظام فکری فلوطین، معرفت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معرفت و نظر، عاملِ تولید و صدور و فیضان و آفرینش است و هستی موجودات، طفیل نظراند و از سوی دیگر، در قوس صعودی، معرفت و نظر، نردبانی برای تعالی و صعود و نایل آمدن به اتّحاد و وحدت به شمار می‌رود؛ چنان که یاسپرس</w:t>
      </w:r>
      <w:r>
        <w:rPr>
          <w:rStyle w:val="FootnoteAnchor"/>
          <w:rtl w:val="true"/>
        </w:rPr>
        <w:footnoteReference w:id="43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به واسطة اندیشیدن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راه اندیشه دریافتنی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میانگینی است که در موزه‌هایش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نیندیشیدنی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یگانه شدن با واحد از آن مرز می‌گذریم و فراتر می‌رویم، ولی برای گذر از مرز، راه اندیشیدن را می‌پیماییم و پس از آن نیز دوباره به اندیشیدن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فایدة اندیشیدن برای فلوطین تنها همین است؛ از این رو، علاقه‌اش به شناخت اشیای این جهان برای خود آن اشیا نیست، بلکه برای این است که از آنها فراتر رود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فلوطین نیز در رسالة هشتم از انئاد پنجم، معرفت را رهبر آفرینش و جوهر حقیقی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پدید می‌آید، اعم از محصول طبیعت و محصول صنعت، پدیدآورنده‌اش معرفت است؛ به عبارت دیگر، معرفت در همه‌جا رهبر آفرینش است و اصلاً وجود معرفت سبب می‌شود که وجود هنر و صنعت ممکن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معرفت، مجموعه‌ای از نظریات علمی نیست، بلکه واحدی اصلی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معرفت، معرفت اصلی و نخستین است و ناشی از چیزی دیگر نیست، بلکه در خود آرام و ساکن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آنگاه به منشأ معرفتِ طبیعت می‌پردازد و با طرح چند فرضیه در قالب پرسش و پاسخ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عقل، معرفت را از خود دارد، پس به ضرورت، خود عقل باید معرفت باشد؛ بنابراین، معرفت حقیقی، جوهر است و جوهر حقیقی، معرفت است و ارزش جوهر از معرفت است و جوهر بدان جهت جوهر است که معرفت است</w:t>
      </w:r>
      <w:r>
        <w:rPr>
          <w:rFonts w:eastAsia="IRNazanin" w:cs="IRNazanin"/>
          <w:color w:val="111111"/>
          <w:sz w:val="28"/>
          <w:szCs w:val="28"/>
          <w:rtl w:val="true"/>
          <w:lang w:bidi="fa-IR"/>
        </w:rPr>
        <w:t>.</w:t>
      </w:r>
      <w:r>
        <w:rPr>
          <w:rStyle w:val="FootnoteAnchor"/>
          <w:rtl w:val="true"/>
        </w:rPr>
        <w:footnoteReference w:id="434"/>
      </w:r>
      <w:bookmarkStart w:id="282" w:name="pg5678_50426"/>
    </w:p>
    <w:p>
      <w:pPr>
        <w:pStyle w:val="Heading4"/>
        <w:numPr>
          <w:ilvl w:val="3"/>
          <w:numId w:val="1"/>
        </w:numPr>
        <w:rPr/>
      </w:pPr>
      <w:bookmarkStart w:id="283" w:name="__RefHeading___Toc3561947_581953129"/>
      <w:bookmarkStart w:id="284" w:name="_Toc105"/>
      <w:bookmarkEnd w:id="282"/>
      <w:bookmarkEnd w:id="283"/>
      <w:r>
        <w:rPr>
          <w:rtl w:val="true"/>
        </w:rPr>
        <w:t>نگاهی به هندسة معرفتی فلوطین</w:t>
      </w:r>
      <w:bookmarkEnd w:id="284"/>
    </w:p>
    <w:p>
      <w:pPr>
        <w:pStyle w:val="Heading5"/>
        <w:numPr>
          <w:ilvl w:val="4"/>
          <w:numId w:val="1"/>
        </w:numPr>
        <w:rPr/>
      </w:pPr>
      <w:bookmarkStart w:id="285" w:name="__RefHeading___Toc3561949_581953129"/>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بنا به بررسی نگارنده، تاکنون کتابی به زبان فارسی که معرفت‌شناسی فلوطین را مورد توجّه قرار داده باشد، تألیف یا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می‌شود تا هر محقّقی مستقیماً به بررسی و جست‌وجوی نظام معرفت‌شناسی فلوطین از لابه‌لای آثار وی برآید و دیدگاههای او را از میان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انئادها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اثولوجیا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آنچه در این مبحث می‌آید، حاصل برداشتها و دریافتهای نگارنده از آثار فلوطین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به امکان معرفت و وقوع آن باور دارد و انواعی نیز برای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را می‌پذیرد و آن را بنیاد معرفت و ادراک می‌شمارد و نظام معرفتی خود را بر آن مبتنی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بدیهیات یا فطریات و معیارهای نیکی در نفس انسانی معتقد است و نظریة یادآوری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عقل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ادراک می‌داند و بر اتّحاد عقل و عاقل و معقول سخت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احد را ورای علم و مرتبة او را فراتر از علم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شده که بسیاری از محقّقان و مورخان فلسفه، انکار علم احد را به او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می‌توان ادّعا کرد که وی فقط علم حصولی را از احد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هم به ادراک حسّی اعتقاد دارد، هم به وجود نیروی فهم یا جزء متفکّر روح و هم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حیطة ادراک حسّی، اشیای خارجی و امور بیرونی و حیطة عقل، امور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محدودة نیروی فهم را تفکیک و تمییز تصاویر حاصل از ادراک حسّی و نیز تصاویری که از عقل دریافت می‌کند و شناسایی و دریافتهای تازه و سنجش آنها با معلومات پیشین می‌داند</w:t>
      </w:r>
      <w:r>
        <w:rPr>
          <w:rFonts w:eastAsia="IRNazanin" w:cs="IRNazanin"/>
          <w:color w:val="111111"/>
          <w:sz w:val="28"/>
          <w:szCs w:val="28"/>
          <w:rtl w:val="true"/>
          <w:lang w:bidi="fa-IR"/>
        </w:rPr>
        <w:t>.</w:t>
      </w:r>
    </w:p>
    <w:p>
      <w:pPr>
        <w:pStyle w:val="Heading5"/>
        <w:numPr>
          <w:ilvl w:val="4"/>
          <w:numId w:val="1"/>
        </w:numPr>
        <w:rPr/>
      </w:pPr>
      <w:bookmarkStart w:id="287" w:name="__RefHeading___Toc3561951_581953129"/>
      <w:bookmarkStart w:id="288" w:name="_Toc107"/>
      <w:bookmarkEnd w:id="287"/>
      <w:r>
        <w:rPr>
          <w:rtl w:val="true"/>
        </w:rPr>
        <w:t>الف</w:t>
      </w:r>
      <w:r>
        <w:rPr>
          <w:rtl w:val="true"/>
        </w:rPr>
        <w:t xml:space="preserve">) </w:t>
      </w:r>
      <w:r>
        <w:rPr>
          <w:rtl w:val="true"/>
        </w:rPr>
        <w:t>معرفت و امکان آن</w:t>
      </w:r>
      <w:bookmarkEnd w:id="2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فلوطین واقع‌گراست و به امکان ادراک واقع اعتقاد دارد و هندسة فکری و فلسفی خویش را بر آن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 و هستی را در یک مرتبه می‌داند و جهان معقولات را هستی راستین می‌شمارد که فارغ از کون و فساد و ثابت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از اقانیم هستی سخن گفته، از اقانیم شناسنده و ماورای آن نیز گفت‌وگو کرده و رسالة سوم از انئاد پنجم را بدان اختصاص داده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او عقل را اقنوم دوم و صادر </w:t>
      </w:r>
      <w:bookmarkStart w:id="289" w:name="pg5678_50427"/>
    </w:p>
    <w:p>
      <w:pPr>
        <w:pStyle w:val="BookText"/>
        <w:rPr/>
      </w:pPr>
      <w:bookmarkEnd w:id="289"/>
      <w:r>
        <w:rPr>
          <w:rFonts w:ascii="IRNazanin" w:hAnsi="IRNazanin" w:eastAsia="IRNazanin"/>
          <w:color w:val="111111"/>
          <w:sz w:val="28"/>
          <w:sz w:val="28"/>
          <w:szCs w:val="28"/>
          <w:rtl w:val="true"/>
          <w:lang w:bidi="fa-IR"/>
        </w:rPr>
        <w:t>اوّل شمرده و فیضان و تولید را نتیجة نظر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از خودشناسی سخن به میان آورده و شناخت حصولی و حضوری را برای نفس ممکن دانسته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افزون بر اینها، گفت‌وگو از انواع و ابزار معرفت، نظیر ادراک حسّی، ادراک عقلی و اتّحاد عاقل و معقول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 بر امکان معرفت است، همه و همه، بیانگر مسلّم بودن معرفت نزد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آخر اینکه اعتقاد به وجود ایده‌ها و مُثُل کلّی و فردی، خود، دلیل قاطع دیگری بر امکان تحقّق معرفت است که جای هیچ شکّ و شبهه‌ای را باقی نمی‌گذارد؛ زیرا در درون هر هستی، معرفت نیز مستتر است</w:t>
      </w:r>
      <w:r>
        <w:rPr>
          <w:rFonts w:eastAsia="IRNazanin" w:cs="IRNazanin"/>
          <w:color w:val="111111"/>
          <w:sz w:val="28"/>
          <w:szCs w:val="28"/>
          <w:rtl w:val="true"/>
          <w:lang w:bidi="fa-IR"/>
        </w:rPr>
        <w:t>.</w:t>
      </w:r>
    </w:p>
    <w:p>
      <w:pPr>
        <w:pStyle w:val="Heading5"/>
        <w:numPr>
          <w:ilvl w:val="4"/>
          <w:numId w:val="1"/>
        </w:numPr>
        <w:rPr/>
      </w:pPr>
      <w:bookmarkStart w:id="290" w:name="__RefHeading___Toc3561953_581953129"/>
      <w:bookmarkStart w:id="291" w:name="_Toc108"/>
      <w:bookmarkEnd w:id="290"/>
      <w:r>
        <w:rPr>
          <w:rtl w:val="true"/>
        </w:rPr>
        <w:t>ب</w:t>
      </w:r>
      <w:r>
        <w:rPr>
          <w:rtl w:val="true"/>
        </w:rPr>
        <w:t xml:space="preserve">) </w:t>
      </w:r>
      <w:r>
        <w:rPr>
          <w:rtl w:val="true"/>
        </w:rPr>
        <w:t>تعریف معرفت از نظر فلوطین</w:t>
      </w:r>
      <w:bookmarkEnd w:id="291"/>
    </w:p>
    <w:p>
      <w:pPr>
        <w:pStyle w:val="BookText"/>
        <w:rPr/>
      </w:pPr>
      <w:r>
        <w:rPr>
          <w:rFonts w:ascii="IRNazanin" w:hAnsi="IRNazanin" w:eastAsia="IRNazanin"/>
          <w:color w:val="111111"/>
          <w:sz w:val="28"/>
          <w:sz w:val="28"/>
          <w:szCs w:val="28"/>
          <w:rtl w:val="true"/>
          <w:lang w:bidi="fa-IR"/>
        </w:rPr>
        <w:t>با توجّه به آنچه گفته شد، حال، باید تصویر و تعریف فلوطین از معرفت و مشخصات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فلوطین در هیچ بخشی از انئادها، تعریف مشخّصی از معرفت را ارائه نداده است، می‌توان از لابه‌لای آرا و دیدگاههای وی و از جمع‌بندی آنها، نکاتی را در این باره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می‌شود که معرفت عقلانی از نظر فلوطین، معرفت اعلا، ناب و حقیقی است؛ معرفتی که نه متّکی بر پندار و تردید است و نه چیزی است که از دیگری شنیده یا آموخته باشد و معرفت او چیزی نیست که از راه تحقیق و استدلال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در حقیقت، دانشی است که بی‌واسطه حاصل شده است، در حالی که ادراک حسّی، چنین وضعیتی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در این باره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که از طریق ادراک حسّی به دست می‌آوریم، با اینکه به ظاهر حقیقت می‌نماید، این تردید را در ما برمی‌انگیزد که آیا دانشی مربوط به چیزی واقعی است یا تأثّری است که به ما روی آورده و برای داوری در این باره از اندیشه و عقل یاری می‌جوییم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حالی که نسبت به عقل و ادراک عقلی چنین چیزی مطرح نیست، چنان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حقیقی فریب می‌خورد و چیزی را که نیست، موجود می‌پندارد و تصوّرش می‌کند؟ به هیچ روی؛ چه اگر عاری از عقل باشد، چگونه می‌تواند عقل باشد؟ پس عقل همیشه می‌داند، بی‌آنکه هیچ‌گاه فراموش کند و دانشش، نه متّکی بر پندار است و نه تردیدآمیز و نه چیزی است که از دیگری شنیده یا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 او چیزی نیست که از طریق استدلال یا تحقیق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ادّعا کند که پاره‌ای از محتواهای دانش او از طریق استنتاج به دست آمده است، لااقل تصدیق خواهد کرد که بعضی از آنها به خودی خود و بی‌واسطه بر او روشن و آشکار است؛ هرچند عقیدة درست این است که تمام دانش او از خود اوست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چنان که از کلمات فلوطین پیداست، وی معرفت عقلی را برترین، ناب‌ترین و حقیقی‌ترین می‌داند و این خصوصیات را برای این معرفت که معرفت حقیقی است،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و بی‌واسطه به دست آمده، نه از طریق ابزار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است نه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دائمی نزد مدرِک حاضر است و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و استنتاج برای درک آن استفاده نشده و ویژگی آخر اینکه معلوم و مدرک، امری واقعی و حقیقی است نه تصویر حقیقت، به خلاف مدرک به ادراک حسّی؛ چرا که در آنچه از طریق ادراک حسّی می‌شناسیم، تنها تصویر آن چیز است و ادراک حسّی نمی‌تواند، خود، چیزی را دریابد؛ زیرا حقیقت هر چیز از دسترس ادراک حسّی دور می‌ماند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علاوه بر اینکه چون معرفت، حصولی است نه شهودی، معیار صدق را در خود ندارد و عقل باید درستی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در ادامه، با تأکید بر حقیقی بودن دانش و شناسایی عقل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دانش و شناسایی و هستی حقیقی را بپذیریم، باید همة آنها را متعلّق به عقل بدانیم؛ زیرا عقل همیشه می‌داند و به راستی می‌داند و هیچ چیز را از یاد نمی‌برد و نیازی ندارد به اینکه در جست‌وجوی حقیقت به این سو و آن سو برود؛ زیرا حقیقت در خود اوست؛ از این رو، او خود، پایه و بنیان هستی و حقیقت است و از این رو، هستی و حقیقت، دارای زندگی و اندیشیدن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فلوطین در این عبارت، تصریح می‌کند که عقل، پایه و بنیان هستی و حقیقت است و حقیقت، جز عقل نیست؛ بنابراین، وقتی عقل چنین نسبتی با حقیقت دارد، هیچ معرفتی، حقیقی‌تر و اصلی‌تر از معرفت و شناسایی عقلی نیست و از آنجا که حقیقت در درون عقل است، برای شناسایی حقیقت، به جست‌وجو و کاربرد ابزار و استدلال نیاز ندارد و علم او به حقیقت شهودی، حضوری و بی‌واسطه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مطلب با توجّه به آنچه پیشتر دربارة جهان معقول و محسوس و وحدت عقل و هستی گفته شد و با عنایت به نظام هستی‌شناسی فلوطین بسی آسان است و هیچ‌گونه گره و پیچیدگی‌ای ندارد؛ به بیان دیگر، روشنایی عقل به خلاف روشنایی نفس و ادراکات نفسانی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معرفت عقلانی، لازم است مراحل و انواع ادراک از دیدگاه فلوطین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انئادها از سه مرحلة ادراک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حسّی که تنها با اشیای بیرونی ارتباط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فهم روح یا جزء متفکّر روح؛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یاسپرس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فلوطین از سه مرحلة ادراک حسّی، فهم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هنوز با اندیشیدن توأم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از راه جدا کردن و فرق نهادن و تمیز و تشخیص و از طریق دلیل و استنتاج و تفکّر مبتنی بر فرضیات به شناسایی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به نحو مستقیم و بدون اندیشیدن مبتنی بر فرضیات در چیزهای جدا جدا و کثیر، وحدت را می‌بیند و در واحد، کثرت را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فلوطین پس از بیان مراحل سه‌گانة ادراک و کارکرد و محدودة هر یک، با طرح این مسئله که آیا نیروی متفکّر روح می‌تواند خودِ خویش را بشناسد یا نه، به نوعی، تفاوت کارکردی و حیطة فهم و خرد را متمایز ساخته،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جزء متفکّر روح به خود خویش نیز شناسایی می‌یابد؟ نه، بلکه تنها دریافتهایی را که از جهان محسوس و جهان معقول به او می‌رسد، اخذ می‌کند و دربارة آنها می‌اندیشد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وی در ادامه و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متفکّر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قادر به اندیشیدن دربارة خود خویش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معتقدیم وظیفة او دریافتن و شناختن چیزهای بیرونی است و این، خود، تکلیف سنگینی است؛ زیرا مستلزم سروکار داشتن با چیزهای بی‌شمار است، در حالی که عقل، تنها با خود خویش سروکار دارد و تنها دربارة چیزهایی تحقیق می‌کند که در خود اوست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اینجا این سؤال مطرح می‌شود که نسبت نفس ناطقة انسانی با عقل چیست؟ آیا نفس نمی‌تواند از معرفت عقل بهره‌مند شود و فقط باید به همان نیروی فهم روح قناعت ورزد؟ از این رو، فلوطین این سؤال را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نیست عقل محض در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ولی در آن صورت، آن را نمی‌توان نیروی روح نامید، بلکه عقل است و با جزء متفکّر روح فرق دارد و در مقامی برتر از روح است و با این همه،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ماست و هم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به کارش ببریم یا نبریم، حال آنکه نیروی تفکّر را همیشه به کار می‌بریم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بردن او یعنی چه؟ آیا به کار بردن او بدین معناست که ما خود او می‌شویم و سخنی که می‌گوییم سخن اوست؟ نه، بلکه بدین معناست که فرمان او را به کار می‌بندیم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حقیقت، فلوطین در این بخش، به چگونگی ارتباط و ترتّب مراحل ادراک می‌پردازد و جایگاه هر یک را در نظام معرفتی خویش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جزء متفکّر روح را مال نفس می‌داند و ادراک حسّی را همچون پیکی در خدمت نفس و عقل را همچون پادشاهی فرمان‌روا بر نفس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در این باره می‌گوید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نیروی تفکّر که پیش از هر نیروی دیگر به آن آگاه می‌گردد، به‌کار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ادراک حسّی نیز همین گونه است؛ ما از آن برای ادراک سود می‌جوییم، ولی آنکه ادراک می‌کند،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نیز همین گونه است؟ نه، تفکّرکننده خود ما هستیم و دربارة اندیشه‌هایی که هنگام تفکّر پیدا می‌شوند، تفکّر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ماییم، ولی فعالیّتهای عقل از بالا می‌آیند و فعالیّتهای ادراک حسّی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جزء اصلی روح هستیم؛ میان دو نیروی پست و عالی؛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ادراک حسّی و عقل</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غرض از طرح این بحث، علاوه بر ارائة یک تصویر کلّی از هندسة معرفت‌شناسی فلوطین، تبیین معرفت حقیقی از نظر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در اینجا مطرح می‌شود که راه دست‌یابی به معرفت عقلانی و خرد چیست؟ ظاهراً راه صعود به این مرتبة معرفت،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اساسی از چیستی دیالکتیک و کارکرد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دیالکتیک توانایی اندیشیدن منظم دربارة هر چیز و یافتن مفهوم آن است؛ یعنی گفتن اینکه آن خود چیست، چه فرقی با چیزهای دیگر دارد، و چه وجه اشتراکی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جایش کجاست و آیا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لاوجود و چند گونه موجود حقیقی هست و چند گونه لاوجود که غیر از موجود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دربارة نیک و غیر نیک نیز سخن می‌گوید، و در اینکه نیک چیست و غیر نیک کدام است و همچنین دربارة ابدی و غیر ابدی و اینکه هر یک از آنها چیست و سخنش دربارة هر یک از آنها بر شناسایی علمی متّکی است، نه بر عقیده و پندار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به نظر می‌رسد دیالکتیک در حقیقت، ابزار و وسیله‌ای است در راه نیل به وحدت و حرکتی است سلوکانه و نیز ابزاری است برای درک معرفت ناب و حقیقی؛ چرا که معرفت در نظر فلوطین، مهم‌ترین راه صعود به نخستین و اتّحاد با احد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فلوطین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دیالکتیک عالی‌ترین بخش فلسفه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دیالکتیک از نظریه‌ها و قواعد تهی تشکیل نمی‌یابد، بلکه از طریق روش خاصِّ خود، به خود موجودات می‌رسد و دست یافتنش به موجودات با دست یافتن به دیدگاههایش در آن واحد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دروغ گوید، یا سفسطه کند، یا استدلالی نادرست پیش آورد، دیالکتیک زود نادرستی آن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حقیقت را می‌شناسد</w:t>
      </w:r>
      <w:r>
        <w:rPr>
          <w:rFonts w:eastAsia="IRNazanin" w:cs="IRNazanin"/>
          <w:color w:val="111111"/>
          <w:sz w:val="28"/>
          <w:szCs w:val="28"/>
          <w:rtl w:val="true"/>
          <w:lang w:bidi="fa-IR"/>
        </w:rPr>
        <w:t>.</w:t>
      </w:r>
      <w:r>
        <w:rPr>
          <w:rStyle w:val="FootnoteAnchor"/>
          <w:rtl w:val="true"/>
        </w:rPr>
        <w:footnoteReference w:id="4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این است که این درک و شناخت حقیقت در دانش دیالکتیک، از راه اَشکال منطقی و استنتاج نیست، بلکه از راه شهود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 اینکه دیالکتیک که گاهی فلوطین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ناب‌ترین بخش </w:t>
      </w:r>
      <w:bookmarkStart w:id="292" w:name="pg5678_50432"/>
    </w:p>
    <w:p>
      <w:pPr>
        <w:pStyle w:val="BookText"/>
        <w:rPr/>
      </w:pPr>
      <w:bookmarkEnd w:id="292"/>
      <w:r>
        <w:rPr>
          <w:rFonts w:ascii="IRNazanin" w:hAnsi="IRNazanin" w:eastAsia="IRNazanin"/>
          <w:color w:val="111111"/>
          <w:sz w:val="28"/>
          <w:sz w:val="28"/>
          <w:szCs w:val="28"/>
          <w:rtl w:val="true"/>
          <w:lang w:bidi="fa-IR"/>
        </w:rPr>
        <w:t>عقل و اندیشه و پربهاترین قابلیت انسانی است که اصول خود را از عقل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آنها را به هم می‌پیوندد و با هم مرتبط می‌سازد تا به عقل کامل برسد</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293" w:name="__RefHeading___Toc3561955_581953129"/>
      <w:bookmarkStart w:id="294" w:name="_Toc109"/>
      <w:bookmarkEnd w:id="293"/>
      <w:r>
        <w:rPr>
          <w:rtl w:val="true"/>
        </w:rPr>
        <w:t>بنیاد معرفت‌شناسی فلوطین</w:t>
      </w:r>
      <w:bookmarkEnd w:id="294"/>
    </w:p>
    <w:p>
      <w:pPr>
        <w:pStyle w:val="BookText"/>
        <w:rPr/>
      </w:pPr>
      <w:r>
        <w:rPr>
          <w:rFonts w:ascii="IRNazanin" w:hAnsi="IRNazanin" w:eastAsia="IRNazanin"/>
          <w:color w:val="111111"/>
          <w:sz w:val="28"/>
          <w:sz w:val="28"/>
          <w:szCs w:val="28"/>
          <w:rtl w:val="true"/>
          <w:lang w:bidi="fa-IR"/>
        </w:rPr>
        <w:t>پیش از این روشن شد که معرفت عقلانی و دریافت مثل و ایده‌ها، معرفت حقیقی است و ادراک حسّی تنها عقیده و پندار را به دست می‌دهد و حاوی حقیقت نیست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قوّة فاهمه و مدرک نفس نیز از پرتو عقل، روشنایی دارد و از خورشید او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معرفت عقل بر چه چیزی استوار است و از کجا درمی‌یابد که آنچه می‌شناسد، حقیقت است نه تصویر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داوری عقل چیست؟ چگونه می‌داند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عقل، معقول و حقیقت با هم چگونه است؟</w:t>
      </w:r>
    </w:p>
    <w:p>
      <w:pPr>
        <w:pStyle w:val="BookText"/>
        <w:rPr/>
      </w:pPr>
      <w:r>
        <w:rPr>
          <w:rFonts w:ascii="IRNazanin" w:hAnsi="IRNazanin" w:eastAsia="IRNazanin"/>
          <w:color w:val="111111"/>
          <w:sz w:val="28"/>
          <w:sz w:val="28"/>
          <w:szCs w:val="28"/>
          <w:rtl w:val="true"/>
          <w:lang w:bidi="fa-IR"/>
        </w:rPr>
        <w:t>فلوطین در پاسخ به این سؤالها، به اتّحاد عقل، عاقل و معقول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توانایی عقل به شناخت خود تأکید می‌ورزد و شناخت امور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چیزهایی خارج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ادراک حسّی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انکار می‌کند؛ زیرا اگر فرض کنیم که موضوعات معقول، بیرون از عقاید باشد و عقل آنها را در مکانشان ببیند، در این صورت، امکان ندارد که عقل، حقیقت آنها را در خود داشته باشد؛ چه اینکه هنگام نگریستن به آنها به ضرورت فریب می‌خورد؛ زیرا آنها حقایق‌اند و عقل، مجبور است در آنها بنگرد، بی‌آنکه مالک آنها باشد؛ از این رو، شناسایی‌ای که می‌یابد، تنها تصاویر حقیقت را به خود می‌پذیرد</w:t>
      </w:r>
      <w:r>
        <w:rPr>
          <w:rFonts w:eastAsia="IRNazanin" w:cs="IRNazanin"/>
          <w:color w:val="111111"/>
          <w:sz w:val="28"/>
          <w:szCs w:val="28"/>
          <w:rtl w:val="true"/>
          <w:lang w:bidi="fa-IR"/>
        </w:rPr>
        <w:t>.</w:t>
      </w:r>
      <w:r>
        <w:rPr>
          <w:rStyle w:val="FootnoteAnchor"/>
          <w:rtl w:val="true"/>
        </w:rPr>
        <w:footnoteReference w:id="45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فلوطین با اثبات این نظر که امور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عقل است، نه بیرون از آن و سپس اثبات توانایی عقل بر شناخت خود بدون واسطه و به گونة علم حضوری و به دنبال آن، اعتقاد و اثبات اتّحاد عقل، عاقل و معقول، بنیاد معرفت‌شناسی خود را شکل داده است؛ بنیادی که ظاهراً برای نخستین بار در تاریخ تفکّر فلسفی مطرح شد و چنان که اشاره شد، در فلسفة اسلامی بارور گردید</w:t>
      </w:r>
      <w:r>
        <w:rPr>
          <w:rFonts w:eastAsia="IRNazanin" w:cs="IRNazanin"/>
          <w:color w:val="111111"/>
          <w:sz w:val="28"/>
          <w:szCs w:val="28"/>
          <w:rtl w:val="true"/>
          <w:lang w:bidi="fa-IR"/>
        </w:rPr>
        <w:t xml:space="preserve">. </w:t>
      </w:r>
      <w:bookmarkStart w:id="295" w:name="pg5678_50433"/>
    </w:p>
    <w:p>
      <w:pPr>
        <w:pStyle w:val="BookText"/>
        <w:rPr/>
      </w:pPr>
      <w:bookmarkEnd w:id="295"/>
      <w:r>
        <w:rPr>
          <w:rFonts w:ascii="IRNazanin" w:hAnsi="IRNazanin" w:eastAsia="IRNazanin"/>
          <w:color w:val="111111"/>
          <w:sz w:val="28"/>
          <w:sz w:val="28"/>
          <w:szCs w:val="28"/>
          <w:rtl w:val="true"/>
          <w:lang w:bidi="fa-IR"/>
        </w:rPr>
        <w:t>فلوطین پس از اثبات توانایی عقل بر شناخت خود، به دو نوع شناخت حصولی و حضوری اشاره می‌کند و با اثبات علم حضوری برای نفس، انسان را به شناخت خویش توانا می‌شمارد؛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آدمی ماهیت نیروی تفکّر روح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که برتر از نوع نخستین است، این است که آدمی به نیروی عقل، خود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که خود،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به نیروی عقل، خود را همچون آدمی نمی‌اندیشد، بلکه به کلّی چیزی دیگر شده و خود را به مقامی برتر کشیده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پذیرفت که در این حال، نیروی تفکّر هنوز هم نمی‌داند که نیروی تفکّر است و به اشیای بیرونی آگاه می‌شود و در هر حکمی که می‌کند، از دستورهایی یاری می‌گیرد که عقل در او نهاده است و نیرویی برتر و بهتر از خود او وجود دارد که او لازم نیست آن را بجوید، بلکه آن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باید چنین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البته فلوطین متذکّر می‌شود که این اندیشیدن به خود خویش دربارة روح باید به معنای مجازی و دربارة عقل به معنای حقیقی فهمیده شود؛ زیرا روح به خود به عنوان چیزی متعلّق به دیگری می‌اندیشد، ولی عقل به خود به عنوان خودِ خویش می‌اندیشد و ذات و ماهیت خود را می‌شناسد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وی در جایی دیگر نیز به این اصل و فرع بودن و ترتّب اندیشنده‌ها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برتر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نمی‌اندیشد،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اندیشندة اصلی است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اندیشندة درجة دوم</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296" w:name="__RefHeading___Toc3561957_581953129"/>
      <w:bookmarkStart w:id="297" w:name="_Toc110"/>
      <w:bookmarkEnd w:id="296"/>
      <w:r>
        <w:rPr>
          <w:rtl w:val="true"/>
        </w:rPr>
        <w:t>محدودیت عقل عملی و تفاوت آن با عقل نظری</w:t>
      </w:r>
      <w:bookmarkEnd w:id="2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شد که گستردگی و توانایی‌ای که فلوطین دربارة عقل بیان می‌کند، مربوط به عقل محض است، اما عقل عملی، چنین جایگاهی ندارد و شناسایی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وی، عقل عملی چون روی در جهان بیرون دارد و در خود ساکن نیست، می‌تواند تا حدّ معینی، شناسایی به امور بیرونی را تحصیل کند و هیچ ضرورتی ندارد که خود خویش را همچون </w:t>
      </w:r>
      <w:bookmarkStart w:id="298" w:name="pg5678_50434"/>
    </w:p>
    <w:p>
      <w:pPr>
        <w:pStyle w:val="BookText"/>
        <w:rPr/>
      </w:pPr>
      <w:bookmarkEnd w:id="298"/>
      <w:r>
        <w:rPr>
          <w:rFonts w:ascii="IRNazanin" w:hAnsi="IRNazanin" w:eastAsia="IRNazanin"/>
          <w:color w:val="111111"/>
          <w:sz w:val="28"/>
          <w:sz w:val="28"/>
          <w:szCs w:val="28"/>
          <w:rtl w:val="true"/>
          <w:lang w:bidi="fa-IR"/>
        </w:rPr>
        <w:t>عقل محض بشناسد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وی منشأ این تفاوت را نقص و کمال آنان برمی‌شمارد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محض نقصی ندارد تا درصدد تکمیل خود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باز می‌گردد و نتیجة ضروری این بازگشت به خود، شناختن خود است</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299" w:name="__RefHeading___Toc3561959_581953129"/>
      <w:bookmarkStart w:id="300" w:name="_Toc111"/>
      <w:bookmarkEnd w:id="299"/>
      <w:r>
        <w:rPr>
          <w:rtl w:val="true"/>
        </w:rPr>
        <w:t>اختلاف افلاطون و فلوطین در اتّحاد عاقل و معقول</w:t>
      </w:r>
      <w:bookmarkEnd w:id="300"/>
    </w:p>
    <w:p>
      <w:pPr>
        <w:pStyle w:val="BookText"/>
        <w:rPr/>
      </w:pPr>
      <w:r>
        <w:rPr>
          <w:rFonts w:ascii="IRNazanin" w:hAnsi="IRNazanin" w:eastAsia="IRNazanin"/>
          <w:color w:val="111111"/>
          <w:sz w:val="28"/>
          <w:sz w:val="28"/>
          <w:szCs w:val="28"/>
          <w:rtl w:val="true"/>
          <w:lang w:bidi="fa-IR"/>
        </w:rPr>
        <w:t>به رغم شارح قلمداد شدن فلوطین نسبت به نظریات افلاطون، فلوطین در مواردی با وی اختلاف اساسی دارد؛ برای مثال، افلاطون در مسئلة اتّحاد عاقل و معقول و عقل، به تقدّم معقول و موضوع اندیشه بر عقل اعتقاد دارد، اما چنان که گذشت، فلوطین در این باره، با ارسطو همراهی کرده و به اتّحاد آنان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بریه با طرح این بحث، به تبیین نظر فلوطین مبنی بر اینکه معقولات بیرون از عقل نیست، پرداخته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معقول، خارج از عقل است، باید عقل را به صورتی تصوّر کنیم که عاری از فکر بالفعل باشد و بر همان قیاس که محسوسات بر آلات حواس مرتسم می‌شود، معقولات نیز با عقل تلاقی کند و در آن انطباع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عقلی ناقص است، قادر به ادراک ازلی معقولات نیست و از تحصیل یقین دربارة آنچه ادراک می‌کند، قاصر است؛ زیرا از مدرکات خود جز تصویری در آن حاصل نیست، پس ناگزیر باید بر آن بود که عقل اقنومی، عالم معقول را سراسر در خویشتن باز می‌یابد، و از همین جا که دربارة خود فکر می‌کند، نه تنها صورت خود را به علم یقین می‌شناسد، بلکه دربارة تمام اموری که این صورت را می‌پذیرند و عقل بر آنها مشتمل می‌شود، یقین می‌کند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301" w:name="__RefHeading___Toc3561961_581953129"/>
      <w:bookmarkStart w:id="302" w:name="_Toc112"/>
      <w:bookmarkEnd w:id="301"/>
      <w:r>
        <w:rPr>
          <w:rtl w:val="true"/>
        </w:rPr>
        <w:t xml:space="preserve">ادراک عقلی، </w:t>
      </w:r>
      <w:r>
        <w:rPr>
          <w:rtl w:val="true"/>
        </w:rPr>
        <w:t>«</w:t>
      </w:r>
      <w:r>
        <w:rPr>
          <w:rtl w:val="true"/>
        </w:rPr>
        <w:t>فهم</w:t>
      </w:r>
      <w:r>
        <w:rPr>
          <w:rtl w:val="true"/>
        </w:rPr>
        <w:t>»</w:t>
      </w:r>
      <w:bookmarkEnd w:id="3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شایسته بود، پیش از بررسی ادراک عقلی و ادراک حسّی، ماهیت و هویّت روح یا همان نفس از دیدگاه فلوطین بررسی می‌شد، آنگاه مسئلة ادراک تجزیه و تحلیل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دلیل اطالة مقال به فرصتی دیگر موکول می‌شود و فقط می‌توان گفت، در نظر فلوطین، روح والاترین نمونه و مثال همه چیز است؛ از سویی فروترین نمونة موضوعات معقول و از سویی دیگر، برترین نمونة اشیای جهان محسوس است؛ از این رو، </w:t>
      </w:r>
    </w:p>
    <w:p>
      <w:pPr>
        <w:pStyle w:val="BookText"/>
        <w:rPr/>
      </w:pPr>
      <w:r>
        <w:rPr>
          <w:rFonts w:ascii="IRNazanin" w:hAnsi="IRNazanin" w:eastAsia="IRNazanin"/>
          <w:color w:val="111111"/>
          <w:sz w:val="28"/>
          <w:sz w:val="28"/>
          <w:szCs w:val="28"/>
          <w:rtl w:val="true"/>
          <w:lang w:bidi="fa-IR"/>
        </w:rPr>
        <w:t xml:space="preserve">با هر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میان آن دو قرار دارد، هر دو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جهان معقول از این طریق می‌اندیشد که آن را به یاد می‌آورد و با آن ارتباط می‌یابد و بدین جهت می‌شناسد که خود به یک معنا جهان معقول است؛ بنابراین شناساییش به جهان معقول، از این راه پدید نمی‌آید که آن را در خود وارد کند، بلکه بدین جهت آن را می‌شناسد که آن را به یک معنا داراست و در آن می‌نگرد و چون خود او به نحو مبهمی جهان معقول است، هنگام شناختن آن بیدار می‌شود و از مرحلة بالقوّه بودن به فعلیّت می‌رسد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فلوطین کمتر از ادراکِ عقلیِ روح یا همان فهم سخن گفته، بلکه بیشتر از ادراک حسّی و عقل گفت‌وگو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فهم در حدّ واسط آن دو قرار دارد و به طور مستقیم، نه همچون ادراک حسّی با اشیای خارجی ارتباط دارد و نه با امور معقول همچون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متفکّر روح، از یک سو، تصویرهای حاصل از ادراک حسّی را می‌آزماید و به هم می‌پیوندد و یا از هم جدا می‌کند و از سوی دیگر، دربارة تصاویری هم که از عقل به او می‌رسد، چگونگی آنها را درمی‌یابد و در برابر آنها همان قابلیّت و قدرتی را دارد که در برابر تصاویر حاصل از ادراک حسّی 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کارکرد دیگر نیروی فهم آن است که با یاری گرفتن از آگاهی و معلومات خود، دریافتهای تازه را می‌شناسد و آنها را با دریافتهای پیشین خود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فلوطین این جریان و فرایند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 چند جا به آن اشاره کرده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آیا نیروی فهم و جزء متفکّر روح همچون عقل به شناختن خویش توانایی دارد یا نه؟ فلوطین در ابتدا پاسخ منفی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قوّه، تنها دریافتهایی را که از جهان محسوس و معقول به او می‌رسد، اخذ می‌کند و دربارة آنها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اما چنان که قبلاً اشاره شد، بالمجاز و با واسطه می‌تواند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فلوطین در توضیح این مطلب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 روح باید آگاه شود به اینکه خود او نیز هنگامی که با چیزی برخورد می‌کند، آن را می‌شناسد و هنگامی که چیزی می‌گوید، می‌داند که چه می‌گوید و باید بداند که اگر خود او عین آن چیزی باشد که می‌گوید و بیان می‌کند، خواهد توانست از این طریق،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همة چیزهایی که روح می‌گوید، از آن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یعنی از آنجا که خود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ممکن است که خود را بشناسند؛ زیرا خردمند است و آنچه از بالا به او می‌رسد، با او خویشی دارد و او می‌تواند آن را با نقش عقل که در خود اوست،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نقش عقل را همچون تصویری از عقل تلقّی کند و با عقل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که دیدیم، عین موضوعات خود و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سازد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همان‌گونه که از جملات بالا فهمیده می‌شود، مکانیزم و دلیلی که فلوطین برای توانایی روح بر شناخت خود بیان می‌کند، آن است که جزء متفکّر روح، از جنس عقل است و قبلاً در عقل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مدرکات روح نیز عقلی است و از عقل می‌آید؛ بنابراین، همسانی، تجانس و تشابه مدرِک و مدرَک و خویشاوندی آنان با یکدیگر، با توجّه به اینکه جزء متفکّر روح، نقش عقل را در خود دارد، می‌تواند با انطباق آن با عقل حقیقی به اتّحاد عاقل و معقول و عقل نائل آید و خود خویش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فرایند فکر و اندیشه و چرایی عدم انحصار نفس به ادراک حسّی، دو مقوله‌ای است که فلوطین بدانها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فرایند فهم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حسّی، کسی را می‌بیند و این تأثّر را به فکر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چه می‌گوید؟ نخست، هیچ نمی‌گوید و تنها می‌شناسد و شاید از خود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کس را پیشتر هم دیده باشد با یاری گرفتن از یادآوری،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جزئیات شکل و قیافه آن کس را مورد توجّه قرار دهد، تنها آنچه را تصوّر به او داده است، تجزیه و تحلیل می‌کند، ولی اگر به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رسیدن به این حکم، از جزئیاتی آغاز می‌کند که از راه ادراک حسّی شناخته است، ولی حکم کلّی را از درون خود درمی‌آورد؛ زیرا معیار نیکی 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نیکی چگونه در روح جای دارد؟ بدین‌سان که خود روح، نیک است و از طریق عقل که او را روشن می‌سازد، به ادراک نیکی تواناست</w:t>
      </w:r>
      <w:r>
        <w:rPr>
          <w:rFonts w:eastAsia="IRNazanin" w:cs="IRNazanin"/>
          <w:color w:val="111111"/>
          <w:sz w:val="28"/>
          <w:szCs w:val="28"/>
          <w:rtl w:val="true"/>
          <w:lang w:bidi="fa-IR"/>
        </w:rPr>
        <w:t>.</w:t>
      </w:r>
      <w:r>
        <w:rPr>
          <w:rStyle w:val="FootnoteAnchor"/>
          <w:rtl w:val="true"/>
        </w:rPr>
        <w:footnoteReference w:id="463"/>
      </w:r>
      <w:bookmarkStart w:id="303" w:name="pg5678_50437"/>
    </w:p>
    <w:p>
      <w:pPr>
        <w:pStyle w:val="BookText"/>
        <w:rPr/>
      </w:pPr>
      <w:bookmarkEnd w:id="303"/>
      <w:r>
        <w:rPr>
          <w:rFonts w:ascii="IRNazanin" w:hAnsi="IRNazanin" w:eastAsia="IRNazanin"/>
          <w:color w:val="111111"/>
          <w:sz w:val="28"/>
          <w:sz w:val="28"/>
          <w:szCs w:val="28"/>
          <w:rtl w:val="true"/>
          <w:lang w:bidi="fa-IR"/>
        </w:rPr>
        <w:t>این توضیحات با توجّه به کارکرد فهم که پیشتر گفته شد، به خوبی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نیروی فهم روح، تصاویر حاصل از ادراک حسّی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امر، طی مثالی بیان گردیده، سپس کارکرد یادآوری و در ادامه، حکم و تصدیق فهم به نیک بودن مطرح شده و منشأ و سرچشمة این حکم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فلوطین در این باره، مشخص می‌شود که نفس، لوح نانوشته و خالی نیست، بلکه مجموعه‌ای از فطریات و امور کلّی را همچون معیار نیکی، در خود دارد و چون بحث کلّیات و امور معقول مطرح می‌شود، پای عقل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توضیحات استفاده می‌شود که نیروی فهم یا جزء متفکّر روح، به شدّت به ادراک حسّی و عقل وابسته است؛ به گونه‌ای که بدون آن دو نمی‌توان هویّت مستقلی را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سؤال مطرح می‌شود که چرا فلوطین، روح را به ادراک حسّی منحصر ندانسته است؟ وی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روح باید قادر به اندیشیدن باشد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304" w:name="__RefHeading___Toc3561963_581953129"/>
      <w:bookmarkStart w:id="305" w:name="_Toc113"/>
      <w:bookmarkEnd w:id="304"/>
      <w:r>
        <w:rPr>
          <w:rtl w:val="true"/>
        </w:rPr>
        <w:t>ادراک حسّی</w:t>
      </w:r>
      <w:bookmarkEnd w:id="3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فلوطین معرفت حسّی را معرفت حقیقی، و ادراک حسّی را حاوی حقیقت نمی‌داند و بارها بر این نکته تأکید کرده است که اصل و حقیقت هیچ چیز به یاری حس، ادراک‌شدنی نیست، البته نه از این جهت که ابزار ادراک را همچون کانت، ناتوان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موجودات بینگارد، بلکه از این باب که عالم محسوسات را که متعلّق و مدرَک ادراک حسّی است، جهان تصاویر و سایه‌ها می‌داند و هستی حقیقی را به جهان معقول منحصر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معتقد است آنچه از معرفت حسّی به دست می‌آید، عقیده و پندار است،</w:t>
      </w:r>
      <w:r>
        <w:rPr>
          <w:rStyle w:val="FootnoteAnchor"/>
          <w:rtl w:val="true"/>
        </w:rPr>
        <w:footnoteReference w:id="465"/>
      </w:r>
      <w:r>
        <w:rPr>
          <w:rFonts w:ascii="IRNazanin" w:hAnsi="IRNazanin" w:eastAsia="IRNazanin"/>
          <w:color w:val="111111"/>
          <w:sz w:val="28"/>
          <w:sz w:val="28"/>
          <w:szCs w:val="28"/>
          <w:rtl w:val="true"/>
          <w:lang w:bidi="fa-IR"/>
        </w:rPr>
        <w:t>نه معرفت؛ از این رو، اطلاق عقیده و پندار بر دانشهای مربوط به موضوعات محسوس را بهتر از اطلاق دانش بر آنها دانسته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بر این مبنا، ادراک حسّی به طور مستقیم، نمی‌تواند جایگاه چندانی در معرفت انسانی ایفا کند و بیشتر نقش کارگزار را برای نیروی متفکّر روح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 این است که ادراک حسّی چیست؟ توصیف و تبیین آن از نظر فلوطین چگونه است؟ متعلق و گسترة آن کدام است؟ مدرِک آن، جسم است یا روح یا هر دو؟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تعریف و توصیف فلوطین از ادراک حسّی، دو جنبة اثباتی و سلبی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در بعد سلبیِ ادّعا به کرّات، انفعال، انتقاش و تأثّر روح را بر اثر ادراک حسّی نفی کرده و این دیدگاه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ششم از انئاد چهارم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ادراک حسّی را نقشی نمی‌دانیم که بر روح بسته می‌شود و از این‌رو، نمی‌پذیریم که حافظه، دوام نقش حاصل از ادراک حسّی بر روح است؛ زیرا منکر چنین نقشی هستیم</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فلوطین در ادامه، این عدم انتقاش و تأثر را با بررسی فرایند ادراک بینایی به عنوان روشن‌ترین مصداق ادراک حسّی، تبیین و دلایل ادّعایش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چیزی را با حسّ بینایی درک می‌کنیم، به آن می‌نگریم و نیروی بینایی ما روی در آن چیز می‌آورد که در خط مستقیم در برابر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جریان، روح ما به بیرون می‌نگرد؛ زیرا هیچ نقشی در آن همچون نقش مهر در موم،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از طریق چنان نقشی می‌دید، دیگر نیازی نداشت که به بیرون بنگرد؛ زیرا تصویر موضوع را در خود داشت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همان طور که از این عبارات فهمیده می‌شود، فلوطین نخستین دلیل بر عدم انتقاش را نگاه کردن و نظر کردن روح به بیرون از خود، یعنی امور خارجی و اشیای بیرونی در فرایند ادراک، می‌داند؛ بدین معنا که اگر تصویر در روح نقش بسته بود، نیازی نبود که روح به بیرون بنگرد و در پی چیزی باشد که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مدرِک در ادراک حسّی به بیرون از خویش نظر دارد و در جست‌وجوی مدرَک در خارج از خود است، نشانگر آن است که ادراک حسّی، انتقاش محسوس در مدرَک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چندین دلیل دیگر نیز اقامه می‌کند و مدّعی می‌شود که اگر تصویر محسوس در روح منعکس می‌شد، نفس نمی‌توانست فاصله مدرِک را با محسوس دریابد و اندازه و حجم آن را معین کند؛ بدین معنا که ادراک ما از محسوس، ناقص و ناتمام بود؛ چنان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می‌دانیم که روح ما فاصلة موضوع را از ما معیّن می‌سازد و در این باره حکمی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نقش موضوع در خود او بود و فاصله‌ای با او نداشت، چگونه ممکن بود آن چیز را دور از خود تلقّی کند؟ همچنین چگونه می‌توانست دربارة بزرگی موضوع حکمی صادر کند و اندازة آن را معیّن سازد؟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وی سومین دلیل را عدم ادراک واقع برمی‌شمارد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اگر ما از چیزهایی که می‌بینیم تنها نقشی درمی‌یافتیم، نمی‌توانستیم در خود آن چیزها بنگریم، بلکه تنها بر تصاویر و سایه‌هایی آگاه می‌شدیم و در آن صورت چیزها به کلّی، غیر از آن می‌بودند که ما می‌دیدیم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نکتة جالب توجّهی که در ذهن تداعی می‌شود، این است که گویی فلوطین به جنگ کانت برخاسته و پدیدارگرایی او را هدف استدلالها و آماج برهانهای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استنباط می‌شود که شکّاکیّت از نوعِ کانتی آن، در عصر فلوطین نیز ظهور و بروز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استنتاج مبتنی است بر آنکه از سخنان فلوطین، چنین برداشت کنیم که وی نفس را به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می‌دانست و انکار انتقاش تصویر محسوس را در روح، به مردود شمردن ادراک پدیدار در ادراک حسّی از سوی وی تفسیر و 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فلوطین در ادامة استدلال خود، انتقاش را سبب عدم ادراک و ندیدن می‌شمارد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چیزی را روی مردمک چشم قرار دهند، چشم نمی‌تواند آن را ببیند و برای دیدن، لازم است با مرئی فاصله‌ای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روح نیز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موضوع در روح باشد، لااقل آنجایی که نقش بر آن بسته شده است، نمی‌تواند نقش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اینکه دیدن صورت گیرد، نباید موضوع در خود روح باشد، بلکه باید بیرون از آن باشد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فلوطین افزون بر آنچه تاکنون ذکر شد، انفعال را موجب عدم تشخیص محسوسات از یکدیگر می‌داند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صورتی می‌تواند دیدنی را از شنیدنی تمیز دهد که آن دو، نقشهایی بر روح نباشند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وی در پایان این سلسله استدلالها به انگیزه و دلایل اعتقاد به انفعال روح در اثر ادراک حسّی،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گمان اینکه یک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انفعال به حرکت درنیاید، نمی‌تواند موضوع خود را بشناسد، در این پندار می‌افتیم که نیروی درک‌کنندة روح منفعل می‌گردد؛ حال آنکه قابلیت آن نیرو در این است که بر موضوع چیره شود، نه اینکه انفعال بپذیرد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فلوطین به دلایل و شواهد دیگری از قبیل ضعف حافظه، تقویت حافظه از راه تمرین و صرف وقت برای یادآوری اشاره می‌کند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دیدن سبب می‌شد که نقش اشیای دیده‌شده در روح بسته شود، کثرت چیزهایی که کسی می‌بیند، سبب ضعف حافظة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لازم نبود برای به یاد آوردن چیزی، زمانی دراز فکر کنیم و همچنین ممکن نبود چیزی را که از یاد برده‌ایم، دوباره به یاد بیاوریم؛ زیرا نقشها همیشه موجودند و هر وقت می‌خواستیم می‌توانستیم در آنها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تمرینی که برای تقویت حافظه می‌کنیم، دلیل است بر اینکه آدمی می‌کوشد تا نیروی روحش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حسّی سبب می‌شد که نقش اشیای محسوس در روح بسته شود، پس چرا چیزی را که یک یا دو بار شنیده‌ایم، در یاد نگه نمی‌داریم، ولی اگر آن را چندین بار بشنویم، در یادمان می‌ماند؟ همچنین بسا پیش می‌آید که چیزی را که پیشتر شنیده بودیم، ولی به یاد نداشتیم، پس از گذشتن زمانی به یاد می‌آوریم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این انکار و استنکاری که از سوی فلوطین نسبت به انفعال روح در امر ادراک حسّی مشاهده می‌شود، از دیدگاه او دربارة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روح را یک اقنوم فعّال، کنشگر، چیره‌گر، مولد و مفیض می‌شمارد و آن را تمثیلی از احد می‌انگارد؛ از این‌رو، معتقد است روح، همان‌گونه که معقولات را درک می‌کند، محسوسات را هم درمی‌یابد و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دریافتن اشیای محسوس نیز به همان‌گونه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حوزة خود وارد می‌کند و به نیروی خود، آنان را روشن می‌سازد و از این طریق، در برابر چشم خود قرار می‌دهد، در حالی که نیروی‌حسّیش به آنها توجّه دارد </w:t>
      </w:r>
    </w:p>
    <w:p>
      <w:pPr>
        <w:pStyle w:val="BookText"/>
        <w:rPr/>
      </w:pPr>
      <w:r>
        <w:rPr>
          <w:rFonts w:ascii="IRNazanin" w:hAnsi="IRNazanin" w:eastAsia="IRNazanin"/>
          <w:color w:val="111111"/>
          <w:sz w:val="28"/>
          <w:sz w:val="28"/>
          <w:szCs w:val="28"/>
          <w:rtl w:val="true"/>
          <w:lang w:bidi="fa-IR"/>
        </w:rPr>
        <w:t>و به اصطلاح، آبستن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آن نیرو بیشتر و قوی‌تر باشد، حضور آن چیز محسوس در برابرش زمانی بیشتر ادامه می‌یابد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وی ادراک حسّی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ادراک حسّی روح، لازم نیست متوجّه محسوسات باشد، بلکه باید بکوشد تا به تصاویری که بر اثر ادراک حسّی در موجود زنده پدید می‌آیند، دست بیابد؛ زیرا آن تصاویر، خود، از نوع چیزهای معقول‌اند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 ظاهری که خاصّ موجود زنده است، تنها تصویر سایه‌واری است از ادراک خاصّ روح و این ادراک اخیر که بر حسب ماهیتش، ادراک حقیقی‌تری است، نظارة صورتهاست، بی‌آنکه سبب انفعالی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که روح به وسیلة آنها به موجود زنده فرمان می‌راند و او را رهبری می‌کند، منشأ تعقّل و داوری و اندیشیدن و شهود درونی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چنان که ملاحظه می‌شود، فلوطین در این جملات، بین ادراک حسّی ظاهر و ادراک حسّی روح، تفاوت و تمایز قائل شده و نظارة صورتها را که توسط ادراک حسّی روح صورت می‌گیرد، منشأ تعقّل، داوری، اندیشیدن و شهود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بدین معناست که وی برای ادراک حسّی، دو مرتبه قائل است یا شقّ دوم آن، همان ادراک عقلی یا فهم است؟ به هر حال، این زمینه، جای بحث و تأمل دارد و ظاهراً شقّ نخست احتمال، صریح‌تر 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بحث بعدی در ادراک حسّی، آن است که مدرِک کیست؟ فلوطین در این باره پاسخ می‌دهد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ادراک‌کننده، آن موجودی است که از ترکیب روح و تن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ترکیب بدین معنا نیست که روح، خود را به آن موجود یا به تن داده باشد، بلکه روح، نوعی روشنایی به تن با کیفیّتی خاص بخشیده و از طریق بخشیدن این روشنایی به تن، موجود زنده را به عنوان موجودی تازه پدید آورده است و ادراک حسّی و همة عواطفی که مال موجود زنده دانسته‌ایم، متعلّق به آن موجود تازه است</w:t>
      </w:r>
      <w:r>
        <w:rPr>
          <w:rFonts w:eastAsia="IRNazanin" w:cs="IRNazanin"/>
          <w:color w:val="111111"/>
          <w:sz w:val="28"/>
          <w:szCs w:val="28"/>
          <w:rtl w:val="true"/>
          <w:lang w:bidi="fa-IR"/>
        </w:rPr>
        <w:t>.</w:t>
      </w:r>
      <w:r>
        <w:rPr>
          <w:rStyle w:val="FootnoteAnchor"/>
          <w:rtl w:val="true"/>
        </w:rPr>
        <w:footnoteReference w:id="478"/>
      </w:r>
      <w:bookmarkStart w:id="306" w:name="pg5678_50442"/>
    </w:p>
    <w:p>
      <w:pPr>
        <w:pStyle w:val="BookText"/>
        <w:rPr/>
      </w:pPr>
      <w:bookmarkEnd w:id="306"/>
      <w:r>
        <w:rPr>
          <w:rFonts w:ascii="IRNazanin" w:hAnsi="IRNazanin" w:eastAsia="IRNazanin"/>
          <w:color w:val="111111"/>
          <w:sz w:val="28"/>
          <w:sz w:val="28"/>
          <w:szCs w:val="28"/>
          <w:rtl w:val="true"/>
          <w:lang w:bidi="fa-IR"/>
        </w:rPr>
        <w:t xml:space="preserve">وی در ادامه، این سؤال را مطرح می‌کند که پس چرا ادراک‌کننده،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ما از موجود زندة با کیفیّت خاص، جدا نیستیم</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307" w:name="__RefHeading___Toc3561965_581953129"/>
      <w:bookmarkStart w:id="308" w:name="_Toc114"/>
      <w:bookmarkEnd w:id="307"/>
      <w:r>
        <w:rPr>
          <w:rtl w:val="true"/>
        </w:rPr>
        <w:t>نتیجه‌گیری</w:t>
      </w:r>
      <w:bookmarkEnd w:id="308"/>
    </w:p>
    <w:p>
      <w:pPr>
        <w:pStyle w:val="BookText"/>
        <w:rPr/>
      </w:pPr>
      <w:r>
        <w:rPr>
          <w:rFonts w:ascii="IRNazanin" w:hAnsi="IRNazanin" w:eastAsia="IRNazanin"/>
          <w:color w:val="111111"/>
          <w:sz w:val="28"/>
          <w:sz w:val="28"/>
          <w:szCs w:val="28"/>
          <w:rtl w:val="true"/>
          <w:lang w:bidi="fa-IR"/>
        </w:rPr>
        <w:t>شاید بتوان ادّعا کرد که فلوطین برای نخستین بار، نظام هستی‌شناسی فلسفة یونان باستان را با معرفت‌شناسی در هم آمیخت و عقل و هستی را در یک رتبه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فلسفه را که با ظهور سوفیستها حرکت جدّی و بالندة خود را آغاز کرده بود، با تأکید بر معرفت‌شناسی و ادغام کردن آنها به همدیگر و نیز قرار دادن علم حضوری به عنوان بنیاد معرفت‌شناسی خویش،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بهره‌گیری از جریانهای فکری و دیدگاههای اسلاف فلسفی‌اش، به ویژه افلاطون و ارسطو، و ترکیب و تألیف آنها با یکدیگر، قرائت جدیدی از فلسفه را ارائه داد و مکتبی را پدید آورد که هم‌اکنون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هستی‌شناسی وی که مثلث احد، عقل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بنیاد مثنای جهان معقول و محسوس استوار می‌سازد،</w:t>
      </w:r>
      <w:r>
        <w:rPr>
          <w:rStyle w:val="FootnoteAnchor"/>
          <w:rtl w:val="true"/>
        </w:rPr>
        <w:footnoteReference w:id="480"/>
      </w:r>
      <w:r>
        <w:rPr>
          <w:rFonts w:ascii="IRNazanin" w:hAnsi="IRNazanin" w:eastAsia="IRNazanin"/>
          <w:color w:val="111111"/>
          <w:sz w:val="28"/>
          <w:sz w:val="28"/>
          <w:szCs w:val="28"/>
          <w:rtl w:val="true"/>
          <w:lang w:bidi="fa-IR"/>
        </w:rPr>
        <w:t xml:space="preserve">مسئلة محوری و اساسی ربط کثرت به وحدت را که پیشینیان به درستی توان حلّ آن را نداشتند، با طرح نظریة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وحدت و وحدت در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ملاصدرا قرنها بعد آن را به تفصیل مطرح کرد، ارائه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معرفت‌شناسی وی نیز با ابتنای علم حصولی بر علم حضوری، تأکید بر اتّحاد عقل و عاقل و معقول،</w:t>
      </w:r>
      <w:r>
        <w:rPr>
          <w:rStyle w:val="FootnoteAnchor"/>
          <w:rtl w:val="true"/>
        </w:rPr>
        <w:footnoteReference w:id="481"/>
      </w:r>
      <w:r>
        <w:rPr>
          <w:rFonts w:ascii="IRNazanin" w:hAnsi="IRNazanin" w:eastAsia="IRNazanin"/>
          <w:color w:val="111111"/>
          <w:sz w:val="28"/>
          <w:sz w:val="28"/>
          <w:szCs w:val="28"/>
          <w:rtl w:val="true"/>
          <w:lang w:bidi="fa-IR"/>
        </w:rPr>
        <w:t xml:space="preserve">محور قرار دادن علم حضوریِ 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ادراک و شناخت </w:t>
      </w:r>
    </w:p>
    <w:p>
      <w:pPr>
        <w:pStyle w:val="BookText"/>
        <w:rPr/>
      </w:pPr>
      <w:r>
        <w:rPr>
          <w:rFonts w:ascii="IRNazanin" w:hAnsi="IRNazanin" w:eastAsia="IRNazanin"/>
          <w:color w:val="111111"/>
          <w:sz w:val="28"/>
          <w:sz w:val="28"/>
          <w:szCs w:val="28"/>
          <w:rtl w:val="true"/>
          <w:lang w:bidi="fa-IR"/>
        </w:rPr>
        <w:t>مدرک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چرخة معرفت، مساوی دانستن عقل و حقیقت، و معرفت حقیقی شمردن معرفت معقول، رنگ و بوی عرفانی و اشراقی پیدا کرد و وصول و اتّحاد با احد که غایت الغایات تفکّر فلوطین به شمار می‌رود، در این نظام و از طریق شناخت دنبال گردید؛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عقل حقیقت نباشد، چنان عقلی نه حقیقت است و نه عقل حقیقی، و در این صورت، حقیقت در هیچ جا نمی‌تواند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یا آن هنگام که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دانش و شناسایی و هستی حقیقی را بپذیریم، باید همة آنها را متعلّق به عقل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حقیقت در خود اوست و از این رو، او خود، پایه و بنیان هستی و حقیقت است و از این رو، هستی و حقیقت دارای زندگی و اندیشیدن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هندسه‌ای که او در نظام معرفتی خود تصویر و تفسیر می‌کند، بدین‌گونه است که ادراک حسّی را به ظاهری و باطنی تقسیم می‌کند و ظاهری را ویژة موجود زنده بما هو موجود می‌شمارد که به وسیلة آن، صور محسوسات در موجود زنده منتقش می‌شود و لباس وجود ذهنی بر تن می‌کند، پس از آن، این صور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یا مرکّب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می‌شود و چون نفس، این نقش محسوسات را در خود دارد، در ادراک آنها منفعل و منتقش نمی‌گردد، بلکه بر آنها چیره شده و آنها را به عنوان مواد و ابزار شناخت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جزء متفکّر روح و نیروی فهم و خرد آن، دریافتهایی را که از جهان محسوس و معقول به او می‌رسد، اخذ می‌کند و دربارة آنها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تصویرهای حاصل از ادراک حسّی را می‌آزماید و به هم می‌پیوندد، یا از هم جدا می‌کند و دربارة تصاویری هم که از عقل به او می‌رسد، چگونگی آنها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جزء متفکّر روح بر خلاف عقل، وظیفه‌اش شناخت و درک امور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معقول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حلقة واسط میان عقل و ادراک حسّی به شمار می‌رود و تفاوت آن با ادراک حسّی نیز که وظیفه‌اش ادراک و دریافت امور خارجی است، این است که اولاً، مدرکات جزء متفکّر روح، شامل تصاویر معقول هم می‌شود و </w:t>
      </w:r>
    </w:p>
    <w:p>
      <w:pPr>
        <w:pStyle w:val="BookText"/>
        <w:rPr/>
      </w:pPr>
      <w:r>
        <w:rPr>
          <w:rFonts w:ascii="IRNazanin" w:hAnsi="IRNazanin" w:eastAsia="IRNazanin"/>
          <w:color w:val="111111"/>
          <w:sz w:val="28"/>
          <w:sz w:val="28"/>
          <w:szCs w:val="28"/>
          <w:rtl w:val="true"/>
          <w:lang w:bidi="fa-IR"/>
        </w:rPr>
        <w:t>ثانیاً، گرچه این مدرکات بالذات متعلّق به خود او نیست و از دو جهان محسوس و معقول می‌آید، هنگام ادراک در درون روح قرار داشته و به تعبیر نگارنده، هستی ذهنی دارند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عقل نیز امور معقول را می‌شناسد، افزون بر اینکه بر شناخت خود 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معقول، در درون عقل است و عقل مالک و بلکه عین آنهاست و چون عقل بالفعل است و معقول، عین عقل، موضوع اندیشه</w:t>
      </w:r>
      <w:r>
        <w:rPr>
          <w:rStyle w:val="FootnoteAnchor"/>
          <w:rtl w:val="true"/>
        </w:rPr>
        <w:footnoteReference w:id="485"/>
      </w:r>
      <w:r>
        <w:rPr>
          <w:rFonts w:ascii="IRNazanin" w:hAnsi="IRNazanin" w:eastAsia="IRNazanin"/>
          <w:color w:val="111111"/>
          <w:sz w:val="28"/>
          <w:sz w:val="28"/>
          <w:szCs w:val="28"/>
          <w:rtl w:val="true"/>
          <w:lang w:bidi="fa-IR"/>
        </w:rPr>
        <w:t>فعلی است و فعلیّت دارد و جدا از زندگی و هستی نیست؛ بنابراین، اندیشیدن، حقیقی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ما را در درک هندسة معرفت‌شناسی فلوطین یاری می‌دهد، آن است که او پس از یادکرد سه اقنوم احد، عقل و نفس در نظام هستی‌شناسی خود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 همان‌گونه که در جهان وجود دارند، در 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البته نه به معنای محسوس، زیرا آن ذوات متعالی‌اند، بلکه در ما از آن حیث هستند که ما، خود، بیرون از جهان محسوس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روح ما نیز ذاتی الهی و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عقل، بخشی عقلِ اندیشنده است و بخشی دیگر، او را به اندیشیدن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اندیشنده را در روح که برای اندیشیدن نیازی به آلت جسمانی ندارد، بلکه در کمال پاکی و نابی اثر می‌بخشد، باید متعالی و بی‌آمیختگی با تن بدانیم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آنگاه بر وجود احد و عقل در ما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اندیشنده با عدالت و زیبایی سروکار دارد و هنگام اندیشیدن می‌پرسد که آیا این امر، مطابق عدالت است و آیا آن چیز زیباست یا نه، پس به ضرورت باید عدالتی ثابت وجود داشته باشد که به سبب آن، چنان اندیشیدنی در روح پیدا می‌شود وگرنه روح، امور را با چه چیز می‌سنجد تا بداند مطابق عدالت است یا نه؟ چون روح دربارة عدالت گاه می‌اندیشد و گاه نمی‌اندیشد، پس عقل نیز که دربارة عدالت نمی‌اندیشد، بلکه همین عدالت را در خود دارد، باید در ما باشد و همچنین علّت عقل، یعنی خدا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فلوطین در ادامه و پس از طرح این سؤال که اگر این جوهرها در ما هستند، چرا به وجود آن آگاه نمی‌شویم، به نکته‌ای اشاره می‌کند که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جوهرها، یعنی عقل و آنچه پیش از عقل است، اثر خاصّ خود را در ما می‌بخشد و اینکه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برای بیان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همة آنچه در روحمان روی می‌دهد، ادراک نمی‌کنیم، بلکه تنها رویدادی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قابل ادراک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ادراک متعلّق به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از روح نیستیم، بلکه تمام روح‌ایم</w:t>
      </w:r>
      <w:r>
        <w:rPr>
          <w:rFonts w:eastAsia="IRNazanin" w:cs="IRNazanin"/>
          <w:color w:val="111111"/>
          <w:sz w:val="28"/>
          <w:szCs w:val="28"/>
          <w:rtl w:val="true"/>
          <w:lang w:bidi="fa-IR"/>
        </w:rPr>
        <w:t>.</w:t>
      </w:r>
      <w:r>
        <w:rPr>
          <w:rStyle w:val="FootnoteAnchor"/>
          <w:rtl w:val="true"/>
        </w:rPr>
        <w:footnoteReference w:id="4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فلوطین بر اینکه معقولات بیرون از عقل نیستند و عقل و عاقل و معقول عین یکدیگرند، از جمله نکات برجسته‌ای است که شاید پیش از آن، بدین‌گونه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مدّعا دلایل زیادی اقامه کرده، اما در این جمله که نقل می‌کنیم، بر مشکل معرفت انگشت می‌گذارد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کجا می‌داند که آنچه می‌شناسد، به راستی، خود آن موضوعات‌اند و چگونه می‌داند که این، نیک است، آن زیبایی و آن یکی، عدالت؟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موجودات غیر از او خواهند بود و معیار داوریش دربارة آنها در خود او نخواهد بود، بلکه در بیرون از او خواهد بود؛ در نتیجه، حقیقت نیز در بیرون از او خواهد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توضیح بیشتر در این باره پیشتر آمده است و تکرار آن برای تأکید بر جایگاه و اهمیت این مسئله در نظام معرفت‌شناسی فلوطین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در این بخش، آن است که فلوطین تنها در یک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بررسی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در عقل است و یقین و قبول در روح؛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آدمیان بیشتر به یقین و قبول دل‌بستگی داریم، تا به نظارة حقیقت در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در آن بالا بودیم، به عقل تعلّق داشتیم و عقل برای ما بسنده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اکنون که به این جهانِ پایین فرود آمده‌ایم، میل داریم در روح نیز یقین و قبول پدید آید و می‌خواهیم، صورت اصلی را در تصویر ببینیم</w:t>
      </w:r>
      <w:r>
        <w:rPr>
          <w:rFonts w:eastAsia="IRNazanin" w:cs="IRNazanin"/>
          <w:color w:val="111111"/>
          <w:sz w:val="28"/>
          <w:szCs w:val="28"/>
          <w:rtl w:val="true"/>
          <w:lang w:bidi="fa-IR"/>
        </w:rPr>
        <w:t>.</w:t>
      </w:r>
      <w:r>
        <w:rPr>
          <w:rStyle w:val="FootnoteAnchor"/>
          <w:rtl w:val="true"/>
        </w:rPr>
        <w:footnoteReference w:id="49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فلوطین، یقین را تصویر و نقش عقل می‌شمارد و جایگاه آن را در روح می‌داند و این امر را دلیل تعلّق ما به یقین و قبول می‌انگارد و این، نکته‌ای تأمل‌برانگیز است</w:t>
      </w:r>
      <w:r>
        <w:rPr>
          <w:rFonts w:eastAsia="IRNazanin" w:cs="IRNazanin"/>
          <w:color w:val="111111"/>
          <w:sz w:val="28"/>
          <w:szCs w:val="28"/>
          <w:rtl w:val="true"/>
          <w:lang w:bidi="fa-IR"/>
        </w:rPr>
        <w:t xml:space="preserve">. </w:t>
      </w:r>
      <w:bookmarkStart w:id="309" w:name="pg5678_50447"/>
    </w:p>
    <w:p>
      <w:pPr>
        <w:pStyle w:val="Heading2"/>
        <w:numPr>
          <w:ilvl w:val="1"/>
          <w:numId w:val="1"/>
        </w:numPr>
        <w:rPr/>
      </w:pPr>
      <w:bookmarkStart w:id="310" w:name="__RefHeading___Toc3561967_581953129"/>
      <w:bookmarkStart w:id="311" w:name="_Toc115"/>
      <w:bookmarkEnd w:id="309"/>
      <w:bookmarkEnd w:id="310"/>
      <w:r>
        <w:rPr>
          <w:rtl w:val="true"/>
        </w:rPr>
        <w:t>نگاهی تطبیقی به نفس‌شناسی ارسطو و ابن سینا</w:t>
      </w:r>
      <w:bookmarkEnd w:id="311"/>
    </w:p>
    <w:p>
      <w:pPr>
        <w:pStyle w:val="Heading3"/>
        <w:numPr>
          <w:ilvl w:val="2"/>
          <w:numId w:val="1"/>
        </w:numPr>
        <w:rPr/>
      </w:pPr>
      <w:bookmarkStart w:id="312" w:name="__RefHeading___Toc3561969_581953129"/>
      <w:bookmarkStart w:id="313" w:name="_Toc116"/>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محمداسحاق عارفی</w:t>
      </w:r>
    </w:p>
    <w:p>
      <w:pPr>
        <w:pStyle w:val="Heading3"/>
        <w:numPr>
          <w:ilvl w:val="2"/>
          <w:numId w:val="1"/>
        </w:numPr>
        <w:rPr/>
      </w:pPr>
      <w:bookmarkStart w:id="314" w:name="__RefHeading___Toc3561971_581953129"/>
      <w:bookmarkStart w:id="315" w:name="_Toc117"/>
      <w:bookmarkEnd w:id="314"/>
      <w:r>
        <w:rPr>
          <w:rtl w:val="true"/>
        </w:rPr>
        <w:t>مقدّمه</w:t>
      </w:r>
      <w:bookmarkEnd w:id="315"/>
    </w:p>
    <w:p>
      <w:pPr>
        <w:pStyle w:val="BookText"/>
        <w:rPr/>
      </w:pPr>
      <w:r>
        <w:rPr>
          <w:rFonts w:ascii="IRNazanin" w:hAnsi="IRNazanin" w:eastAsia="IRNazanin"/>
          <w:color w:val="111111"/>
          <w:sz w:val="28"/>
          <w:sz w:val="28"/>
          <w:szCs w:val="28"/>
          <w:rtl w:val="true"/>
          <w:lang w:bidi="fa-IR"/>
        </w:rPr>
        <w:t>طرح بحث نفس در باب معرفت‌شناسی بدین جهت است که بحث نفس ارتباط نزدیک با معرفت‌شناسی دارد و حتی می‌توان آن را از مسائل مشترک معرفت‌شناسی دانست؛ زیرا در این بحث، نفس به عنوان مجمع و محل ارتباطات قوا مورد تحقیق قرار می‌گیرد و در نتیجه، هر یک از قوای ادراکی و جایگاه آنها و کیفیت کارکرد و ادراک آنها و همچنین ماهیت ادراک عقلی، خیالی و حسّی و مکانیسم حصول آنها در بحث مذکور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نفس از دیرباز مورد توجّه حکما و اندیشمندان بوده و بر اهمیّت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از صاحب‌نظران این عرصه، در باب اهمیّت آن چنین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دانشی به چشم ما زیبا و ستودنی است، با این همه، دانشی را بر دانش دیگر رجحان می‌نهیم، یا از آن رو که دقیق است، یا از آن رو که موضوع بحث آن، عالی‌تر و در خور ستایش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سبب شایسته است که مطالعة نفس را در مقام اوّل جای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گویی بتوان از معرفت نفس در مطالعة تمام وجوه حقیقت، خاصّه در علم طبیعت، مددی شایان گرفت</w:t>
      </w:r>
      <w:r>
        <w:rPr>
          <w:rFonts w:eastAsia="IRNazanin" w:cs="IRNazanin"/>
          <w:color w:val="111111"/>
          <w:sz w:val="28"/>
          <w:szCs w:val="28"/>
          <w:rtl w:val="true"/>
          <w:lang w:bidi="fa-IR"/>
        </w:rPr>
        <w:t>.</w:t>
      </w:r>
      <w:r>
        <w:rPr>
          <w:rStyle w:val="FootnoteAnchor"/>
          <w:rtl w:val="true"/>
        </w:rPr>
        <w:footnoteReference w:id="492"/>
      </w:r>
      <w:bookmarkStart w:id="316" w:name="pg5678_50448"/>
    </w:p>
    <w:p>
      <w:pPr>
        <w:pStyle w:val="BookText"/>
        <w:rPr/>
      </w:pPr>
      <w:bookmarkEnd w:id="316"/>
      <w:r>
        <w:rPr>
          <w:rFonts w:ascii="IRNazanin" w:hAnsi="IRNazanin" w:eastAsia="IRNazanin"/>
          <w:color w:val="111111"/>
          <w:sz w:val="28"/>
          <w:sz w:val="28"/>
          <w:szCs w:val="28"/>
          <w:rtl w:val="true"/>
          <w:lang w:bidi="fa-IR"/>
        </w:rPr>
        <w:t>شیخ الرئیس از حکمای بزرگ جهان اسلام و متفکّران کم نظیری است که در بیشتر مکتوبات خود به بررسی این مسئله پرداخته و سخنان نابی را در این باب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اهمیّت شناخت نفس با اشاره به سخن مشهور 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نفس نردبان ترّقی و صعود است برای شناخت خداوند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با توجّه به اهمیّت مسئلة نفس و تأثیر فراوان معلم اوّل و شیخ الرئیس بر این مسئله، بر آنیم تا این بحث را از دیدگاه آن دو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نظر به گستردگی بحث و جزئیات نفس‌شناسی از دیدگاه این دو فیلسوف بزرگ، تنها به مهم‌ترین وجوه افتراق دیدگاه این دو می‌پردازیم</w:t>
      </w:r>
      <w:r>
        <w:rPr>
          <w:rFonts w:eastAsia="IRNazanin" w:cs="IRNazanin"/>
          <w:color w:val="111111"/>
          <w:sz w:val="28"/>
          <w:szCs w:val="28"/>
          <w:rtl w:val="true"/>
          <w:lang w:bidi="fa-IR"/>
        </w:rPr>
        <w:t>:</w:t>
      </w:r>
    </w:p>
    <w:p>
      <w:pPr>
        <w:pStyle w:val="Heading3"/>
        <w:numPr>
          <w:ilvl w:val="2"/>
          <w:numId w:val="1"/>
        </w:numPr>
        <w:rPr/>
      </w:pPr>
      <w:bookmarkStart w:id="317" w:name="__RefHeading___Toc3561973_581953129"/>
      <w:bookmarkStart w:id="318" w:name="_Toc118"/>
      <w:bookmarkEnd w:id="317"/>
      <w:r>
        <w:rPr/>
        <w:t>1</w:t>
      </w:r>
      <w:r>
        <w:rPr>
          <w:rtl w:val="true"/>
        </w:rPr>
        <w:t xml:space="preserve">. </w:t>
      </w:r>
      <w:r>
        <w:rPr>
          <w:rtl w:val="true"/>
        </w:rPr>
        <w:t>تعریف نفس از دیدگاه ارسطو و ابن سینا</w:t>
      </w:r>
      <w:bookmarkEnd w:id="318"/>
    </w:p>
    <w:p>
      <w:pPr>
        <w:pStyle w:val="Heading4"/>
        <w:numPr>
          <w:ilvl w:val="3"/>
          <w:numId w:val="1"/>
        </w:numPr>
        <w:rPr/>
      </w:pPr>
      <w:bookmarkStart w:id="319" w:name="__RefHeading___Toc3561975_581953129"/>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از موارد اختلاف نظر ارسطو و ابن سینا در مسئلة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هرچند ظاهر تعریف ابن سینا چنین است که وی، تعریف ارسطو را پذیرفته است، اما حقیقت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مطلب، نخست به اقسام نفس اشاره می‌کنیم، سپس تعریف آن را از دیدگاه آن دو و اختلاف تعریف هر یک از دیگری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یک تقسیم،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فلکی و نفس 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ارضی، خود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نباتی، نفس حیوانی و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مطمح نظر در این نوشتار، نفوس ارضی و به طور خاص،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اشاره به این اقسام، تعریف نفس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ابتدا این پرسش را مطرح می‌کند که آیا نفس، تعریف واحدی دارد یا هر نوع آن، تعریف خاصّ خود را دارد؟</w:t>
      </w:r>
      <w:r>
        <w:rPr>
          <w:rStyle w:val="FootnoteAnchor"/>
          <w:rtl w:val="true"/>
        </w:rPr>
        <w:footnoteReference w:id="495"/>
      </w:r>
      <w:r>
        <w:rPr>
          <w:rFonts w:ascii="IRNazanin" w:hAnsi="IRNazanin" w:eastAsia="IRNazanin"/>
          <w:color w:val="111111"/>
          <w:sz w:val="28"/>
          <w:sz w:val="28"/>
          <w:szCs w:val="28"/>
          <w:rtl w:val="true"/>
          <w:lang w:bidi="fa-IR"/>
        </w:rPr>
        <w:t>وی در پاسخ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نفوس، نه آن اندازه شبیه هم‌اند که تعریف واحدی از نفس، تصوّر روشنی از </w:t>
      </w:r>
    </w:p>
    <w:p>
      <w:pPr>
        <w:pStyle w:val="BookText"/>
        <w:rPr/>
      </w:pPr>
      <w:r>
        <w:rPr>
          <w:rFonts w:ascii="IRNazanin" w:hAnsi="IRNazanin" w:eastAsia="IRNazanin"/>
          <w:color w:val="111111"/>
          <w:sz w:val="28"/>
          <w:sz w:val="28"/>
          <w:szCs w:val="28"/>
          <w:rtl w:val="true"/>
          <w:lang w:bidi="fa-IR"/>
        </w:rPr>
        <w:t>تمام انواع آن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اندازه متفاوت‌اند که نتوانیم طبیعت مشترکی در همة انواع آن باز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نفس، سلسله‌ای را تشکیل می‌دهند که نظم معینی دارد، به نحوی که در آن، هر نوع نفس همة نفوس مقدّم را پیش فرض دارد، بی‌آنکه آن نفوس مقدّم، مستلزم این نفس لاحق باشند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او سرانجام طبیعت مشترک نفوس ارضی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کمال اوّل است برای جسم طبیعی آلی که دارای حیاتِ بالقوّه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ابن سینا نیز نفس را کمال اوّل دانسته و آن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کمال اوّل برای جسم طبیعی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تعریف یادشده، تعریفی جامع برای دو دسته از نفوس ارضی و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ذی حیای بالقوّی</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له أن یفعل الحیای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ضمیمه شود، تعریف به نفوس ارضی اختصاص می‌یابد و نفوس سماوی از آن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مزبور، نفوس ارضی را چنین می‌توان تعریف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کمال أوّل لجسم طبیعیّ آلیّ ذی حیای بالقوّی</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تعریف یادشده، به توضیح واژه‌ها و قیود 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و 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اوّل، کمالی است که نوعیّت نوع به آن بستگی دارد؛ به گونه‌ای که در صورت نبود آن، نوع مورد نظر منتفی می‌شود، اما کمالاتی که پس از قوام یافتن نوع حاصل می‌شود، کمال ثانی خواهد بود؛ برای نمونه، صورت جسمیه برای جسم کمال اوّل است، صورت نباتیه برای نبات و </w:t>
      </w:r>
    </w:p>
    <w:p>
      <w:pPr>
        <w:pStyle w:val="BookText"/>
        <w:rPr/>
      </w:pPr>
      <w:r>
        <w:rPr>
          <w:rFonts w:ascii="IRNazanin" w:hAnsi="IRNazanin" w:eastAsia="IRNazanin"/>
          <w:color w:val="111111"/>
          <w:sz w:val="28"/>
          <w:sz w:val="28"/>
          <w:szCs w:val="28"/>
          <w:rtl w:val="true"/>
          <w:lang w:bidi="fa-IR"/>
        </w:rPr>
        <w:t>صورت حیوانیه برای حیوان؛ زیرا قوام هر یک از جسم، نبات و حیوان، به صورتهای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نظیر تغذیه، نمو، تولید و افعال ارادی، کمالات ثانی نسبت به نبات و حیوان به شمار می‌رود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مثالی و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از جسم طبیعی، جسمی است که در برابر جسم صناعی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ماهیت واحد ندارد و از طبیعتی که وحدت‌بخش اجزای آن است، محروم باشد، جسم صناعی گویند؛ مانند صندلی و میز که به وسیله نجّار، صورت و شکلی خاص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جسمی که دارای یک ماهیت نوعی و یک صورت طبیعی است، جسم طبیعی گویند؛ مانند انواع گیاهان و حیوانات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باید توجّه داشت که نفس، کمال اوّل برای جسمی طبیعی است، اما نه هر جسم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آتش، زمین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برای جسمی طبیعی که کمالات ثانویه با واسطة آلات و قوا از آن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رشد، احساس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برای جسمی طبیعی که کمالات ثانویه بدون واسطه از آن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حرارتی که از آتش حاصل می‌شود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یادآوری می‌شود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حیای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اخراج نفوس فلکی از تعریف مذکور است و این قید، مانع اغیار است؛ زیرا افعال در نفوس فلکی، بالقوّه نیست، بلکه دائماً از نفوس فلکی در حال صدور است، به خلاف نفوس ارضی که هر فعل حیاتیِ مفروض در آنها بالقوه است؛ مثلاً حیوان دائماً در حال تولید مثل،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مزبور، تعریف هر یک از نفوس ارضی بدین‌گونه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نباتی، کمال اوّل برای جسم طبیعی آلی است از جهت تولید مثل، تغذیه و نمو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حیوانی، کمال اوّل برای جسم طبیعی آلی است از جهت ادراک جزئیات و حرکت ارادی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کمال اوّل برای جسم طبیعی آلی است از آن جهت که با اختیار فکری به فعل می‌پردازد و دارای استنباط رأی و مدرک کلّیات است</w:t>
      </w:r>
      <w:r>
        <w:rPr>
          <w:rFonts w:eastAsia="IRNazanin" w:cs="IRNazanin"/>
          <w:color w:val="111111"/>
          <w:sz w:val="28"/>
          <w:szCs w:val="28"/>
          <w:rtl w:val="true"/>
          <w:lang w:bidi="fa-IR"/>
        </w:rPr>
        <w:t>.</w:t>
      </w:r>
      <w:r>
        <w:rPr>
          <w:rStyle w:val="FootnoteAnchor"/>
          <w:rtl w:val="true"/>
        </w:rPr>
        <w:footnoteReference w:id="505"/>
      </w:r>
      <w:bookmarkStart w:id="321" w:name="pg5678_50451"/>
    </w:p>
    <w:p>
      <w:pPr>
        <w:pStyle w:val="Heading4"/>
        <w:numPr>
          <w:ilvl w:val="3"/>
          <w:numId w:val="1"/>
        </w:numPr>
        <w:rPr/>
      </w:pPr>
      <w:bookmarkStart w:id="322" w:name="__RefHeading___Toc3561977_581953129"/>
      <w:bookmarkStart w:id="323" w:name="_Toc120"/>
      <w:bookmarkEnd w:id="321"/>
      <w:bookmarkEnd w:id="322"/>
      <w:r>
        <w:rPr>
          <w:rtl w:val="true"/>
        </w:rPr>
        <w:t>فرق تعریف ارسطو و ابن سینا</w:t>
      </w:r>
      <w:bookmarkEnd w:id="323"/>
    </w:p>
    <w:p>
      <w:pPr>
        <w:pStyle w:val="BookText"/>
        <w:rPr/>
      </w:pPr>
      <w:r>
        <w:rPr>
          <w:rFonts w:ascii="IRNazanin" w:hAnsi="IRNazanin" w:eastAsia="IRNazanin"/>
          <w:color w:val="111111"/>
          <w:sz w:val="28"/>
          <w:sz w:val="28"/>
          <w:szCs w:val="28"/>
          <w:rtl w:val="true"/>
          <w:lang w:bidi="fa-IR"/>
        </w:rPr>
        <w:t xml:space="preserve">از تعریفی که گذشت، چنین برمی‌آید که شیخ الرئیس، نظریة ارسطو را پذیرفته است؛ زیرا تعریف معلّم اوّل را بدون هیچ تغییری در آن نقل می‌کند، اما حقیقت امر غیر از این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ارسطو مساوی با صورت است؛ در نتیجه، نفسْ صورت بدن خواهد بود و تحقّق آن بدون بدن امکان‌پذیر نیست، چون وجود صورت مادّی بدون مادّه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دو جا به این امر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بالضروره، جوهر است، بدین معنا که صورت برای جسمی طبیعی آلی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نفس جوهری است به معنای صورت؛ یعنی ماهیّتِ جسمی است که دارای کیفیّت معیّنی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شیخ الرئیس، نفس را کمال جسم می‌داند، ولی آن را صورت جسم به شمار نمی‌آورد مگر آنکه صورت را تسامحاً به معنای کمال اصطلاحی بدانیم، بلکه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است که با آن، معنای مبهم و نامعیّنی که هیچ‌گونه تخصّص و تعیّنی ندارد، محصَّل و معیّن می‌گردد؛ به سخن دیگر، مراد از جسم در تعریف مزبور، جسم به معنای جنسیِ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جنس با واسطة آن تحصّل می‌یابد و به نوع معیّنی درمی‌آید، نه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صورتی است که به مادّه ضمیمه می‌شود؛ زیرا صورت، همواره در مادّه منطبع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مادّی یا مفارق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مطلب مزبور، می‌توان گفت که تعریف نفس به کمال از تعریف آن به صورت بهتر است؛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همة انواع نفوس را از جمله نفس انسانی که در مادّه منطبع نیست، شامل می‌گردد، اما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ابهام انطباع همة نفوس در جسم وجود دارد؛ بدین ترتیب، جنس اعم از مادّه، و کمال اعم از صورت است؛ یعنی هر صورتی ممکن است کمال باشد، بدون آنکه هر کمالی، صورت باشد، همان‌گونه که ناخدای کشتی و پادشاه نسبت به کشتی و مملکت کمال‌اند، بدون آنکه آن دو، صورت برای کشتی و مملکت باشند</w:t>
      </w:r>
      <w:r>
        <w:rPr>
          <w:rFonts w:eastAsia="IRNazanin" w:cs="IRNazanin"/>
          <w:color w:val="111111"/>
          <w:sz w:val="28"/>
          <w:szCs w:val="28"/>
          <w:rtl w:val="true"/>
          <w:lang w:bidi="fa-IR"/>
        </w:rPr>
        <w:t>.</w:t>
      </w:r>
      <w:r>
        <w:rPr>
          <w:rStyle w:val="FootnoteAnchor"/>
          <w:rtl w:val="true"/>
        </w:rPr>
        <w:footnoteReference w:id="508"/>
      </w:r>
      <w:bookmarkStart w:id="324" w:name="pg5678_50452"/>
    </w:p>
    <w:p>
      <w:pPr>
        <w:pStyle w:val="Heading3"/>
        <w:numPr>
          <w:ilvl w:val="2"/>
          <w:numId w:val="1"/>
        </w:numPr>
        <w:rPr/>
      </w:pPr>
      <w:bookmarkStart w:id="325" w:name="__RefHeading___Toc3561979_581953129"/>
      <w:bookmarkStart w:id="326" w:name="_Toc121"/>
      <w:bookmarkEnd w:id="324"/>
      <w:bookmarkEnd w:id="325"/>
      <w:r>
        <w:rPr/>
        <w:t>2</w:t>
      </w:r>
      <w:r>
        <w:rPr>
          <w:rtl w:val="true"/>
        </w:rPr>
        <w:t xml:space="preserve">. </w:t>
      </w:r>
      <w:r>
        <w:rPr>
          <w:rtl w:val="true"/>
        </w:rPr>
        <w:t>تعریف ذات نفس یا تعریف نفس از حیث تعلّق به بدن</w:t>
      </w:r>
      <w:bookmarkEnd w:id="326"/>
    </w:p>
    <w:p>
      <w:pPr>
        <w:pStyle w:val="BookText"/>
        <w:rPr/>
      </w:pPr>
      <w:r>
        <w:rPr>
          <w:rFonts w:ascii="IRNazanin" w:hAnsi="IRNazanin" w:eastAsia="IRNazanin"/>
          <w:color w:val="111111"/>
          <w:sz w:val="28"/>
          <w:sz w:val="28"/>
          <w:szCs w:val="28"/>
          <w:rtl w:val="true"/>
          <w:lang w:bidi="fa-IR"/>
        </w:rPr>
        <w:t>از سخنان ارسطو چنین استفاده می‌شود که وی، تعریف یادشده برای نفس را تعریف ذات و حقیقت نفس می‌داند؛ یعنی حقیقت و ماهیّت نفس، صورتی است که در بدن و مادّه تحقّق می‌یابد و به آن فعلیت می‌دهد و نوع خاصّی از انواع جسم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جوهری است به معنای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بنابراین، طبق این بیان، حقیقت و ماهیّت نفس از تعریف یادشده به دست می‌آید و آشکار می‌گردد که از مقولة جوهر است؛ یعنی قسم دوم از اقسام پنج‌گانة جوهر را تشکیل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ابن سینا معتقد است تعریف یادشده از نفس، بیانگر ماهیّت آن نیست، بلکه تنها تعریف آن است از حیث اضافه و تعلّق آن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زمانی که نفس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می‌کنیم، در واقع، می‌خواهیم حیثیّت اضافی که همان حیثیت تدبیر آن نسبت به جسم است، بشناسیم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همان وجود اضافی است و در حاق مفهوم آن، حیثیت تعلّق به جسم و تدبیر بدن ملحوظ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تعریف نفس، از مفهوم جسم یا بدن استفاده می‌شود؛ زیرا متعلّق اضافه در حقیقتِ اضافه، دخیل است و هر اضافه‌ای به طرفین خود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روشن‌تر شدن بحث می‌توان از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بنّا را بما هو بنّا تعریف کنیم، لزوماً باید مفهوم بِنا و ساختمان را در تعریف آن اخذ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کسی است که بنا و ساختمان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علّت است که بنّا یک مفهوم اضافی است و برای شناسایی آن، ذکر متعلّق اضافة مزبور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بنّا را از حیث حقیقت و ذات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کنیم، دیگر به استفاده از بِنا و ساختمان نیاز نداریم، بلکه أخذ بِنا در حقیقت او امکان‌پذیر نیست؛ زیرا حقیقت او، حیوان ناطق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مدّعا این است که اگرتعریف مذکور بیانگر ماهیّت و حقیقت نفس باشد، باید در تعیین مقولة نفس و جوهر یا عرض بودن آن، هیچ مشکلی نباشد؛ زیرا در فرض </w:t>
      </w:r>
      <w:bookmarkStart w:id="327" w:name="pg5678_50453"/>
    </w:p>
    <w:p>
      <w:pPr>
        <w:pStyle w:val="BookText"/>
        <w:rPr/>
      </w:pPr>
      <w:bookmarkEnd w:id="327"/>
      <w:r>
        <w:rPr>
          <w:rFonts w:ascii="IRNazanin" w:hAnsi="IRNazanin" w:eastAsia="IRNazanin"/>
          <w:color w:val="111111"/>
          <w:sz w:val="28"/>
          <w:sz w:val="28"/>
          <w:szCs w:val="28"/>
          <w:rtl w:val="true"/>
          <w:lang w:bidi="fa-IR"/>
        </w:rPr>
        <w:t xml:space="preserve">شناسایی حقیقت و ماهیّت یک شیء، شناسایی جنس آن به سهولت انجام می‌پذیرد؛ چرا که ثبوت جنس برای ماهیّت نوعیه، بیّن و آشکار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نفس، نه مقتضی جوهر بودن آن است و نه مقتضی عرض بودن؛ زیرا برخی از کمالات اوّل، جوهر است و برخی دیگر، اعراض؛</w:t>
      </w:r>
      <w:r>
        <w:rPr>
          <w:rStyle w:val="FootnoteAnchor"/>
          <w:rtl w:val="true"/>
        </w:rPr>
        <w:footnoteReference w:id="510"/>
      </w:r>
      <w:r>
        <w:rPr>
          <w:rFonts w:ascii="IRNazanin" w:hAnsi="IRNazanin" w:eastAsia="IRNazanin"/>
          <w:color w:val="111111"/>
          <w:sz w:val="28"/>
          <w:sz w:val="28"/>
          <w:szCs w:val="28"/>
          <w:rtl w:val="true"/>
          <w:lang w:bidi="fa-IR"/>
        </w:rPr>
        <w:t xml:space="preserve">مثلاً سواد نسبت به اسود، کمال اوّل است و حال آنکه سواد، تحت مقولة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بنابراین، اثبات و تعیین ماهیّت نفس، دلیل مستقل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مطلبی که شیخ الرئیس آن را شاهد و دلیل سخن خود بیان کرده است، قابل تأمل است؛ زیرا اگر نفس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تعریف می‌شد، تعیین و تشخیص مقولة آن از تعریف مزبور به دست نمی‌آمد؛ چون کمال اوّل اعم از جوهر یا عرض است، ولی نفس در تعریف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نه هر کمال اوّل، و کمال اوّل جسم طبیعی، باید جوهر باشد، نه چیز دیگر؛ زیرا مراد از جسم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ابن سینا تصریح می‌کند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معنای جنس و لا به شرط و مبهم است که به وسیلة نفس، معیّن و محصَّل گردیده، منشأ آثار مختلف می‌شود و محصِل و مقوِّم جسم طبیعی، ضرورتاً جوهر است، نه چیزی دیگر؛ چرا که تقوّم جوهر به عرض، امکان‌پذیر نیست</w:t>
      </w:r>
      <w:r>
        <w:rPr>
          <w:rFonts w:eastAsia="IRNazanin" w:cs="IRNazanin"/>
          <w:color w:val="111111"/>
          <w:sz w:val="28"/>
          <w:szCs w:val="28"/>
          <w:rtl w:val="true"/>
          <w:lang w:bidi="fa-IR"/>
        </w:rPr>
        <w:t>.</w:t>
      </w:r>
    </w:p>
    <w:p>
      <w:pPr>
        <w:pStyle w:val="Heading3"/>
        <w:numPr>
          <w:ilvl w:val="2"/>
          <w:numId w:val="1"/>
        </w:numPr>
        <w:rPr/>
      </w:pPr>
      <w:bookmarkStart w:id="328" w:name="__RefHeading___Toc3561981_581953129"/>
      <w:bookmarkStart w:id="329" w:name="_Toc122"/>
      <w:bookmarkEnd w:id="328"/>
      <w:r>
        <w:rPr/>
        <w:t>3</w:t>
      </w:r>
      <w:r>
        <w:rPr>
          <w:rtl w:val="true"/>
        </w:rPr>
        <w:t xml:space="preserve">. </w:t>
      </w:r>
      <w:r>
        <w:rPr>
          <w:rtl w:val="true"/>
        </w:rPr>
        <w:t>تعیین نوع جوهر نسبت به نفس</w:t>
      </w:r>
      <w:bookmarkEnd w:id="329"/>
    </w:p>
    <w:p>
      <w:pPr>
        <w:pStyle w:val="BookText"/>
        <w:rPr/>
      </w:pPr>
      <w:r>
        <w:rPr>
          <w:rFonts w:ascii="IRNazanin" w:hAnsi="IRNazanin" w:eastAsia="IRNazanin"/>
          <w:color w:val="111111"/>
          <w:sz w:val="28"/>
          <w:sz w:val="28"/>
          <w:szCs w:val="28"/>
          <w:rtl w:val="true"/>
          <w:lang w:bidi="fa-IR"/>
        </w:rPr>
        <w:t>ارسطو و ابن سینا، هر دو، معتقدند نفس از مقولة جوهر است، ولی در نوع جوهر آن اختلاف دارند؛ بدین‌گونه که ارسطو آن را از نوع دوم و ابن سینا آن را از نوع چهارم می‌داند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ثابت شده است که جوهر، جنس الاجناس است و پنج نوع دارد؛ زیرا هر جوهری، یا جسم است یا 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 غیر جسم باشد، یا جزء جسم یا مفارق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جسم باشد، یا صورتِ آن است یا مادّة آن، و اگر مفارق از جسم باشد، یا اجسام را تحریک می‌کند و در آنها تصرّف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نخست را </w:t>
      </w:r>
      <w:bookmarkStart w:id="330" w:name="pg5678_50454"/>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512"/>
      </w:r>
      <w:r>
        <w:rPr>
          <w:rFonts w:ascii="IRNazanin" w:hAnsi="IRNazanin" w:eastAsia="IRNazanin"/>
          <w:color w:val="111111"/>
          <w:sz w:val="28"/>
          <w:sz w:val="28"/>
          <w:szCs w:val="28"/>
          <w:rtl w:val="true"/>
          <w:lang w:bidi="fa-IR"/>
        </w:rPr>
        <w:t>بنابراین، طبق این تقسیم، جوهر دارای این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صورت جسم، مادّة جسم، نفس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می‌شود که ارسطو، نفس را صورت بدن و از نوع دوم جوهر به شمار می‌آورد،</w:t>
      </w:r>
      <w:r>
        <w:rPr>
          <w:rStyle w:val="FootnoteAnchor"/>
          <w:rtl w:val="true"/>
        </w:rPr>
        <w:footnoteReference w:id="513"/>
      </w:r>
      <w:r>
        <w:rPr>
          <w:rFonts w:ascii="IRNazanin" w:hAnsi="IRNazanin" w:eastAsia="IRNazanin"/>
          <w:color w:val="111111"/>
          <w:sz w:val="28"/>
          <w:sz w:val="28"/>
          <w:szCs w:val="28"/>
          <w:rtl w:val="true"/>
          <w:lang w:bidi="fa-IR"/>
        </w:rPr>
        <w:t>اما ابن سینا آن را یک امر مفارق و از نوع چهارم جوهر می‌داند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331" w:name="__RefHeading___Toc3561983_581953129"/>
      <w:bookmarkStart w:id="332" w:name="_Toc123"/>
      <w:bookmarkEnd w:id="331"/>
      <w:r>
        <w:rPr/>
        <w:t>4</w:t>
      </w:r>
      <w:r>
        <w:rPr>
          <w:rtl w:val="true"/>
        </w:rPr>
        <w:t xml:space="preserve">. </w:t>
      </w:r>
      <w:r>
        <w:rPr>
          <w:rtl w:val="true"/>
        </w:rPr>
        <w:t>رابطة نفس و بدن</w:t>
      </w:r>
      <w:bookmarkEnd w:id="332"/>
    </w:p>
    <w:p>
      <w:pPr>
        <w:pStyle w:val="Heading4"/>
        <w:numPr>
          <w:ilvl w:val="3"/>
          <w:numId w:val="1"/>
        </w:numPr>
        <w:rPr/>
      </w:pPr>
      <w:bookmarkStart w:id="333" w:name="__RefHeading___Toc3561985_581953129"/>
      <w:bookmarkStart w:id="334" w:name="_Toc12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ارتباط بین نفس و بدن در طول حیاتِ توأم و مشترک و تأثیر آن دو بر یکدیگر، واقعیتی است که هر انسانی آن را در زندگی خویش تجربه می‌کند؛ زیرا هر ضربه‌ای که بر بدن وارد می‌شود، نفس آدمی را مستقیماً متأثر می‌سازد و باعث احساس درد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درهر عضوی از اعضای بدن، اختلال در امور نفسانی همان عضو 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تحوّلات نفسانی نیز در بدن و ارگانیسم انسانی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هیجانهای مثبت یا منفی انسان، در رشد و سلامت یا بیماری بدن نقش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تأثیر متقابل، پرسشهای فلسفی متعدّدی را پیش می‌آورد و سؤالهایی جدّی را مطرح می‌کند که پیوند نفس و بدن و ارتباط متقابل بین آن دو، چگونه ممکن است، با اینکه نفس انسانی، جوهری مجرّد و غیر مادّی و بدن، واقعیتی صرفاً مادّی است؟ چگونه ممکن است بین دو جوهر متباین، ارتباط محکم برقرار شود؟ پرسش جدّی‌تر این است که ما وحدت خود را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وجداناً درمی‌یابیم که ذات و حقیقت ما یکی است، نه امور کثیر، با این حال، چگونه ممکن است بین جوهر مادّی و غیر مادّی، چنین وحدتی ایجاد شود؟ آیا تحقّق اتّحاد حقیقی بین امر مجرّد و مادّی، معقول و فهمیدنی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این ارتباط و حلّ این مشکل، کیفیت ارتباط نفس و بدن بعد از حدوث و در طول حیات مشترک طبق مبانی این دو فیلسوف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و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 تا روشن شود که این مشکل با مبانی و دیدگاههای آنان حل‌شدنی است یا نه</w:t>
      </w:r>
      <w:r>
        <w:rPr>
          <w:rFonts w:eastAsia="IRNazanin" w:cs="IRNazanin"/>
          <w:color w:val="111111"/>
          <w:sz w:val="28"/>
          <w:szCs w:val="28"/>
          <w:rtl w:val="true"/>
          <w:lang w:bidi="fa-IR"/>
        </w:rPr>
        <w:t xml:space="preserve">. </w:t>
      </w:r>
      <w:bookmarkStart w:id="335" w:name="pg5678_50455"/>
    </w:p>
    <w:p>
      <w:pPr>
        <w:pStyle w:val="Heading4"/>
        <w:numPr>
          <w:ilvl w:val="3"/>
          <w:numId w:val="1"/>
        </w:numPr>
        <w:rPr/>
      </w:pPr>
      <w:bookmarkStart w:id="336" w:name="__RefHeading___Toc3561987_581953129"/>
      <w:bookmarkStart w:id="337" w:name="_Toc125"/>
      <w:bookmarkEnd w:id="335"/>
      <w:bookmarkEnd w:id="336"/>
      <w:r>
        <w:rPr>
          <w:rtl w:val="true"/>
        </w:rPr>
        <w:t>الف</w:t>
      </w:r>
      <w:r>
        <w:rPr>
          <w:rtl w:val="true"/>
        </w:rPr>
        <w:t xml:space="preserve">) </w:t>
      </w:r>
      <w:r>
        <w:rPr>
          <w:rtl w:val="true"/>
        </w:rPr>
        <w:t>دیدگاه ارسطو دربارة رابطة نفس و بدن</w:t>
      </w:r>
      <w:bookmarkEnd w:id="337"/>
    </w:p>
    <w:p>
      <w:pPr>
        <w:pStyle w:val="BookText"/>
        <w:rPr/>
      </w:pPr>
      <w:r>
        <w:rPr>
          <w:rFonts w:ascii="IRNazanin" w:hAnsi="IRNazanin" w:eastAsia="IRNazanin"/>
          <w:color w:val="111111"/>
          <w:sz w:val="28"/>
          <w:sz w:val="28"/>
          <w:szCs w:val="28"/>
          <w:rtl w:val="true"/>
          <w:lang w:bidi="fa-IR"/>
        </w:rPr>
        <w:t>ارسطو معتقد است رابطة نفس و بدن را نمی‌توان سطحی و عرضی انگاشته، از نوع رابطة ملاح با کشتی یا مرغ با آشیانه دانست،</w:t>
      </w:r>
      <w:r>
        <w:rPr>
          <w:rStyle w:val="FootnoteAnchor"/>
          <w:rtl w:val="true"/>
        </w:rPr>
        <w:footnoteReference w:id="515"/>
      </w:r>
      <w:r>
        <w:rPr>
          <w:rFonts w:ascii="IRNazanin" w:hAnsi="IRNazanin" w:eastAsia="IRNazanin"/>
          <w:color w:val="111111"/>
          <w:sz w:val="28"/>
          <w:sz w:val="28"/>
          <w:szCs w:val="28"/>
          <w:rtl w:val="true"/>
          <w:lang w:bidi="fa-IR"/>
        </w:rPr>
        <w:t>بلکه رابطة این دو، عمیق‌تر و طبیعی‌تر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ارتباط یادشده از نوع ارتباط مادّه با صورت است؛ بدین معنا که بدن، مادّه و نفس، صورت آن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نفس مبدأ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آن با بدن، بدن دارای حیات می‌شود و آثار حیاتی خاصّی را نمودار می‌سازد؛</w:t>
      </w:r>
      <w:r>
        <w:rPr>
          <w:rStyle w:val="FootnoteAnchor"/>
          <w:rtl w:val="true"/>
        </w:rPr>
        <w:footnoteReference w:id="517"/>
      </w:r>
      <w:r>
        <w:rPr>
          <w:rFonts w:ascii="IRNazanin" w:hAnsi="IRNazanin" w:eastAsia="IRNazanin"/>
          <w:color w:val="111111"/>
          <w:sz w:val="28"/>
          <w:sz w:val="28"/>
          <w:szCs w:val="28"/>
          <w:rtl w:val="true"/>
          <w:lang w:bidi="fa-IR"/>
        </w:rPr>
        <w:t>بنابراین، ترکیب نفس و بدن از نوع ترکیب مادّه با صورت است که شیء واحد را تشکیل می‌دهند و به هیچ‌وجه جدایی بین آن دو امکان‌پذیر نیست؛ همان‌گونه که جدایی مادّه و صورت از یکدیگر ممکن نیست؛ از این رو، از نظر وی، بحث دربارة اینکه نفس و بدن چگونه با هم اتّحاد می‌یابند،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بگوییم که نفس، کمال اوّل برای جسم آلی است و نیز از همین روست که موردی برای بحث راجع به اینکه نفس و بدن یک چیز است، نمی‌ماند؛ چنان که این بحث را در مورد موم و نقشی که بر روی موم است و به طور کلّی، در مورد مادّة یک شیء معیّن و آنچه این مادّه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محلّی برای بحث از ارتباط نفس و بدن از نظر ارسطو وجود ندارد، بلکه این دو، در واقع، بیش از یک چیز نیستند که حدوثاً و بقائاً به یکدیگر وابسته بوده و هر یک از دیگری،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تمایز این دو، از نوع تمایز عقلی است؛ یعنی با استدلال عقلی و منطقی می‌توان اثبات کرد که نفس و بدن دو چیز است، اما در خارج یک چیز و به هیچ‌وجه این دو از هم تفکیک‌پذیر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می‌شود که از دیدگاه ارسطو،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برداشتها از کلام ارسطو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است و در این زمینه گفته‌اند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ارسطو از صورت و اینکه نفس، صورت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bookmarkStart w:id="338" w:name="pg5678_50456"/>
    </w:p>
    <w:p>
      <w:pPr>
        <w:pStyle w:val="BookText"/>
        <w:rPr/>
      </w:pPr>
      <w:bookmarkEnd w:id="338"/>
      <w:r>
        <w:rPr>
          <w:rFonts w:ascii="IRNazanin" w:hAnsi="IRNazanin" w:eastAsia="IRNazanin"/>
          <w:color w:val="111111"/>
          <w:sz w:val="28"/>
          <w:sz w:val="28"/>
          <w:szCs w:val="28"/>
          <w:rtl w:val="true"/>
          <w:lang w:bidi="fa-IR"/>
        </w:rPr>
        <w:t xml:space="preserve">برای فهم این کارکرد به مثالهایی تمسک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تبر بریدن است؛ پس به تبر مادّه می‌گوییم و بریدن را صورت آن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چه می‌کنیم؟ می‌بینیم؛ پس چشم، مادّة بینایی و دیدن، صورت آن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به نظر می‌رسد این برداشت از کلام ارسطو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او کمال را به دو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و کمال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منزلة کمال اوّل و به کار بردن آن را به کمال دوم در نظر می‌گیرد و نیز قوّة بینایی را نسبت به چشم، کمال اوّل و فعلیت دیدن را کمال دوم می‌داند و سپس نفس را مانند علم و قوّة بینایی که کمال اوّل است، معرفی می‌کند، نه به کار بردن علم و فعلیت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به دو معنا می‌آید؛ یا مثل علم یا مثل به کار بردن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پیداست که نفس، کمالی مانند علم است؛ زیرا که خواب نیز مانند بیداری، مستلزم وجود نفس است، منتها بیداری، چیزی مانند به کار بردن علم است و خواب، چیزی مانند داشتن علم، بی‌آنکه آن را به کار برند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از این سخن ارسطو، نتیجه می‌گیریم که نفس، کمال اوّل و به کارگیری آن، کمال ثانی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ثانیاً اگر مراد ارسطو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بریدن نسبت به تبر یا دیدن نسبت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از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کارکرد بدن جزء مقولات عرضی است؛ یعنی از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حالی که وی در موارد متعدّد تصریح می‌کند که نفس بالضروره، جوهر است؛</w:t>
      </w:r>
      <w:r>
        <w:rPr>
          <w:rStyle w:val="FootnoteAnchor"/>
          <w:rtl w:val="true"/>
        </w:rPr>
        <w:footnoteReference w:id="522"/>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صورت بودن نفس برای بدن، این است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9" w:name="__RefHeading___Toc3561989_581953129"/>
      <w:bookmarkStart w:id="340" w:name="_Toc126"/>
      <w:bookmarkEnd w:id="339"/>
      <w:r>
        <w:rPr>
          <w:rtl w:val="true"/>
        </w:rPr>
        <w:t>بررسی دیدگاه ارسطو دربارة رابطة نفس و بدن</w:t>
      </w:r>
      <w:bookmarkEnd w:id="3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ارسطو دربارة رابطة نفس و بدن، نکات تأمّل‌برانگیزی وجود دارد، در اینجا به برخی از آنها اشاره می‌شود</w:t>
      </w:r>
      <w:r>
        <w:rPr>
          <w:rFonts w:eastAsia="IRNazanin" w:cs="IRNazanin"/>
          <w:color w:val="111111"/>
          <w:sz w:val="28"/>
          <w:szCs w:val="28"/>
          <w:rtl w:val="true"/>
          <w:lang w:bidi="fa-IR"/>
        </w:rPr>
        <w:t xml:space="preserve">: </w:t>
      </w:r>
      <w:bookmarkStart w:id="341" w:name="pg5678_50457"/>
    </w:p>
    <w:p>
      <w:pPr>
        <w:pStyle w:val="BookText"/>
        <w:rPr/>
      </w:pPr>
      <w:bookmarkEnd w:id="3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مبنای ارسطو، پیوند نفس و بدن، یک پیوند طبیعی است و ترکیب اتّحادی بین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تأثیر متقابل نفس و بدن و وحدت آن دو که انسان آن را بالوجدان درک می‌کند، به صورت طبیعی توجیه‌پذیر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ارسطو روشن نیست که آیا در نظر وی، نفس انسانی به امر مادّی منحصر است یا اینکه او برای انسان به نفس غیر مادّی نیز باور دارد؟ وی منطقاً نباید برای انسان به نفس غیر مادّی معتقد باشد؛ زیرا او نفس را صورت بدن مادّی می‌داند و صورت مادّی باید مادّی باشد، نه امری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با آنچه فلاسفة اسلامی بر آن‌اند و با براهین عقلی قطعی که تجرّد نفس را با آن اثبات کرده‌اند،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طبق دیدگاه ارسطو، وقتی نفس به بدن تعلّق می‌گیرد، مواد تشکیل‌دهندة بدن و سلولهای زندة آن، هر کدام صورت و فعلیّت خاصّ خود را دارند و نفس به عنوان صورت فوقانی به آنها تعلّق می‌گیرد، یا آنچه در انسان زنده، فعلیّت دارد، تنها روح اوست و بدن وی، بالقوّه موجود است؟ امور یادشده برخی از نکات جالب توجّهی است که در کلام ارسطو وجود دارد</w:t>
      </w:r>
      <w:r>
        <w:rPr>
          <w:rFonts w:eastAsia="IRNazanin" w:cs="IRNazanin"/>
          <w:color w:val="111111"/>
          <w:sz w:val="28"/>
          <w:szCs w:val="28"/>
          <w:rtl w:val="true"/>
          <w:lang w:bidi="fa-IR"/>
        </w:rPr>
        <w:t>.</w:t>
      </w:r>
    </w:p>
    <w:p>
      <w:pPr>
        <w:pStyle w:val="Heading4"/>
        <w:numPr>
          <w:ilvl w:val="3"/>
          <w:numId w:val="1"/>
        </w:numPr>
        <w:rPr/>
      </w:pPr>
      <w:bookmarkStart w:id="342" w:name="__RefHeading___Toc3561991_581953129"/>
      <w:bookmarkStart w:id="343" w:name="_Toc127"/>
      <w:bookmarkEnd w:id="342"/>
      <w:r>
        <w:rPr>
          <w:rtl w:val="true"/>
        </w:rPr>
        <w:t>ب</w:t>
      </w:r>
      <w:r>
        <w:rPr>
          <w:rtl w:val="true"/>
        </w:rPr>
        <w:t xml:space="preserve">) </w:t>
      </w:r>
      <w:r>
        <w:rPr>
          <w:rtl w:val="true"/>
        </w:rPr>
        <w:t>دیدگاه ابن سینا دربارة رابطة نفس و بدن</w:t>
      </w:r>
      <w:bookmarkEnd w:id="343"/>
    </w:p>
    <w:p>
      <w:pPr>
        <w:pStyle w:val="BookText"/>
        <w:rPr/>
      </w:pPr>
      <w:r>
        <w:rPr>
          <w:rFonts w:ascii="IRNazanin" w:hAnsi="IRNazanin" w:eastAsia="IRNazanin"/>
          <w:color w:val="111111"/>
          <w:sz w:val="28"/>
          <w:sz w:val="28"/>
          <w:szCs w:val="28"/>
          <w:rtl w:val="true"/>
          <w:lang w:bidi="fa-IR"/>
        </w:rPr>
        <w:t>از نظر ابن سینا، رابطة نفس و بدن از نوع رابطة صورت با مادّه نیست، بلکه معتقد است نفس در حدوث و بقا مجرّد است و با بدن رابطة تدبیری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مزبور چنین است که مادّة بدنِ انسان هنگامی که مراحل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و مضغه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سپری می‌کند، سرانجام به مرحله‌ای می‌رسد که استعداد تام برای قبول صورتی</w:t>
      </w:r>
      <w:r>
        <w:rPr>
          <w:rStyle w:val="FootnoteAnchor"/>
          <w:rtl w:val="true"/>
        </w:rPr>
        <w:footnoteReference w:id="523"/>
      </w:r>
      <w:r>
        <w:rPr>
          <w:rFonts w:ascii="IRNazanin" w:hAnsi="IRNazanin" w:eastAsia="IRNazanin"/>
          <w:color w:val="111111"/>
          <w:sz w:val="28"/>
          <w:sz w:val="28"/>
          <w:szCs w:val="28"/>
          <w:rtl w:val="true"/>
          <w:lang w:bidi="fa-IR"/>
        </w:rPr>
        <w:t>که امور آن را تدبیر کند،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واهب‌الصور بخلی نیست، به آن، نفسِ مجرّد اعطا می‌شود؛ به تعبیری دیگر، هرگاه عناصر، کمال‌پذیرتر شود و مزاج آنها از جهت اعتدال به حدّ مطلوب برسد، از واهب‌الصور استعدادِ نفسِ شریف‌تری را دریافت خواهد کرد و نفس شریف‌تری که نفس مجرّد انسانی باشد، به آن اعطا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یادشده تدبیر بدن و تصرّف در آن را به عهده دارد و با این تصرّف، هم حافظ </w:t>
      </w:r>
      <w:bookmarkStart w:id="344" w:name="pg5678_50458"/>
    </w:p>
    <w:p>
      <w:pPr>
        <w:pStyle w:val="BookText"/>
        <w:rPr/>
      </w:pPr>
      <w:bookmarkEnd w:id="344"/>
      <w:r>
        <w:rPr>
          <w:rFonts w:ascii="IRNazanin" w:hAnsi="IRNazanin" w:eastAsia="IRNazanin"/>
          <w:color w:val="111111"/>
          <w:sz w:val="28"/>
          <w:sz w:val="28"/>
          <w:szCs w:val="28"/>
          <w:rtl w:val="true"/>
          <w:lang w:bidi="fa-IR"/>
        </w:rPr>
        <w:t>شخص آن بدنِ خاص است و هم با حفظ شخص، نوع بدن را نیز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نفس یادشده در اثر تصرّف در بدن استکمال می‌یابد؛ بنابراین، نفس در اصل وجود خود به بدن مادی نیاز ندارد، بلکه در رسیدن به کمالاتی که جز از راه تدبیر بدن و به کار بردن قوای بدنی دست‌یافتنی نیست، به بدن نیاز دارد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345" w:name="__RefHeading___Toc3561993_581953129"/>
      <w:bookmarkStart w:id="346" w:name="_Toc128"/>
      <w:bookmarkEnd w:id="345"/>
      <w:r>
        <w:rPr>
          <w:rtl w:val="true"/>
        </w:rPr>
        <w:t>بررسی دیدگاه ابن سینا دربارة رابطة نفس و بدن</w:t>
      </w:r>
      <w:bookmarkEnd w:id="346"/>
    </w:p>
    <w:p>
      <w:pPr>
        <w:pStyle w:val="BookText"/>
        <w:rPr/>
      </w:pPr>
      <w:r>
        <w:rPr>
          <w:rFonts w:ascii="IRNazanin" w:hAnsi="IRNazanin" w:eastAsia="IRNazanin"/>
          <w:color w:val="111111"/>
          <w:sz w:val="28"/>
          <w:sz w:val="28"/>
          <w:szCs w:val="28"/>
          <w:rtl w:val="true"/>
          <w:lang w:bidi="fa-IR"/>
        </w:rPr>
        <w:t>این دیدگاه از جهات متعدد قابل تأمل است که به پاره‌ای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دیدگاه، ماهیّت واحد انسان توجیه‌پذیر نیست و ترکیب نفس و بدن، ترکیبی سطحی و انضمامی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دیدگاه، تأثیر متقابل نفس و بدن و پیوند دو جانبة آنها توجیه‌پذیر نیست و مشکل اتّحاد حقیقی بین نفس و بدن و پیوستگی طبیعی بین آنها به حال خود باقی است؛ زیرا نفس، موجودی مجرّد و بدن، موجودی مادّی است؛ پس چگونه ممکن است بین دو سنخ موجود متباین، وحدت و اتحاد یا ارتباط و تعامل طبیعی ایجاد شود؟</w:t>
      </w:r>
    </w:p>
    <w:p>
      <w:pPr>
        <w:pStyle w:val="Heading3"/>
        <w:numPr>
          <w:ilvl w:val="2"/>
          <w:numId w:val="1"/>
        </w:numPr>
        <w:rPr/>
      </w:pPr>
      <w:bookmarkStart w:id="347" w:name="__RefHeading___Toc3561995_581953129"/>
      <w:bookmarkStart w:id="348" w:name="_Toc129"/>
      <w:bookmarkEnd w:id="347"/>
      <w:r>
        <w:rPr/>
        <w:t>5</w:t>
      </w:r>
      <w:r>
        <w:rPr>
          <w:rtl w:val="true"/>
        </w:rPr>
        <w:t xml:space="preserve">. </w:t>
      </w:r>
      <w:r>
        <w:rPr>
          <w:rtl w:val="true"/>
        </w:rPr>
        <w:t>نفس و حقیقت آدمی</w:t>
      </w:r>
      <w:bookmarkEnd w:id="348"/>
    </w:p>
    <w:p>
      <w:pPr>
        <w:pStyle w:val="BookText"/>
        <w:rPr/>
      </w:pPr>
      <w:r>
        <w:rPr>
          <w:rFonts w:ascii="IRNazanin" w:hAnsi="IRNazanin" w:eastAsia="IRNazanin"/>
          <w:color w:val="111111"/>
          <w:sz w:val="28"/>
          <w:sz w:val="28"/>
          <w:szCs w:val="28"/>
          <w:rtl w:val="true"/>
          <w:lang w:bidi="fa-IR"/>
        </w:rPr>
        <w:t>از دیگر وجوه اختلاف ارسطو و ابن سینا دربارة نفس، این است که ارسطو براساس نظریه‌اش در زمینة ارتباط نفس و بدن و ترکیب اتّحادی آن دو، حقیقت و هویّت آدمی را ترکیبی از این دو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نفس به تنهایی نمی‌تواند حقیقت آدمی را تشکیل دهد، بلکه نفس و بدن، چه از لحاظ وجودشناختی و چه از لحاظ معرفت‌شناسی، از یکدیگر تفکیک‌پذیر نبوده، مجموعاً حقیقت آدمی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بیان ماهیّت نفس و رابطة آن با بدن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تعریفی کلّی که منطبق بر تمام انواع نفس باشد، به عمل آوریم، باید بگویم که نفس، کمال اوّل برای جسم طبیعی آلی است و از همین روست که موردی برای بحث راجع به اینکه نفس و بدن یک چیز است، نمی‌ماند؛ چنان که این بحث را در مورد موم و نقشی که بر روی موم است و به طور کلّی، در مورد مادّة یک شیء </w:t>
      </w:r>
      <w:bookmarkStart w:id="349" w:name="pg5678_50459"/>
    </w:p>
    <w:p>
      <w:pPr>
        <w:pStyle w:val="BookText"/>
        <w:rPr/>
      </w:pPr>
      <w:bookmarkEnd w:id="349"/>
      <w:r>
        <w:rPr>
          <w:rFonts w:ascii="IRNazanin" w:hAnsi="IRNazanin" w:eastAsia="IRNazanin"/>
          <w:color w:val="111111"/>
          <w:sz w:val="28"/>
          <w:sz w:val="28"/>
          <w:szCs w:val="28"/>
          <w:rtl w:val="true"/>
          <w:lang w:bidi="fa-IR"/>
        </w:rPr>
        <w:t>معیّن و آنچه این مادّه از آنِ اوست، نمی‌کنند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اما از نظر ابن سینا حقیقت آدمی که شخص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 در اصل هستی از بدن مستقل است و هم می‌تواند قبل از شناخت بدن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یادشده از برهان معروف او برای اثبات نفس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انسان 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ابتکارات وی به شمار می‌رود، به روشنی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گفتار او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را فرض کنید که از حیث عقل و اندام، از صحت کامل برخوردار است و در هوای طَلق معلّق باشد، به گونه‌ای که هیچ امرِ خارج از بدن خود را احساس نکند و هیچ عضوی از اعضای بدنش را نبیند و اعضای بدنش با یکدیگر هیچ‌گونه ملامسه‌ای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مطمئناً از همه‌چیز غافل و بی‌اطلاع خواهد بود، حتی از جسم و جسد خویش، جز از نفس خود که آن را حاضر می‌داند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350" w:name="__RefHeading___Toc3561997_581953129"/>
      <w:bookmarkStart w:id="351" w:name="_Toc130"/>
      <w:bookmarkEnd w:id="350"/>
      <w:r>
        <w:rPr/>
        <w:t>6</w:t>
      </w:r>
      <w:r>
        <w:rPr>
          <w:rtl w:val="true"/>
        </w:rPr>
        <w:t xml:space="preserve"> . </w:t>
      </w:r>
      <w:r>
        <w:rPr>
          <w:rtl w:val="true"/>
        </w:rPr>
        <w:t>نفس و صورت انسانی</w:t>
      </w:r>
      <w:bookmarkEnd w:id="351"/>
    </w:p>
    <w:p>
      <w:pPr>
        <w:pStyle w:val="BookText"/>
        <w:rPr/>
      </w:pPr>
      <w:r>
        <w:rPr>
          <w:rFonts w:ascii="IRNazanin" w:hAnsi="IRNazanin" w:eastAsia="IRNazanin"/>
          <w:color w:val="111111"/>
          <w:sz w:val="28"/>
          <w:sz w:val="28"/>
          <w:szCs w:val="28"/>
          <w:rtl w:val="true"/>
          <w:lang w:bidi="fa-IR"/>
        </w:rPr>
        <w:t>یکی از مباحث مطرح در نفس‌شناسی، این است که آیا صورت انسانی با نفس او مساوی است، یا هر یک غیر از دیگری است؟</w:t>
      </w:r>
    </w:p>
    <w:p>
      <w:pPr>
        <w:pStyle w:val="BookText"/>
        <w:rPr/>
      </w:pPr>
      <w:r>
        <w:rPr>
          <w:rFonts w:ascii="IRNazanin" w:hAnsi="IRNazanin" w:eastAsia="IRNazanin"/>
          <w:color w:val="111111"/>
          <w:sz w:val="28"/>
          <w:sz w:val="28"/>
          <w:szCs w:val="28"/>
          <w:rtl w:val="true"/>
          <w:lang w:bidi="fa-IR"/>
        </w:rPr>
        <w:t xml:space="preserve">از آنچه گذشت، روشن شد که ارسطو نفس و صورت را یکی دانسته، همواره از نفس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بنابراین از نظر وی، صورت انسانی، همان نفس اوست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ابن سینا بر این باور است که صورت انسان غیر از نفس اوست و صورت انسانی، امری مادّی و نفس او، امری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نمط هفتم الاشارات و 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می‌خواهد بقای نفس را بعد از فساد بدن اثبات کند، در مقابل این احتمال که ممکن است بدن عاملِ فساد نفس باشد، همان‌گونه که عامل حدوث آن است، پس نفس با فساد بدن،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w:t>
      </w:r>
      <w:r>
        <w:rPr>
          <w:rFonts w:eastAsia="IRNazanin" w:cs="IRNazanin"/>
          <w:color w:val="111111"/>
          <w:sz w:val="28"/>
          <w:szCs w:val="28"/>
          <w:rtl w:val="true"/>
          <w:lang w:bidi="fa-IR"/>
        </w:rPr>
        <w:t xml:space="preserve">. </w:t>
      </w:r>
      <w:bookmarkStart w:id="352" w:name="pg5678_50460"/>
    </w:p>
    <w:p>
      <w:pPr>
        <w:pStyle w:val="BookText"/>
        <w:rPr/>
      </w:pPr>
      <w:bookmarkEnd w:id="352"/>
      <w:r>
        <w:rPr>
          <w:rFonts w:ascii="IRNazanin" w:hAnsi="IRNazanin" w:eastAsia="IRNazanin"/>
          <w:color w:val="111111"/>
          <w:sz w:val="28"/>
          <w:sz w:val="28"/>
          <w:szCs w:val="28"/>
          <w:rtl w:val="true"/>
          <w:lang w:bidi="fa-IR"/>
        </w:rPr>
        <w:t>توضیح گفتار او در این زمینه بدین صورت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نمی‌تواند حامل استعداد حدوث و فساد نفس باشد؛ زیرا بدن مباین با نفس است؛ چون نفس، مجرّد و بدن، مادّی است و مباین شیء نمی‌تواند محل استعداد آن شیء باشد، بلکه باید گفت، بدن محل استعداد حدوث صورت و هیئت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استعداد بدن برای حدوث صورت انسانی تام شد، قبل</w:t>
      </w:r>
      <w:r>
        <w:rPr>
          <w:rStyle w:val="FootnoteAnchor"/>
          <w:rtl w:val="true"/>
        </w:rPr>
        <w:footnoteReference w:id="528"/>
      </w:r>
      <w:r>
        <w:rPr>
          <w:rFonts w:ascii="IRNazanin" w:hAnsi="IRNazanin" w:eastAsia="IRNazanin"/>
          <w:color w:val="111111"/>
          <w:sz w:val="28"/>
          <w:sz w:val="28"/>
          <w:szCs w:val="28"/>
          <w:rtl w:val="true"/>
          <w:lang w:bidi="fa-IR"/>
        </w:rPr>
        <w:t>از حدوث صورت مزبور، نفس مجرّد انسانی حادث می‌شود تا صورت یادشده را برای بدن افاضه کند؛ زیرا نفس، علّت فاعلی قریب این صورت است؛ بنابراین، حدوث صورت انسانی مستلزم این است که در رتبة قبل از آن، نفس حادث شود؛ چون علّت فاعلی باید در رتبة قبل از معلول موجود 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حاصل سخن آنکه ابن سینا بر خلاف ارسطو و پیروانش، نفس را غیر از صورت بدن می‌داند و معتقد است ابتدا بدن پدید می‌آید و هرگاه استعداد بدن برای قبول صورت انسانی تام شد، نفس مجرّد انسانی حادث می‌شود و صورت انسانی را برای بدن مزبور افاضه می‌کند؛ بنابراین، ابتدا بدن حادث می‌شود و سپس نفس و در رتبة سوم، صورت انسانی</w:t>
      </w:r>
      <w:r>
        <w:rPr>
          <w:rFonts w:eastAsia="IRNazanin" w:cs="IRNazanin"/>
          <w:color w:val="111111"/>
          <w:sz w:val="28"/>
          <w:szCs w:val="28"/>
          <w:rtl w:val="true"/>
          <w:lang w:bidi="fa-IR"/>
        </w:rPr>
        <w:t>.</w:t>
      </w:r>
    </w:p>
    <w:p>
      <w:pPr>
        <w:pStyle w:val="Heading3"/>
        <w:numPr>
          <w:ilvl w:val="2"/>
          <w:numId w:val="1"/>
        </w:numPr>
        <w:rPr/>
      </w:pPr>
      <w:bookmarkStart w:id="353" w:name="__RefHeading___Toc3561999_581953129"/>
      <w:bookmarkStart w:id="354" w:name="_Toc131"/>
      <w:bookmarkEnd w:id="353"/>
      <w:r>
        <w:rPr/>
        <w:t>7</w:t>
      </w:r>
      <w:r>
        <w:rPr>
          <w:rtl w:val="true"/>
        </w:rPr>
        <w:t xml:space="preserve">. </w:t>
      </w:r>
      <w:r>
        <w:rPr>
          <w:rtl w:val="true"/>
        </w:rPr>
        <w:t>حالات نفسانی</w:t>
      </w:r>
      <w:bookmarkEnd w:id="35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ارسطو به ترکیب اتّحادی نفس و بدن معتقد است و در نظر وی، تفکیک آن دو، تنها در عالم اعتبار امکان‌پذیر است، نه در خارج؛ بنابراین، وی حالات نفسانی، از قبیل غم، شادی، خشم، ترس، مهر، کین، دلسوزی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نتیجة تعامل نفس و بدن و ترکیب جوهری این دو می‌داند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از نظر وی، هیچ حالتی را نمی‌توان صرفاً به یکی از آن دو منتسب دانست و نمی‌شود گفت که این احوال اوّلاً و بالذات به نفس منتسب است و ثانیاً و بالعرض به بدن، بلکه همة احوال بالاصاله به نفس و بدن انتساب دارد؛ مثلاً نمی‌توان گفت که خشم حالتی است برای حمله و انتقام که صرفاً در نفس پدید می‌آید، بلکه باید به حالت بدنی مقارن با آن، مانند تغییر انقباضی قلب و بالا رفتن حرارت بدن و امثال آن نیز </w:t>
      </w:r>
    </w:p>
    <w:p>
      <w:pPr>
        <w:pStyle w:val="BookText"/>
        <w:rPr/>
      </w:pPr>
      <w:r>
        <w:rPr>
          <w:rFonts w:ascii="IRNazanin" w:hAnsi="IRNazanin" w:eastAsia="IRNazanin"/>
          <w:color w:val="111111"/>
          <w:sz w:val="28"/>
          <w:sz w:val="28"/>
          <w:szCs w:val="28"/>
          <w:rtl w:val="true"/>
          <w:lang w:bidi="fa-IR"/>
        </w:rPr>
        <w:t>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حرکت فلان بدن، فلان جزء یا فلان قوّه است که از فلان علّت برای فلان غایت حاصل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حرکت بدنی و نفسانی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ارسطو ضمن تشبیه نفس به خط مستقیم می‌خواهد بگوید که همان‌گونه که خط مستقیم در حال تجرّد و انتزاعی نمی‌تواند با کُرة محسوس تماس بگیرد، نفس مجرّد از بدن نیز نمی‌تواند منشأ هیچ‌گونه تأثیر و عملی باشد؛ بنابراین، اگر خط مستقیم می‌خواهد با کره مماس گردد و نفس فعل و انفعال حاصل کند، باید هر یک از آن دو، مادّیت را بپذیرد و با جسم عجین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ارسطو مطالعة نفس را در شأن عالِم طبیعیات می‌داند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مطالعة نفس، اعم از اینکه جملة نفس منظور باشد یا نفس به آن معنا که ما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عالِم طبیعیات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ارسطو نه تنها هر حالتی را در نفس مستلزم هماهنگی و همسازی نفس و بدن می‌داند، بلکه استناد حرفه‌ها و صنایع را نیز به نفس، محلّ اشکال و نادرست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اینکه نفس خشمگین است، بدان می‌ماند که ادّعا شود نفس می‌بافد یا بنا می‌کند و این، باطل است؛ پس بی‌شبه بهتر است که نگوییم نفس شفقت می‌ورزد یا می‌آموزد، بلکه باید بگوییم انسان به وسیلة نفس خود چنین می‌کند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 از نظر شیخ الرئیس حالات نفسانی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حالات نفسانی، بالاصاله به بدن تعلّق دارد و بالعرض به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دیگر اوّلاً و بالذات به نفس مربوط می‌شود و ثانیاً و بالعرض به بدن؛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 بالاصاله هم به نفس مربوط می‌شود هم به بدن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حالاتی مانند خواب، بیداری، تندرستی،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اوّلاً و بالذات به بدن تعلّق دارد و از حالات بدن به شمار می‌رود، لکن تعلّق آنها به نفس از این حیث است که بدن یادشده دارای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مانند تخیّل، شهوت، غضب، غم، حزن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نفس به شمار می‌رود و بالاصاله به نفس تعلّق دارد، لکن عروض آنها بر بدن از این </w:t>
      </w:r>
      <w:bookmarkStart w:id="355" w:name="pg5678_50462"/>
    </w:p>
    <w:p>
      <w:pPr>
        <w:pStyle w:val="BookText"/>
        <w:rPr/>
      </w:pPr>
      <w:bookmarkEnd w:id="355"/>
      <w:r>
        <w:rPr>
          <w:rFonts w:ascii="IRNazanin" w:hAnsi="IRNazanin" w:eastAsia="IRNazanin"/>
          <w:color w:val="111111"/>
          <w:sz w:val="28"/>
          <w:sz w:val="28"/>
          <w:szCs w:val="28"/>
          <w:rtl w:val="true"/>
          <w:lang w:bidi="fa-IR"/>
        </w:rPr>
        <w:t>حیث است که نفس مزبور دارای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حالاتی مانند گرسنگی، 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است که اوّلاً و بالذات هم به بدن تعلّق دارد و هم به نفس؛ یعنی این امور هم بر بدن بما هو بدن عارض می‌شود و هم در حس که مربوط به نفس است،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حِرَف و صنایع مانند نجّاری، بنّایی و نظایر آن را جزء افعال نفسانی می‌داند و معتقد است این امور، هرچند در خارج با ابزار و آلات بدنی و غیر بدنی تحقّق می‌پذیرد، لکن مبدأ اصلی آنها نفس است</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356" w:name="__RefHeading___Toc3562001_581953129"/>
      <w:bookmarkStart w:id="357" w:name="_Toc132"/>
      <w:bookmarkEnd w:id="356"/>
      <w:r>
        <w:rPr/>
        <w:t>8</w:t>
      </w:r>
      <w:r>
        <w:rPr>
          <w:rtl w:val="true"/>
        </w:rPr>
        <w:t xml:space="preserve"> . </w:t>
      </w:r>
      <w:r>
        <w:rPr>
          <w:rtl w:val="true"/>
        </w:rPr>
        <w:t>اتحاد عاقل و معقول</w:t>
      </w:r>
      <w:bookmarkEnd w:id="357"/>
    </w:p>
    <w:p>
      <w:pPr>
        <w:pStyle w:val="BookText"/>
        <w:rPr/>
      </w:pPr>
      <w:r>
        <w:rPr>
          <w:rFonts w:ascii="IRNazanin" w:hAnsi="IRNazanin" w:eastAsia="IRNazanin"/>
          <w:color w:val="111111"/>
          <w:sz w:val="28"/>
          <w:sz w:val="28"/>
          <w:szCs w:val="28"/>
          <w:rtl w:val="true"/>
          <w:lang w:bidi="fa-IR"/>
        </w:rPr>
        <w:t>از مسائل مهم در نفس‌شناسی چگونگی ارتباط عاقل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رابطة اتّحادی بین آن دو برقرار است یا اتّحاد آنها امکان‌پذیر نیست؟</w:t>
      </w:r>
    </w:p>
    <w:p>
      <w:pPr>
        <w:pStyle w:val="BookText"/>
        <w:rPr/>
      </w:pPr>
      <w:r>
        <w:rPr>
          <w:rFonts w:ascii="IRNazanin" w:hAnsi="IRNazanin" w:eastAsia="IRNazanin"/>
          <w:color w:val="111111"/>
          <w:sz w:val="28"/>
          <w:sz w:val="28"/>
          <w:szCs w:val="28"/>
          <w:rtl w:val="true"/>
          <w:lang w:bidi="fa-IR"/>
        </w:rPr>
        <w:t>ارسطو بر این باور است که عقل قبل از آنکه بیندیشد، هیچ‌گونه صورتی ندارد، اما بعد از آنکه معقولی را اندیشید، صورت همان معقول را به خود می‌گیرد و با آن متّحد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تفکّر و تعقّل، بالقوّه با معقول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 چهارم دفتر سوم از کتاب دربارة نفس به این پرسش که آیا خود عقل، معقول است یا نه، اگر معقول است، معقولِ خودش است یا معقول غیر خودش، پاسخ می‌دهد که عقل بالقوّه به گونه‌ای، همان معقول است، لکن قبل از تفکّر، بالفعل هیچ کدام از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معقول است؛ همان طور که معقولات، معقول است؛ زیرا دربارة واقعیات غیر مادّی بین اندیشنده و اندیشیده یگانگی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قوّة حاسّه و قوّة عاقله، هر دو، بالقوّه همان متعلّقات خویش است که یکی معقول و دیگری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واجب است که این دو قوّه با متعلّقات خود یا لااقل با صور این متعلّقات یکی باشند</w:t>
      </w:r>
      <w:r>
        <w:rPr>
          <w:rFonts w:eastAsia="IRNazanin" w:cs="IRNazanin"/>
          <w:color w:val="111111"/>
          <w:sz w:val="28"/>
          <w:szCs w:val="28"/>
          <w:rtl w:val="true"/>
          <w:lang w:bidi="fa-IR"/>
        </w:rPr>
        <w:t>.</w:t>
      </w:r>
      <w:r>
        <w:rPr>
          <w:rStyle w:val="FootnoteAnchor"/>
          <w:rtl w:val="true"/>
        </w:rPr>
        <w:footnoteReference w:id="537"/>
      </w:r>
      <w:bookmarkStart w:id="358" w:name="pg5678_50463"/>
    </w:p>
    <w:p>
      <w:pPr>
        <w:pStyle w:val="BookText"/>
        <w:rPr/>
      </w:pPr>
      <w:bookmarkEnd w:id="358"/>
      <w:r>
        <w:rPr>
          <w:rFonts w:ascii="IRNazanin" w:hAnsi="IRNazanin" w:eastAsia="IRNazanin"/>
          <w:color w:val="111111"/>
          <w:sz w:val="28"/>
          <w:sz w:val="28"/>
          <w:szCs w:val="28"/>
          <w:rtl w:val="true"/>
          <w:lang w:bidi="fa-IR"/>
        </w:rPr>
        <w:t>ابن سینا اتّحاد عاقل و معقول را به شدّت انکار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گمان کرده‌اند که جوهر عاقل وقتی که صورت عقلی را درمی‌یابد، با صورت مزبور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جوهر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تعقّل کرد، طبق گفتار آنان، عاقل با صورت معقول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آیا جوهر عاقل، وجود پیش از تعقّل خود را دارد یا وجود قبل از تعقّلش باطل می‌شود؟ اگر هستی او باقی باشد، همان‌گونه که قبل از تعقّل مزبور بود، پس حال او یکسان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بکند و 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پیش از تعقّل باطل 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حالی از احوال باطل می‌گردد یا آنکه به تمام ذوات معدوم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حالش تغییر کند و ذاتش باقی بماند، این، مانند سایر تغییر و دگرگونیهاست، پس اتّحادی در کار نیست و اگر ذاتش باطل و نابود گردد، پس موجودی معدوم شده و موجودی دیگر حادث گردیده است و چیزی با چیز دیگر یکی نشده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به نظر می‌رسد آنچه ابن سینا با برهان یادشده آن را ابطال کرده، غیر از چیزی است که قائلان به اتّحاد عاقل و معقول می‌گویند؛ زیرا مراد آنان از اتّحاد، اتّحاد موجود نامتحصّل و مبهم با موجود محصّل و معیّن است؛ مثل جنس که یک امر مبهم است و هر فصلی که به آن ضمیمه شود، عین همان فصل می‌شود و با آن متّحد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نفس نیز در نظر قائلان به اتّحاد چنین است؛ یعنی قبل از تعقّل نسبت به همة معقولات لااقتضا و نامتعیّن است، اما بعد از تعقّل با آن معقول متّحد گردیده، عین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برهانی که ابن سینا بر ابطال اتّحاد عاقل و معقول ذکر کرده است، به اتّحاد دو امر متحصّل و متعیّن ناظر است و چنین اتّحادی را قائلان به اتّحاد عاقل و معقول نیز قبول ندارند</w:t>
      </w:r>
      <w:r>
        <w:rPr>
          <w:rFonts w:eastAsia="IRNazanin" w:cs="IRNazanin"/>
          <w:color w:val="111111"/>
          <w:sz w:val="28"/>
          <w:szCs w:val="28"/>
          <w:rtl w:val="true"/>
          <w:lang w:bidi="fa-IR"/>
        </w:rPr>
        <w:t>.</w:t>
      </w:r>
    </w:p>
    <w:p>
      <w:pPr>
        <w:pStyle w:val="Heading3"/>
        <w:numPr>
          <w:ilvl w:val="2"/>
          <w:numId w:val="1"/>
        </w:numPr>
        <w:rPr/>
      </w:pPr>
      <w:bookmarkStart w:id="359" w:name="__RefHeading___Toc3562003_581953129"/>
      <w:bookmarkStart w:id="360" w:name="_Toc133"/>
      <w:bookmarkEnd w:id="359"/>
      <w:r>
        <w:rPr/>
        <w:t>9</w:t>
      </w:r>
      <w:r>
        <w:rPr>
          <w:rtl w:val="true"/>
        </w:rPr>
        <w:t xml:space="preserve">. </w:t>
      </w:r>
      <w:r>
        <w:rPr>
          <w:rtl w:val="true"/>
        </w:rPr>
        <w:t>علم نفس به خود</w:t>
      </w:r>
      <w:bookmarkEnd w:id="3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پیشین روشن شد که نفس از دیدگاه ارسطو، خود را مستقیماً تعقّل نمی‌کند، بلکه مورد تعقّل او، معقولات دیگر است، ولی چون این معقولات، بعد از تعقّل با خود عقل متّحد می‌گردد، علم او به معقولات یادشده، علم به خود نیز خواهد بود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اما از نظر ابن سینا چنان که گذشت، قوّة عاقله یا نفس ناطقه به هیچ‌وجه و در هیچ‌حالی از خود غافل نیست و </w:t>
      </w:r>
      <w:bookmarkStart w:id="361" w:name="pg5678_50464"/>
    </w:p>
    <w:p>
      <w:pPr>
        <w:pStyle w:val="BookText"/>
        <w:rPr/>
      </w:pPr>
      <w:bookmarkEnd w:id="361"/>
      <w:r>
        <w:rPr>
          <w:rFonts w:ascii="IRNazanin" w:hAnsi="IRNazanin" w:eastAsia="IRNazanin"/>
          <w:color w:val="111111"/>
          <w:sz w:val="28"/>
          <w:sz w:val="28"/>
          <w:szCs w:val="28"/>
          <w:rtl w:val="true"/>
          <w:lang w:bidi="fa-IR"/>
        </w:rPr>
        <w:t>از علم به ذات نیز عاری نیست، حتی در مرحلة هیولایی که هیچ‌گونه اطلاعی از خارج ندارد، در عین حال، از ذات خودش غفلت ندارد و اگر فرض شود که ادراک همة اشیا امکان‌پذیر نیست، باز به خودش،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برهان طَلق و انسان معلّق در هوا که قبلاً گذشت، ناگفته پیداست</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362" w:name="__RefHeading___Toc3562005_581953129"/>
      <w:bookmarkStart w:id="363" w:name="_Toc134"/>
      <w:bookmarkEnd w:id="362"/>
      <w:r>
        <w:rPr/>
        <w:t>10</w:t>
      </w:r>
      <w:r>
        <w:rPr>
          <w:rtl w:val="true"/>
        </w:rPr>
        <w:t xml:space="preserve">. </w:t>
      </w:r>
      <w:r>
        <w:rPr>
          <w:rtl w:val="true"/>
        </w:rPr>
        <w:t>حسّ مشترک</w:t>
      </w:r>
      <w:bookmarkEnd w:id="363"/>
    </w:p>
    <w:p>
      <w:pPr>
        <w:pStyle w:val="BookText"/>
        <w:rPr/>
      </w:pPr>
      <w:r>
        <w:rPr>
          <w:rFonts w:ascii="IRNazanin" w:hAnsi="IRNazanin" w:eastAsia="IRNazanin"/>
          <w:color w:val="111111"/>
          <w:sz w:val="28"/>
          <w:sz w:val="28"/>
          <w:szCs w:val="28"/>
          <w:rtl w:val="true"/>
          <w:lang w:bidi="fa-IR"/>
        </w:rPr>
        <w:t>برخی از محسوسات به وسیلة حواس پنج‌گانه ادراک می‌شود، اما پاره‌ای از آنها مثل عدد، شکل، بزرگی، حرکت، سکون،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مزبور ادراک‌شدنی نیست؛ بنابراین، باید حسّ ششم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تا محسوسات نامبرده را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وجود حسّ ششم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انکار می‌کند و بر این باور است که حسّ دیگری غیر از همان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 سامعه، شامه، ذائقه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نتیجة گفتار ارسطو در این باره را می‌توان چنین بیان کرد که حسّ مشترک علاوه بر حواس پنج‌گانه، حسّی جداگانه نیست که دستة دیگری از اشیا را درک کند، بلکه طبیعت مشترک حواس پنج‌گانه است؛ بدین معنا که حس، قوة واحدی است که به سبب طبیعت تکوینی‌اش کارکردهای خاصّی دارد، اما از بهر اهداف خاصّی، خود را به صورت پنج حس درمی‌آورد و برای خودش اندامهایی را می‌آفریند که هر یک، کارکردهای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مشترک آنها، محسوسات مشترک و اندامهای خاصّ آنها، هر کدام، محسوسات مختص را درک می‌کند؛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Style w:val="FootnoteAnchor"/>
          <w:rtl w:val="true"/>
        </w:rPr>
        <w:footnoteReference w:id="5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ابن سینا تأکید می‌کند که علاوه بر حواس پنج‌گانه، حسّ ششمی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نمط سوم از الاشارات و التنبیهات، ادلّه‌ای برای اثبات آن ذکر می‌کند که خلاصة یکی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خط به وسیلة نقطة متحرّک، بیانگر </w:t>
      </w:r>
      <w:bookmarkStart w:id="364" w:name="pg5678_50465"/>
    </w:p>
    <w:p>
      <w:pPr>
        <w:pStyle w:val="BookText"/>
        <w:rPr/>
      </w:pPr>
      <w:bookmarkEnd w:id="364"/>
      <w:r>
        <w:rPr>
          <w:rFonts w:ascii="IRNazanin" w:hAnsi="IRNazanin" w:eastAsia="IRNazanin"/>
          <w:color w:val="111111"/>
          <w:sz w:val="28"/>
          <w:sz w:val="28"/>
          <w:szCs w:val="28"/>
          <w:rtl w:val="true"/>
          <w:lang w:bidi="fa-IR"/>
        </w:rPr>
        <w:t xml:space="preserve">وجود حسّی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ترسیم خط یادشده زمانی ممکن است که بعد از انتقال نقطة مزبور از مکانی به مکان بعدی و قبل از توقّفش، صورتهایی که در مکانهای قبل بوده است، به طور متّصل محفوظ باشد، در غیر این صورت، با زوال صورتهای پیشین، تشکیل خط مزبور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صورتهای مذکور تنها در حسّ مشترک ممکن است محفوظ باشد، نه در قوّة باصره؛ چون ترسیم صورت نقطه در بصر تنها در وقت رسیدن به مکانی خاص و مقابلة بَصَر با آن در مکان یادشده تحقّق‌پذیر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انتقالش به مکان بعدی، صورت قبلی آن زائل می‌شود و با زوال صورتهای قبلی، تشکیل خط امکان‌پذیر نخواهد بود؛ بنابراین، ترسیم خط به وسیلة نقطة متحرّک، بهترین دلیل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365" w:name="__RefHeading___Toc3562007_581953129"/>
      <w:bookmarkStart w:id="366" w:name="_Toc135"/>
      <w:bookmarkEnd w:id="365"/>
      <w:r>
        <w:rPr/>
        <w:t>11</w:t>
      </w:r>
      <w:r>
        <w:rPr>
          <w:rtl w:val="true"/>
        </w:rPr>
        <w:t xml:space="preserve">. </w:t>
      </w:r>
      <w:r>
        <w:rPr>
          <w:rtl w:val="true"/>
        </w:rPr>
        <w:t>بقا و جاودانگی نفس</w:t>
      </w:r>
      <w:bookmarkEnd w:id="366"/>
    </w:p>
    <w:p>
      <w:pPr>
        <w:pStyle w:val="BookText"/>
        <w:rPr/>
      </w:pPr>
      <w:r>
        <w:rPr>
          <w:rFonts w:ascii="IRNazanin" w:hAnsi="IRNazanin" w:eastAsia="IRNazanin"/>
          <w:color w:val="111111"/>
          <w:sz w:val="28"/>
          <w:sz w:val="28"/>
          <w:szCs w:val="28"/>
          <w:rtl w:val="true"/>
          <w:lang w:bidi="fa-IR"/>
        </w:rPr>
        <w:t>از نقاط ابهام‌انگیز در فلسفة ارسطو، مسئلة بقا و خلود نفس است؛ به عبارت دیگر، وی صراحتاً فنای نفس انسان با فنای بدن، یا بقا و خلود آن را پس از زوال بدن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چون رابطة نفس و بدن را از نوع رابطة مادّه و صورت می‌دانست، نفس را صورت بدن می‌پنداشت؛ بنابراین، می‌توان گفت وی طبق همین مبنا باید منطقاً به فنای نفس با فنای بدن معتقد باشد، مگر مرتبه‌ای از نفس که صورت بدن نباشد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نفسی که ارسطو آن را صورت بدن معرفی کرده است، با فنای بدن نابود می‌شود، ولی بحث در این است که آیا او به مرتبه‌ای از نفس که صورت بدن مادّی نباشد تا بتواند از بقا و جاودانگی برخوردار باشد، معتقد است یا نه؟ در پاسخ به این سؤال، دیدگاهها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ارسطو نفس را موجودی فانی دانسته، به بقای آن معتقد نیست،</w:t>
      </w:r>
      <w:r>
        <w:rPr>
          <w:rStyle w:val="FootnoteAnchor"/>
          <w:rtl w:val="true"/>
        </w:rPr>
        <w:footnoteReference w:id="544"/>
      </w:r>
      <w:r>
        <w:rPr>
          <w:rFonts w:ascii="IRNazanin" w:hAnsi="IRNazanin" w:eastAsia="IRNazanin"/>
          <w:color w:val="111111"/>
          <w:sz w:val="28"/>
          <w:sz w:val="28"/>
          <w:szCs w:val="28"/>
          <w:rtl w:val="true"/>
          <w:lang w:bidi="fa-IR"/>
        </w:rPr>
        <w:t>ولی به نظر می‌رسد وی مرتبه‌ای از نفس، یعنی قوّة عاقله و نفس در مرتبة عقلِ فعّال را مجرّد از مادّه دانسته و به بقا و جاودانگی آن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عبارتهای خود اوست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دربارة مخالطت عقل و بدن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نیست که عقل را مخالط با بدن بدانیم؛ زیرا اگر چنین می‌بود، کیفیّت معیّنی از سردی یا گرمی در آن راه می‌یافت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مربوط به قوّة نظریه و عقل است، هنوز چیزی آشکار نیست؛ مع ذلک، چنان به نظر می‌رسد که آن، جنس دیگری از نفس باشد و تنها بتواند جدا از بدن وجود داشته باشد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کلام او در جای دیگر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در اغلب موارد، نفس نمی‌تواند بدون بدن، هیچ حالتی از انفعال یا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جرئت، شهوت و به طور کلّی،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 ذلک بتوان عملی را خاصّ خود نفس دانست، عمل اندیشه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بعضی از اعمال یا احوال نفس حقیقتاً خاصّ خود او باشد، نفس را وجودی جدا از بدن خواهد بود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گفتار وی در جای دیگر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مانعی نیست که لااقل بعضی از اجزای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کمال برای هیچ‌گونه جسمی نیست، مفارقت‌پذیر باشد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برخی از عبارتهای وی، بیانگر عدم مخالطت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نسبت به معقولات چنان باشد که قوّة حاسة نسبت به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عقل از آن حیث که همه چیز را می‌اندیشد، باید بالضروره، چنان که اناکساگوراس</w:t>
      </w:r>
      <w:r>
        <w:rPr>
          <w:rStyle w:val="FootnoteAnchor"/>
          <w:rtl w:val="true"/>
        </w:rPr>
        <w:footnoteReference w:id="549"/>
      </w:r>
      <w:r>
        <w:rPr>
          <w:rFonts w:ascii="IRNazanin" w:hAnsi="IRNazanin" w:eastAsia="IRNazanin"/>
          <w:color w:val="111111"/>
          <w:sz w:val="28"/>
          <w:sz w:val="28"/>
          <w:szCs w:val="28"/>
          <w:rtl w:val="true"/>
          <w:lang w:bidi="fa-IR"/>
        </w:rPr>
        <w:t>گفته است، عاری از مخالفت باشد، تا بتواند حکم بکند؛ یعنی بشناسد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عبارت زیر، استقلال نفس از بدن را بیان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فعل‌ناپذیری که در قوّة حسّاسه است، با آنچه در قوّة عاقله است، مشابه نیست؛ چه حس بعد از اینکه تحریک حسّی بسیار قوی دریافت دارد، دیگر قادر به ادراک نیست؛ مثلاً به دنبال اصوات شدید،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ادراک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عقل، </w:t>
      </w:r>
    </w:p>
    <w:p>
      <w:pPr>
        <w:pStyle w:val="BookText"/>
        <w:rPr/>
      </w:pPr>
      <w:r>
        <w:rPr>
          <w:rFonts w:ascii="IRNazanin" w:hAnsi="IRNazanin" w:eastAsia="IRNazanin"/>
          <w:color w:val="111111"/>
          <w:sz w:val="28"/>
          <w:sz w:val="28"/>
          <w:szCs w:val="28"/>
          <w:rtl w:val="true"/>
          <w:lang w:bidi="fa-IR"/>
        </w:rPr>
        <w:t xml:space="preserve">آنگاه که معقول قوی‌تر را اندیشیده است، درست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آن به تفکّر در معقولات ضعیف‌تر کم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حس مستقل از بدن وجود ندارد، در صورتی که عقل از بدن جداست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برداشت دیوید راس، یکی از محقّقان برجستة فلسفة ارسطو، از کلام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نمی‌تواند بی‌جسم باشد؛ هرچند ارسطو در اینجا عالی‌ترین عنصر نفس انسان، یعنی عقل فعّال را استثنا می‌کند؛ چرا که عقل فعّال چون از خارج می‌آید، می‌تواند پس از مرگ بدن نیز وجود داشته باشد؛ هرچند ارسطو نمی‌گوید که آیا عقل فعّال پس از مرگ بدن به صورت منفرد باقی می‌ماند، یا در اتّحاد روحانی وسیع‌تری ادغام می‌شود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مقابل، ابن سینا نه تنها معتقد است فساد بدن موجب فساد نفس نمی‌شود، بلکه بر این باور است که اساساً فساد نفس امکان‌پذیر نیست و تا ابد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نفس شفا دلیلی برای این مطلب آورده است و احتمالات و شقوق متعدّد آن را بررسی کرده است که به طور خلاصه به دلیل مزبور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و فساد نفس تنها در صورتی امکان‌پذیر است که علّت تامّة آن منعدم گردد، لکن انعدام علّت تامّة آن ممکن نیست، پس انعدام آن نیز امکان‌پذیر نخواهد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دلیل چنین است که بدن نسبت به نفس، نه علّت مادّی است و نه علّت صوری؛ زیرا نفس، مجرّد است و علّت مادّی برای آن فرض ندارد و نفس، چون بسیط است، مرکب از مادّه و صورت نخواهد بود؛ پس علّت صوری نخواهد داشت و چون موجود مجرّد قوی‌تر از موجود مادّی است، بدن نمی‌تواند علّت فاعلی آن باشد و چون علّت فاعلی و غایی در موجود مجرّد یکی است، علّت غایی بودن بدن برای نفس نیز امکان‌پذیر نخواهد بود؛ بنابراین، چون هیچ‌گونه رابطة علّی و معلولی بین نفس و بدن نیست، نفس با فساد بدن فاسد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علّت نفس مجرّد، چیزی جز موجود مجرّد نمی‌تواند باشد و انعدام علّت مزبور به هیچ‌وجه امکان نخواهد داشت؛ چون اوّلاً کون و فساد از مختصات مادّیات است و در مجرّدات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انعدام علّت مفارق تنها در اثر انعدام مفارق خودش ممکن خواهد بود و این سلسله تا ذات واجب تعالی </w:t>
      </w:r>
      <w:bookmarkStart w:id="367" w:name="pg5678_50468"/>
    </w:p>
    <w:p>
      <w:pPr>
        <w:pStyle w:val="BookText"/>
        <w:rPr/>
      </w:pPr>
      <w:bookmarkEnd w:id="367"/>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انعدام ذات واجب متعال محال است، انعدام سلسلة طولی عقول نیز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علّت نفس به بقای علل مجرّده‌اش همیشه باقی خواهد بود و نفس نیز به تبع آن، از بقا و جاودانگی برخوردار خواهد شد</w:t>
      </w:r>
      <w:r>
        <w:rPr>
          <w:rFonts w:eastAsia="IRNazanin" w:cs="IRNazanin"/>
          <w:color w:val="111111"/>
          <w:sz w:val="28"/>
          <w:szCs w:val="28"/>
          <w:rtl w:val="true"/>
          <w:lang w:bidi="fa-IR"/>
        </w:rPr>
        <w:t>.</w:t>
      </w:r>
    </w:p>
    <w:p>
      <w:pPr>
        <w:pStyle w:val="Heading3"/>
        <w:numPr>
          <w:ilvl w:val="2"/>
          <w:numId w:val="1"/>
        </w:numPr>
        <w:rPr/>
      </w:pPr>
      <w:bookmarkStart w:id="368" w:name="__RefHeading___Toc3562009_581953129"/>
      <w:bookmarkStart w:id="369" w:name="_Toc136"/>
      <w:bookmarkEnd w:id="368"/>
      <w:r>
        <w:rPr>
          <w:rtl w:val="true"/>
        </w:rPr>
        <w:t>نتیجه‌گیری</w:t>
      </w:r>
      <w:bookmarkEnd w:id="369"/>
    </w:p>
    <w:p>
      <w:pPr>
        <w:pStyle w:val="BookText"/>
        <w:rPr/>
      </w:pPr>
      <w:r>
        <w:rPr>
          <w:rFonts w:ascii="IRNazanin" w:hAnsi="IRNazanin" w:eastAsia="IRNazanin"/>
          <w:color w:val="111111"/>
          <w:sz w:val="28"/>
          <w:sz w:val="28"/>
          <w:szCs w:val="28"/>
          <w:rtl w:val="true"/>
          <w:lang w:bidi="fa-IR"/>
        </w:rPr>
        <w:t>نتیجة مباحث یادشده این است که در باب نفس‌شناسی، ارسطو و ابن سینا در مسائل گوناگون مربوط به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چکیدة اختلاف مزبور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نفس را صورت بدن می‌داند، ولی ابن سینا آن را همانند فصلی می‌داند که امر مبهمی مثل جنس به وسیلة آن محصّل و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تعریف نفس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جسم طبیعی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ذات و حقیقت نفس می‌داند و آن را به عنوان جوهر صوری، یعنی صورت نوعی جسم یا بدن معرفی می‌کند، اما ابن سینا بر این باور است که تعریف یادشده تنها بیانگر جهت تعلّق نفس به بدن است و به هیچ‌وجه ماهیّت و حقیقت نفس را تبیین نمی‌کند؛ زیرا نفس در حقیقت، جوهر مفارقی است که تعریف مزبور در آن جای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رابطة نفس و بدن را رابطة مادّه و صورت و حقیقت آدمی را مرکب از نفس و بدن می‌داند، اما ابن سینا رابطة آن دو را رابطة تدبیر و تصرّف و حقیقت آدمی را همان نفس او می‌داند که در اصل هستی، مستقل از بدن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حالت نفسانی از قبیل غم، شادی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نتیجة تعامل نفس و بدن و ترکیب آن دو می‌پندارد و حسّ ششمی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انکار می‌کند، اما ابن سینا برخی از حالات یادشده را مربوط به نفس و برخی دیگر را مختص به بدن و برخی دیگر را مشترک می‌داند و با ادلّة‌گوناگون،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به اتّحاد عاقل و معقول معتقد است، ولی کلام وی دربارة خلود و جاودانگی نفس مبهم است، اما ابن سینا اتّحاد عاقل و معقول را مردود می‌داند و صراحتاً جاودانگی نفس را اعلام می‌دارد و با براهین مختلف آن را به اثبات می‌رساند</w:t>
      </w:r>
      <w:r>
        <w:rPr>
          <w:rFonts w:eastAsia="IRNazanin" w:cs="IRNazanin"/>
          <w:color w:val="111111"/>
          <w:sz w:val="28"/>
          <w:szCs w:val="28"/>
          <w:rtl w:val="true"/>
          <w:lang w:bidi="fa-IR"/>
        </w:rPr>
        <w:t xml:space="preserve">. </w:t>
      </w:r>
      <w:bookmarkStart w:id="370" w:name="pg5678_50469"/>
    </w:p>
    <w:p>
      <w:pPr>
        <w:pStyle w:val="Heading2"/>
        <w:numPr>
          <w:ilvl w:val="1"/>
          <w:numId w:val="1"/>
        </w:numPr>
        <w:rPr/>
      </w:pPr>
      <w:bookmarkStart w:id="371" w:name="__RefHeading___Toc3562011_581953129"/>
      <w:bookmarkStart w:id="372" w:name="_Toc137"/>
      <w:bookmarkEnd w:id="370"/>
      <w:bookmarkEnd w:id="371"/>
      <w:r>
        <w:rPr>
          <w:rtl w:val="true"/>
        </w:rPr>
        <w:t>نگاهی گذرا به منطق ارسطو و ابن سینا</w:t>
      </w:r>
      <w:bookmarkEnd w:id="372"/>
    </w:p>
    <w:p>
      <w:pPr>
        <w:pStyle w:val="Heading3"/>
        <w:numPr>
          <w:ilvl w:val="2"/>
          <w:numId w:val="1"/>
        </w:numPr>
        <w:rPr/>
      </w:pPr>
      <w:bookmarkStart w:id="373" w:name="__RefHeading___Toc3562013_581953129"/>
      <w:bookmarkStart w:id="374" w:name="_Toc138"/>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علی قربانی</w:t>
      </w:r>
    </w:p>
    <w:p>
      <w:pPr>
        <w:pStyle w:val="Heading3"/>
        <w:numPr>
          <w:ilvl w:val="2"/>
          <w:numId w:val="1"/>
        </w:numPr>
        <w:rPr/>
      </w:pPr>
      <w:bookmarkStart w:id="375" w:name="__RefHeading___Toc3562015_581953129"/>
      <w:bookmarkStart w:id="376" w:name="_Toc139"/>
      <w:bookmarkEnd w:id="375"/>
      <w:r>
        <w:rPr>
          <w:rtl w:val="true"/>
        </w:rPr>
        <w:t>مقدّمه</w:t>
      </w:r>
      <w:bookmarkEnd w:id="376"/>
    </w:p>
    <w:p>
      <w:pPr>
        <w:pStyle w:val="BookText"/>
        <w:rPr/>
      </w:pPr>
      <w:r>
        <w:rPr>
          <w:rFonts w:ascii="IRNazanin" w:hAnsi="IRNazanin" w:eastAsia="IRNazanin"/>
          <w:color w:val="111111"/>
          <w:sz w:val="28"/>
          <w:sz w:val="28"/>
          <w:szCs w:val="28"/>
          <w:rtl w:val="true"/>
          <w:lang w:bidi="fa-IR"/>
        </w:rPr>
        <w:t>طرح مباحث منطقی در باب معرفت‌شناسی از دو جهت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منطقی از مباحثی قلمداد می‌شود که در آن نحوة به دست آوردن معرفت مورد بررسی قرار می‌گیرد و راه صحیح آن پیش رو گذاشته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مباحث عمدة معرفت‌شناسی در منطق کلاسیک مطرح بوده و به دقت مورد بررسی قرار گرفته است؛ مباحثی نظیر تعریف علم، بیان ماهیّت و محدودة آن، تمایز بین علوم تصوّری و تصدیقی، مکانیسم استدلال، چیستی دلیل، چیستی دلیلیت دلیل، متفرع بودن علوم تصدیقی بر علوم تصوّری و مانند آنها از مباحث مهم معرفت‌شناسی به شمار می‌آید و در منطق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مقایسة منطق ارسطو با منطق ابن سینا و تطبیق آنها بیش از پیش برجسته می‌نماید، تطابق و هم‌خوانی این دو منطق است؛ از این رو، در تطبیق این دو، می‌توانیم منطقِ ابن سینا را همان منطق ارسطو بنامیم، جز موارد اندکی که ابن سینا رأی دیگری را در پیش گرفته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ابن سینا منطق از حیثی ممکن است آلتی برای فلسفه و از حیثی دیگر، خود، جزئی از فلسفه به شمار رود و این امر، به چگونگی تعریف فلسفه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فلسفه را </w:t>
      </w:r>
    </w:p>
    <w:p>
      <w:pPr>
        <w:pStyle w:val="BookText"/>
        <w:rPr/>
      </w:pPr>
      <w:r>
        <w:rPr>
          <w:rFonts w:ascii="IRNazanin" w:hAnsi="IRNazanin" w:eastAsia="IRNazanin"/>
          <w:color w:val="111111"/>
          <w:sz w:val="28"/>
          <w:sz w:val="28"/>
          <w:szCs w:val="28"/>
          <w:rtl w:val="true"/>
          <w:lang w:bidi="fa-IR"/>
        </w:rPr>
        <w:t>متکفّل هرگونه بحث نظری بدانیم، در این صورت، منطق از اجزای آن به شمار می‌رود، اما اگر فلسفه را بحث از اشیا از حیث وجودشان به وجود ذهنی و خارجی تلقّی کنیم، علم منطق ابزاری برای فلسفه خواهد بود؛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تکون الفلسفی عنده متناولی للبحث عن الأشیاء من حیث هی موجودی و منقسمی إلی الموجودَین المذکورَین، فلا یکون هذا العلم عنده جزءاً من الفلسفی، و من حیث هو نافع فی ذلک، فیکون عنده آلی فی الفلسفی، و من تکون الفلسفی عنده متناولی لکلّ بحث نظریّ و من کلّ وجهٍ، یکون أیضاً هذا عنده جزءاً من الفلسفی، و آلی لسائر أجزاء الفلسفی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وی در منطق المشرقیین، یکی از دو وجه مذکور را انتخاب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علم،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علوم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فارابی نیز منطق را ابزاری برای فلسفه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موضوع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از موجودات است، نگاه دانش منطق به این موضوعات از این باب نیست، بلکه بدین سبب است که این دانش، انسان را در شناخت هستی‌ها قادر می‌سازد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ملاصدرا در تعریف منطق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المنطق قسطاس إدراکی یوزن به الأفکار، لیُعلم صحیحها من فاسدها</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ارسطو در تقسیم علوم فلسفی از منطق نام نبرده است، ولی از آنجایی که اسکندر افرودیسی مدافع نظر استادش ارسطو بود، در تبیین نظر ارسطو گفته است که منطق جزء فلسفه نیست، بلکه آلت و وسیله‌ای برای آن است؛ از این رو، او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 منطق اطلاق کرده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بنا به نقل ابن خلدون، نگاه بعضی به منطق از حیث آلی بودن آن نبوده، بلکه آن را به عنوان یک فنّ جداگانه بررسی کرده‌اند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است تا روزگار وی که از فوت ارسطو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کسی نتوانسته بر آنچه ارسطو آورده است، چیزی بیفزاید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کانت نیز </w:t>
      </w:r>
    </w:p>
    <w:p>
      <w:pPr>
        <w:pStyle w:val="BookText"/>
        <w:rPr/>
      </w:pPr>
      <w:r>
        <w:rPr>
          <w:rFonts w:ascii="IRNazanin" w:hAnsi="IRNazanin" w:eastAsia="IRNazanin"/>
          <w:color w:val="111111"/>
          <w:sz w:val="28"/>
          <w:sz w:val="28"/>
          <w:szCs w:val="28"/>
          <w:rtl w:val="true"/>
          <w:lang w:bidi="fa-IR"/>
        </w:rPr>
        <w:t>می‌گوید، منطق را ارسطو یک بار برای همیشه ساخته و پرداخته کرد و تاکنون کسی چیزی بر آن نیفزوده است و سرانجام، هانیریش شولتش</w:t>
      </w:r>
      <w:r>
        <w:rPr>
          <w:rStyle w:val="FootnoteAnchor"/>
          <w:rtl w:val="true"/>
        </w:rPr>
        <w:footnoteReference w:id="56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اُرگانون</w:t>
      </w:r>
      <w:r>
        <w:rPr>
          <w:rStyle w:val="FootnoteAnchor"/>
          <w:rtl w:val="true"/>
        </w:rPr>
        <w:footnoteReference w:id="561"/>
      </w:r>
      <w:r>
        <w:rPr>
          <w:rFonts w:ascii="IRNazanin" w:hAnsi="IRNazanin" w:eastAsia="IRNazanin"/>
          <w:color w:val="111111"/>
          <w:sz w:val="28"/>
          <w:sz w:val="28"/>
          <w:szCs w:val="28"/>
          <w:rtl w:val="true"/>
          <w:lang w:bidi="fa-IR"/>
        </w:rPr>
        <w:t>ارسطویی، امروز هم زیباترین و آموزنده‌ترین مقدّمه‌ای است که تاکنون انسان برای منطق نوشته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همان طور که ذکر شد، ابن سینا از ارسطو ستایش فراوان کرده و کار خویش را دربارة منطق، توضیح و تفصیل کار وی دانسته است، ولی باید گفت، وی این سخن را تا حدود زیادی از سر تواضع ابراز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دو نوآوری به ابن سینا منتسب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مسائل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ساختار منطق‌نگاری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وی بخش مقولات را از منطق حذف کرد؛ چون به نظر او، بحث مقولات بر عهدة منطقی نیست و مطرح شدن آن از سوی منطق‌دانان، خروج از واجب ونوعی تکلّف است که آن را بر خود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شیخ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المنطقی و إن تَکَلَّفَه، تَکَلَّفَ فضولاً</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فارابی علم را به تصوّر و تصدیق تقسیم کرد و ابن سینا با الهام از این تقسیم، متوجّه دوگانگی در متعلّق منطق شد و آن را در اشارات،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ولی در شفا برای حفظ کردن ساختار قبلی منطق که از ارسطو به یادگار مانده بود، منطق را به نُه بخش تقسیم کرد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تسمیة منطق ابن سینا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دوبخشی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مترجم لاتینی منطق النجای،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در قرن هفدهم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دوبخشی برای نخستین بار در اشارات مطرح شد و بدین سبب، منطق اشارات را سرآغاز منطق دوبخشی می‌نامند</w:t>
      </w:r>
      <w:r>
        <w:rPr>
          <w:rFonts w:eastAsia="IRNazanin" w:cs="IRNazanin"/>
          <w:color w:val="111111"/>
          <w:sz w:val="28"/>
          <w:szCs w:val="28"/>
          <w:rtl w:val="true"/>
          <w:lang w:bidi="fa-IR"/>
        </w:rPr>
        <w:t>.</w:t>
      </w:r>
      <w:r>
        <w:rPr>
          <w:rStyle w:val="FootnoteAnchor"/>
          <w:rtl w:val="true"/>
        </w:rPr>
        <w:footnoteReference w:id="566"/>
      </w:r>
      <w:bookmarkStart w:id="377" w:name="pg5678_50472"/>
    </w:p>
    <w:p>
      <w:pPr>
        <w:pStyle w:val="BookText"/>
        <w:rPr/>
      </w:pPr>
      <w:bookmarkEnd w:id="377"/>
      <w:r>
        <w:rPr>
          <w:rFonts w:ascii="IRNazanin" w:hAnsi="IRNazanin" w:eastAsia="IRNazanin"/>
          <w:color w:val="111111"/>
          <w:sz w:val="28"/>
          <w:sz w:val="28"/>
          <w:szCs w:val="28"/>
          <w:rtl w:val="true"/>
          <w:lang w:bidi="fa-IR"/>
        </w:rPr>
        <w:t>از آنجایی که دستوارت منطقی، فطری است، کلّیة خرده‌گیریهایی که بر منطق وارد شده، نتوانسته شاکلة مستحکم آن را متزلزل و آن را از صحنه خارج کند؛ چرا که ردّ منطق، اگر مستدل باشد، باید بر قوانین منطقی استوار گردد، در غیر این صورت، دیگر استدلال نیست؛ مثل این استدلال که خود، قیاس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پای چوبین سخت بی‌تمکین بود</w:t>
      </w:r>
    </w:p>
    <w:p>
      <w:pPr>
        <w:pStyle w:val="BookText"/>
        <w:rPr/>
      </w:pPr>
      <w:r>
        <w:rPr>
          <w:rFonts w:ascii="IRNazanin" w:hAnsi="IRNazanin" w:eastAsia="IRNazanin"/>
          <w:color w:val="111111"/>
          <w:sz w:val="28"/>
          <w:sz w:val="28"/>
          <w:szCs w:val="28"/>
          <w:rtl w:val="true"/>
          <w:lang w:bidi="fa-IR"/>
        </w:rPr>
        <w:t>از دیدگاه ابن سینا هر برهانی باید بر یک سلسله معلومات و اصول بدیهی مبتنی باشد و آن معلومات و اصول نیز از استدلال بی‌نیاز باشد؛ زیرا در غیر این صورت، تسلسلْ مانع رسیدن به هر علمی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ابن سینا برای ارسطو احترام بسیار قائل است، طبعش از هرگونه تقلید بی‌دلیل گریزان است؛ از این رو، برای هر مطلبی، دلیل می‌طلبد و برای هر معلولی، علّتی می‌جوید، حتی پذیرفتن بلادلیل را خروج از فطرت انسانیّت می‌شمارد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تَعَوَّذ أن یصدّق من غیر دلیل، فقد انسلخ عن الفطری الإنسانیی؛</w:t>
      </w:r>
      <w:r>
        <w:rPr>
          <w:rStyle w:val="FootnoteAnchor"/>
          <w:rtl w:val="true"/>
        </w:rPr>
        <w:footnoteReference w:id="567"/>
      </w:r>
      <w:r>
        <w:rPr>
          <w:rFonts w:ascii="IRNazanin" w:hAnsi="IRNazanin" w:eastAsia="IRNazanin"/>
          <w:color w:val="111111"/>
          <w:sz w:val="28"/>
          <w:sz w:val="28"/>
          <w:szCs w:val="28"/>
          <w:rtl w:val="true"/>
          <w:lang w:bidi="fa-IR"/>
        </w:rPr>
        <w:t>کسی که عادت کرده که بدون دلیل، مطلبی را تصدیق کند، در حقیقت، از فطرت انسانی خارج شده است</w:t>
      </w:r>
      <w:r>
        <w:rPr>
          <w:rFonts w:eastAsia="IRNazanin" w:cs="IRNazanin"/>
          <w:color w:val="111111"/>
          <w:sz w:val="28"/>
          <w:szCs w:val="28"/>
          <w:rtl w:val="true"/>
          <w:lang w:bidi="fa-IR"/>
        </w:rPr>
        <w:t>.</w:t>
      </w:r>
    </w:p>
    <w:p>
      <w:pPr>
        <w:pStyle w:val="Heading3"/>
        <w:numPr>
          <w:ilvl w:val="2"/>
          <w:numId w:val="1"/>
        </w:numPr>
        <w:rPr/>
      </w:pPr>
      <w:bookmarkStart w:id="378" w:name="__RefHeading___Toc3562017_581953129"/>
      <w:bookmarkStart w:id="379" w:name="_Toc140"/>
      <w:bookmarkEnd w:id="378"/>
      <w:r>
        <w:rPr>
          <w:rtl w:val="true"/>
        </w:rPr>
        <w:t>تقسیم منطق</w:t>
      </w:r>
      <w:bookmarkEnd w:id="379"/>
    </w:p>
    <w:p>
      <w:pPr>
        <w:pStyle w:val="BookText"/>
        <w:rPr/>
      </w:pPr>
      <w:r>
        <w:rPr>
          <w:rFonts w:ascii="IRNazanin" w:hAnsi="IRNazanin" w:eastAsia="IRNazanin"/>
          <w:color w:val="111111"/>
          <w:sz w:val="28"/>
          <w:sz w:val="28"/>
          <w:szCs w:val="28"/>
          <w:rtl w:val="true"/>
          <w:lang w:bidi="fa-IR"/>
        </w:rPr>
        <w:t>تقسیمات موجود در منطق ابن سینا و سایر حکمای اسلامی، جز در موارد اندکی، با هم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منطق را به نه بخش تقسیم می‌کند که با هشت رسالة ارسطو و ایساغوجی مطابق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این تقسیمات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 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در الفاظ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فرفوریوس از اهالی شهر صور در ساحل شام است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کتاب ارسطو مقدّمه‌ای نوشت و نام آن را ایساغوجی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هدفش، توضیح مطالب ارسطو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می‌توان از شارحان برجستة منطق ارسطو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ایساغوجی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شرح</w:t>
      </w:r>
    </w:p>
    <w:p>
      <w:pPr>
        <w:pStyle w:val="BookText"/>
        <w:rPr/>
      </w:pPr>
      <w:r>
        <w:rPr>
          <w:rFonts w:ascii="IRNazanin" w:hAnsi="IRNazanin" w:eastAsia="IRNazanin"/>
          <w:color w:val="111111"/>
          <w:sz w:val="28"/>
          <w:sz w:val="28"/>
          <w:szCs w:val="28"/>
          <w:rtl w:val="true"/>
          <w:lang w:bidi="fa-IR"/>
        </w:rPr>
        <w:t>الفاظ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مثل جنس، نوع، فصل، خاصه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تبیین از ارسطو بهره وافری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عبارت از جوهر و عرض است و اعراض به نه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کیف، این، اضافه، متی، ملک، وضع، فعل،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به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قضیه و احتمال صدق و کذب در آن، بحث می‌شود و ارسطو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ارمینیاس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معرفت جدیدی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انالوطیقای ارسطو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شرطهای ضروری در قیاس که رعایت این شرطها، نتیجة قطعی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انالوطیقای دوم ارسطو یعنی برهان، متکفّل این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قیاسهای سودمند که عنوان این بحث، جدل یا دیالقطیقا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نقصهای برهان و راه رهایی از این 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سوفسطیقای ارسطو در تبیین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قیاسهای خطابی و نیازمندیهای خطیب برای اقناع مستمعانِ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این بخش را ریطوریقا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آنچه قوّت و ضعف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می‌توان در کتاب بوطیقا از ارسطو یعنی کتاب شعر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فوق توسط شارحان و تابعان ارسطو به ترتیب مذکور تفصیل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یک تقسیم کلّی، منطق را به سه قسم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مقولات که از تصوّرات عامه بحث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اقوال مؤلفه از تصوّرات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استدلال بحث می‌کند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تقسیمی ریزتر، منطق ارسطو مشتمل بر هشت کتاب است که ذکر گردید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ابن سینا، مقولات در منطق جایگاهی ندارد و می‌گوید، به سبب تقلید از دیگران </w:t>
      </w:r>
      <w:bookmarkStart w:id="380" w:name="pg5678_50474"/>
    </w:p>
    <w:p>
      <w:pPr>
        <w:pStyle w:val="BookText"/>
        <w:rPr/>
      </w:pPr>
      <w:bookmarkEnd w:id="380"/>
      <w:r>
        <w:rPr>
          <w:rFonts w:ascii="IRNazanin" w:hAnsi="IRNazanin" w:eastAsia="IRNazanin"/>
          <w:color w:val="111111"/>
          <w:sz w:val="28"/>
          <w:sz w:val="28"/>
          <w:szCs w:val="28"/>
          <w:rtl w:val="true"/>
          <w:lang w:bidi="fa-IR"/>
        </w:rPr>
        <w:t>آن را در اینجا بیان کرده است؛</w:t>
      </w:r>
      <w:r>
        <w:rPr>
          <w:rStyle w:val="FootnoteAnchor"/>
          <w:rtl w:val="true"/>
        </w:rPr>
        <w:footnoteReference w:id="570"/>
      </w:r>
      <w:r>
        <w:rPr>
          <w:rFonts w:ascii="IRNazanin" w:hAnsi="IRNazanin" w:eastAsia="IRNazanin"/>
          <w:color w:val="111111"/>
          <w:sz w:val="28"/>
          <w:sz w:val="28"/>
          <w:szCs w:val="28"/>
          <w:rtl w:val="true"/>
          <w:lang w:bidi="fa-IR"/>
        </w:rPr>
        <w:t>بدین علّت که موضوع منطق معقولات ثانیه است؛ یعنی مفاهیمی که اتصاف و عروضشان در ذهن است، در حالی که مقولات، معقولات اولیّه است و این معقولات، در فلسفه به بحث گذاشته می‌شوند</w:t>
      </w:r>
      <w:r>
        <w:rPr>
          <w:rFonts w:eastAsia="IRNazanin" w:cs="IRNazanin"/>
          <w:color w:val="111111"/>
          <w:sz w:val="28"/>
          <w:szCs w:val="28"/>
          <w:rtl w:val="true"/>
          <w:lang w:bidi="fa-IR"/>
        </w:rPr>
        <w:t>.</w:t>
      </w:r>
    </w:p>
    <w:p>
      <w:pPr>
        <w:pStyle w:val="Heading3"/>
        <w:numPr>
          <w:ilvl w:val="2"/>
          <w:numId w:val="1"/>
        </w:numPr>
        <w:rPr/>
      </w:pPr>
      <w:bookmarkStart w:id="381" w:name="__RefHeading___Toc3562019_581953129"/>
      <w:bookmarkStart w:id="382" w:name="_Toc141"/>
      <w:bookmarkEnd w:id="381"/>
      <w:r>
        <w:rPr>
          <w:rtl w:val="true"/>
        </w:rPr>
        <w:t>تعریف قضیه</w:t>
      </w:r>
      <w:bookmarkEnd w:id="382"/>
    </w:p>
    <w:p>
      <w:pPr>
        <w:pStyle w:val="Heading4"/>
        <w:numPr>
          <w:ilvl w:val="3"/>
          <w:numId w:val="1"/>
        </w:numPr>
        <w:rPr/>
      </w:pPr>
      <w:bookmarkStart w:id="383" w:name="__RefHeading___Toc3562021_581953129"/>
      <w:bookmarkStart w:id="384" w:name="_Toc14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 نظر ارسطو، قول و لفظ از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یا قضیه در صورتی منعقد می‌شود که جازم باشد؛ زیرا فقط در چنین صورتی است که به صدق یا کذب یک قضیه حکم می‌شود؛ از این رو، در مکتوبات حکمای اسلامی به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از سه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را اراده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لفظ مرکّب و قد عرفناه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قول فیه نسبی بین شیئین بحیث یتبعه حکم صدق أو کذب؛</w:t>
      </w:r>
      <w:r>
        <w:rPr>
          <w:rStyle w:val="FootnoteAnchor"/>
          <w:rtl w:val="true"/>
        </w:rPr>
        <w:footnoteReference w:id="571"/>
      </w:r>
      <w:r>
        <w:rPr>
          <w:rFonts w:ascii="IRNazanin" w:hAnsi="IRNazanin" w:eastAsia="IRNazanin"/>
          <w:color w:val="111111"/>
          <w:sz w:val="28"/>
          <w:sz w:val="28"/>
          <w:szCs w:val="28"/>
          <w:rtl w:val="true"/>
          <w:lang w:bidi="fa-IR"/>
        </w:rPr>
        <w:t>به هر لفظ مرکب قول می‌گویند که قبلاً آن را توضیح دادیم و قضیه و خبر عبارت از هر قولی است که در آن، بین دو چیز نسبت برقرار شده باشد، به طوری که قابلیت صدق یا کذب را داشته باشد</w:t>
      </w:r>
      <w:r>
        <w:rPr>
          <w:rFonts w:eastAsia="IRNazanin" w:cs="IRNazanin"/>
          <w:color w:val="111111"/>
          <w:sz w:val="28"/>
          <w:szCs w:val="28"/>
          <w:rtl w:val="true"/>
          <w:lang w:bidi="fa-IR"/>
        </w:rPr>
        <w:t>.</w:t>
      </w:r>
    </w:p>
    <w:p>
      <w:pPr>
        <w:pStyle w:val="Heading4"/>
        <w:numPr>
          <w:ilvl w:val="3"/>
          <w:numId w:val="1"/>
        </w:numPr>
        <w:rPr/>
      </w:pPr>
      <w:bookmarkStart w:id="385" w:name="__RefHeading___Toc3562023_581953129"/>
      <w:bookmarkStart w:id="386" w:name="_Toc143"/>
      <w:bookmarkEnd w:id="385"/>
      <w:r>
        <w:rPr>
          <w:rtl w:val="true"/>
        </w:rPr>
        <w:t>بسیط و مرکب</w:t>
      </w:r>
      <w:bookmarkEnd w:id="386"/>
    </w:p>
    <w:p>
      <w:pPr>
        <w:pStyle w:val="BookText"/>
        <w:rPr/>
      </w:pPr>
      <w:r>
        <w:rPr>
          <w:rFonts w:ascii="IRNazanin" w:hAnsi="IRNazanin" w:eastAsia="IRNazanin"/>
          <w:color w:val="111111"/>
          <w:sz w:val="28"/>
          <w:sz w:val="28"/>
          <w:szCs w:val="28"/>
          <w:rtl w:val="true"/>
          <w:lang w:bidi="fa-IR"/>
        </w:rPr>
        <w:t>در نظر ارسطو، قضیه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هر کدام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بسیط حکمی است که چیزی را بر چیز دیگر ایقاع یا چیزی را از چیز دیگر انتزاع می‌کند و قضیة مرکب آن است که از دو قضیة بسیط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البسیط الکائن من هذه فبمنزلی إیقاع شیء علی شیء، أو انتزاع شیء من شیء، و المؤَلّف من هذه بمنزلی القول الذی قد صار مرکّباً</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از ظاهر این تعریف، بسیط بودن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ارسطو، قضیة مرکب به چند صورت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قضیه‌ای که دارای چند موضوع و یک محمول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کاتب‌اند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قضیه‌ای که دارای چند محمول و یک موضوع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و شاعر است</w:t>
      </w:r>
      <w:r>
        <w:rPr>
          <w:rFonts w:eastAsia="IRNazanin" w:cs="IRNazanin"/>
          <w:color w:val="111111"/>
          <w:sz w:val="28"/>
          <w:szCs w:val="28"/>
          <w:rtl w:val="true"/>
          <w:lang w:bidi="fa-IR"/>
        </w:rPr>
        <w:t xml:space="preserve">». </w:t>
      </w:r>
      <w:bookmarkStart w:id="387" w:name="pg5678_50475"/>
    </w:p>
    <w:p>
      <w:pPr>
        <w:pStyle w:val="BookText"/>
        <w:rPr/>
      </w:pPr>
      <w:bookmarkEnd w:id="3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قضیه‌ای که دارای یک محمول باشد و آن محمول، معانی مختلفی را دارا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معانی مختلفی از قبیل حیّ، ذورجلین، آنس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قضیه‌ای که دارای چند موضوع و چند محمول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بکر کاتب و شاعرند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نتیجه گرفته می‌شود که مراد ارسطو از قضیة مرکّب، مرکّب در اصطلاح منطق‌دانان اسلامی نیست؛ زیرا این قضیه در اصطلاح اینان از موجّهات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توضیح قول بسیط و مرکب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البسیط هو ما رکّب من محمول واحد و موضوع واحد، لا من محمول أکثر من واحد و موضوع أکثر من واحد؛</w:t>
      </w:r>
      <w:r>
        <w:rPr>
          <w:rStyle w:val="FootnoteAnchor"/>
          <w:rtl w:val="true"/>
        </w:rPr>
        <w:footnoteReference w:id="573"/>
      </w:r>
      <w:r>
        <w:rPr>
          <w:rFonts w:ascii="IRNazanin" w:hAnsi="IRNazanin" w:eastAsia="IRNazanin"/>
          <w:color w:val="111111"/>
          <w:sz w:val="28"/>
          <w:sz w:val="28"/>
          <w:szCs w:val="28"/>
          <w:rtl w:val="true"/>
          <w:lang w:bidi="fa-IR"/>
        </w:rPr>
        <w:t>قضیة بسیطه آن است که از موضوع و محمول واحد ترکیب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می‌شود که بسیط و مرکب در نظر ارسطو، همان قضایای حملیه در نظر منطق‌دانان اسلامی است</w:t>
      </w:r>
      <w:r>
        <w:rPr>
          <w:rFonts w:eastAsia="IRNazanin" w:cs="IRNazanin"/>
          <w:color w:val="111111"/>
          <w:sz w:val="28"/>
          <w:szCs w:val="28"/>
          <w:rtl w:val="true"/>
          <w:lang w:bidi="fa-IR"/>
        </w:rPr>
        <w:t>.</w:t>
      </w:r>
    </w:p>
    <w:p>
      <w:pPr>
        <w:pStyle w:val="Heading4"/>
        <w:numPr>
          <w:ilvl w:val="3"/>
          <w:numId w:val="1"/>
        </w:numPr>
        <w:rPr/>
      </w:pPr>
      <w:bookmarkStart w:id="388" w:name="__RefHeading___Toc3562025_581953129"/>
      <w:bookmarkStart w:id="389" w:name="_Toc144"/>
      <w:bookmarkEnd w:id="388"/>
      <w:r>
        <w:rPr>
          <w:rtl w:val="true"/>
        </w:rPr>
        <w:t>حملیه و شرطیه</w:t>
      </w:r>
      <w:bookmarkEnd w:id="389"/>
    </w:p>
    <w:p>
      <w:pPr>
        <w:pStyle w:val="BookText"/>
        <w:rPr/>
      </w:pPr>
      <w:r>
        <w:rPr>
          <w:rFonts w:ascii="IRNazanin" w:hAnsi="IRNazanin" w:eastAsia="IRNazanin"/>
          <w:color w:val="111111"/>
          <w:sz w:val="28"/>
          <w:sz w:val="28"/>
          <w:szCs w:val="28"/>
          <w:rtl w:val="true"/>
          <w:lang w:bidi="fa-IR"/>
        </w:rPr>
        <w:t>منطق‌دانان اسلامی قضیه را به حملی و شرطی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در قضیه، ثبوت یا نفی چیزی برای چیزی باشد، اعم از اینکه موجبه باشد یا سالبه، به چنین قضیه‌ای، حملیه می‌گویند و محکوم‌علیه را موضوع و محکوم‌به را محمول می‌نامند؛ در غیر این صورت، قضیه را شرطیه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بخش نخست، مقدّم و بخش دوم، تالی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ابن سینا، در یک ترکیب خبری، احتمال صدق و کذب وجود دارد؛ بدین صورت که به قائلش می‌توانی بگویی که در گفتارش، صادق یا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قید، استفهام، التماس، ترجّی، تعجّب و امثال اینها داخل در بحث نیست، زیرا به قائل چنین ترکیبهایی نمی‌توان صادق بودن یا کاذب بودن را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که صلاحیت برای قبول صدق یا کذب را دارد، به نظر ابن سینا، به حملی و شرطی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ترکیبی در نظر وی، به سه قسم تقسیم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متّصل؛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منفصل</w:t>
      </w:r>
      <w:r>
        <w:rPr>
          <w:rFonts w:eastAsia="IRNazanin" w:cs="IRNazanin"/>
          <w:color w:val="111111"/>
          <w:sz w:val="28"/>
          <w:szCs w:val="28"/>
          <w:rtl w:val="true"/>
          <w:lang w:bidi="fa-IR"/>
        </w:rPr>
        <w:t>.</w:t>
      </w:r>
      <w:r>
        <w:rPr>
          <w:rStyle w:val="FootnoteAnchor"/>
          <w:rtl w:val="true"/>
        </w:rPr>
        <w:footnoteReference w:id="57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تفتازانی نیز قضیه به حملی و شرطی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تهذیب المنطق </w:t>
      </w:r>
      <w:bookmarkStart w:id="390" w:name="pg5678_50476"/>
    </w:p>
    <w:p>
      <w:pPr>
        <w:pStyle w:val="BookText"/>
        <w:rPr/>
      </w:pPr>
      <w:bookmarkEnd w:id="39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الحکم فیها بثبوت شیء لشیء أو نفیه عنه، فحملیی،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فشرطیی</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391" w:name="__RefHeading___Toc3562027_581953129"/>
      <w:bookmarkStart w:id="392" w:name="_Toc145"/>
      <w:bookmarkEnd w:id="391"/>
      <w:r>
        <w:rPr>
          <w:rtl w:val="true"/>
        </w:rPr>
        <w:t>تقسیم قضیه به اعتبار محمول</w:t>
      </w:r>
      <w:bookmarkEnd w:id="392"/>
    </w:p>
    <w:p>
      <w:pPr>
        <w:pStyle w:val="BookText"/>
        <w:rPr/>
      </w:pPr>
      <w:r>
        <w:rPr>
          <w:rFonts w:ascii="IRNazanin" w:hAnsi="IRNazanin" w:eastAsia="IRNazanin"/>
          <w:color w:val="111111"/>
          <w:sz w:val="28"/>
          <w:sz w:val="28"/>
          <w:szCs w:val="28"/>
          <w:rtl w:val="true"/>
          <w:lang w:bidi="fa-IR"/>
        </w:rPr>
        <w:t>قضیه به اعتبار محمول، به محصّله و معدوله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محصّله آن است که حرف سلب در جانب موضوع یا محمول نباشد و معدوله آن است که حرف سلب در جانب موضوع یا محمول یا هر دو طرف باشد؛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إنسان 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لا صاحل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إنسان لا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جانب موضوع، ذات موضوع مدّ نظر است نه مفهوم آن، پس مراد از قضیة معدوله، معدولی المحمول است؛ بنابراین تقسیم به معدوله و محصّله به اعتبار محمول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ابن رشد،</w:t>
      </w:r>
      <w:r>
        <w:rPr>
          <w:rStyle w:val="FootnoteAnchor"/>
          <w:rtl w:val="true"/>
        </w:rPr>
        <w:footnoteReference w:id="576"/>
      </w:r>
      <w:r>
        <w:rPr>
          <w:rFonts w:ascii="IRNazanin" w:hAnsi="IRNazanin" w:eastAsia="IRNazanin"/>
          <w:color w:val="111111"/>
          <w:sz w:val="28"/>
          <w:sz w:val="28"/>
          <w:szCs w:val="28"/>
          <w:rtl w:val="true"/>
          <w:lang w:bidi="fa-IR"/>
        </w:rPr>
        <w:t>ارسطو قضایا را به ثنائیه و ثلاثیه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ثنائیه آن است که محمول آن، کلمه</w:t>
      </w:r>
      <w:r>
        <w:rPr>
          <w:rStyle w:val="FootnoteAnchor"/>
          <w:rtl w:val="true"/>
        </w:rPr>
        <w:footnoteReference w:id="577"/>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فقط از موضوع و محمول تشکیل شده است و قضیة ثلاثیه آن است که محمول آن، اسم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یوجد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موضوع و محمول و رابطه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کلام ارسطو درمی‌یابیم که مراد وی از قضایای ثنائیه، هلیّات بسیطه است که در آنها بین خود شیء و وجودش رابطه‌ای وجود ندارد؛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وی از قضایای ثلاثیه، هلیّات مرکبه است که در این قضایا به رابطه نیاز هست؛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 و معدوله بودن قضیه نیز در منطق ارسطو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اقسام حاصل از معدوله یا محصّله بودن موضوع یا محمول در قضایای ثنائیه و ثلاثیه را مطرح می‌کند و ضروب حاصل از آنها را برمی‌شمارد؛ بنابراین، وی محصّله و غیر محصّله را هم برای موضوع و هم برای محمول قائل است</w:t>
      </w:r>
      <w:r>
        <w:rPr>
          <w:rFonts w:eastAsia="IRNazanin" w:cs="IRNazanin"/>
          <w:color w:val="111111"/>
          <w:sz w:val="28"/>
          <w:szCs w:val="28"/>
          <w:rtl w:val="true"/>
          <w:lang w:bidi="fa-IR"/>
        </w:rPr>
        <w:t>.</w:t>
      </w:r>
      <w:r>
        <w:rPr>
          <w:rStyle w:val="FootnoteAnchor"/>
          <w:rtl w:val="true"/>
        </w:rPr>
        <w:footnoteReference w:id="57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نیز در تقسیم قضیه به اعتبار محمول، قضیه را به معدوله و محصّله تقسیم می‌کند و یک قسم دیگر را به نام عدمیه به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قضیة عدمیه می‌گوید</w:t>
      </w:r>
      <w:r>
        <w:rPr>
          <w:rFonts w:eastAsia="IRNazanin" w:cs="IRNazanin"/>
          <w:color w:val="111111"/>
          <w:sz w:val="28"/>
          <w:szCs w:val="28"/>
          <w:rtl w:val="true"/>
          <w:lang w:bidi="fa-IR"/>
        </w:rPr>
        <w:t xml:space="preserve">: </w:t>
      </w:r>
      <w:bookmarkStart w:id="393" w:name="pg5678_50477"/>
    </w:p>
    <w:p>
      <w:pPr>
        <w:pStyle w:val="BookText"/>
        <w:rPr/>
      </w:pPr>
      <w:bookmarkEnd w:id="393"/>
      <w:r>
        <w:rPr>
          <w:rFonts w:ascii="IRNazanin" w:hAnsi="IRNazanin" w:eastAsia="IRNazanin"/>
          <w:color w:val="111111"/>
          <w:sz w:val="28"/>
          <w:sz w:val="28"/>
          <w:szCs w:val="28"/>
          <w:rtl w:val="true"/>
          <w:lang w:bidi="fa-IR"/>
        </w:rPr>
        <w:t xml:space="preserve">قضیة عدمیه بنا بر قول مشهور، آن است که محمولش اخس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واقع، قضیة عدمیه آن است که محمولش بر عدم شیء دلالت کند، در حالی که شأنش یا شأن نوعش یا جنسش، آن است که آن را واجد باشد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طبق این تفسیر، قضیة عدمیه در حقیقت، قسمی از قضیة غیر محصّله است؛ غیر محصله نیز اعم از معدوله و عدمیه است</w:t>
      </w:r>
      <w:r>
        <w:rPr>
          <w:rFonts w:eastAsia="IRNazanin" w:cs="IRNazanin"/>
          <w:color w:val="111111"/>
          <w:sz w:val="28"/>
          <w:szCs w:val="28"/>
          <w:rtl w:val="true"/>
          <w:lang w:bidi="fa-IR"/>
        </w:rPr>
        <w:t>.</w:t>
      </w:r>
    </w:p>
    <w:p>
      <w:pPr>
        <w:pStyle w:val="Heading4"/>
        <w:numPr>
          <w:ilvl w:val="3"/>
          <w:numId w:val="1"/>
        </w:numPr>
        <w:rPr/>
      </w:pPr>
      <w:bookmarkStart w:id="394" w:name="__RefHeading___Toc3562029_581953129"/>
      <w:bookmarkStart w:id="395" w:name="_Toc146"/>
      <w:bookmarkEnd w:id="394"/>
      <w:r>
        <w:rPr>
          <w:rtl w:val="true"/>
        </w:rPr>
        <w:t>تقسیم قضیه به اعتبار کمیت</w:t>
      </w:r>
      <w:bookmarkEnd w:id="395"/>
    </w:p>
    <w:p>
      <w:pPr>
        <w:pStyle w:val="BookText"/>
        <w:rPr/>
      </w:pPr>
      <w:r>
        <w:rPr>
          <w:rFonts w:ascii="IRNazanin" w:hAnsi="IRNazanin" w:eastAsia="IRNazanin"/>
          <w:color w:val="111111"/>
          <w:sz w:val="28"/>
          <w:sz w:val="28"/>
          <w:szCs w:val="28"/>
          <w:rtl w:val="true"/>
          <w:lang w:bidi="fa-IR"/>
        </w:rPr>
        <w:t>مبنای تقسیم قضیه به اعتبار کمیّت، تشخّص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جنبة موضوع، تقسیم قضیه به شخصیه، مهمله، طبیعیه و محصوره را در پی داشته است؛ زیرا موضوع یک قضیه یا جزئی حقیقی است، مثل زید، یا موضوع آن، افراد نامعیّن است یا در موضوع، اصولاً افراد مدّ نظر نیست، بلکه طبیعت موضوع مدّ نظر است، یا اینکه افراد با قید جزئیّت یا کلیّت مدّ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در صورت نخست، شخصیه؛ در صورت دوم، مهمله؛ در صورت سوم، طبیعیه و در صورت چهارم، محصوره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ارسطو، معانی یا کلّی است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آن است که بر بیش از یکی صادق باشد، مثل انسان، در حالی که جزئی این گونه نیست، مثل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تفسیر ابن رشد از منطق ارسطو، مراد وی از جزئی، همان شخصی است و هنگامی که معنای کلّی اراده شود، یا از سور استفاده می‌شود یا بدون سور استعمال می‌گردد و مراد از سور،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اگر افراد مدّ نظر نباشند، قضیه را مهمله می‌گویند، این قسم از قضایا نیز در تقسیم ارسطو وارد شده است؛ به طوری که ماکوولسکی در تاریخ منطق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در طبقه‌بندی قضایا از لحاظ کمیت، قضایا را به کلّی و جزئی و مهمله تقسیم کرده است</w:t>
      </w:r>
      <w:r>
        <w:rPr>
          <w:rFonts w:eastAsia="IRNazanin" w:cs="IRNazanin"/>
          <w:color w:val="111111"/>
          <w:sz w:val="28"/>
          <w:szCs w:val="28"/>
          <w:rtl w:val="true"/>
          <w:lang w:bidi="fa-IR"/>
        </w:rPr>
        <w:t>».</w:t>
      </w:r>
      <w:r>
        <w:rPr>
          <w:rStyle w:val="FootnoteAnchor"/>
          <w:rtl w:val="true"/>
        </w:rPr>
        <w:footnoteReference w:id="581"/>
      </w:r>
      <w:bookmarkStart w:id="396" w:name="pg5678_50478"/>
    </w:p>
    <w:p>
      <w:pPr>
        <w:pStyle w:val="BookText"/>
        <w:rPr/>
      </w:pPr>
      <w:bookmarkEnd w:id="396"/>
      <w:r>
        <w:rPr>
          <w:rFonts w:ascii="IRNazanin" w:hAnsi="IRNazanin" w:eastAsia="IRNazanin"/>
          <w:color w:val="111111"/>
          <w:sz w:val="28"/>
          <w:sz w:val="28"/>
          <w:szCs w:val="28"/>
          <w:rtl w:val="true"/>
          <w:lang w:bidi="fa-IR"/>
        </w:rPr>
        <w:t xml:space="preserve">ابن سینا در نجات، از قضیة شخصیه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شفا و اشارات، همین نام را برای چنین قضایایی انتخاب می‌کند،</w:t>
      </w:r>
      <w:r>
        <w:rPr>
          <w:rStyle w:val="FootnoteAnchor"/>
          <w:rtl w:val="true"/>
        </w:rPr>
        <w:footnoteReference w:id="582"/>
      </w:r>
      <w:r>
        <w:rPr>
          <w:rFonts w:ascii="IRNazanin" w:hAnsi="IRNazanin" w:eastAsia="IRNazanin"/>
          <w:color w:val="111111"/>
          <w:sz w:val="28"/>
          <w:sz w:val="28"/>
          <w:szCs w:val="28"/>
          <w:rtl w:val="true"/>
          <w:lang w:bidi="fa-IR"/>
        </w:rPr>
        <w:t>ولی در کتاب نجات تصریح می‌کند که قضیة مخصوصه به نام شخصیه نامیده نمی‌شود؛</w:t>
      </w:r>
      <w:r>
        <w:rPr>
          <w:rStyle w:val="FootnoteAnchor"/>
          <w:rtl w:val="true"/>
        </w:rPr>
        <w:footnoteReference w:id="583"/>
      </w:r>
      <w:r>
        <w:rPr>
          <w:rFonts w:ascii="IRNazanin" w:hAnsi="IRNazanin" w:eastAsia="IRNazanin"/>
          <w:color w:val="111111"/>
          <w:sz w:val="28"/>
          <w:sz w:val="28"/>
          <w:szCs w:val="28"/>
          <w:rtl w:val="true"/>
          <w:lang w:bidi="fa-IR"/>
        </w:rPr>
        <w:t>در حالی که مألوف در کتب منطقی، نامیدن چنین قضیه‌ای به نام قضیة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چنین قضیه‌ای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شاخصه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فالقضیی التی موضوعها شاخص،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کقولک زید کاتب</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397" w:name="__RefHeading___Toc3562031_581953129"/>
      <w:bookmarkStart w:id="398" w:name="_Toc147"/>
      <w:bookmarkEnd w:id="397"/>
      <w:r>
        <w:rPr>
          <w:rtl w:val="true"/>
        </w:rPr>
        <w:t>قضیه به اعتبار کمیت و کیفیت</w:t>
      </w:r>
      <w:bookmarkEnd w:id="398"/>
    </w:p>
    <w:p>
      <w:pPr>
        <w:pStyle w:val="BookText"/>
        <w:rPr/>
      </w:pPr>
      <w:r>
        <w:rPr>
          <w:rFonts w:ascii="IRNazanin" w:hAnsi="IRNazanin" w:eastAsia="IRNazanin"/>
          <w:color w:val="111111"/>
          <w:sz w:val="28"/>
          <w:sz w:val="28"/>
          <w:szCs w:val="28"/>
          <w:rtl w:val="true"/>
          <w:lang w:bidi="fa-IR"/>
        </w:rPr>
        <w:t>قضیه از حیث اعتبار کمیت و کیفیت، به چهار قسم تقسیم می‌گردد؛ زیرا یا جزئی است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حکم به اثبات یا نفی محمول از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چنین تقسیمی را در کتاب منطق ارائه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معانی جزئی و بعضی کلّی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که از جزئیات به شمار می‌رود؛ بنابراین، وقتی به وجود چیزی یا نفی آن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ناچار یا برای معنای کلّی است یا برای معنای جزئی</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عین عبارت ارسطو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المعانی بعضها کلیّاً و بعضها جزئیاً، أعنی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شأنه أن یحمل علی أکثر من واحد، و أعنی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ذلک من شأنه، و مثال ذلک 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المعانی الکلیّی، و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الجزئیات، فواجب ضروری متی حکمنا بوجود أو غیر وجود أن یکون ذلک أحیاناً لمعنی من المعانی الکلّیّی، و أحیاناً لمعنی من المعانی الجزئیی</w:t>
      </w:r>
      <w:r>
        <w:rPr>
          <w:rFonts w:eastAsia="IRNazanin" w:cs="IRNazanin"/>
          <w:color w:val="111111"/>
          <w:sz w:val="28"/>
          <w:szCs w:val="28"/>
          <w:rtl w:val="true"/>
          <w:lang w:bidi="fa-IR"/>
        </w:rPr>
        <w:t>.</w:t>
      </w:r>
      <w:r>
        <w:rPr>
          <w:rStyle w:val="FootnoteAnchor"/>
          <w:rtl w:val="true"/>
        </w:rPr>
        <w:footnoteReference w:id="5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نامیده شدن این قضایا به محصورات این است که کمیتشان با سور معلوم می‌گردد؛ مثل کل 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 در قضایای کلیّه، افراد من حیث المجموع نیست، </w:t>
      </w:r>
      <w:bookmarkStart w:id="399" w:name="pg5678_50479"/>
    </w:p>
    <w:p>
      <w:pPr>
        <w:pStyle w:val="BookText"/>
        <w:rPr/>
      </w:pPr>
      <w:bookmarkEnd w:id="399"/>
      <w:r>
        <w:rPr>
          <w:rFonts w:ascii="IRNazanin" w:hAnsi="IRNazanin" w:eastAsia="IRNazanin"/>
          <w:color w:val="111111"/>
          <w:sz w:val="28"/>
          <w:sz w:val="28"/>
          <w:szCs w:val="28"/>
          <w:rtl w:val="true"/>
          <w:lang w:bidi="fa-IR"/>
        </w:rPr>
        <w:t xml:space="preserve">بلکه تک تک افراد، مدّ نظر است؛ یعنی هر فردی که مصداق آن موضوع باشد، آن حکم را می‌پذیرد؛ مثلاً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فردی از انسان را که در نظر بگیریم، همین حکم بر او صادق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ابن سینا نیز در تقسیم قضیه از حیث کم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تبیین قضایای مخصوصه، مهمله و محصوره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بیِّن أنّ الحکم عامّ، سمّیت القضیّی کلیّی و هی إمّا موجبی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حیوان، و إمّا سالبی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واحد من الناس بحجر و إن کان بیِّن الحکم فی البعض و لم یتعرّض للباقی أو تعرّض بالخلاف، فالمحصوری جزئیی</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ابن سینا دربارة چگونگی دلالت الف و لام یا تنوین، علم نحو را متکفّل این تحقیق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الحقّ فی ذلک فلصناعی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ولی در شفا دامنة بحث را در این باره گسترش داده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دربارة اشرف بودن هریک از ایجاب و سلب بعضی گفته‌اند، ایجاب اشرف از سلب است و بعضی نیز سلب را در امور الهیه، اشرف از ایجاب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خاضوا فیه من حدیث أنّ الإیجاب أشرف أو السلب،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 أشرف،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السلب فی الأمور الإلهیّی أشرف من الإیجاب، فنوع من العلم لا أفهمه و لا أمیل أن أفهمه</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400" w:name="__RefHeading___Toc3562033_581953129"/>
      <w:bookmarkStart w:id="401" w:name="_Toc148"/>
      <w:bookmarkEnd w:id="400"/>
      <w:r>
        <w:rPr>
          <w:rtl w:val="true"/>
        </w:rPr>
        <w:t>تقدّم سلب یا ایجاب</w:t>
      </w:r>
      <w:bookmarkEnd w:id="401"/>
    </w:p>
    <w:p>
      <w:pPr>
        <w:pStyle w:val="BookText"/>
        <w:rPr/>
      </w:pPr>
      <w:r>
        <w:rPr>
          <w:rFonts w:ascii="IRNazanin" w:hAnsi="IRNazanin" w:eastAsia="IRNazanin"/>
          <w:color w:val="111111"/>
          <w:sz w:val="28"/>
          <w:sz w:val="28"/>
          <w:szCs w:val="28"/>
          <w:rtl w:val="true"/>
          <w:lang w:bidi="fa-IR"/>
        </w:rPr>
        <w:t>از ظاهر کلام ارسطو استفاده می‌شود که ایجاب بر سلب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 الواحد الأوّل الجازم هو الإیجاب ثمّ من بعده السلبُ</w:t>
      </w:r>
      <w:r>
        <w:rPr>
          <w:rFonts w:eastAsia="IRNazanin" w:cs="IRNazanin"/>
          <w:color w:val="111111"/>
          <w:sz w:val="28"/>
          <w:szCs w:val="28"/>
          <w:rtl w:val="true"/>
          <w:lang w:bidi="fa-IR"/>
        </w:rPr>
        <w:t>».</w:t>
      </w:r>
      <w:r>
        <w:rPr>
          <w:rStyle w:val="FootnoteAnchor"/>
          <w:rtl w:val="true"/>
        </w:rPr>
        <w:footnoteReference w:id="5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نیز به تقدّم ایجاب بر سلب اذعان دارد و علّت آن را </w:t>
      </w:r>
      <w:bookmarkStart w:id="402" w:name="pg5678_50480"/>
    </w:p>
    <w:p>
      <w:pPr>
        <w:pStyle w:val="BookText"/>
        <w:rPr/>
      </w:pPr>
      <w:bookmarkEnd w:id="402"/>
      <w:r>
        <w:rPr>
          <w:rFonts w:ascii="IRNazanin" w:hAnsi="IRNazanin" w:eastAsia="IRNazanin"/>
          <w:color w:val="111111"/>
          <w:sz w:val="28"/>
          <w:sz w:val="28"/>
          <w:szCs w:val="28"/>
          <w:rtl w:val="true"/>
          <w:lang w:bidi="fa-IR"/>
        </w:rPr>
        <w:t>بساطت ایجاب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ایجاب نیز بدین سبب است که قضیة موجبه از یک موضوع و محمول و حرف ربط تشکیل می‌گردد، در حالی که قضیة سالبه، افزون بر این عناصر، به حرف سلب نیز نیاز دارد؛ از این رو، مؤخّر است؛ زیرا هر چه که وجودش متشکّل از اجزاء کمتری باشد، بر غیر خودش مقدّم است</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403" w:name="__RefHeading___Toc3562035_581953129"/>
      <w:bookmarkStart w:id="404" w:name="_Toc149"/>
      <w:bookmarkEnd w:id="403"/>
      <w:r>
        <w:rPr>
          <w:rtl w:val="true"/>
        </w:rPr>
        <w:t>اقسام حمل</w:t>
      </w:r>
      <w:bookmarkEnd w:id="404"/>
    </w:p>
    <w:p>
      <w:pPr>
        <w:pStyle w:val="BookText"/>
        <w:rPr/>
      </w:pPr>
      <w:r>
        <w:rPr>
          <w:rFonts w:ascii="IRNazanin" w:hAnsi="IRNazanin" w:eastAsia="IRNazanin"/>
          <w:color w:val="111111"/>
          <w:sz w:val="28"/>
          <w:sz w:val="28"/>
          <w:szCs w:val="28"/>
          <w:rtl w:val="true"/>
          <w:lang w:bidi="fa-IR"/>
        </w:rPr>
        <w:t>حمل در اصطلاح، تبیین نسبت امری به امر دیگر یا به ایجاب یا به سلب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ربط‌دهنده بین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تقسیمات گوناگونی دارد؛ از قبیل حمل اوّلی ذاتی و حمل شایع صناعی، حمل مواطات و حمل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اوّلی ذاتی؛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اوّلی ذاتی، حمل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حملی، موضوع و محمول به حسب مفهوم و مصداق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حملی، علم تازه‌ای برای انسان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شایع صناعی؛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چنین حملی در علوم و صناعات، شایع است و بیشتر حملها از این نوع است، به چنین حملی، حمل شایع صناعی می‌گویند؛ زیرا حمل اوّلی به ندرت در محاورات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 موضوع و مفهوم از لحاظ مصداق، یکسان، ولی از لحاظ مفهوم،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مواطات؛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حملی است که محمول در آن عیناً بر موضوع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حملی، از حیثی بین موضوع و محمول، مغایرت و از حیثی اتّحاد هست؛ زیرا اگر مغایرت به طور کامل باشد، حمل صحیح نیست و اگر اتّحاد هم به طور کامل باشد، حمل مفید فایده نیست</w:t>
      </w:r>
      <w:r>
        <w:rPr>
          <w:rFonts w:eastAsia="IRNazanin" w:cs="IRNazanin"/>
          <w:color w:val="111111"/>
          <w:sz w:val="28"/>
          <w:szCs w:val="28"/>
          <w:rtl w:val="true"/>
          <w:lang w:bidi="fa-IR"/>
        </w:rPr>
        <w:t>.</w:t>
      </w:r>
      <w:r>
        <w:rPr>
          <w:rStyle w:val="FootnoteAnchor"/>
          <w:rtl w:val="true"/>
        </w:rPr>
        <w:footnoteReference w:id="5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اشتقاق؛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اسم آن پیداست، اگر از لفظی، مشتقّی بنا کنند یا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آن لفظ قابل حمل خواهد بود، ولی خود لفظ بدون اشتقاق و بدون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نخواهد بود و صحیح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ضحک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ذو 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امکان می‌یابد و صحیح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ارسطو به دو قسم از اقسام حمل تصریح می‌کند؛ حمل عرضی و حمل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عرضی دو چیز را یک چیز نمی‌کند؛ مانند اینکه به یکی از افراد گفته شود که او ابیض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ابیض و انسان یک چیز نیست؛ یعنی معانی آنها با هم متفاوت است؛ گرچه در خارج به یک مصداق محقّق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حمل، آن است که موضوع و محمول دارای یک معنا و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حمل در صورتی است که حمل ذاتی باشد نه عرضی؛</w:t>
      </w:r>
      <w:r>
        <w:rPr>
          <w:rStyle w:val="FootnoteAnchor"/>
          <w:rtl w:val="true"/>
        </w:rPr>
        <w:footnoteReference w:id="597"/>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ارسطو صحت حمل را به موجود بودن موضوع مشروط می‌داند و به نظر وی، حمل بر معدومات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لیس بموجود فلیس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قولنا فیه أنّه یوجد متَوَهّماً قولاً صادقاً و ذلک أنّ التوهّم فیه لیس أنّه موجود، بل أنّه غیر موجود</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امّا از نظر ابن سینا و خواجه نصیرالدین طوسی موجود بودن موضوع از شرایط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شرح ایجاب و سلب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الإیجاب الحملی هو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الشیء الذی نفرضه فی الذهن إنساناً، کان موجوداً فی الأعیان أو غیر موجود، فیجب أن نفرضه حیواناً، و نحکم علیه بأنّه حیوان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خواجة طوسی در شرح این عبارت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در قضیه لازم نیست در اعیان موجود باشد؛ زیرا ما حکم می‌کنیم بر بعضی از اعیانی که در خارج موجود نیستند؛ مثل اینکه حکم می‌کنیم بر شکل هندسی‌ای که در خارج موجودیت ندارد و نیز شرط موضوع قضیه، این نیست که در اعیان موجود نباشد، بلکه بسیاری از احکام بر موجودات جاری می‌گردد؛ بنابراین، موضوع قضیه نسبت به وجود یا عدم وجودش در اعیان لااقتضاست، بلکه شرطش این است که آن موضوع در </w:t>
      </w:r>
      <w:bookmarkStart w:id="405" w:name="pg5678_50482"/>
    </w:p>
    <w:p>
      <w:pPr>
        <w:pStyle w:val="BookText"/>
        <w:rPr/>
      </w:pPr>
      <w:bookmarkEnd w:id="405"/>
      <w:r>
        <w:rPr>
          <w:rFonts w:ascii="IRNazanin" w:hAnsi="IRNazanin" w:eastAsia="IRNazanin"/>
          <w:color w:val="111111"/>
          <w:sz w:val="28"/>
          <w:sz w:val="28"/>
          <w:szCs w:val="28"/>
          <w:rtl w:val="true"/>
          <w:lang w:bidi="fa-IR"/>
        </w:rPr>
        <w:t>ذهن مفروض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این حکم برای انسانِ مفروض ذهنی حاصل است و از قیود ذاتی، همچون وقت معیّن یا نامعیّن یا در جمیع اوقات، اطلاق دارد؛ از این رو، ابن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نحکم علیه بأنّه حیوان من غیر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 ما یعمّ الموقّت و المقیّد و مقابلیهما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این نکته شایان یادآوری است که از نظر ابن سینا حمل نوع بر فردی از آن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ذاتی است؛ زیرا ماهیّت نوعیه، همة ماهیّت اشخاص را تشکیل می‌دهد، اما خواجه نصیرالدین طوسی با این رأی مخالف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نیز با این رأی مخالف‌اند؛ زیرا چنین حملی، حمل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نیز عقیدة جمهور را برگزیده است و در بیان علّت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همان نوع است، بلکه فرد از ماهیت و عوارض شخصیّه تشکیل می‌شود و آنچه به فرد خارجی تشخّص می‌دهد، عوارض شخصیّه است</w:t>
      </w:r>
      <w:r>
        <w:rPr>
          <w:rFonts w:eastAsia="IRNazanin" w:cs="IRNazanin"/>
          <w:color w:val="111111"/>
          <w:sz w:val="28"/>
          <w:szCs w:val="28"/>
          <w:rtl w:val="true"/>
          <w:lang w:bidi="fa-IR"/>
        </w:rPr>
        <w:t>.</w:t>
      </w:r>
    </w:p>
    <w:p>
      <w:pPr>
        <w:pStyle w:val="Heading3"/>
        <w:numPr>
          <w:ilvl w:val="2"/>
          <w:numId w:val="1"/>
        </w:numPr>
        <w:rPr/>
      </w:pPr>
      <w:bookmarkStart w:id="406" w:name="__RefHeading___Toc3562037_581953129"/>
      <w:bookmarkStart w:id="407" w:name="_Toc150"/>
      <w:bookmarkEnd w:id="406"/>
      <w:r>
        <w:rPr>
          <w:rtl w:val="true"/>
        </w:rPr>
        <w:t>قضایای شرطیه</w:t>
      </w:r>
      <w:bookmarkEnd w:id="407"/>
    </w:p>
    <w:p>
      <w:pPr>
        <w:pStyle w:val="BookText"/>
        <w:rPr/>
      </w:pPr>
      <w:r>
        <w:rPr>
          <w:rFonts w:ascii="IRNazanin" w:hAnsi="IRNazanin" w:eastAsia="IRNazanin"/>
          <w:color w:val="111111"/>
          <w:sz w:val="28"/>
          <w:sz w:val="28"/>
          <w:szCs w:val="28"/>
          <w:rtl w:val="true"/>
          <w:lang w:bidi="fa-IR"/>
        </w:rPr>
        <w:t>افزودن قیاس شرطیة اقترانی بر انواع قیاسات، یکی از ابتکارات ابن سیناست؛ زیرا منطق‌دانان گذشته، فقط قیاس اقترانی حملی را بررسی کرده‌اند و به اقترانی شرطی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قیاس را به اقترانی و استثنایی و سپس اقترانی را به اقترانی حملی و اقترانی شرطی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آن است که عین نتیجه یا نقیض آن، بالفعل در مقدّمات مذکور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فلز باشد، هادی جریان الکتریسیته است، لکن هادی جریان الکتریستیه نیست؛ پس فلز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 آن است که عین نتیجه یا نقیض آن، بالفعل در مقدمات مذکور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به حملی و شرطی تقسیم می‌گردد؛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جسم فلز است و هر فلزی، هادی جریان الکتریسیته است؛ پس این جسم، هادی جریان الکتریسیته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اقترانی شرطی، قیاسی است که مقدّمات آن، شرطی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مثلثی سه زاویه‌اش مساوی باشد، سه ضلعش مساوی است و هرگاه سه ضلع مثلث مساوی باشد، منصف الزوایای آن مثلث مساوی است؛ پس اگر مثلثی سه زاویه‌اش مساوی باشد، منصف </w:t>
      </w:r>
    </w:p>
    <w:p>
      <w:pPr>
        <w:pStyle w:val="BookText"/>
        <w:rPr/>
      </w:pPr>
      <w:r>
        <w:rPr>
          <w:rFonts w:ascii="IRNazanin" w:hAnsi="IRNazanin" w:eastAsia="IRNazanin"/>
          <w:color w:val="111111"/>
          <w:sz w:val="28"/>
          <w:sz w:val="28"/>
          <w:szCs w:val="28"/>
          <w:rtl w:val="true"/>
          <w:lang w:bidi="fa-IR"/>
        </w:rPr>
        <w:t>الزاویه‌هایش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غالب منطق‌دانان این است که ارسطو به قیاس اقترانی شرطی نپرداخته است، اما باید گفت، وی متفطن قضایای شرطیه بوده و قیاس اقترانی حملی و شرطی استثنایی را نیز مدّ نظر داشته است؛ چنان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سائر المقاییس الشرطیی مثل التی تکون بتحویل القول أو بکیفیّی، فإنّ النظر لیس یکون فی المقدّمات الشرطیی منها و لکن فی القول المحوّل</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بنا به تفسیر فرید جبر، این فقره به قیاس استثنایی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نقیض تالی در قیاس اخذ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المرئیّ إنساناً فهو حیوان، لکنّه لیس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استثنای مقدّم و باقی ماندن استثنا بر حالت سابقه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استثنای تالی، کیفیت فرق می‌کند؛ یعنی اگر تالی موجبه باشد، استثنایش سالبه است و اگر سالبه باشد، استثنایش موجبه است، ولی در استثنای مقدّم، کیفیت تغییر نمی‌کند؛ بنابراین، اگر مقدم، موجبه باشد استثنای آن، موجبه و اگر سالبه باشد استثنای آن، سالبه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ابن رشد نیز در تلخیص کتاب قیاس ارسطو، قیاس شرطی استثنایی را توضیح می‌دهد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با وجود این، ارسطو به شرطیات چندان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ماکوولسکی در تاریخ منطق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قضایای شرطیه را احکام قراردادی می‌نامد که در آن، دیدگاه متکلّم هنوز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نوعی توافق قراردادی میان گفت‌وگوکننده با مخاطبش است و از نوع جملاتی است که معمولاً چنین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کنیم که چنین است</w:t>
      </w:r>
      <w:r>
        <w:rPr>
          <w:rFonts w:eastAsia="IRNazanin" w:cs="IRNazanin"/>
          <w:color w:val="111111"/>
          <w:sz w:val="28"/>
          <w:szCs w:val="28"/>
          <w:rtl w:val="true"/>
          <w:lang w:bidi="fa-IR"/>
        </w:rPr>
        <w:t>.</w:t>
      </w:r>
      <w:r>
        <w:rPr>
          <w:rStyle w:val="FootnoteAnchor"/>
          <w:rtl w:val="true"/>
        </w:rPr>
        <w:footnoteReference w:id="6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ارسطو به قضایای شرطیه متفطّن بوده، لکن به علل مذکور از پرداختن به آنها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ارسطو کتابی دربارة قضایای شرطیه نوشته است، ولی عدّه‌ای، این گمان را باطل دانسته،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حدس باطل است؛ زیرا اگر ارسطو می‌خواست قضایای شرطیه را بیان کند، آن را در ضمن کتاب </w:t>
      </w:r>
      <w:bookmarkStart w:id="408" w:name="pg5678_50484"/>
    </w:p>
    <w:p>
      <w:pPr>
        <w:pStyle w:val="BookText"/>
        <w:rPr/>
      </w:pPr>
      <w:bookmarkEnd w:id="408"/>
      <w:r>
        <w:rPr>
          <w:rFonts w:ascii="IRNazanin" w:hAnsi="IRNazanin" w:eastAsia="IRNazanin"/>
          <w:color w:val="111111"/>
          <w:sz w:val="28"/>
          <w:sz w:val="28"/>
          <w:szCs w:val="28"/>
          <w:rtl w:val="true"/>
          <w:lang w:bidi="fa-IR"/>
        </w:rPr>
        <w:t>العباره بررسی کرد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به هر حال، نوآوری ابن سینا در قضایای شرطی یا قیاس استثنایی نبوده، بلکه نوآوری وی تنها در قیاس اقترانی شرطی بوده است؛ چه اینکه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منطق‌دانان فقط متوجّه حملیات بودند و می‌پنداشتند که شرطیات فقط یک قسم دارد و آن استثنائیه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بنابراین، وی قیاس شرطی اقترانی را از تحقیقات خویش می‌داند و در قسم اقترانیات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الاقترانیات قد تکون من حملیات ساذجی و قد تکون من شرطیات ساذجی و قد تکون مرکبی منهما</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بدین سبب، خواجة طوسی اخراج شرطیات اقترانیه را به شیخ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وقف الشیخ لإخراج الشرطیات الاقترانیی من القوّی إلی الفعل فحقّق أنّ القیاس إنّما ینقسم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این عبارت از خواجة طوسی بر دست‌یابی ابن سینا به قیاسات اقترانی شرطی صراحت دارد</w:t>
      </w:r>
      <w:r>
        <w:rPr>
          <w:rFonts w:eastAsia="IRNazanin" w:cs="IRNazanin"/>
          <w:color w:val="111111"/>
          <w:sz w:val="28"/>
          <w:szCs w:val="28"/>
          <w:rtl w:val="true"/>
          <w:lang w:bidi="fa-IR"/>
        </w:rPr>
        <w:t>.</w:t>
      </w:r>
    </w:p>
    <w:p>
      <w:pPr>
        <w:pStyle w:val="Heading3"/>
        <w:numPr>
          <w:ilvl w:val="2"/>
          <w:numId w:val="1"/>
        </w:numPr>
        <w:rPr/>
      </w:pPr>
      <w:bookmarkStart w:id="409" w:name="__RefHeading___Toc3562039_581953129"/>
      <w:bookmarkStart w:id="410" w:name="_Toc151"/>
      <w:bookmarkEnd w:id="409"/>
      <w:r>
        <w:rPr>
          <w:rtl w:val="true"/>
        </w:rPr>
        <w:t>تناقض</w:t>
      </w:r>
      <w:bookmarkEnd w:id="410"/>
    </w:p>
    <w:p>
      <w:pPr>
        <w:pStyle w:val="BookText"/>
        <w:rPr/>
      </w:pPr>
      <w:r>
        <w:rPr>
          <w:rFonts w:ascii="IRNazanin" w:hAnsi="IRNazanin" w:eastAsia="IRNazanin"/>
          <w:color w:val="111111"/>
          <w:sz w:val="28"/>
          <w:sz w:val="28"/>
          <w:szCs w:val="28"/>
          <w:rtl w:val="true"/>
          <w:lang w:bidi="fa-IR"/>
        </w:rPr>
        <w:t>مغایرت بین دو شیء صور مختلفی دارد؛ از قبیل تماثل، تخالف و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به چهار قسم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تضایف، تضاد، عدم و ملکه، و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مفصّلاً در کتابهای فلسفی بحث شده، ولی در منطق، نسبت بین دو قضیه و تغایر بین آنها مورد توجّه است و سایر موارد تغایر از بحث منطقی خارج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تغایر حاصل بین دو قضیه، ممکن است از نوع تداخل یا تضاد، یا داخل در تضاد یا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از سایر مغایرتهای بین دو قضیه صرف‌نظر کرده، صرفاً تناقض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یعنی اختلاف دو قضیه از جهت سلب و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اثبات</w:t>
      </w:r>
      <w:r>
        <w:rPr>
          <w:rFonts w:eastAsia="IRNazanin" w:cs="IRNazanin"/>
          <w:color w:val="111111"/>
          <w:sz w:val="28"/>
          <w:szCs w:val="28"/>
          <w:rtl w:val="true"/>
          <w:lang w:bidi="fa-IR"/>
        </w:rPr>
        <w:t xml:space="preserve">) </w:t>
      </w:r>
      <w:bookmarkStart w:id="411" w:name="pg5678_50485"/>
    </w:p>
    <w:p>
      <w:pPr>
        <w:pStyle w:val="BookText"/>
        <w:rPr/>
      </w:pPr>
      <w:bookmarkEnd w:id="411"/>
      <w:r>
        <w:rPr>
          <w:rFonts w:ascii="IRNazanin" w:hAnsi="IRNazanin" w:eastAsia="IRNazanin"/>
          <w:color w:val="111111"/>
          <w:sz w:val="28"/>
          <w:sz w:val="28"/>
          <w:szCs w:val="28"/>
          <w:rtl w:val="true"/>
          <w:lang w:bidi="fa-IR"/>
        </w:rPr>
        <w:t>به طوری که از صدق یکی، کذب دیگری لازم آید؛ بنابراین، ممتنع است که متناقضین هر دو صادق یا هر دو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تناقض باید دو قضیه از لحاظ کم، کیف و جهت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مطلقه یعنی قضایایی که در آنها قید جهت وجود ندارد، اختلاف در کم و کیف برای تحقّق تناقض کافی است، مگر قضایای شخصیه که اگر اختلاف در کم در آنها نباشد، باز هم تناقض محقّق می‌شود، اما قضایای موجهه علاوه بر اختلاف در کم و کیف، اختلاف در جهت نیز در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از میان انواع تقابل قضایا فقط به دو نوع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الإیجاب و السلب یکونان متقابلین علی طریق التناقض متی کان یدلّ فی الشیء الواحد بعینه أنّ الکلّی لیست بکلّی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یکونان متقابلین علی طریق التضادّ متی کان فیهما الإیجاب الکلّی و السلب الکلّی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بعضی بر این باورند که ارسطو نخستین کسی است که تمایز بین تقابل تناقض و تضاد را تبیین کرده، در حالی که در نظریة افلاطون، این تمایز تبیین نشده بود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ابن سینا هر چهار نوع تقابل بین دو قضیه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علّت آنکه ارسطو دو نوع دیگر تقابل را مطرح نکرده آن بوده که این دو نوع تقابل را تقابل منطقی ندانسته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مطلب دیگر که جمهور منطق‌دانان از جمله ارسطو از آن غفلت داشته‌اند، این است که در قضایای موجهه برای تحقّق تناقض علاوه بر اختلاف در کم و کیف، اختلاف در جهت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چنین غفلتی را از تحریف و کمی تأمل می‌داند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زیرا گاهی اتفاق می‌افتد که اگر جهت در دو قضیه موجهه یکی باشد، امکان صدق هر دو وجود دارد</w:t>
      </w:r>
      <w:r>
        <w:rPr>
          <w:rFonts w:eastAsia="IRNazanin" w:cs="IRNazanin"/>
          <w:color w:val="111111"/>
          <w:sz w:val="28"/>
          <w:szCs w:val="28"/>
          <w:rtl w:val="true"/>
          <w:lang w:bidi="fa-IR"/>
        </w:rPr>
        <w:t>.</w:t>
      </w:r>
    </w:p>
    <w:p>
      <w:pPr>
        <w:pStyle w:val="Heading3"/>
        <w:numPr>
          <w:ilvl w:val="2"/>
          <w:numId w:val="1"/>
        </w:numPr>
        <w:rPr/>
      </w:pPr>
      <w:bookmarkStart w:id="412" w:name="__RefHeading___Toc3562041_581953129"/>
      <w:bookmarkStart w:id="413" w:name="_Toc152"/>
      <w:bookmarkEnd w:id="412"/>
      <w:r>
        <w:rPr>
          <w:rtl w:val="true"/>
        </w:rPr>
        <w:t>عکس قضایا</w:t>
      </w:r>
      <w:bookmarkEnd w:id="4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مباحثی که در منطق مورد توجّه است و منطق‌دانان از شرایط و قوانین آن بحث می‌کنند، عکس قضایاست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بحث بدین سبب است که اگر کسی، صدق قضیه‌ای را که </w:t>
      </w:r>
    </w:p>
    <w:p>
      <w:pPr>
        <w:pStyle w:val="BookText"/>
        <w:rPr/>
      </w:pPr>
      <w:r>
        <w:rPr>
          <w:rFonts w:ascii="IRNazanin" w:hAnsi="IRNazanin" w:eastAsia="IRNazanin"/>
          <w:color w:val="111111"/>
          <w:sz w:val="28"/>
          <w:sz w:val="28"/>
          <w:szCs w:val="28"/>
          <w:rtl w:val="true"/>
          <w:lang w:bidi="fa-IR"/>
        </w:rPr>
        <w:t xml:space="preserve">اصل نامیده می‌شود، بداند، می‌تواند به صدق عکس آن هم حکم کند و برای اثبات صدق عکس در چنین فرضی به اقامة استدلال نیازی نیست؛ برای مثال، عکس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حیوانها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صدق جملة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قضیه دو گونه است؛ عکس مستوی و عکس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شرایط و احکامی دارد که به طور کلّی اموری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ارسطو، عکس سالبة کلیه، سالبة کلیه است و عکس موجبة کلیه، موجبة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موجبة جزئیه، موجبة جزئیه است و سالبة جزئیه، عکس ندارد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ارسطو برای صحت ادّعای خود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 قضایای موجبه را نیز مطرح می‌کند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ابن سینا در اشارات عکس قضیه را این 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یجعل المحمول من القضیی موضوعاً و الموضوع محمولاً مع حفظ الکیفیّی و بقاء الصدق و الکذب بحاله؛</w:t>
      </w:r>
      <w:r>
        <w:rPr>
          <w:rStyle w:val="FootnoteAnchor"/>
          <w:rtl w:val="true"/>
        </w:rPr>
        <w:footnoteReference w:id="615"/>
      </w:r>
      <w:r>
        <w:rPr>
          <w:rFonts w:ascii="IRNazanin" w:hAnsi="IRNazanin" w:eastAsia="IRNazanin"/>
          <w:color w:val="111111"/>
          <w:sz w:val="28"/>
          <w:sz w:val="28"/>
          <w:szCs w:val="28"/>
          <w:rtl w:val="true"/>
          <w:lang w:bidi="fa-IR"/>
        </w:rPr>
        <w:t>عکس قضیه آن است که با حفظ کیفیت و بقای صدق و کذب، جای موضوع و محمول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بر این تعریف وارد شد، زائد بودن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زیرا ممکن است قضیة اصل، کاذب و قضیة عکس صادق باشد؛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حیوانها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انسانها حیوان‌اند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زائد است؛ زیرا عمومیت تعریف را نقض می‌کند و تعریف، جامع افراد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قصیدة مزدوجه که ضمیمة منطق المشرقیین است،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فقط صدق را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یصدق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ذاک الذی یدعونه منعکسا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قضیه آن است که جای موضوع و محمول عوض شود و صدق به حال خود باقی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همچنین در شفا، کتاب قیاس، بقای کذب را حذف کرده و در تعریف عکس </w:t>
      </w:r>
      <w:bookmarkStart w:id="414" w:name="pg5678_50487"/>
    </w:p>
    <w:p>
      <w:pPr>
        <w:pStyle w:val="BookText"/>
        <w:rPr/>
      </w:pPr>
      <w:bookmarkEnd w:id="414"/>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العکس هو تصیر الموضوع محمولاً و المحمول موضوعاً، مع بقاء الکیفیی و الصدق علی حاله؛</w:t>
      </w:r>
      <w:r>
        <w:rPr>
          <w:rStyle w:val="FootnoteAnchor"/>
          <w:rtl w:val="true"/>
        </w:rPr>
        <w:footnoteReference w:id="617"/>
      </w:r>
      <w:r>
        <w:rPr>
          <w:rFonts w:ascii="IRNazanin" w:hAnsi="IRNazanin" w:eastAsia="IRNazanin"/>
          <w:color w:val="111111"/>
          <w:sz w:val="28"/>
          <w:sz w:val="28"/>
          <w:szCs w:val="28"/>
          <w:rtl w:val="true"/>
          <w:lang w:bidi="fa-IR"/>
        </w:rPr>
        <w:t>عکس عبارت است از جابه‌جایی موضوع و محمول با بقای صدق و کیفیت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نجات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و الکذب بحاله</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تعریف ابن سینا در شفا و قصیدة مزدوجه در منطق با تعریف ارسطو منطبق است و خالی از کلمه کذب است، ولی تعریف ارسطو با تعریفی که ابن سینا در نجات و اشارات مطرح کرده است، منافات دارد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از موارد اختلاف بین ابن سینا و ارسطو، عکس قضایای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ارسطو، عکس قضایای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موجبة جزئیة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الموجبتان، فکلّ واحد منهما تنعکس جزئیی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بنابراین، اگر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عکس این دو قضیه، موجبة جزئیة ضروریی است؛ یعنی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برای اثبات این مدّعا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إن کان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اضطرار فإنّ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اضطرار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سینا این رأی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عکس قضیة ضروریة کلیّه، موجبة جزئیه با امکان عام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باشد،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نباشد؛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نیست و چون چنین چیزی امکان دارد؛ بنابراین، عکس موجبة کلیه، موجبة جزئیه با امکان اعم است؛ یعنی ممکن است عکس آن، ضروری باشد و ممکن است غیر ضروری باشد و اگر قضیة ضروریه، موجبة جزئیه باشد، عکس آن موجبة جزئیة ضروریه خواهد بود</w:t>
      </w:r>
      <w:r>
        <w:rPr>
          <w:rFonts w:eastAsia="IRNazanin" w:cs="IRNazanin"/>
          <w:color w:val="111111"/>
          <w:sz w:val="28"/>
          <w:szCs w:val="28"/>
          <w:rtl w:val="true"/>
          <w:lang w:bidi="fa-IR"/>
        </w:rPr>
        <w:t>.</w:t>
      </w:r>
    </w:p>
    <w:p>
      <w:pPr>
        <w:pStyle w:val="Heading3"/>
        <w:numPr>
          <w:ilvl w:val="2"/>
          <w:numId w:val="1"/>
        </w:numPr>
        <w:rPr/>
      </w:pPr>
      <w:bookmarkStart w:id="415" w:name="__RefHeading___Toc3562043_581953129"/>
      <w:bookmarkStart w:id="416" w:name="_Toc153"/>
      <w:bookmarkEnd w:id="415"/>
      <w:r>
        <w:rPr>
          <w:rtl w:val="true"/>
        </w:rPr>
        <w:t>دو قضیة مطلقه</w:t>
      </w:r>
      <w:bookmarkEnd w:id="4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قضیة مطلقه در کیف با هم اختلاف داشته باشند، قیاس شکل </w:t>
      </w:r>
      <w:bookmarkStart w:id="417" w:name="pg5678_50488"/>
    </w:p>
    <w:p>
      <w:pPr>
        <w:pStyle w:val="BookText"/>
        <w:rPr/>
      </w:pPr>
      <w:bookmarkEnd w:id="417"/>
      <w:r>
        <w:rPr>
          <w:rFonts w:ascii="IRNazanin" w:hAnsi="IRNazanin" w:eastAsia="IRNazanin"/>
          <w:color w:val="111111"/>
          <w:sz w:val="28"/>
          <w:sz w:val="28"/>
          <w:szCs w:val="28"/>
          <w:rtl w:val="true"/>
          <w:lang w:bidi="fa-IR"/>
        </w:rPr>
        <w:t>دوم از این دو قضیه منعقد نمی‌گردد، در حالی که جمهور منطق‌دانان بر تحقّق قیاس معتقدند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شیخ برای این مدعا استدلال آورده است که توضیح آن از حوصلة این مقاله خارج است</w:t>
      </w:r>
      <w:r>
        <w:rPr>
          <w:rFonts w:eastAsia="IRNazanin" w:cs="IRNazanin"/>
          <w:color w:val="111111"/>
          <w:sz w:val="28"/>
          <w:szCs w:val="28"/>
          <w:rtl w:val="true"/>
          <w:lang w:bidi="fa-IR"/>
        </w:rPr>
        <w:t>.</w:t>
      </w:r>
    </w:p>
    <w:p>
      <w:pPr>
        <w:pStyle w:val="Heading3"/>
        <w:numPr>
          <w:ilvl w:val="2"/>
          <w:numId w:val="1"/>
        </w:numPr>
        <w:rPr/>
      </w:pPr>
      <w:bookmarkStart w:id="418" w:name="__RefHeading___Toc3562045_581953129"/>
      <w:bookmarkStart w:id="419" w:name="_Toc154"/>
      <w:bookmarkEnd w:id="418"/>
      <w:r>
        <w:rPr>
          <w:rtl w:val="true"/>
        </w:rPr>
        <w:t>نتیجه‌گیری</w:t>
      </w:r>
      <w:bookmarkEnd w:id="419"/>
    </w:p>
    <w:p>
      <w:pPr>
        <w:pStyle w:val="BookText"/>
        <w:rPr/>
      </w:pPr>
      <w:r>
        <w:rPr>
          <w:rFonts w:ascii="IRNazanin" w:hAnsi="IRNazanin" w:eastAsia="IRNazanin"/>
          <w:color w:val="111111"/>
          <w:sz w:val="28"/>
          <w:sz w:val="28"/>
          <w:szCs w:val="28"/>
          <w:rtl w:val="true"/>
          <w:lang w:bidi="fa-IR"/>
        </w:rPr>
        <w:t>تأثیر ارسطو در افکار اندیشمندان بعدی بسیار بوده است؛ به طوری که پیشگامان عرصة اندیشه و فکر، او را متحوّل‌کنندة منطق، بلکه واضع آن می‌دانند و بزرگ‌ترین کارش را در منطق، پرداختن به قیاس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با آنکه خود ید طولایی در منطق دارد، در برابر مقام شامخ ارسطو فروتنی می‌کند؛ به گونه‌ای که نه تنها کار خویش را در منطق، توضیح و شرح گفته‌های ارسطو می‌داند، بلکه معتقد است کسی بر مطالب ارسطو در باب منطق چیزی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ابن سینا بخش مقولات را از منطق حذف کرد و بحث از آن را وظیفة فلسفه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همان طور که در فلسفه در بسیاری از مواضع بر منهج مشائیان می‌رفت، در منطق نیز مگر در موارد نادری، به حذف روش معهود تمایل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شفا همچون ارسطو، منطق را به نه بخش تقسیم کرد، ولی در اشارات، آن را به صورت دو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تعریف و منطق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از این رو، منطق اشارات را سرآغاز منطق دوبخشی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منطق‌دانان قبل از ابن سینا به قیاس اقترانی شرطی متفطّن نبودند؛ از این رو، قیاس از دیدگاه ابن سینا یا اقترانی است یا استثنایی، و قیاس اقترانی یا حملی است یا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 قضیة مطلقه، آنگاه که در کیف با یکدیگر اختلاف داشته باشند، جمهور منطق‌دانان معتقدند قیاس شکل دوم منعقد است و ابن سینا با این رأی مخالف است و برای رأی خویش نیز استدلال اقامه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منطقی ارسطو بر تألیفات منطقی ابن سینا حاکم است؛ گو اینکه مواردی یافت می‌شود که در بعضی از کتابها مطابقت و در بعضی دیگر، عدم موافقت ظاهر می‌گردد؛ مثل آنچه در تعریف عکس گفته شد</w:t>
      </w:r>
      <w:r>
        <w:rPr>
          <w:rFonts w:eastAsia="IRNazanin" w:cs="IRNazanin"/>
          <w:color w:val="111111"/>
          <w:sz w:val="28"/>
          <w:szCs w:val="28"/>
          <w:rtl w:val="true"/>
          <w:lang w:bidi="fa-IR"/>
        </w:rPr>
        <w:t xml:space="preserve">. </w:t>
      </w:r>
      <w:bookmarkStart w:id="420" w:name="pg5678_50489"/>
    </w:p>
    <w:p>
      <w:pPr>
        <w:pStyle w:val="Heading2"/>
        <w:numPr>
          <w:ilvl w:val="1"/>
          <w:numId w:val="1"/>
        </w:numPr>
        <w:rPr/>
      </w:pPr>
      <w:bookmarkStart w:id="421" w:name="__RefHeading___Toc3562047_581953129"/>
      <w:bookmarkStart w:id="422" w:name="_Toc155"/>
      <w:bookmarkEnd w:id="420"/>
      <w:bookmarkEnd w:id="421"/>
      <w:r>
        <w:rPr>
          <w:rtl w:val="true"/>
        </w:rPr>
        <w:t>افکار افلاطونی ابن سینا</w:t>
      </w:r>
      <w:bookmarkEnd w:id="422"/>
    </w:p>
    <w:p>
      <w:pPr>
        <w:pStyle w:val="Heading3"/>
        <w:numPr>
          <w:ilvl w:val="2"/>
          <w:numId w:val="1"/>
        </w:numPr>
        <w:rPr/>
      </w:pPr>
      <w:bookmarkStart w:id="423" w:name="__RefHeading___Toc3562049_581953129"/>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جواد رقوی</w:t>
      </w:r>
    </w:p>
    <w:p>
      <w:pPr>
        <w:pStyle w:val="Heading3"/>
        <w:numPr>
          <w:ilvl w:val="2"/>
          <w:numId w:val="1"/>
        </w:numPr>
        <w:rPr/>
      </w:pPr>
      <w:bookmarkStart w:id="425" w:name="__RefHeading___Toc3562051_581953129"/>
      <w:bookmarkStart w:id="426" w:name="_Toc157"/>
      <w:bookmarkEnd w:id="425"/>
      <w:r>
        <w:rPr>
          <w:rtl w:val="true"/>
        </w:rPr>
        <w:t>مقدّمه</w:t>
      </w:r>
      <w:bookmarkEnd w:id="426"/>
    </w:p>
    <w:p>
      <w:pPr>
        <w:pStyle w:val="BookText"/>
        <w:rPr/>
      </w:pPr>
      <w:r>
        <w:rPr>
          <w:rFonts w:ascii="IRNazanin" w:hAnsi="IRNazanin" w:eastAsia="IRNazanin"/>
          <w:color w:val="111111"/>
          <w:sz w:val="28"/>
          <w:sz w:val="28"/>
          <w:szCs w:val="28"/>
          <w:rtl w:val="true"/>
          <w:lang w:bidi="fa-IR"/>
        </w:rPr>
        <w:t>حجّی الحق، شیخ الرئیس، ابوعلی سینا، از حکمای بزرگ مکتب مشّاء و پیرو فلسفة ارسطویی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این سخن، بیانگر اندیشه‌ای رایج در حوزة تفکّر اسلامی است که در آن، همواره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یاد حکمت بحثی و فلسفة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اندیشه، از یک سو، شباهتها و مطابقتهایی است که در بعضی موارد، بین دیدگاه ابن سینا و ارسطو دیده می‌شود و از سوی دیگر، مخالفت ابن سینا با بعضی افکار افلاطونی و نوافلاطونی، مانند نظریة مُثُل و اتّحاد عاقل و معقول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اگرچه مشّائی بودن و به عبارت دیگر، ارسطویی بودن ابن سینا حق است، تمام حقیقت نیست و با نگاهی دیگر می‌توان وی را در عداد حکمای افلاطونی به شمار آورد؛ زیرا در موارد فراوانی، ابن سینا از سنّت ارسطو عدول کرده و به دیدگاهی افلاطونی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خصوصاً در مقایسة مکتب ابن سینا با مکتب ابن رشد، با </w:t>
      </w:r>
    </w:p>
    <w:p>
      <w:pPr>
        <w:pStyle w:val="BookText"/>
        <w:rPr/>
      </w:pPr>
      <w:r>
        <w:rPr>
          <w:rFonts w:ascii="IRNazanin" w:hAnsi="IRNazanin" w:eastAsia="IRNazanin"/>
          <w:color w:val="111111"/>
          <w:sz w:val="28"/>
          <w:sz w:val="28"/>
          <w:szCs w:val="28"/>
          <w:rtl w:val="true"/>
          <w:lang w:bidi="fa-IR"/>
        </w:rPr>
        <w:t>وضوح بیشتری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اعتراض ابن رشد بر ابن سینا نیز همین بود که وی از سنّت ارسطو روی گردانیده است؛ از این رو، سزاوار تهمتِ تهافت ابوحامد غزالی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افلاطونی بودن و به یک معنا اشراقی بودن ابن سینا در حوزة تفکّر غرب، بیشتر از جهان اسلام جلب توجّه کرده است و این، بدان سبب بوده است که آنها برخلاف مسلمانان، فلسفة اسلامی را از ابن رشد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آنجا که ابن رشد مفسّر ارسطو و مبیّن حکمت مشّائی باشد، نمی‌توان انتظار داشت، ابن سینایی که خویش را به پیروی از افکار ارسطو مقیّد نمی‌داند و در بعضی موارد، آرای نوافلاطونیان را نیز پذیرفته است، حکیمی مشّائی و مقبول واقع افتد؛ به عبارت دیگر، در حوزة تفکّر اسلامی، ابن سینا در مقابل شیخ اشراق قرار دارد؛ از این رو، مشّائی قلمداد می‌گردد، اما در جهان غرب رقیب ابن رشد است؛ بنابراین، حکیمی اشراقی و افلاطونی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یعنی افلاطونی بودن ابن سینا، در بین مسلمانان هم طرفدارانی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الاتّجاه الاشراقی فی فلسفی ابن سینا</w:t>
      </w:r>
      <w:r>
        <w:rPr>
          <w:rStyle w:val="FootnoteAnchor"/>
          <w:rtl w:val="true"/>
        </w:rPr>
        <w:footnoteReference w:id="626"/>
      </w:r>
      <w:r>
        <w:rPr>
          <w:rFonts w:ascii="IRNazanin" w:hAnsi="IRNazanin" w:eastAsia="IRNazanin"/>
          <w:color w:val="111111"/>
          <w:sz w:val="28"/>
          <w:sz w:val="28"/>
          <w:szCs w:val="28"/>
          <w:rtl w:val="true"/>
          <w:lang w:bidi="fa-IR"/>
        </w:rPr>
        <w:t>در تأیید این دیدگاه تلاش فراوانی کرده است، البته هدف او بررسی آرای اشراقی ابن سیناست که آرای افلاطونی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دائری المعارف الاسلامیه پس از برشمردن بعضی آرای افلاطونی ابن سینا، علّت این رویکرد افلاطونی ابن سینا را چنین بیان می‌کند که آنچه تفکّر ابن سینا را جهت داد، آثار فارابی است که آنها نیز به نوبة خود، در اصل، به شروح فلاسفة نوافلاطونی برمی‌گردد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گاهی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بدین سبب که معمولاً افلاطون در مقابل ارسطو، حکیمی اشراقی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مقصود از آرای افلاطونی، اخص از آرای اشراقی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اشراقی ابن سینا ممکن است ریشة هرمسی، غنوصی یا حتی ارسطویی داشته باشد،</w:t>
      </w:r>
      <w:r>
        <w:rPr>
          <w:rStyle w:val="FootnoteAnchor"/>
          <w:rtl w:val="true"/>
        </w:rPr>
        <w:footnoteReference w:id="628"/>
      </w:r>
      <w:r>
        <w:rPr>
          <w:rFonts w:ascii="IRNazanin" w:hAnsi="IRNazanin" w:eastAsia="IRNazanin"/>
          <w:color w:val="111111"/>
          <w:sz w:val="28"/>
          <w:sz w:val="28"/>
          <w:szCs w:val="28"/>
          <w:rtl w:val="true"/>
          <w:lang w:bidi="fa-IR"/>
        </w:rPr>
        <w:t>در حالی که مراد از آرای افلاطونی ابن سینا، دیدگاههایی است که با افکار افلاطون و نوافلاطونیان شباهت یا مطابقت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جستار کوشش می‌شود، افکار افلاطونی ابن سینا جمع‌آوری و بررسی شود</w:t>
      </w:r>
      <w:r>
        <w:rPr>
          <w:rFonts w:eastAsia="IRNazanin" w:cs="IRNazanin"/>
          <w:color w:val="111111"/>
          <w:sz w:val="28"/>
          <w:szCs w:val="28"/>
          <w:rtl w:val="true"/>
          <w:lang w:bidi="fa-IR"/>
        </w:rPr>
        <w:t xml:space="preserve">. </w:t>
      </w:r>
      <w:bookmarkStart w:id="427" w:name="pg5678_50491"/>
    </w:p>
    <w:p>
      <w:pPr>
        <w:pStyle w:val="Heading3"/>
        <w:numPr>
          <w:ilvl w:val="2"/>
          <w:numId w:val="1"/>
        </w:numPr>
        <w:rPr/>
      </w:pPr>
      <w:bookmarkStart w:id="428" w:name="__RefHeading___Toc3562053_581953129"/>
      <w:bookmarkStart w:id="429" w:name="_Toc158"/>
      <w:bookmarkEnd w:id="427"/>
      <w:bookmarkEnd w:id="428"/>
      <w:r>
        <w:rPr>
          <w:rtl w:val="true"/>
        </w:rPr>
        <w:t>زمینه‌های تأثیرپذیری ابن سینا از افلاطون</w:t>
      </w:r>
      <w:bookmarkEnd w:id="429"/>
    </w:p>
    <w:p>
      <w:pPr>
        <w:pStyle w:val="Heading4"/>
        <w:numPr>
          <w:ilvl w:val="3"/>
          <w:numId w:val="1"/>
        </w:numPr>
        <w:rPr/>
      </w:pPr>
      <w:bookmarkStart w:id="430" w:name="__RefHeading___Toc3562055_581953129"/>
      <w:bookmarkStart w:id="431" w:name="_Toc15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شباهت و همانندی دو متفکّر در یک دیدگاه، ضرورتاً به معنای اثرپذیری یکی از دیگری نیست؛ چه بسا هر یک با تأمّلات فردی به اندیشة واحدی رسیده باشند، اما طبیعت جریانهای فکری چنان بوده است که تأثیر آنها بر یکدیگر متقابل است و شاید نتوان اندیشه‌ای را یافت که در یک فرد از ابتدا آغاز گردد و تا مرحلة کمال در همان فرد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نظامهای فلسفی و دیدگاههای شکل‌دهندة آنها در افکار پیشینیان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زمینه‌های تاریخی نقل و انتقال اندیشه‌ها و وارسی روند شکل‌گیری دیدگاهها، ما را به سرچشمه‌های آن تفکّر و اَشکال بسیط‌تر آن در آرای گذشتگان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شرایط زمانی و محیط شکل‌گیری نظام فلسفی ابن سینا درمی‌یابیم که زمینة تأثیرپذیری او از افکار افلاطونی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فلسفه را خودآموزی کرد و از کسی متأثر نگردید، اما از راههای دیگر با افکار افلاطونی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به دربار نوح بن منصور راه یافت و از آن پس تا آخر عمر، ملازم حکمرانانی نظیر علاءالدولة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گردید که همواره از بزرگ‌ترین کتابخانه‌های زمانش بهره‌مند باشد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آشنایی ابن سینا با افکار افلاطونی و تأثیرپذیری از آنها را می‌توان از سه راه عمده دانست</w:t>
      </w:r>
      <w:r>
        <w:rPr>
          <w:rFonts w:eastAsia="IRNazanin" w:cs="IRNazanin"/>
          <w:color w:val="111111"/>
          <w:sz w:val="28"/>
          <w:szCs w:val="28"/>
          <w:rtl w:val="true"/>
          <w:lang w:bidi="fa-IR"/>
        </w:rPr>
        <w:t>:</w:t>
      </w:r>
    </w:p>
    <w:p>
      <w:pPr>
        <w:pStyle w:val="Heading4"/>
        <w:numPr>
          <w:ilvl w:val="3"/>
          <w:numId w:val="1"/>
        </w:numPr>
        <w:rPr/>
      </w:pPr>
      <w:bookmarkStart w:id="432" w:name="__RefHeading___Toc3562057_581953129"/>
      <w:bookmarkStart w:id="433" w:name="_Toc160"/>
      <w:bookmarkEnd w:id="432"/>
      <w:r>
        <w:rPr/>
        <w:t>1</w:t>
      </w:r>
      <w:r>
        <w:rPr>
          <w:rtl w:val="true"/>
        </w:rPr>
        <w:t xml:space="preserve">. </w:t>
      </w:r>
      <w:r>
        <w:rPr>
          <w:rtl w:val="true"/>
        </w:rPr>
        <w:t>مطالعة ترجمة آثار افلاطونی</w:t>
      </w:r>
      <w:bookmarkEnd w:id="4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قبل از ابن سینا، افکار افلاطونی به حوزة تفکّر اسلامی رسوخ کرده بود و آثار افلاطونی به کمال، ترجمه شده بود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میزان آشنایی مسلمانان با آثار افلاطون در قرن چهارم هجری، در اثری از فارابی به نام فلسفی افلاطون و اجزاءها و مراتب اجزاءها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این کتاب، نه تنها از جمیع مکالمه‌ها، بلکه از نامه‌های افلاطون نیز نام می‌برد و موضوع هر یک را به ایجاز شرح می‌دهد</w:t>
      </w:r>
      <w:r>
        <w:rPr>
          <w:rFonts w:eastAsia="IRNazanin" w:cs="IRNazanin"/>
          <w:color w:val="111111"/>
          <w:sz w:val="28"/>
          <w:szCs w:val="28"/>
          <w:rtl w:val="true"/>
          <w:lang w:bidi="fa-IR"/>
        </w:rPr>
        <w:t>.</w:t>
      </w:r>
      <w:r>
        <w:rPr>
          <w:rStyle w:val="FootnoteAnchor"/>
          <w:rtl w:val="true"/>
        </w:rPr>
        <w:footnoteReference w:id="631"/>
      </w:r>
      <w:bookmarkStart w:id="434" w:name="pg5678_50492"/>
    </w:p>
    <w:p>
      <w:pPr>
        <w:pStyle w:val="Heading4"/>
        <w:numPr>
          <w:ilvl w:val="3"/>
          <w:numId w:val="1"/>
        </w:numPr>
        <w:rPr/>
      </w:pPr>
      <w:bookmarkStart w:id="435" w:name="__RefHeading___Toc3562059_581953129"/>
      <w:bookmarkStart w:id="436" w:name="_Toc161"/>
      <w:bookmarkEnd w:id="434"/>
      <w:bookmarkEnd w:id="435"/>
      <w:r>
        <w:rPr/>
        <w:t>2</w:t>
      </w:r>
      <w:r>
        <w:rPr>
          <w:rtl w:val="true"/>
        </w:rPr>
        <w:t xml:space="preserve">. </w:t>
      </w:r>
      <w:r>
        <w:rPr>
          <w:rtl w:val="true"/>
        </w:rPr>
        <w:t>مطالعة آثار فیلسوفان متقدّم و متأثّر از افکار افلاطون و نوافلاطونیان</w:t>
      </w:r>
      <w:bookmarkEnd w:id="436"/>
    </w:p>
    <w:p>
      <w:pPr>
        <w:pStyle w:val="BookText"/>
        <w:rPr/>
      </w:pPr>
      <w:r>
        <w:rPr>
          <w:rFonts w:ascii="IRNazanin" w:hAnsi="IRNazanin" w:eastAsia="IRNazanin"/>
          <w:color w:val="111111"/>
          <w:sz w:val="28"/>
          <w:sz w:val="28"/>
          <w:szCs w:val="28"/>
          <w:rtl w:val="true"/>
          <w:lang w:bidi="fa-IR"/>
        </w:rPr>
        <w:t>نمونة این افراد، ابونصر فارابی است که از طرفی افکار افلاطونی دارد و از طرف دیگر، ابن سینا بر استادی او معترف و در تقریر نظریة فیض با او موافق است</w:t>
      </w:r>
      <w:r>
        <w:rPr>
          <w:rFonts w:eastAsia="IRNazanin" w:cs="IRNazanin"/>
          <w:color w:val="111111"/>
          <w:sz w:val="28"/>
          <w:szCs w:val="28"/>
          <w:rtl w:val="true"/>
          <w:lang w:bidi="fa-IR"/>
        </w:rPr>
        <w:t>.</w:t>
      </w:r>
    </w:p>
    <w:p>
      <w:pPr>
        <w:pStyle w:val="Heading4"/>
        <w:numPr>
          <w:ilvl w:val="3"/>
          <w:numId w:val="1"/>
        </w:numPr>
        <w:rPr/>
      </w:pPr>
      <w:bookmarkStart w:id="437" w:name="__RefHeading___Toc3562061_581953129"/>
      <w:bookmarkStart w:id="438" w:name="_Toc162"/>
      <w:bookmarkEnd w:id="437"/>
      <w:r>
        <w:rPr/>
        <w:t>3</w:t>
      </w:r>
      <w:r>
        <w:rPr>
          <w:rtl w:val="true"/>
        </w:rPr>
        <w:t xml:space="preserve">. </w:t>
      </w:r>
      <w:r>
        <w:rPr>
          <w:rtl w:val="true"/>
        </w:rPr>
        <w:t>برخورد با اسماعیلیان</w:t>
      </w:r>
      <w:bookmarkEnd w:id="438"/>
    </w:p>
    <w:p>
      <w:pPr>
        <w:pStyle w:val="BookText"/>
        <w:rPr/>
      </w:pPr>
      <w:r>
        <w:rPr>
          <w:rFonts w:ascii="IRNazanin" w:hAnsi="IRNazanin" w:eastAsia="IRNazanin"/>
          <w:color w:val="111111"/>
          <w:sz w:val="28"/>
          <w:sz w:val="28"/>
          <w:szCs w:val="28"/>
          <w:rtl w:val="true"/>
          <w:lang w:bidi="fa-IR"/>
        </w:rPr>
        <w:t>اسلماعیلیان در بیشتر مواضع فلسفی و کلامی، به افکار افلاطونی متمایل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گرایشهای اسماعیلی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أبی ممّن أجاب داعی المصریّین و یعدّ من الإسماعیلیّی و قد سمع منهم ذکر النفس و العقل علی وجه الذی یقولونه، و یعرفونه هم، و کذلک أخی</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داعیان اسماعیلی نیز در تلاش بودند تا ابن سینا را به مرام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خواه ناخواه ابن سینا از تأثیر افکار آنان مصون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در باب افکار افلاطونی ابن سینا این است که همخوانی و سازگاری دیدگاههای افلاطون با بسیاری از اعتقادات دینی حکمای مسلمان، نظیر ابن سینا، نقش مهمی در تمایلها و گرایشهای افلاطونی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همخوانی سبب توفیق یک فیلسوف را در جمع بین دیدگاه فلسفی خویش و اعتقادات دینی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ابن سینا، به ویژه در آثار دوران آخر عمرش نظیر اشارات، از این عامل برکنار نبوده است</w:t>
      </w:r>
      <w:r>
        <w:rPr>
          <w:rFonts w:eastAsia="IRNazanin" w:cs="IRNazanin"/>
          <w:color w:val="111111"/>
          <w:sz w:val="28"/>
          <w:szCs w:val="28"/>
          <w:rtl w:val="true"/>
          <w:lang w:bidi="fa-IR"/>
        </w:rPr>
        <w:t>.</w:t>
      </w:r>
    </w:p>
    <w:p>
      <w:pPr>
        <w:pStyle w:val="Heading3"/>
        <w:numPr>
          <w:ilvl w:val="2"/>
          <w:numId w:val="1"/>
        </w:numPr>
        <w:rPr/>
      </w:pPr>
      <w:bookmarkStart w:id="439" w:name="__RefHeading___Toc3562063_581953129"/>
      <w:bookmarkStart w:id="440" w:name="_Toc163"/>
      <w:bookmarkEnd w:id="439"/>
      <w:r>
        <w:rPr>
          <w:rtl w:val="true"/>
        </w:rPr>
        <w:t>افکار افلاطونی ابن سینا</w:t>
      </w:r>
      <w:bookmarkEnd w:id="440"/>
    </w:p>
    <w:p>
      <w:pPr>
        <w:pStyle w:val="Heading4"/>
        <w:numPr>
          <w:ilvl w:val="3"/>
          <w:numId w:val="1"/>
        </w:numPr>
        <w:rPr/>
      </w:pPr>
      <w:bookmarkStart w:id="441" w:name="__RefHeading___Toc3562065_581953129"/>
      <w:bookmarkStart w:id="442" w:name="_Toc164"/>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در اینجا مهم‌ترین و بارزترین مواضعی که ابن سینا، دیدگاهی افلاطونی را برگزیده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موضع افلاطونی ابن سینا در هر مورد، مستلزم بیان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سرچشمه‌های آن دیدگاه در منابع افلاطونی و نوافلاطونی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ارسطو در آن باره برای اثبات عدول ابن سینا از دیدگاه او و صحّت استناد دیدگاه ابن سینا به موضعی افلاطونی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ابن سینا با تأکید بر جنبه‌های افلاطونی آن</w:t>
      </w:r>
      <w:r>
        <w:rPr>
          <w:rFonts w:eastAsia="IRNazanin" w:cs="IRNazanin"/>
          <w:color w:val="111111"/>
          <w:sz w:val="28"/>
          <w:szCs w:val="28"/>
          <w:rtl w:val="true"/>
          <w:lang w:bidi="fa-IR"/>
        </w:rPr>
        <w:t xml:space="preserve">. </w:t>
      </w:r>
      <w:bookmarkStart w:id="443" w:name="pg5678_50493"/>
    </w:p>
    <w:p>
      <w:pPr>
        <w:pStyle w:val="Heading4"/>
        <w:numPr>
          <w:ilvl w:val="3"/>
          <w:numId w:val="1"/>
        </w:numPr>
        <w:rPr/>
      </w:pPr>
      <w:bookmarkStart w:id="444" w:name="__RefHeading___Toc3562067_581953129"/>
      <w:bookmarkStart w:id="445" w:name="_Toc165"/>
      <w:bookmarkEnd w:id="443"/>
      <w:bookmarkEnd w:id="444"/>
      <w:r>
        <w:rPr>
          <w:rtl w:val="true"/>
        </w:rPr>
        <w:t>آفرینش عالم</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باب آفرینش، نمونه‌ای روشن از افکار افلاطونی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دیدگاه، عناصر ارسطویی نیز دیده می‌شود؛ برای مثال، مبدأ نخستین یا محرّک نامتحرّک ارسطو از آنجا که متعلّق شوق عقل مادونی است، علّت غایی حرکت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نظریة فیض ابن سینا نیز می‌بینیم، اما در دیدگاه ارسطو، نشانی از آفرینش و خلق یا صدور و فیض به چشم نمی‌خورد و این، ممکن نیست مورد رضایت ابن سینا به عنوان یک فیلسوف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دیدگاهی را در پیش گرفت که هم با موازین عقلی و هم با اعتقادات دینی سازگار باشد و ابن سینا این ویژگیها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مُبدع نظریة فیض، فلوطین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این نظریه را در برخی از آثار افلاطون، مانند پارمنیدس، جمهوری و فایدروس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جمهوری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روشنایی از خورشید برمی‌آید، ولی خورشید نیست، حقیقت و موجود نیز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برمی‌آیند و علّتشان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موجودیّت نیز هستی خود را مدیون خوب‌اند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فایدروس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راستین که نه رنگ دارد و نه شکل و نه می‌توان آن را لمس کرد، فقط به دیدة خرد که ارّابه‌ران روح است، درمی‌آید و دانشهای راستین گرداگرد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غذای خدایان و همة ارواحی که همواره می‌کوشند از غذایی در خور خویش برخوردار شوند، دانش ناب و راستین است، آن‌گونه روحها از اینکه بار دیگر به دیدار حقیقت نائل شده‌اند، وجد و نشاطی بی‌اندازه می‌یابند و از تماشای حقیقت برخوردار می‌گردند</w:t>
      </w:r>
      <w:r>
        <w:rPr>
          <w:rFonts w:eastAsia="IRNazanin" w:cs="IRNazanin"/>
          <w:color w:val="111111"/>
          <w:sz w:val="28"/>
          <w:szCs w:val="28"/>
          <w:rtl w:val="true"/>
          <w:lang w:bidi="fa-IR"/>
        </w:rPr>
        <w:t>.</w:t>
      </w:r>
      <w:r>
        <w:rPr>
          <w:rStyle w:val="FootnoteAnchor"/>
          <w:rtl w:val="true"/>
        </w:rPr>
        <w:footnoteReference w:id="63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که افلاطون آن را به خورشید تشبیه می‌کند و آن را منشأ پیدایش حقیقت و وجود می‌داند، همان چیزی است که در مواضع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 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همچنین در رسالة پارمنیدس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که واحد مانده، در مقابل واحدی که موجود شده و در میان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یافته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واحدی که واحد مانده،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هستی عالم، پرتوی از اوست، اما حقیقت و به عبارت دیگر، دانشهای راستین که متعلّق علم فرد واقع می‌شود، همان مُثُل است که برآمده و پدیدار گشته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مرحلة سوم، روح قرار دارد که بعداً می‌بینیم، مرکّب از عقل و نفس است</w:t>
      </w:r>
      <w:r>
        <w:rPr>
          <w:rStyle w:val="FootnoteAnchor"/>
          <w:rtl w:val="true"/>
        </w:rPr>
        <w:footnoteReference w:id="639"/>
      </w:r>
      <w:r>
        <w:rPr>
          <w:rFonts w:ascii="IRNazanin" w:hAnsi="IRNazanin" w:eastAsia="IRNazanin"/>
          <w:color w:val="111111"/>
          <w:sz w:val="28"/>
          <w:sz w:val="28"/>
          <w:szCs w:val="28"/>
          <w:rtl w:val="true"/>
          <w:lang w:bidi="fa-IR"/>
        </w:rPr>
        <w:t>که در این تمثیل، به دیدار حقیقت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یعنی خوب، مُثُل و روح، مواد نظریة فیض و اغانیم ثلاثه فلوطینی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که خود را مفسِّر افلاطون می‌داند، با الهام از این موجودات الهی، آفرینش عالم و پیدایش کثرت از وحدت را این‌گونه طراحی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برتر از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بی‌فاصله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مرتبة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هر یک با خصوصیاتی مختصّ به خود، از دیگری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اوّلین اقنوم و برتر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صفتی که می‌توان به او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شرط آنکه صفت ذات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نمی‌توان هیچ صفت دیگری به او نسبت داد، پس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مستلزم تغییر یا کم شدنی در احد باشد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فلوطین نحوة فیضان را چنین توصیف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و پر است و چیزی نمی‌جوید و چیزی ندارد و نیازمند چیزی نیست، تقریباً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 و از این لبریزی، چیزی دیگر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و این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روی در او آورد و در او نگریست، در آن واحد هم عقل شد و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w:t>
      </w:r>
    </w:p>
    <w:p>
      <w:pPr>
        <w:pStyle w:val="BookText"/>
        <w:rPr/>
      </w:pPr>
      <w:r>
        <w:rPr>
          <w:rFonts w:ascii="IRNazanin" w:hAnsi="IRNazanin" w:eastAsia="IRNazanin"/>
          <w:color w:val="111111"/>
          <w:sz w:val="28"/>
          <w:sz w:val="28"/>
          <w:szCs w:val="28"/>
          <w:rtl w:val="true"/>
          <w:lang w:bidi="fa-IR"/>
        </w:rPr>
        <w:t>که تصویری از واحد است، از واحد تقلید می‌کند؛ یعنی چون پر است، لبریز می‌شود و آنچه از طریق این فیضان پدید می‌آید، تصویری از اوست؛ همان گونه که او، خود، تصویر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اثربخش که از عقل صادر می‌شود،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عقل ساکن و ثابت بود؛ همان گونه که 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واحد ساکن و ثابت بود، ولی روح در حال سکون نمی‌آفریند، بلکه تصویر خود را در حالی می‌آفریند که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به آنچه او را آفریده است، می‌نگرد، از آن آکنده می‌گردد و همین که نزول می‌کند، به عنوان تصویر خود، روح حس‌کننده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می‌آورد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دیدگاه فلوطین در باب آفرینش، از سوی حکمای اسلامی مورد اقبال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w:t>
      </w:r>
      <w:r>
        <w:rPr>
          <w:rStyle w:val="FootnoteAnchor"/>
          <w:rtl w:val="true"/>
        </w:rPr>
        <w:footnoteReference w:id="643"/>
      </w:r>
      <w:r>
        <w:rPr>
          <w:rFonts w:ascii="IRNazanin" w:hAnsi="IRNazanin" w:eastAsia="IRNazanin"/>
          <w:color w:val="111111"/>
          <w:sz w:val="28"/>
          <w:sz w:val="28"/>
          <w:szCs w:val="28"/>
          <w:rtl w:val="true"/>
          <w:lang w:bidi="fa-IR"/>
        </w:rPr>
        <w:t>و سپس ابن سینا، آن را با تفصیل بیشتری مطرح کردند و با تغییراتی، در تطبیق آن بر اعتقادات کوشیدند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متعال و مبدأ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هیچ‌گونه کثرتی نیست و بنا بر قاعدة الواحد، معلول او نیز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اوّل تعالی، تمام و بلکه فوق تمام است؛ یعنی نه تنها کامل است، بلکه تمام هستی و کمالات به او برمی‌گردد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اکنون باید دید، ابن سینا چگونه با حفظ این دو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بساطت خداوند و برگشت همة کمالات و هستی به ظاهر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خلقت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صادر از مبدأ اوّل تعالی،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عقل اوّل از خداوند، از لوازم جلال و کمال اوست که متعلّق عشق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خویش را که عقل محض و مبدأ کل است، تعقّل می‌کند، در حالی که به این کمال و مبدئیّت، عالِم است و از این تعقّل، عقل اوّل از او فائض و به تعبیر دیگر، منبعث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از آن حیث که معلول اوّل تعالی است، هیچ‌گونه کثرتی در او نیست و بسیط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از طرف دیگر، عقل اوّل معلول بذاته و ممکن‌الوجود است و این، منشأ کثرتی در او می‌گردد؛ به عبارت دیگر، </w:t>
      </w:r>
    </w:p>
    <w:p>
      <w:pPr>
        <w:pStyle w:val="BookText"/>
        <w:rPr/>
      </w:pPr>
      <w:r>
        <w:rPr>
          <w:rFonts w:ascii="IRNazanin" w:hAnsi="IRNazanin" w:eastAsia="IRNazanin"/>
          <w:color w:val="111111"/>
          <w:sz w:val="28"/>
          <w:sz w:val="28"/>
          <w:szCs w:val="28"/>
          <w:rtl w:val="true"/>
          <w:lang w:bidi="fa-IR"/>
        </w:rPr>
        <w:t>عقل اوّل به لحاظ انتساب به اوّل تعالی، واجب بالغیر است و کثرتی در او نیست، بلکه کثرت از ناحیة امکان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آنگاه که ذات خویش را تعقّل می‌کند، از حیثی اوّل تعالی را، از حیثی وجوب بالغیر خویش را و از حیثی دیگر، امکان ذاتی خویش را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تعقّل اوّل، موجودی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فائض می‌گردد، از تعقّل وجوب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فلک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تعقّل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فلک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و در اینجا از عقل اوّل، سه موجود دیگر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دارای دو جنبة نفس و جرم می‌باشد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این فیضان سه‌گانه ادامه می‌یابد تا اینکه به عقل فعّال منتهی می‌گردد که واجب الصور و مدبّر نفوس بشری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پایان این بحث، به تفاوتهای مهم دیدگاه ابن سینا در باب فیض با نظریة محرّک نخستین ارسطو و شباهتهای دیدگاه ابن سینا و فلوطین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شباهت ظاهری نظریة عقول طولیة ابن سینا با نظریة ارسطو در بعضی موارد، بین این دو دیدگاه، تفاوتهای معنایی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ارسطو، مبدأ نخستین تنها متعلّق شوق عقل اوّل است، ولی هیچ‌گونه رابطة صدور یا فیضانی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موجود مستقل‌اند؛ با این تفاوت که یکی از دیگری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معتقدند اساساً ارسطو، دیدگاهی در باب آفرینش ندارد،</w:t>
      </w:r>
      <w:r>
        <w:rPr>
          <w:rStyle w:val="FootnoteAnchor"/>
          <w:rtl w:val="true"/>
        </w:rPr>
        <w:footnoteReference w:id="648"/>
      </w:r>
      <w:r>
        <w:rPr>
          <w:rFonts w:ascii="IRNazanin" w:hAnsi="IRNazanin" w:eastAsia="IRNazanin"/>
          <w:color w:val="111111"/>
          <w:sz w:val="28"/>
          <w:sz w:val="28"/>
          <w:szCs w:val="28"/>
          <w:rtl w:val="true"/>
          <w:lang w:bidi="fa-IR"/>
        </w:rPr>
        <w:t>بلکه آنچه ابراز داشته، تنها تبیینی از وقوع حرکت و نحوة حرکت موجودات است، نه صدور موجودات و آفرینش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فلوطین و ابن سینا در این موضوع، آرایی شبیه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هر دو، رابطة مبدأ هستی و عالَم، رابطة صدور و فیضان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کلّی هستی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یا مبدأ اعلی؛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یا واهب‌الصور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نفس از نظر فلوطین را هم‌عرض واهب‌الصور یا 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دهم ابن سینا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آوردیم، به سبب نکته‌ای است که در خصوصیات این مراتب آورده می‌شود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از نظر فلوطین، در احد، همه‌چیز هست، لکن بدون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حاوی همة موجودات است، لکن در عین تمییز و به وجود جمعی، اما این کائنات در نفس، متمایز و متشخص‌اند و چون به عالم محسوس رسند، جدا و پراکنده می‌شوند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ابن سینا نیز معتقد است همة موجودات، به وجود علمی در نزد خدا حاضرند</w:t>
      </w:r>
      <w:r>
        <w:rPr>
          <w:rStyle w:val="FootnoteAnchor"/>
          <w:rtl w:val="true"/>
        </w:rPr>
        <w:footnoteReference w:id="651"/>
      </w:r>
      <w:r>
        <w:rPr>
          <w:rFonts w:ascii="IRNazanin" w:hAnsi="IRNazanin" w:eastAsia="IRNazanin"/>
          <w:color w:val="111111"/>
          <w:sz w:val="28"/>
          <w:sz w:val="28"/>
          <w:szCs w:val="28"/>
          <w:rtl w:val="true"/>
          <w:lang w:bidi="fa-IR"/>
        </w:rPr>
        <w:t>و عقل اوّل که هم واسطة فیضان دیگر موجودات از مبدأ اعلی و هم واسطة علم مبدأ اعلی بر دیگر موجودات است، در عین بساطت، جامع تمام کمالات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نظر ابن سینا، مبحث بسیار گسترده‌ای است و خود مراتب و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می‌تواند هم عرض نفس فلوطین قرار گیرد، همان عقل فعّال یا واهب‌الصور و به تعبیر دینی، روح‌القدس است که در آن، هستی به مرحله‌ای می‌رسد که کثرت عرضی در عالم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عقلِ دهم همراه وجود عناصرِ قابل کون و فساد است</w:t>
      </w:r>
      <w:r>
        <w:rPr>
          <w:rStyle w:val="FootnoteAnchor"/>
          <w:rtl w:val="true"/>
        </w:rPr>
        <w:footnoteReference w:id="652"/>
      </w:r>
      <w:r>
        <w:rPr>
          <w:rFonts w:ascii="IRNazanin" w:hAnsi="IRNazanin" w:eastAsia="IRNazanin"/>
          <w:color w:val="111111"/>
          <w:sz w:val="28"/>
          <w:sz w:val="28"/>
          <w:szCs w:val="28"/>
          <w:rtl w:val="true"/>
          <w:lang w:bidi="fa-IR"/>
        </w:rPr>
        <w:t>و بعد از آن است که به تعبیر فلوطین، کائنات جدا 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فیض سه رکن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مبدأ اعلی در ذات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و فوق تمام بودن مبدأ اعلی به گونه‌ای که هر کمالی نیز بازگشت به او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عقول به ذات خویش و مبدأ اعلی که فیضان وجود مراتب مادون را موجب می‌گردد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رکن، در سخنان فلوطین و ابن سینا موجود است، اما در کلام ارسطو تنها اندیشیدن مبدأ اعلی و ذات خویش دیده می‌شود</w:t>
      </w:r>
      <w:r>
        <w:rPr>
          <w:rFonts w:eastAsia="IRNazanin" w:cs="IRNazanin"/>
          <w:color w:val="111111"/>
          <w:sz w:val="28"/>
          <w:szCs w:val="28"/>
          <w:rtl w:val="true"/>
          <w:lang w:bidi="fa-IR"/>
        </w:rPr>
        <w:t xml:space="preserve">. </w:t>
      </w:r>
      <w:bookmarkStart w:id="446" w:name="pg5678_50498"/>
    </w:p>
    <w:p>
      <w:pPr>
        <w:pStyle w:val="Heading4"/>
        <w:numPr>
          <w:ilvl w:val="3"/>
          <w:numId w:val="1"/>
        </w:numPr>
        <w:rPr/>
      </w:pPr>
      <w:bookmarkStart w:id="447" w:name="__RefHeading___Toc3562069_581953129"/>
      <w:bookmarkStart w:id="448" w:name="_Toc166"/>
      <w:bookmarkEnd w:id="446"/>
      <w:bookmarkEnd w:id="447"/>
      <w:r>
        <w:rPr>
          <w:rtl w:val="true"/>
        </w:rPr>
        <w:t>مبدأ هستی</w:t>
      </w:r>
      <w:bookmarkEnd w:id="448"/>
    </w:p>
    <w:p>
      <w:pPr>
        <w:pStyle w:val="BookText"/>
        <w:rPr/>
      </w:pPr>
      <w:r>
        <w:rPr>
          <w:rFonts w:ascii="IRNazanin" w:hAnsi="IRNazanin" w:eastAsia="IRNazanin"/>
          <w:color w:val="111111"/>
          <w:sz w:val="28"/>
          <w:sz w:val="28"/>
          <w:szCs w:val="28"/>
          <w:rtl w:val="true"/>
          <w:lang w:bidi="fa-IR"/>
        </w:rPr>
        <w:t>بهتر است آنچه در این باره مطرح می‌شود، شباهتهای دیدگاه ابن سینا با دیدگاههای افلاطونی بنامیم، نه تأثیرپذیری وی از آنان؛ زیرا آنچه ابن سینا دربارة صفات مبدأ اعلی قائل شده است، بیش از هر چیز، مرهون اعتقادات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باز هم می‌توان آرای ابن سینا را در این موضوع در زمرة افکار افلاطونی او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بحث پیشین به دیدگاه ارسطو دربارة خداوند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وی مبدأ نخستین یا محرّک نامتحرّک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653"/>
      </w:r>
      <w:r>
        <w:rPr>
          <w:rFonts w:ascii="IRNazanin" w:hAnsi="IRNazanin" w:eastAsia="IRNazanin"/>
          <w:color w:val="111111"/>
          <w:sz w:val="28"/>
          <w:sz w:val="28"/>
          <w:szCs w:val="28"/>
          <w:rtl w:val="true"/>
          <w:lang w:bidi="fa-IR"/>
        </w:rPr>
        <w:t>هیچ‌گونه صفتی که شایستة یک معبود دینی باشد، برای او قائل نیست جز کمال، آن هم به معنایی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نخستین ارسطو، عقلی ازلی و خودْاندیش است که از ازل تا ابد تنها به خود می‌اندیشد، حتی جهان را به عنوان چیزی غیر خود نمی‌شناسد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از نظر ارسطو، خدا نمی‌تواند به چیزهای دیگر علم داشته باشد؛ زیرا علم خدا به ما سوی پیامدهایی دارد، مانند علم به بدیها، انتقال از یک موضوع اندیشه به موضوعی دیگر که ارسطو آنها را منکر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چنین خدایی نه جهان را به وجود آورده، نه می‌تواند از آن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محبّت ما را پاسخ نمی‌دهد و ما به هیچ‌وجه نمی‌توانیم واقعاً او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مقبول خدا در ادیان الهی، معبود بودن است، اما به گفتة کاپلستون، هیچ دلیلی وجود ندارد که ارسطو محرّک اوّل را معبود شمرده باشد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حتی تأثیری که مبدأ نخستین ارسطو در جهان دارد، فعالیّت و فعل حقیقی او به شمار نمی‌رود؛ زیرا به گونه‌ای است که کسی ممکن است ناآگاهانه در دیگری داشته باشد، یا به گونه‌ای است که حتی پیکره یا عکس می‌تواند در ستاینده‌اش داشته باشد؛ از این رو، ابن رشد به عنوان مفسِّر خَلَف ارسطو، هرگونه فعالیّت آفرینشی خدا و هرگونه آزادی ارادة او را منکر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چنین دیدگاهی را دیدگاه طبیعیون در باب فاعل می‌نامد و نظر حکمای الهی را </w:t>
      </w:r>
    </w:p>
    <w:p>
      <w:pPr>
        <w:pStyle w:val="BookText"/>
        <w:rPr/>
      </w:pPr>
      <w:r>
        <w:rPr>
          <w:rFonts w:ascii="IRNazanin" w:hAnsi="IRNazanin" w:eastAsia="IRNazanin"/>
          <w:color w:val="111111"/>
          <w:sz w:val="28"/>
          <w:sz w:val="28"/>
          <w:szCs w:val="28"/>
          <w:rtl w:val="true"/>
          <w:lang w:bidi="fa-IR"/>
        </w:rPr>
        <w:t>برتر از آن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فلاسفة الهی از فاعل آن گونه که طبیعیون پنداشته‌اند، صرف مبدأ حرکت نیست، بلکه مراد آنان مبدأ و مفید وجود است، مانند فاعلیّت باری نسبت به جهان</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در نظام فلسفی ابن سینا صفات خداوند، شکلی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نوافلاطونی دارد و با حفظ بساطت، صفات علم، خلقت، اراده،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افزون بر سازگاری با اعتقادات دینی، شباهت زیادی با صفات خدا از نظر افلاطون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موجودات الهی که افلاطون از آنها سخن می‌گوید، آنکه به اعتقاد بسیاری از محققان، خدای افلاطون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 ایده‌ها</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است</w:t>
      </w:r>
      <w:r>
        <w:rPr>
          <w:rStyle w:val="FootnoteAnchor"/>
          <w:rtl w:val="true"/>
        </w:rPr>
        <w:footnoteReference w:id="660"/>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تمثیلهای افلاطون دربارة مثال خیر معلوم می‌گردد که وی، صفاتی نظیر خلق، تدبیر و علم را برای مثال خیر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خیر،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زیبایی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آفرینندة نور و پروردگار نور در عالَم محسوس و منبع بی‌واسطة عقل و حقیقت در عالم معقول است</w:t>
      </w:r>
      <w:r>
        <w:rPr>
          <w:rFonts w:eastAsia="IRNazanin" w:cs="IRNazanin"/>
          <w:color w:val="111111"/>
          <w:sz w:val="28"/>
          <w:szCs w:val="28"/>
          <w:rtl w:val="true"/>
          <w:lang w:bidi="fa-IR"/>
        </w:rPr>
        <w:t>.</w:t>
      </w:r>
      <w:r>
        <w:rPr>
          <w:rStyle w:val="FootnoteAnchor"/>
          <w:rtl w:val="true"/>
        </w:rPr>
        <w:footnoteReference w:id="66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خیر موجِد مُثُل است</w:t>
      </w:r>
      <w:r>
        <w:rPr>
          <w:rStyle w:val="FootnoteAnchor"/>
          <w:rtl w:val="true"/>
        </w:rPr>
        <w:footnoteReference w:id="662"/>
      </w:r>
      <w:r>
        <w:rPr>
          <w:rFonts w:ascii="IRNazanin" w:hAnsi="IRNazanin" w:eastAsia="IRNazanin"/>
          <w:color w:val="111111"/>
          <w:sz w:val="28"/>
          <w:sz w:val="28"/>
          <w:szCs w:val="28"/>
          <w:rtl w:val="true"/>
          <w:lang w:bidi="fa-IR"/>
        </w:rPr>
        <w:t>و افلاطون نحوة به وجود آمدن مُثُل را از مثال خیر، به پدید آمدن روشنایی خورشید از خورشید تشبیه می‌کند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آفرینندة ایده‌هاست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بنابراین تردیدی در خالق بودن مثال خیر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خلق به صورت فیضان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شباهت فراوانی بین افکار افلاطون و ابن سینا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موجودات، همه، مستند به خداوند است و این آفرینش، گاهی بدون واسطه است، مانند ایجاد مُثُل و گاهی با واسطه، مانند موجودات فانی که توسط </w:t>
      </w:r>
    </w:p>
    <w:p>
      <w:pPr>
        <w:pStyle w:val="BookText"/>
        <w:rPr/>
      </w:pPr>
      <w:r>
        <w:rPr>
          <w:rFonts w:ascii="IRNazanin" w:hAnsi="IRNazanin" w:eastAsia="IRNazanin"/>
          <w:color w:val="111111"/>
          <w:sz w:val="28"/>
          <w:sz w:val="28"/>
          <w:szCs w:val="28"/>
          <w:rtl w:val="true"/>
          <w:lang w:bidi="fa-IR"/>
        </w:rPr>
        <w:t>موجودات عالی‌تر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از این موجودات عالی‌تر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خدایان در نظام فکری افلاطون، همان نقش فرشتگان در اندیشة ابن سیناست که کاملاً با فرشتگان مدبّر امور جهان</w:t>
      </w:r>
      <w:r>
        <w:rPr>
          <w:rStyle w:val="FootnoteAnchor"/>
          <w:rtl w:val="true"/>
        </w:rPr>
        <w:footnoteReference w:id="665"/>
      </w:r>
      <w:r>
        <w:rPr>
          <w:rFonts w:ascii="IRNazanin" w:hAnsi="IRNazanin" w:eastAsia="IRNazanin"/>
          <w:color w:val="111111"/>
          <w:sz w:val="28"/>
          <w:sz w:val="28"/>
          <w:szCs w:val="28"/>
          <w:rtl w:val="true"/>
          <w:lang w:bidi="fa-IR"/>
        </w:rPr>
        <w:t>در تفکّر دینی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دمیورگ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یا صانع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خائوس</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کاسموس</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Cosmos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داده و با الگو قرار دادن مُثُل، جهان مادّی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نفس کلّی نیز منسوب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موجود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امور جهان را سامان می‌بخشد و بر دیگر خدایان و ارواح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فلسفی همان موجودی باشد که در اندیشة دینی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 واسطة در فیض‌اند و ایجاد آنها از سوی مثال خیر، بدون واسطه بوده است، آنگاه ایجاد موجودات مادون بر عهدة آنها نهاده شده است تا اینکه سلسلة آفرینش به خدایانی منتهی گشته که عالم مادّی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رسالة تیمائوس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صانع</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روح را آفرید، سپس به آفریدن خدایان پرداخت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آنگاه آفرینش بقیة موجودات را که سه نوع بودند، بر عهدة خدایان گذاشت</w:t>
      </w:r>
      <w:r>
        <w:rPr>
          <w:rFonts w:eastAsia="IRNazanin" w:cs="IRNazanin"/>
          <w:color w:val="111111"/>
          <w:sz w:val="28"/>
          <w:szCs w:val="28"/>
          <w:rtl w:val="true"/>
          <w:lang w:bidi="fa-IR"/>
        </w:rPr>
        <w:t>.</w:t>
      </w:r>
      <w:r>
        <w:rPr>
          <w:rStyle w:val="FootnoteAnchor"/>
          <w:rtl w:val="true"/>
        </w:rPr>
        <w:footnoteReference w:id="6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در واقع، تمام آفرینش به مثال خیر مستند است؛ زیرا همة چیزهایی که در جهان است، در خدمت آنچه والاترین چیزها و شاه جهان است، قرار دارد و وجود همة آنها برای خاطر اوست و همو علّت اصلی همة چیزهای خوب است؛</w:t>
      </w:r>
      <w:r>
        <w:rPr>
          <w:rStyle w:val="FootnoteAnchor"/>
          <w:rtl w:val="true"/>
        </w:rPr>
        <w:footnoteReference w:id="672"/>
      </w:r>
      <w:r>
        <w:rPr>
          <w:rFonts w:ascii="IRNazanin" w:hAnsi="IRNazanin" w:eastAsia="IRNazanin"/>
          <w:color w:val="111111"/>
          <w:sz w:val="28"/>
          <w:sz w:val="28"/>
          <w:szCs w:val="28"/>
          <w:rtl w:val="true"/>
          <w:lang w:bidi="fa-IR"/>
        </w:rPr>
        <w:t xml:space="preserve">از این رو، نظم و زیبایی این جهان را می‌توان دلیلی بر صفت حکمت و ارادة مثال خیر دانست؛ چنان که </w:t>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جهان را در نهایت خوبی و زیبایی پدید آورد، لازمه‌اش این است که این جهان، دارای روح و خرد است و بر اثر حکمت و ارادة خداوند پدید آمده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وی از زبان فیلبس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جهان را عقل و دانشی حیرت‌انگیز منظم ساخته و اداره می‌کند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از نظر افلاطون، خدا مدبّر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صفت تدبیر را در موارد گوناگون به خدا نسبت می‌دهد؛ هرچند این تدبیر باواسطه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ژیلسون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اصلی‌خدای افلاطون، این است که امور انسان را تدبیر و تمشیت می‌کند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از آنچه گذشت، روشن می‌شود که افلاطون گاهی به صراحت و گاهی به طور ضمنی، صفات خلق، علم، اراده، تدبیر و قدرت را برای خدا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سینا نیز تمام این صفات برای مبدأ اعلی ثابت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همان گونه که مقتضای بینش دینی اوست، خدا را خالق جهان می‌داند و صریحاً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حکمی الصانع بدأ الخلق أصولاً ثمّ خلق منها أمزجی شتّی</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البته خلق در نظر وی، فیضان وجود است و با مدّعای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ابن سینا عالم به عنوان معلول خدا ممکن نیست از علّت تامّة خود متأخّر باشد؛ به عبارتی، عالم مخلوق است؛ خلقی قدیم و حادث به حدوث ذاتی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نسبت خلق به خدا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ثمّ خلق</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در مقابل، کسانی که معتقدند فعل قدیم معنا ندارد و اگر عالَم، فعل خداست، پس باید حادث باشد، ابن سینا مفعول را به قدیم و حادث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مفعول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مفعول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قدیم یا مبدَع، فعلی مسبوق به </w:t>
      </w:r>
    </w:p>
    <w:p>
      <w:pPr>
        <w:pStyle w:val="BookText"/>
        <w:rPr/>
      </w:pPr>
      <w:r>
        <w:rPr>
          <w:rFonts w:ascii="IRNazanin" w:hAnsi="IRNazanin" w:eastAsia="IRNazanin"/>
          <w:color w:val="111111"/>
          <w:sz w:val="28"/>
          <w:sz w:val="28"/>
          <w:szCs w:val="28"/>
          <w:rtl w:val="true"/>
          <w:lang w:bidi="fa-IR"/>
        </w:rPr>
        <w:t>مادّه و مدّت نیست؛ نظیر مجرّدات و خود مادّه، اما فعل حادث، مخلوقی است که سابقة عدم زمانی دارد و مسبوق به مادّه 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اعلی نسبت به مبدَعات،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678"/>
      </w:r>
      <w:r>
        <w:rPr>
          <w:rFonts w:ascii="IRNazanin" w:hAnsi="IRNazanin" w:eastAsia="IRNazanin"/>
          <w:color w:val="111111"/>
          <w:sz w:val="28"/>
          <w:sz w:val="28"/>
          <w:szCs w:val="28"/>
          <w:rtl w:val="true"/>
          <w:lang w:bidi="fa-IR"/>
        </w:rPr>
        <w:t xml:space="preserve">از این رو، ابن سینا نمط پنجم کتاب اشارات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الصنع و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رغم اینکه از نظر ابن سینا عالَم، قدیم زمانی است، تردیدی نیست که او خدا را خالق عالم می‌داند و صفت خلق را دربارة مبدأ اعلی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فلسفی ابن سینا با حفظ بساطت واجب‌الوجود، علم خدا حتی به جزئیات نیز به نحوی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واجب‌الوجود همة امور را به نحو کلّی تعقّل می‌کند و در عین حال، هیچ چیز از علم او مخفی نیست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این نظام، اراده و قدرت واجب‌الوجود مغایر با ذات و علم او نیست؛ به عبارتی، قدرت و ارادة واجب‌الوجود همان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ارادة واجب‌الوجود نه ذاتاً و نه مفهوماً با علم او مغایرتی ندارد و قبلاً گذشت که علم واجب‌الوجود بعینه همان ارادة اوست و همچنین بیان شد که قدرت او عبارت است از عاقلِ کل بودن ذات او به نحوی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ما تحقیق کردیم که طبق آن در فیض وجود به غرضی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نفس فیض که همان وجود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البته این سخن دربارة عینیت صفات و ذات واجب است، ولی آنچه مربوط به اینجاست، این است که وی در این کلام به صفات علم، قدرت و ارادة خدا اشاره می‌کند؛ اگرچه بعضی معتقدند صفات خلق،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وی، صوری است و در نظام فلسفی او مجالی برای این صفات وجود ندارد،</w:t>
      </w:r>
      <w:r>
        <w:rPr>
          <w:rStyle w:val="FootnoteAnchor"/>
          <w:rtl w:val="true"/>
        </w:rPr>
        <w:footnoteReference w:id="681"/>
      </w:r>
      <w:r>
        <w:rPr>
          <w:rFonts w:ascii="IRNazanin" w:hAnsi="IRNazanin" w:eastAsia="IRNazanin"/>
          <w:color w:val="111111"/>
          <w:sz w:val="28"/>
          <w:sz w:val="28"/>
          <w:szCs w:val="28"/>
          <w:rtl w:val="true"/>
          <w:lang w:bidi="fa-IR"/>
        </w:rPr>
        <w:t>این صوری بودن، با افلاطونی بودن دیدگاه او منافاتی ندارد و از قرابت آرای او به افکار افلاطون نمی‌کاهد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دمیورگ و موجودات نظیر او، مضاهی مبادی عالیه و عقول طولیه در دیدگاه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دیدگاه، تمام هستی با واسطه یا بدون واسطه به مبدأ اعلی نسبت داده </w:t>
      </w:r>
      <w:bookmarkStart w:id="449" w:name="pg5678_50503"/>
    </w:p>
    <w:p>
      <w:pPr>
        <w:pStyle w:val="BookText"/>
        <w:rPr/>
      </w:pPr>
      <w:bookmarkEnd w:id="44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آنچه ابن سینا از آن به صنع و ابداع تعبیر کرده، در نظریة افلاطون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مادّی و زمانی مصنوع‌اند و دمیورگ استاد صنعتگر است؛</w:t>
      </w:r>
      <w:r>
        <w:rPr>
          <w:rStyle w:val="FootnoteAnchor"/>
          <w:rtl w:val="true"/>
        </w:rPr>
        <w:footnoteReference w:id="683"/>
      </w:r>
      <w:r>
        <w:rPr>
          <w:rFonts w:ascii="IRNazanin" w:hAnsi="IRNazanin" w:eastAsia="IRNazanin"/>
          <w:color w:val="111111"/>
          <w:sz w:val="28"/>
          <w:sz w:val="28"/>
          <w:szCs w:val="28"/>
          <w:rtl w:val="true"/>
          <w:lang w:bidi="fa-IR"/>
        </w:rPr>
        <w:t>در حالی که مُثُل و شاید خود دمیورگ جزء مبدَعات مبدأ اعلی باشند</w:t>
      </w:r>
      <w:r>
        <w:rPr>
          <w:rFonts w:eastAsia="IRNazanin" w:cs="IRNazanin"/>
          <w:color w:val="111111"/>
          <w:sz w:val="28"/>
          <w:szCs w:val="28"/>
          <w:rtl w:val="true"/>
          <w:lang w:bidi="fa-IR"/>
        </w:rPr>
        <w:t>.</w:t>
      </w:r>
    </w:p>
    <w:p>
      <w:pPr>
        <w:pStyle w:val="Heading4"/>
        <w:numPr>
          <w:ilvl w:val="3"/>
          <w:numId w:val="1"/>
        </w:numPr>
        <w:rPr/>
      </w:pPr>
      <w:bookmarkStart w:id="450" w:name="__RefHeading___Toc3562071_581953129"/>
      <w:bookmarkStart w:id="451" w:name="_Toc167"/>
      <w:bookmarkEnd w:id="450"/>
      <w:r>
        <w:rPr>
          <w:rtl w:val="true"/>
        </w:rPr>
        <w:t>نفس</w:t>
      </w:r>
      <w:bookmarkEnd w:id="451"/>
    </w:p>
    <w:p>
      <w:pPr>
        <w:pStyle w:val="BookText"/>
        <w:rPr/>
      </w:pPr>
      <w:r>
        <w:rPr>
          <w:rFonts w:ascii="IRNazanin" w:hAnsi="IRNazanin" w:eastAsia="IRNazanin"/>
          <w:color w:val="111111"/>
          <w:sz w:val="28"/>
          <w:sz w:val="28"/>
          <w:szCs w:val="28"/>
          <w:rtl w:val="true"/>
          <w:lang w:bidi="fa-IR"/>
        </w:rPr>
        <w:t>از سخنان افلاطون چنین برمی‌آید که وی به دو نوع نفس قائل بوده است؛ یکی نفس کلّی عالم که مافوق جسم بوده و ازطرف صانع برای تدبیر حرکات جهان آفریده شده است</w:t>
      </w:r>
      <w:r>
        <w:rPr>
          <w:rStyle w:val="FootnoteAnchor"/>
          <w:rtl w:val="true"/>
        </w:rPr>
        <w:footnoteReference w:id="684"/>
      </w:r>
      <w:r>
        <w:rPr>
          <w:rFonts w:ascii="IRNazanin" w:hAnsi="IRNazanin" w:eastAsia="IRNazanin"/>
          <w:color w:val="111111"/>
          <w:sz w:val="28"/>
          <w:sz w:val="28"/>
          <w:szCs w:val="28"/>
          <w:rtl w:val="true"/>
          <w:lang w:bidi="fa-IR"/>
        </w:rPr>
        <w:t>و دربارة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کیهان بی‌روح فرمان می‌راند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از آنجا که افلاطون در جای دیگر تدبیر جهان را به زئوس، خدای آسمان، نسبت می‌دهد،</w:t>
      </w:r>
      <w:r>
        <w:rPr>
          <w:rStyle w:val="FootnoteAnchor"/>
          <w:rtl w:val="true"/>
        </w:rPr>
        <w:footnoteReference w:id="686"/>
      </w:r>
      <w:r>
        <w:rPr>
          <w:rFonts w:ascii="IRNazanin" w:hAnsi="IRNazanin" w:eastAsia="IRNazanin"/>
          <w:color w:val="111111"/>
          <w:sz w:val="28"/>
          <w:sz w:val="28"/>
          <w:szCs w:val="28"/>
          <w:rtl w:val="true"/>
          <w:lang w:bidi="fa-IR"/>
        </w:rPr>
        <w:t>بعید نیست که نفس کلّی در نظر وی، همان زئوس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نفس، نفوس جزئی‌اند که مدبّر بدن‌اند</w:t>
      </w:r>
      <w:r>
        <w:rPr>
          <w:rStyle w:val="FootnoteAnchor"/>
          <w:rtl w:val="true"/>
        </w:rPr>
        <w:footnoteReference w:id="687"/>
      </w:r>
      <w:r>
        <w:rPr>
          <w:rFonts w:ascii="IRNazanin" w:hAnsi="IRNazanin" w:eastAsia="IRNazanin"/>
          <w:color w:val="111111"/>
          <w:sz w:val="28"/>
          <w:sz w:val="28"/>
          <w:szCs w:val="28"/>
          <w:rtl w:val="true"/>
          <w:lang w:bidi="fa-IR"/>
        </w:rPr>
        <w:t>و نوعی ضعیف‌تر از نفس نیز در حیوان و نبات وجود دارد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به عبارت دیگر، می‌توان گفت، نفس از نظر افلاطون به دو قسم کلّی تقسیم می‌شود؛ نفوس خدایی و فناناپذیر و نفوس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نظر وی، متشکل از سه بخش است؛ جزئی از آن که مدبّر بدن و فناناپذیر می‌باشد و دو جزء دیگر، فناپذیر است</w:t>
      </w:r>
      <w:r>
        <w:rPr>
          <w:rFonts w:eastAsia="IRNazanin" w:cs="IRNazanin"/>
          <w:color w:val="111111"/>
          <w:sz w:val="28"/>
          <w:szCs w:val="28"/>
          <w:rtl w:val="true"/>
          <w:lang w:bidi="fa-IR"/>
        </w:rPr>
        <w:t>.</w:t>
      </w:r>
      <w:r>
        <w:rPr>
          <w:rStyle w:val="FootnoteAnchor"/>
          <w:rtl w:val="true"/>
        </w:rPr>
        <w:footnoteReference w:id="6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نفس از نظر افلاطون را می‌توان این‌گونه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بدن، تجرّد و روحانی بودن، جوهر مستقل بودن، جاودان و ازلی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 خصوصیات حتی ازلی </w:t>
      </w:r>
    </w:p>
    <w:p>
      <w:pPr>
        <w:pStyle w:val="BookText"/>
        <w:rPr/>
      </w:pPr>
      <w:r>
        <w:rPr>
          <w:rFonts w:ascii="IRNazanin" w:hAnsi="IRNazanin" w:eastAsia="IRNazanin"/>
          <w:color w:val="111111"/>
          <w:sz w:val="28"/>
          <w:sz w:val="28"/>
          <w:szCs w:val="28"/>
          <w:rtl w:val="true"/>
          <w:lang w:bidi="fa-IR"/>
        </w:rPr>
        <w:t>بودن نفس در افکار ابن سینا نیز وجود دارد، اما ابتدا لازم است به دیدگاه ارسطو نیز در این باره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فلسفی ارسطو، تقسیم دوگانه نفوس به نفوس عالیه و سفلیه که در فلسفة افلاطون و نیز ابن سینا دیده می‌شود،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ارسطو در دوره‌ای پیشتر به مفهوم افلاطونی نفوس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است؛ زیرا در پری سوفیلوس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 ستارگان، دارای نفس‌اند و موجب حرکت خویش‌اند، ولی او این مفهوم را رها کرده و به مفهوم عقول افلاک روی آورده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از نظر ارسطو، افلاک دارای عقول‌اند و این عقل است که سبب حرکت آنها می‌گردد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گواه اینکه ارسطو نفوس سماوی را قبول ندارد، این است که تعریف وی از نفس تنها نفوس ارضیه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از نظر ارسطو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اوّل جسم طبیعی که دارای حیات</w:t>
      </w:r>
    </w:p>
    <w:p>
      <w:pPr>
        <w:pStyle w:val="BookText"/>
        <w:rPr/>
      </w:pP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باید توجّه داشت که مراد از جسم در اینجا مادّه نیست، بلکه جسم به معنای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اوّل مانند علم برای انسان و یا بریدن برای چاقو، و ذی‌حیات یا آلی به معنای دارا بودن آلات و قواست که به واسطة آنها افعال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تغذی، نمو، تولید، ادراک، حرکت ارادی 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تعریف بر اجرام سماوی منطبق نیست؛ زیرا اگرچه از دید وی آنها دارای حیات‌اند، صاحب آلات و قوا نیستند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ذکر شد، می‌توان دیدگاه ابن سینا را با دیدگاه ارسطو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سینا دربارة نفس، دو اختلاف اساسی با رأی ارسطو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باعث فاصله‌گیری ابن سینا در جزئیات این بحث از ارسطو شده و وی را به افکار افلاطونی متمایل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این تعریف تنها شامل نفوس ارضی می‌گردد؛ از این رو، برای شمول نفوس سماوی باید به جای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إدراک و حرکی تتبعان تعقّلاً کلّیّاً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w:t>
      </w:r>
      <w:r>
        <w:rPr>
          <w:rStyle w:val="FootnoteAnchor"/>
          <w:rtl w:val="true"/>
        </w:rPr>
        <w:footnoteReference w:id="693"/>
      </w:r>
      <w:r>
        <w:rPr>
          <w:rFonts w:ascii="IRNazanin" w:hAnsi="IRNazanin" w:eastAsia="IRNazanin"/>
          <w:color w:val="111111"/>
          <w:sz w:val="28"/>
          <w:sz w:val="28"/>
          <w:szCs w:val="28"/>
          <w:rtl w:val="true"/>
          <w:lang w:bidi="fa-IR"/>
        </w:rPr>
        <w:t xml:space="preserve">و از آنجا که در نزد ابن سینا نفوس در تقسیم کلّی دو گونه‌اند، نمط سوم اشارات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نفس ارضی و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به رغم توافق ظاهری ابن سینا با ارسطو در تعریف نفوس ارضی،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از نظر ارسطو، مساوی با صورت است، در حالی که ابن سینا کمال را اعم از صورت می‌داند؛ یعنی هر صورتی، کمال است، ولی هر کمالی، صورت نیست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این اختلاف در معنای کمال، در اکثر فروع بحث نفس، ابن سینا را از ارسطو جدا ساخته و وی را با افلاطون هم‌رأی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موارد این اختلاف</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ثنویت نفس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ثنویت نفس و بدن، فکری فیثاغوری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افلاطون، نفس آدمی قبل از بدن وجود داشته و از دانش بهره‌مند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توسط خیر اعلی در کالبد بدن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در روح و روح را در جسم جایگزین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سخن و سخنان همانند آن در آثار افلاطون، روشن می‌شود که نفس، جوهری مستقل از بدن است که چند روزی جسد را به استخدام می‌گیرد و سرانجام، جسد را رها کرده و مستقل به زندگی ابدی خویش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دیدگاه ابن سینا نیز از جهت استقلال نفس، شبیه همین است، ولی نفس را جوهری مستقل در مقابل بدن می‌داند و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جوهری قائم به ذات و مستقل است که منطبع در مادّه نیست، بلکه نفس مجرّد است و همانا نیازش به این بدن، به سبب عدم امکان وجودش بدون این بدن و نیز به سبب نیل به بعضی کمالات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این تعریف ابن سینا از نفس نیز این استقلال لحاظ شده است و گفتیم که او کمال را اعم از صورت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 بودن این است که نفس، یعنی همان کمال که مستقل و فارغ از بدن نیز می‌تواند وجود داشته باشد، در حالی که ارسطو کمال را مساوی صورت می‌داند؛ در نتیجه، از نظر وی نفس هیچ‌گاه نمی‌تواند از بدن جدا باشد؛ زیرا صورت بدون بدن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ارسطو، نفس و بدن دو جزء برای جوهر واحدند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نفس و بدن از نظر افلاطون، رابطة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تمثیل ارّابة بالدار به تصویر کشیده شده است؛ ارّابه‌ای که دو اسب آن را به دنبال می‌کشند، به مثابه بدن و جسم است و ارّابه‌ران که کنترل اسبها را به عهده دارد، به مثابه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اسب نیز نماد قوّة همّت و اراده و قوّة شهویه و غضبیه‌اند که از قوای نفس‌اند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در نگاه ابن سینا نیز رابطة نفس و بدن، رابطة تدبیر است و نفس جوهری است که در بدن و اجزای بدن تصرّف می‌کند،</w:t>
      </w:r>
      <w:r>
        <w:rPr>
          <w:rStyle w:val="FootnoteAnchor"/>
          <w:rtl w:val="true"/>
        </w:rPr>
        <w:footnoteReference w:id="697"/>
      </w:r>
      <w:r>
        <w:rPr>
          <w:rFonts w:ascii="IRNazanin" w:hAnsi="IRNazanin" w:eastAsia="IRNazanin"/>
          <w:color w:val="111111"/>
          <w:sz w:val="28"/>
          <w:sz w:val="28"/>
          <w:szCs w:val="28"/>
          <w:rtl w:val="true"/>
          <w:lang w:bidi="fa-IR"/>
        </w:rPr>
        <w:t>اما از آنجا که ارسطو معتقد است نفس و بدن همانند مادّه و صورت شیء واحدند و به عبارت دیگر، دو جزء برای یک جوهرند، بحث از ارتباط آنها منتفی است؛ چرا که رابطة تدبیر در جایی معنا دارد که دو جوهر متباین فرض شود، اما نسبت نفس و بدن در نظر ارسطو، تباین نیست، بلکه اتّحاد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نفس را مجرّد دانسته و بر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تجرّد نفس از نظر او، این است که هیچ‌گونه تغییری در آن صورت نمی‌پذیرد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در اندیشة ابن سینا نیز نفس، موجودی مجرّد است که تنها در حدوث و استکمال به بدن نیاز دارد</w:t>
      </w:r>
      <w:r>
        <w:rPr>
          <w:rStyle w:val="FootnoteAnchor"/>
          <w:rtl w:val="true"/>
        </w:rPr>
        <w:footnoteReference w:id="699"/>
      </w:r>
      <w:r>
        <w:rPr>
          <w:rFonts w:ascii="IRNazanin" w:hAnsi="IRNazanin" w:eastAsia="IRNazanin"/>
          <w:color w:val="111111"/>
          <w:sz w:val="28"/>
          <w:sz w:val="28"/>
          <w:szCs w:val="28"/>
          <w:rtl w:val="true"/>
          <w:lang w:bidi="fa-IR"/>
        </w:rPr>
        <w:t>و در موارد متعدّد بر تجرّد نفس استدلال کرده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اما نفس از نظر ارسطو، طبق آنچه تعریف وی از نفس بر آن دلالت می‌کند ممکن نیست مجرّد باشد؛ زیرا نفس صورت بدن است و صورت بدن با فنای بدن فانی می‌گردد و حال اینکه موجود مجرّد ممکن نیست فانی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ارسطو تنها جزئی از نفس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می‌تواند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دربارة این جزء، ابهامهایی در کلام ارسطو وجود دارد که در مباحث بعدی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جاودانگی نفس از اعتقادات مسلّم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رسالة فایدون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از هر جای دیگر، این موضوع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دیگر نیز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فایدروس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مبدأ هر چیزی است که جنبشش از خود نیست، بلکه از خارج است و ازلی است و چون ازلی است، بالضروره ابدی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جنبشش از خود است، جاویدان و فناناپذیر است و آن جهان ذات و ماهیّت روح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خلود نفس در فلسفة اسلامی به معاد مشهور است و ابن سینا در اصل جاودانگی نفس با افلاطون هم‌رأی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اختلافهایی بین آنها نیز وجود دارد؛ برای مثال، خلود نفس در نگاه افلاطون به صورت نوعی تناسخ است، در حالی که ابن سینا آن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فصل چهارم مقالة پنجم کتاب نفس شفا به بحث دربارة خلود نفس می‌پردازد و جاودانگی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جاودانگی نفس در نظر ارسطو نظیر مسئلة تجرّد نفس است و مانند آنجا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بنا بر تعریف ارسطو ممکن نیست جاودانه باشد، بلکه چون صورت بدن است و نمی‌تواند مستقل از بدن باقی بماند، پس با فنای بدن باید فانی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وجود نفس بر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افلاطون نفس آدمی قبل از تعلّق به بدن وجود داشته و از دانش بهره‌مند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ابن سینا در کتابهای فلسفی خود، صراحتاً قدم نفس را باطل دانسته و بر حدوث آن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ابن سینا نفس روحانیی الحدوث و روحانیی البقاء است و نمی‌تواند قبل از بدن وجود داشته باشد و در مرحله‌ای از</w:t>
      </w:r>
      <w:bookmarkStart w:id="452" w:name="pg5678_50508"/>
    </w:p>
    <w:p>
      <w:pPr>
        <w:pStyle w:val="BookText"/>
        <w:rPr/>
      </w:pPr>
      <w:bookmarkEnd w:id="452"/>
      <w:r>
        <w:rPr>
          <w:rFonts w:ascii="IRNazanin" w:hAnsi="IRNazanin" w:eastAsia="IRNazanin"/>
          <w:color w:val="111111"/>
          <w:sz w:val="28"/>
          <w:sz w:val="28"/>
          <w:szCs w:val="28"/>
          <w:rtl w:val="true"/>
          <w:lang w:bidi="fa-IR"/>
        </w:rPr>
        <w:t>تکوّنِ بدن از مبدأ اعلی افاضه می‌شود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به رغم صراحت و تأکید ابن سینا بر حدوث نفس، گویا اندیشة قدیم بودن نفوس و سبق وجودی نفس بر بدن در عمق جان ابن سینا ریشه دوانده است؛ به گونه‌ای که بر خلاف دیدگاه فلسفی‌اش، در موارد فراوانی، نفس را موجودی ازلی معرفی می‌کند که به این عالم خاکی آمده و تخته‌بند بدن عنصری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اشارات با جملاتی شاعرانه بدن را به آشیانه‌ای تشبیه می‌کند که خدا به حکمت خویش آن را فراهم کرده است تا مرغ نفس در آن آشیانه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افلاطونی به نفس در کتابهای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ابن سینا با وضوح بیشتری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رسالی الطیر، نفوس انسانی در قالب مرغانی ظاهر می‌شوند که در دام حس اسیر می‌گردند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ابن سینا در نخستین بیت قصیدة عینیه، نفس را موجودی روحانی معرفی می‌کند که از جهانی والا به برهوت تن هبوط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ذات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البته در همة این موارد، می‌توان گفت که ابن سینا به مجاز سخن گفته است خصوصاً اینکه این آثار،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این احتمال به روح افلاطونی فکر ابن سینا در این باره خدشه‌ای وارد نمی‌کند؛ چرا که فاصلة زیادی بین دیدگاه ابن سینا و ارسطو در این باره وجود دارد</w:t>
      </w:r>
      <w:r>
        <w:rPr>
          <w:rFonts w:eastAsia="IRNazanin" w:cs="IRNazanin"/>
          <w:color w:val="111111"/>
          <w:sz w:val="28"/>
          <w:szCs w:val="28"/>
          <w:rtl w:val="true"/>
          <w:lang w:bidi="fa-IR"/>
        </w:rPr>
        <w:t>.</w:t>
      </w:r>
    </w:p>
    <w:p>
      <w:pPr>
        <w:pStyle w:val="Heading4"/>
        <w:numPr>
          <w:ilvl w:val="3"/>
          <w:numId w:val="1"/>
        </w:numPr>
        <w:rPr/>
      </w:pPr>
      <w:bookmarkStart w:id="453" w:name="__RefHeading___Toc3562073_581953129"/>
      <w:bookmarkStart w:id="454" w:name="_Toc168"/>
      <w:bookmarkEnd w:id="453"/>
      <w:r>
        <w:rPr>
          <w:rtl w:val="true"/>
        </w:rPr>
        <w:t>عقل فعّال</w:t>
      </w:r>
      <w:bookmarkEnd w:id="4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از نظر ارسطو، جزئی از نفس که عقل نامیده می‌شود، مجرّد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ارسطو چند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آیا عقل فعّال و عقل منفعل دو موجودند یا اینکه دو جنبه از موجود واحدند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تفکیک اسمی این دو، توسط شارحان ارسطو، مانند اسکندر افرودیسی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دوم این است که آیا این دو عقل، مجرّد و مفارق از مادّه‌اند یا نه؟ و ابهام سوم اینکه آیا عقل فعّال، موجودی جدای </w:t>
      </w:r>
    </w:p>
    <w:p>
      <w:pPr>
        <w:pStyle w:val="BookText"/>
        <w:rPr/>
      </w:pPr>
      <w:r>
        <w:rPr>
          <w:rFonts w:ascii="IRNazanin" w:hAnsi="IRNazanin" w:eastAsia="IRNazanin"/>
          <w:color w:val="111111"/>
          <w:sz w:val="28"/>
          <w:sz w:val="28"/>
          <w:szCs w:val="28"/>
          <w:rtl w:val="true"/>
          <w:lang w:bidi="fa-IR"/>
        </w:rPr>
        <w:t>از نفس انسانی است یا جزء نفس انسانی؟</w:t>
      </w:r>
    </w:p>
    <w:p>
      <w:pPr>
        <w:pStyle w:val="BookText"/>
        <w:rPr/>
      </w:pPr>
      <w:r>
        <w:rPr>
          <w:rFonts w:ascii="IRNazanin" w:hAnsi="IRNazanin" w:eastAsia="IRNazanin"/>
          <w:color w:val="111111"/>
          <w:sz w:val="28"/>
          <w:sz w:val="28"/>
          <w:szCs w:val="28"/>
          <w:rtl w:val="true"/>
          <w:lang w:bidi="fa-IR"/>
        </w:rPr>
        <w:t>دیدگاه رایج دربارة ابهام نخست، این است که عقل فعّال و عقل منفعل، دو موجود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تقسیم عقل به فعّال و منفعل، از سوی خود ارسطو نیست، لکن از سخنان وی چنین برمی‌آید که جزئی از نفس که عقل نام دارد، منفعل است</w:t>
      </w:r>
      <w:r>
        <w:rPr>
          <w:rStyle w:val="FootnoteAnchor"/>
          <w:rtl w:val="true"/>
        </w:rPr>
        <w:footnoteReference w:id="705"/>
      </w:r>
      <w:r>
        <w:rPr>
          <w:rFonts w:ascii="IRNazanin" w:hAnsi="IRNazanin" w:eastAsia="IRNazanin"/>
          <w:color w:val="111111"/>
          <w:sz w:val="28"/>
          <w:sz w:val="28"/>
          <w:szCs w:val="28"/>
          <w:rtl w:val="true"/>
          <w:lang w:bidi="fa-IR"/>
        </w:rPr>
        <w:t>و آنگاه موجود دیگری باید باشد که نسبت به معقولات این عقل، سِمت فاعلیّت دارد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ارسطو دربارة این موجود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عقل است که چون بالذات فعل است، مفارق و غیر منفعل و عاری از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اوست که فناناپذیر و ازلی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بنابراین، تردیدی نیست که عقل فعّال، مجرّد است، اما دربارة عقل منفعل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از جهتی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از آن حیث که همه چیز را می‌اندیشد، باید بالضروره چنان که آناکساگوراس گفته، عاری از مخالطت باشد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طرف دیگر، دیدیم که وی صفت تجرّد را منحصر به عقل فعّال دانست؛ از این رو، بعضی از این حصر در سخن وی صرف‌نظر کرده و عقل منفعل را نیز مجرّد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تأیید سخن خویش به این عبارت از وی تمسّک جسته‌اند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موجّه نیست عقل را مخالط با بدن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در حالی که بعضی مفسّران جدید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ارسطو این است که عقل با معقولاتی که آنها را می‌شناسد، مخالطت ندارد و چون بالقوّه تمام معقولات است نمی‌تواند فعل محض و مجرّد باشد</w:t>
      </w:r>
      <w:r>
        <w:rPr>
          <w:rFonts w:eastAsia="IRNazanin" w:cs="IRNazanin"/>
          <w:color w:val="111111"/>
          <w:sz w:val="28"/>
          <w:szCs w:val="28"/>
          <w:rtl w:val="true"/>
          <w:lang w:bidi="fa-IR"/>
        </w:rPr>
        <w:t>.</w:t>
      </w:r>
      <w:r>
        <w:rPr>
          <w:rStyle w:val="FootnoteAnchor"/>
          <w:rtl w:val="true"/>
        </w:rPr>
        <w:footnoteReference w:id="71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سوم دربارة عقل فعّال است، به این صورت که آیا جزئی از نفس انسانی یا اینکه موجودی جدا و منفک از نفس انسانی است که علوم را به انسان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شارحان ارسطو، مانند اسکندر افرودیسی</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رشد و ذرابلتا</w:t>
      </w:r>
      <w:r>
        <w:rPr>
          <w:rStyle w:val="FootnoteAnchor"/>
          <w:rtl w:val="true"/>
        </w:rPr>
        <w:footnoteReference w:id="712"/>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55" w:name="pg5678_50510"/>
    </w:p>
    <w:p>
      <w:pPr>
        <w:pStyle w:val="BookText"/>
        <w:rPr/>
      </w:pPr>
      <w:bookmarkEnd w:id="455"/>
      <w:r>
        <w:rPr>
          <w:rFonts w:ascii="IRNazanin" w:hAnsi="IRNazanin" w:eastAsia="IRNazanin"/>
          <w:color w:val="111111"/>
          <w:sz w:val="28"/>
          <w:sz w:val="28"/>
          <w:szCs w:val="28"/>
          <w:rtl w:val="true"/>
          <w:lang w:bidi="fa-IR"/>
        </w:rPr>
        <w:t>بر آن‌اند که مقصود از عقل فعّال خداوند است و خداست که فکر را در نفس ایجاد می‌کند،</w:t>
      </w:r>
      <w:r>
        <w:rPr>
          <w:rStyle w:val="FootnoteAnchor"/>
          <w:rtl w:val="true"/>
        </w:rPr>
        <w:footnoteReference w:id="713"/>
      </w:r>
      <w:r>
        <w:rPr>
          <w:rFonts w:ascii="IRNazanin" w:hAnsi="IRNazanin" w:eastAsia="IRNazanin"/>
          <w:color w:val="111111"/>
          <w:sz w:val="28"/>
          <w:sz w:val="28"/>
          <w:szCs w:val="28"/>
          <w:rtl w:val="true"/>
          <w:lang w:bidi="fa-IR"/>
        </w:rPr>
        <w:t>در حالی که بعضی دیگر معتقدند عقل فعّال، همان روح جاودان و خالد در کالبد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بررسی سخن ارسطو این بود که اگر مقصود وی از عقل فعّال و عقل منفعل، موجود واحدی است که جزئی از نفس انسان را تشکیل می‌دهد، می‌توان به او نسبت داد که به خلود نفس قائل بوده است، اما نه به آن معنا که افلاطون و ابن سینا معتقدند، بلکه به معاد نوعی و اینکه همیشه یک نفس کلّی در جهان بوده و خواهد بود؛ زیرا از ظاهر سخنان ارسطو فهمیده می‌شود که عقل فعّال موجودی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فعّال موجودی غیر از عقل منفعل باشد، از آنجا که ظاهراً ارسطو صفت تجرّد را به عقل فعّال منحصر کرد، عقل منفعل نمی‌تواند موجودی مجرّد باشد و در این صورت نیز تنها اگر عقل فعّال جزء نفس انسان باشد، می‌توان گفت که ارسطو به بقا و جاودانگی نفس قائل است، البته آن هم معاد نوعی، نه معاد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ابهامات و احتمالات در سخنان ارسطو، ژیلسون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هر یک از افراد بشر، نفسی از آن خود دارد، اما این نفس، دیگر خدایی فناناپذیر مانند نفس نزد افلاطون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جسمیّة بدن مادّی و نابودشدنی اوست و محکوم به فنای انسان است</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456" w:name="__RefHeading___Toc3562075_581953129"/>
      <w:bookmarkStart w:id="457" w:name="_Toc169"/>
      <w:bookmarkEnd w:id="456"/>
      <w:r>
        <w:rPr>
          <w:rtl w:val="true"/>
        </w:rPr>
        <w:t>عشق و عرفان</w:t>
      </w:r>
      <w:bookmarkEnd w:id="4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افکار افلاطونی ابن سینا، مباحث مربوط به عشق و عرفان است که در رسائل عرفانی و نمطهای آخر کتاب اشارات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شباهتهای فراوانی میان افلاطون و ابن سینا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روش هر دو در وصول به حقیقت، ریاضت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اشراق از نظر افلاطون، نوعی شهود عقلی است نه شهود قلبی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در نگاه افلاطون، همان مُثُل و حقیقی‌ترین موجود، مثال خیر است و راه رسیدن به مثل و تماشای مثال خیر، دیالکتیک است که افلاطون آن را عمل جمع و تفریق به معنای ترکیب و تحلیل و گاهی حالت </w:t>
      </w:r>
    </w:p>
    <w:p>
      <w:pPr>
        <w:pStyle w:val="BookText"/>
        <w:rPr/>
      </w:pPr>
      <w:r>
        <w:rPr>
          <w:rFonts w:ascii="IRNazanin" w:hAnsi="IRNazanin" w:eastAsia="IRNazanin"/>
          <w:color w:val="111111"/>
          <w:sz w:val="28"/>
          <w:sz w:val="28"/>
          <w:szCs w:val="28"/>
          <w:rtl w:val="true"/>
          <w:lang w:bidi="fa-IR"/>
        </w:rPr>
        <w:t>جودت ذهن می‌داند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برای نیل به حقیقت، لازم است نیروی عقل و اراده بر قوّة شهوت و هوس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صفتی است که در اثر حکمت و پرورش قوّة عاقله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به معنای زهد صوفیانه و پرهیز از لذّتها نیست، بلکه همان صفتی است که در سقراط به نحو اعلی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مکالمه‌های افلاطون، سقراط شراب می‌نوشد، ولی هیچ‌گاه عنان عقل را از دست نمی‌دهد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این‌گونه ریاضت عقلی، سبب به وجود آمدن صفت حکمت و وصال به خورشید حقیقت می‌گردد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ابن سینا نیز در نمط نهم اشارات که در مقامات عارفان است، برای رسیدن به کمال حقیقی، ریاضت را توصیه می‌کند، اما این ریاضت، ریاضت شرعی یا متصوّفانه نیست، بلکه همان ریاضت عقلی و استفاده از قوّة فکر برای وصول به جانب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عرفا، دل بالاترین جایگاه را در وصول به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سلوک باید قلب و باطن را از کدورتها و آلودگیها پاک کرد تا جمال شاهد قدسی در آن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منظر عرفا عقل و فکر نه تنها در راه سلوک نقش چندانی ندارد، بلکه در مظان مذمت نیز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قدم وین عقل، رو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چشم غیبی جوی و برخوردار شو</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مقابل، ابن سینا شرط وصول به حضرت حق را صاف کردن فکر و عقل از شوائب اوهام و تخیّلات معطوف به عالم جسمانی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آنجا که عارف را معرفی می‌کند، بر جنبة عقلانیّت و فکر عارف تأکید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المتصرّف بفکره إلی قدس الجبروت مستدیاً لشروق نور الحقّ فی سرّه یخصّ باسم العارف؛</w:t>
      </w:r>
      <w:r>
        <w:rPr>
          <w:rStyle w:val="FootnoteAnchor"/>
          <w:rtl w:val="true"/>
        </w:rPr>
        <w:footnoteReference w:id="719"/>
      </w:r>
      <w:r>
        <w:rPr>
          <w:rFonts w:ascii="IRNazanin" w:hAnsi="IRNazanin" w:eastAsia="IRNazanin"/>
          <w:color w:val="111111"/>
          <w:sz w:val="28"/>
          <w:sz w:val="28"/>
          <w:szCs w:val="28"/>
          <w:rtl w:val="true"/>
          <w:lang w:bidi="fa-IR"/>
        </w:rPr>
        <w:t>عارف کسی است که فکر و عقلش به کمال متوجّه حضرت حق گردیده و پیوسته در معرض اشراق نور حق بر باطن اوست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آنجا که اغراض ریاضت را بیان می‌کند،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 تطویع النفس الاماری المطمئنّی لینجذب قوی التخیّل و الوهم إلی التوهّمات المناسبی للأمر القدسیّ منصرفی عن التوهّمات المناسبی للأمر السفلیّ؛</w:t>
      </w:r>
      <w:r>
        <w:rPr>
          <w:rStyle w:val="FootnoteAnchor"/>
          <w:rtl w:val="true"/>
        </w:rPr>
        <w:footnoteReference w:id="720"/>
      </w:r>
      <w:r>
        <w:rPr>
          <w:rFonts w:ascii="IRNazanin" w:hAnsi="IRNazanin" w:eastAsia="IRNazanin"/>
          <w:color w:val="111111"/>
          <w:sz w:val="28"/>
          <w:sz w:val="28"/>
          <w:szCs w:val="28"/>
          <w:rtl w:val="true"/>
          <w:lang w:bidi="fa-IR"/>
        </w:rPr>
        <w:t>دوم رام کردن نفس امارة مطمئنّه است تا آنکه قوای متخیّله و متوهّمه، مشغول افکار متناسب با امر قدسی گردند و از افکار مربوط به امور پست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روشن می‌شود که جایگاه رفیع عقل در نزد ابن سینا حتی در سلوک عرفانی، همچنان محفوظ است و بر خلاف عرفا که در صدد تصفیة باطن و جلای قلب‌اند، بر پیراستن قوّة مفکّره و عاقله از توهّمات و تخیّلات مربوط به عالم حسّی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راه وصول به حقیقت از نظر ابن سینا حتی در مباحث عرفانی، نوعی دیدگاه فلسفی است و همچون افلاطون بر ریاضت عقلی و تقویت قوّة عاقله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دیگر افلاطون و ابن سینا در اصل مباحث مربوط به لذّت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هر دو، لذّت و بهجت واقعی، تماشای کمال مطلق و اتّصال به عالم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دیدگاه را در جاهای مختلف، مانند تمثیل ارّابة بالدار و نیز تمثیل غار</w:t>
      </w:r>
      <w:r>
        <w:rPr>
          <w:rStyle w:val="FootnoteAnchor"/>
          <w:rtl w:val="true"/>
        </w:rPr>
        <w:footnoteReference w:id="721"/>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و سعادت که در اثر مشاهدة حقیقت حاصل می‌شود، مربوط به بعد از مرگ نیست، بلکه در همین جهان نیز گاهی خرد و عقل به مشاهدة حقیقت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کاهنان و بالاتر از همه، فیلسوفان از جمله کسانی‌اند که بهره‌ای از تماشای حقیقت راستین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چنین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این عشق را نوعی دیوانگی که بخششی الهی است،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شریف‌ترین نوع دیوانگی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فیلسوف، حقیقت را که در عالم بالا دیده است، به خاطر می‌آورد</w:t>
      </w:r>
      <w:r>
        <w:rPr>
          <w:rFonts w:eastAsia="IRNazanin" w:cs="IRNazanin"/>
          <w:color w:val="111111"/>
          <w:sz w:val="28"/>
          <w:szCs w:val="28"/>
          <w:rtl w:val="true"/>
          <w:lang w:bidi="fa-IR"/>
        </w:rPr>
        <w:t>.</w:t>
      </w:r>
      <w:r>
        <w:rPr>
          <w:rStyle w:val="FootnoteAnchor"/>
          <w:rtl w:val="true"/>
        </w:rPr>
        <w:footnoteReference w:id="7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نیز معتقد است که بالاترین لذّت برای نفس ناطقه، نشاط روحی است که در اثر اتّصال به عالم علوی حاصل می‌آید و با عشق و شوق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چیزی نیست مگر ابتهاج به تصوّر حضرت حق و شوق چیزی نیست مگر رغبت دائم در کمال وصول به این ابتهاج و سرور</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این لذّت و ابتهاج آنگاه که دوام یابد، سعادت حقیقی </w:t>
      </w:r>
    </w:p>
    <w:p>
      <w:pPr>
        <w:pStyle w:val="BookText"/>
        <w:rPr/>
      </w:pP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سعادتی منحصر به بعد از مرگ نیست، بلکه در همین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آن نائل می‌گردد، فیلسوف حقیقی است که جوهر عاقلة نفس او در اثر این اتّصال، مجلی حقّ اوّل به مقدار قابلیّت خاصّ او می‌گردد، آنگاه تمام وجود آن گونه که هست، مجرّد از هرگونه آلودگی، در آن متمثّل می‌شود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این سخنان ابن سینا که در اشارات با لحنی عرفانی ابراز شده، در کتاب نجات او، طنینی فلسفی دارد،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خاصّ نفس ناطقه، در حقیقت، آن است که به جهانی عقلی تبدیل شود که در آن، صورت همة هستی و نظام معقولِ آن و خیری که به آن افاضه می‌شود، نقش بندد؛ از مبدأ نخستین گرفته تا جواهر شریفه، سپس جوهرهای روحانی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بتواند چیزی را که حسّ مطلق و خیر مطلق و جمال حقّ است، مشاهده کند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دیدگاه افلاطون و ابن سینا دربارة عشق نیز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عشق را به عشق هوسناکانه و عشق حقیقی تقسیم می‌کند؛ هدف عاشق در عشق نخستین، رسیدن به بدن معشوق است، اما در عشق مطلوب، پرورش روح عاشق و توجّه عاشق به زیبایی روح معشوق است و چنین عشقی، مقدمة فلسفه و بزرگ‌ترین نعمتی است که خدایان، نصیب آدمیان کرده‌اند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باید توجّه داشت که این سخنان افلاطون دربارة عشقِ به مبدأ اعلی نیست، بلکه دربارة نوعی گرایش و علاقه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جسمانی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در انسان پدید می‌آید و مرجع این سخن مشهور صدرالمتألهین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قنطری الحقیقی</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این عشق تنها مقدّمه‌ای برای عشق حقیقی، یعنی عشق به زیبایی مطلق است که با فلسفه به دست می‌آید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ابن سینا در رسالة عشق، به ویژه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عشق ظریفان و جوانمردان با صورتهای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سخنان افلاطون متأثر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رسالة </w:t>
      </w:r>
      <w:bookmarkStart w:id="458" w:name="pg5678_50514"/>
    </w:p>
    <w:p>
      <w:pPr>
        <w:pStyle w:val="BookText"/>
        <w:rPr/>
      </w:pPr>
      <w:bookmarkEnd w:id="458"/>
      <w:r>
        <w:rPr>
          <w:rFonts w:ascii="IRNazanin" w:hAnsi="IRNazanin" w:eastAsia="IRNazanin"/>
          <w:color w:val="111111"/>
          <w:sz w:val="28"/>
          <w:sz w:val="28"/>
          <w:szCs w:val="28"/>
          <w:rtl w:val="true"/>
          <w:lang w:bidi="fa-IR"/>
        </w:rPr>
        <w:t xml:space="preserve">فایدروس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در رسالة مذکور، در صدد تبیین فلسفی عشق و علاقة مردان به جوانان نو رسیده و امرد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پیراستن جوانب شهوانی و غیر اخلاقی این گرایش به توجیه آن می‌پردازند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در آثار دیگر ابن سینا نیز آن‌گاه که بحث عشق مطرح می‌شود، دیدگاه افلاطونی وی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اشارات یکی از اغراض ریاضت را که مقدمة رسیدن به مقامات عارفان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استعداد رسیدن به کمال و تمثّل صور عقلیّه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رسیدن به این هدف را فکر لطیف و عشق عفیف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خواجة طوسی در شرح آن، عشق انسانی را به عشق حقیقی و مجازی تقسیم می‌کند و سپس با تقسیم عشق مجازی به عشق حیوانی و نفسانی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 نفسانی توجه عاشق به شمایل و اخلاق معشوق است، برخلاف عشق حیوانی که توجّه عاشق به صورت معشوق و در پی لذّات حیوانی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چنان که می‌بینیم، عشق نفسانی در تفسیر کلام ابن سینا کاملاً منطبق بر عشقی است که افلاطون آن را در مقابل عشق هوسناکانه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چنین عشقی را مقدمة نیل به حقیقت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عشق حقیقی که پیش از این اشاره شد و بوعلی آن را عشق به جمال حق دانست، بر عشق به زیبایی مطلق در سخنان افلاطون منطبق است</w:t>
      </w:r>
      <w:r>
        <w:rPr>
          <w:rFonts w:eastAsia="IRNazanin" w:cs="IRNazanin"/>
          <w:color w:val="111111"/>
          <w:sz w:val="28"/>
          <w:szCs w:val="28"/>
          <w:rtl w:val="true"/>
          <w:lang w:bidi="fa-IR"/>
        </w:rPr>
        <w:t>.</w:t>
      </w:r>
    </w:p>
    <w:p>
      <w:pPr>
        <w:pStyle w:val="Heading4"/>
        <w:numPr>
          <w:ilvl w:val="3"/>
          <w:numId w:val="1"/>
        </w:numPr>
        <w:rPr/>
      </w:pPr>
      <w:bookmarkStart w:id="459" w:name="__RefHeading___Toc3562077_581953129"/>
      <w:bookmarkStart w:id="460" w:name="_Toc170"/>
      <w:bookmarkEnd w:id="459"/>
      <w:r>
        <w:rPr>
          <w:rtl w:val="true"/>
        </w:rPr>
        <w:t>احوال عاشقان</w:t>
      </w:r>
      <w:bookmarkEnd w:id="460"/>
    </w:p>
    <w:p>
      <w:pPr>
        <w:pStyle w:val="BookText"/>
        <w:rPr/>
      </w:pPr>
      <w:r>
        <w:rPr>
          <w:rFonts w:ascii="IRNazanin" w:hAnsi="IRNazanin" w:eastAsia="IRNazanin"/>
          <w:color w:val="111111"/>
          <w:sz w:val="28"/>
          <w:sz w:val="28"/>
          <w:szCs w:val="28"/>
          <w:rtl w:val="true"/>
          <w:lang w:bidi="fa-IR"/>
        </w:rPr>
        <w:t>افلاطون در وصف کسانی که خود زیبایی را مشاهده کرده‌اند،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در معیّت خدایان توانسته‌اند، خود زیبایی و زیبای حقیقی را ببینند و بعضی تنها نگاهی کوتاه به آن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آنگاه که بر اثر گرفتاری در این جهان بال و پرشان ریخته، از دیدار زیبای مطلق محروم می‌مانند با دیدن هر زیبایی در این جهان، زیبایی حقیقی را به یاد می‌آورند و بسان مرغی شکسته بال‌اند که چشم به آسمان دارند و به آنچه در روی زمین می‌گذرد، بی‌اعتنایند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هرگاه در این جهان نقشی از آنچه در آن عالم است، ببینند، چنان مجذوب و مشتاق می‌گردند که عنان اختیار از دست می‌دهند، ولی به درستی نمی‌دانند که چه حالتی به آنان روی آورده است؛ چون </w:t>
      </w:r>
      <w:bookmarkStart w:id="461" w:name="pg5678_50515"/>
    </w:p>
    <w:p>
      <w:pPr>
        <w:pStyle w:val="BookText"/>
        <w:rPr/>
      </w:pPr>
      <w:bookmarkEnd w:id="461"/>
      <w:r>
        <w:rPr>
          <w:rFonts w:ascii="IRNazanin" w:hAnsi="IRNazanin" w:eastAsia="IRNazanin"/>
          <w:color w:val="111111"/>
          <w:sz w:val="28"/>
          <w:sz w:val="28"/>
          <w:szCs w:val="28"/>
          <w:rtl w:val="true"/>
          <w:lang w:bidi="fa-IR"/>
        </w:rPr>
        <w:t>ادراک حسّی از دریافتن آن ناتوان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ابن سینا نیز در این باره سخنان مشابهی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سالم که بر فطرت نخستینشان باقی‌اند و همنشین امور زمینی آنها را نیالوده، آنگاه که ذکری روحانی، راجع به احوال مجرّدات به گوششان می‌خورد، رخوتی دلپذیر بر آنان عارض می‌گردد و نشاطی شدید همراه با لذّتی فرح‌فزا به آنان دست می‌دهد و آنان را به حالتی از بهت و حیرت می‌برد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عاشق افلاطون و عارف ابن سینا، دو غریب‌اند که تقدیر، آنها را مدّتی از معشوق جدا ساخته است و هر دو طالب سعادت اقصی و کمال نهایی‌اند که همان مشاهدة جمال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گاه به سبب اشتغال به عالم قدس و دل‌دادگی به کمال مطلق، حالاتی غیر طبیعی می‌یابند و از نظر عامّة مردم دیوانه قلمداد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روحی علی‌الدوام از راه یادآوری، دیدة دل به جایی دوخته که تماشاگه خدای اوست و کسی که از این‌گونه یادآوری برخوردار باشد، چون پیوسته در حریم کمال پیش می‌رود، می‌تواند به راستی و کمال برسد و چون به کوششها و تلاشهای بشری بی‌اعتنا و همواره به امور خدا سرگرم است، عامة مردم دیوانه‌اش می‌خوانند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نگاه ابن سینا، در چنین حالتی، عارف به گونه‌ای در تأمّل جبروت غرق می‌گردد که در ظاهر، بسان کسی می‌ماند که عقل را از دست داده و در حالت بهت به سر می‌برد؛ از این رو، تکلیفی بر او نیست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به هر حال، سرانجام این افراد، این است که جامة آلودة تن را کنار می‌گذارند و از گرفتاری مادّه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عالم قدس و خوشبختی پر می‌کشند و به کمال برین مزیّن می‌گردند و به لذّت علیا نائل می‌شوند</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462" w:name="__RefHeading___Toc3562079_581953129"/>
      <w:bookmarkStart w:id="463" w:name="_Toc171"/>
      <w:bookmarkEnd w:id="462"/>
      <w:r>
        <w:rPr>
          <w:rtl w:val="true"/>
        </w:rPr>
        <w:t>نتیجه‌گیری</w:t>
      </w:r>
      <w:bookmarkEnd w:id="4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روشن‌ترین مواضع در افلاطونی بودن دیدگاههای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دیگر دیدگاههای وی در باب معرفت، مادّه و صورت نیز جنبه‌هایی از افکار افلاطونی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ویژگیهایی نظیر توجّه به اشراق، اعتقاد به عقول مفارق و صدور آنها در خلقت عالم و کسب معرفت، تأکید بر تهذیب نفس و حقوق سلوک عملی شیخ در حلّ مشکلات فلسفی که در زندگی‌نامه‌های مربوط به وی آمده است، مجوزّی است تا با نگاهی نو، شیخ الرئیس ابن سینا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bookmarkStart w:id="464" w:name="pg5678_50517"/>
    </w:p>
    <w:p>
      <w:pPr>
        <w:pStyle w:val="Heading2"/>
        <w:numPr>
          <w:ilvl w:val="1"/>
          <w:numId w:val="1"/>
        </w:numPr>
        <w:rPr/>
      </w:pPr>
      <w:bookmarkStart w:id="465" w:name="__RefHeading___Toc3562081_581953129"/>
      <w:bookmarkStart w:id="466" w:name="_Toc172"/>
      <w:bookmarkEnd w:id="464"/>
      <w:bookmarkEnd w:id="465"/>
      <w:r>
        <w:rPr>
          <w:rtl w:val="true"/>
        </w:rPr>
        <w:t>تصوّر و تصدیق؛ نقد و بررسی دیدگاه صدرالمتألهین</w:t>
      </w:r>
      <w:bookmarkEnd w:id="466"/>
    </w:p>
    <w:p>
      <w:pPr>
        <w:pStyle w:val="Heading3"/>
        <w:numPr>
          <w:ilvl w:val="2"/>
          <w:numId w:val="1"/>
        </w:numPr>
        <w:rPr/>
      </w:pPr>
      <w:bookmarkStart w:id="467" w:name="__RefHeading___Toc3562083_581953129"/>
      <w:bookmarkStart w:id="468" w:name="_Toc173"/>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محمداسحاق عارفی</w:t>
      </w:r>
    </w:p>
    <w:p>
      <w:pPr>
        <w:pStyle w:val="Heading3"/>
        <w:numPr>
          <w:ilvl w:val="2"/>
          <w:numId w:val="1"/>
        </w:numPr>
        <w:rPr/>
      </w:pPr>
      <w:bookmarkStart w:id="469" w:name="__RefHeading___Toc3562085_581953129"/>
      <w:bookmarkStart w:id="470" w:name="_Toc174"/>
      <w:bookmarkEnd w:id="469"/>
      <w:r>
        <w:rPr>
          <w:rtl w:val="true"/>
        </w:rPr>
        <w:t>مقدّمه</w:t>
      </w:r>
      <w:bookmarkEnd w:id="470"/>
    </w:p>
    <w:p>
      <w:pPr>
        <w:pStyle w:val="BookText"/>
        <w:rPr/>
      </w:pPr>
      <w:r>
        <w:rPr>
          <w:rFonts w:ascii="IRNazanin" w:hAnsi="IRNazanin" w:eastAsia="IRNazanin"/>
          <w:color w:val="111111"/>
          <w:sz w:val="28"/>
          <w:sz w:val="28"/>
          <w:szCs w:val="28"/>
          <w:rtl w:val="true"/>
          <w:lang w:bidi="fa-IR"/>
        </w:rPr>
        <w:t>منطق و تفکّر، فصل ممیز انسان و تشکیل‌دهندة حقیقت و هویت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انتقال نفس از معلومات برای رسیدن به مجهولات است و این انتقال، تنها از طریق معلومات تصوّری و تصدیقی امکان‌پذیر است؛ بنابراین، اگر آدمی فاقد معلومات تصوّری و تصدیقی باشد، حرکت در جهت کشف مجهولات برای او ممکن نخواهد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میان انسان با جهان خارج، تنها در سایة تصوّر و تصدیق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علومِ تصوّری و تصدیقی نباشد، انسان با محیط اطراف و ماورای خود بیگانه می‌ماند و هیچ‌گونه تحقیق و پژوهشی نیز برای شناسایی آن انجام نمی‌دهد؛ چراکه در سایة همین علوم، نفس انسان از یک وجود طبیعی جزئی به یک جهان عقلانی و مساوی با جهان هستی، مبدّل می‌شود؛ زیرا افزایش پدیده‌های تصوّری و تصدیقی، افزایشی کیفی و عرضی است که بر جوهر نفس عارض می‌گردد، اما این عوارض و کیفیات نفسانیه باید به تحرّکات بنیادینِ جوهری منتهی شود و نشانة حتمی یک تحوّل و تکامل در ذات باشد؛ چرا که هر امر عرضی، </w:t>
      </w:r>
      <w:bookmarkStart w:id="471" w:name="pg5678_50518"/>
    </w:p>
    <w:p>
      <w:pPr>
        <w:pStyle w:val="BookText"/>
        <w:rPr/>
      </w:pPr>
      <w:bookmarkEnd w:id="471"/>
      <w:r>
        <w:rPr>
          <w:rFonts w:ascii="IRNazanin" w:hAnsi="IRNazanin" w:eastAsia="IRNazanin"/>
          <w:color w:val="111111"/>
          <w:sz w:val="28"/>
          <w:sz w:val="28"/>
          <w:szCs w:val="28"/>
          <w:rtl w:val="true"/>
          <w:lang w:bidi="fa-IR"/>
        </w:rPr>
        <w:t>سرانجام باید به یک امر ذاتی منتهی گردد و آن تحوّل و تکامل جوهری و ذاتی‌ای که تمام تحوّلات عوارض و کیفیات نفسانی به آن منتهی می‌شود، همان تحرّک و تکاملی است که در ذات جوهر نفس عاقل به وقوع می‌پیوندد؛ از این رو، علوم تصوّری و تصدیقی، نه تنها وسیلة ارتباط انسان با جهان خارج، بلکه وسیلة ارتقا و تکامل نفس انسانی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اهمیّت مسئلة تصوّر و تصدیق و ضرورت تحقیق پیرامون آن نیز آشکار می‌گردد؛ بنابراین، شایسته است مسائل و پرسشهای مربوط به آن را مطرح و در جست‌وجوی پاسخ آنها برآییم</w:t>
      </w:r>
      <w:r>
        <w:rPr>
          <w:rFonts w:eastAsia="IRNazanin" w:cs="IRNazanin"/>
          <w:color w:val="111111"/>
          <w:sz w:val="28"/>
          <w:szCs w:val="28"/>
          <w:rtl w:val="true"/>
          <w:lang w:bidi="fa-IR"/>
        </w:rPr>
        <w:t>.</w:t>
      </w:r>
    </w:p>
    <w:p>
      <w:pPr>
        <w:pStyle w:val="Heading3"/>
        <w:numPr>
          <w:ilvl w:val="2"/>
          <w:numId w:val="1"/>
        </w:numPr>
        <w:rPr/>
      </w:pPr>
      <w:bookmarkStart w:id="472" w:name="__RefHeading___Toc3562087_581953129"/>
      <w:bookmarkStart w:id="473" w:name="_Toc175"/>
      <w:bookmarkEnd w:id="472"/>
      <w:r>
        <w:rPr>
          <w:rtl w:val="true"/>
        </w:rPr>
        <w:t>پرسشهای مورد بحث</w:t>
      </w:r>
      <w:bookmarkEnd w:id="473"/>
    </w:p>
    <w:p>
      <w:pPr>
        <w:pStyle w:val="BookText"/>
        <w:rPr/>
      </w:pPr>
      <w:r>
        <w:rPr>
          <w:rFonts w:ascii="IRNazanin" w:hAnsi="IRNazanin" w:eastAsia="IRNazanin"/>
          <w:color w:val="111111"/>
          <w:sz w:val="28"/>
          <w:sz w:val="28"/>
          <w:szCs w:val="28"/>
          <w:rtl w:val="true"/>
          <w:lang w:bidi="fa-IR"/>
        </w:rPr>
        <w:t>در باب تصوّر و تصدیق پرسشهای گوناگونی مطرح است که در اینجا به برخی از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حقیقت تصوّر و تصدیق چیست؟ آیا این دو از امور بسیط به شمار می‌روند یا از امور مرکب؟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 علم به تصوّر و تصدیق، از نوع تقسیم جنس به انواع است، یا تقسیم نوع به اصناف، یا تقسیم صنف به اشخاص و یا نوع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مقسم این تقسیم، علم حصولی است یا علم حضوری یا هر 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مقسم، علم حصولی باشد، علم حصولی جز صورت حاصله در ذهن چیز دیگری نیست و صورت حاصله مساوی با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آیا در این تقسیم، مقسم و قسم یکی نخواهد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تقسیم علم به تصوّر و تصدیق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تصوّر با تصدیق چگونه است؟ آیا تصدیق به تصوّر نیازمند است، یا تصوّر به تصدیق، یا هیچ کدام به دیگری نیاز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عدم حکم در تصوّر و وجود حکم در تصدیق معتبر است، حال اگر تصدیق به تصوّر نیازمند باشد و تصوّر جزء یا شرط آن به شمار رود، آیا در این فرض، اجتماع نقیضین لازم نمی‌آید؟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تصوّر، ضد تصدیق و قسیم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تصور جزء یا </w:t>
      </w:r>
      <w:bookmarkStart w:id="474" w:name="pg5678_50519"/>
    </w:p>
    <w:p>
      <w:pPr>
        <w:pStyle w:val="BookText"/>
        <w:rPr/>
      </w:pPr>
      <w:bookmarkEnd w:id="474"/>
      <w:r>
        <w:rPr>
          <w:rFonts w:ascii="IRNazanin" w:hAnsi="IRNazanin" w:eastAsia="IRNazanin"/>
          <w:color w:val="111111"/>
          <w:sz w:val="28"/>
          <w:sz w:val="28"/>
          <w:szCs w:val="28"/>
          <w:rtl w:val="true"/>
          <w:lang w:bidi="fa-IR"/>
        </w:rPr>
        <w:t>شرط تصدیق به شمار آید، آیا در این صورت متقوم بودن شیء یا مشروط بودن آن به ضد خود لازم نمی‌آید؟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رابطة حکم با تصدیق چگونه است؟ آیا حکم عین تصدیق است، یا جزء آن یا خارج از آن و عارض بر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عین تصدیق باشد، این بحث مطرح است که حکم یکی از افعال نفسانی به شمار رفته، تحت مقولة فعل داخل است، در حالی که مقسم تصوّر و تصدیق علم حصولی است و این علم از مقولة کیف است؛ بنابراین، این پرسش مطرح می‌شود که تصدیقی که یکی از اقسام علم حصولی است، چگونه می‌تواند فعل نفس باشد؟ آیا این امر، مستلزم آن نیست که شیء واحد، مصداق حقیقی دو مقولة متباین قرار 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جزء تصدیق باشد، این پرسش را در پی دارد که در این فرض، تصدیق مرکّب از علم حصولی و غیر آن خواهد شد، آیا چنین مرکّبی خارج از علم حصولی نخواهد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خارج از تصدیق و عارض بر آن باشد، آیا در این صورت، تصدیق به تصوّر موضوع، محمول و نسبت، اختصاص ندارد؟ آیا با فرض اختصاص تصدیق به تصوّرات سه‌گانه، تصدیقی که قسیم تصوّر به شمار می‌رود، قسم آن نخواهد 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با تصدیق چه تفاوتی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تصدیق منطقی و تصدیق کلامی چه نسبتی برقرار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پیدایش تصوّر و تصدیق چیست و این دو، چگونه به دست می‌آید؟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و تصدیق دارای چه اقسامی است؟</w:t>
      </w:r>
    </w:p>
    <w:p>
      <w:pPr>
        <w:pStyle w:val="BookText"/>
        <w:rPr/>
      </w:pPr>
      <w:r>
        <w:rPr>
          <w:rFonts w:ascii="IRNazanin" w:hAnsi="IRNazanin" w:eastAsia="IRNazanin"/>
          <w:color w:val="111111"/>
          <w:sz w:val="28"/>
          <w:sz w:val="28"/>
          <w:szCs w:val="28"/>
          <w:rtl w:val="true"/>
          <w:lang w:bidi="fa-IR"/>
        </w:rPr>
        <w:t>برای یافتن پاسخ این پرسشها، دیدگاه فیلسوف بزرگ اسلامی و مؤسس حکمت متعالیه، صدرالمتألهین را در این باب مورد بررسی قرار می‌دهیم تا معلوم گردد که آیا براساس نظریة او برای پرسشهای یادشده، پاسخ مناسبی به دست می‌آید یا خیر؟</w:t>
      </w:r>
    </w:p>
    <w:p>
      <w:pPr>
        <w:pStyle w:val="Heading3"/>
        <w:numPr>
          <w:ilvl w:val="2"/>
          <w:numId w:val="1"/>
        </w:numPr>
        <w:rPr/>
      </w:pPr>
      <w:bookmarkStart w:id="475" w:name="__RefHeading___Toc3562089_581953129"/>
      <w:bookmarkStart w:id="476" w:name="_Toc176"/>
      <w:bookmarkEnd w:id="475"/>
      <w:r>
        <w:rPr>
          <w:rtl w:val="true"/>
        </w:rPr>
        <w:t>چیستی تصوّر و تصدیق</w:t>
      </w:r>
      <w:bookmarkEnd w:id="476"/>
    </w:p>
    <w:p>
      <w:pPr>
        <w:pStyle w:val="Heading4"/>
        <w:numPr>
          <w:ilvl w:val="3"/>
          <w:numId w:val="1"/>
        </w:numPr>
        <w:rPr/>
      </w:pPr>
      <w:bookmarkStart w:id="477" w:name="__RefHeading___Toc3562091_581953129"/>
      <w:bookmarkStart w:id="478" w:name="_Toc177"/>
      <w:bookmarkEnd w:id="477"/>
      <w:r>
        <w:rPr>
          <w:rtl w:val="true"/>
        </w:rPr>
        <w:t>اشاره</w:t>
      </w:r>
      <w:bookmarkEnd w:id="4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نوآوری و ابداعات صدرالمتألهین در این مسئله، نخست به دیدگاههای معروف در این باره اشاره می‌کنیم و سپس دیدگاه وی را به تفصیل بررسی می‌کنیم</w:t>
      </w:r>
      <w:r>
        <w:rPr>
          <w:rFonts w:eastAsia="IRNazanin" w:cs="IRNazanin"/>
          <w:color w:val="111111"/>
          <w:sz w:val="28"/>
          <w:szCs w:val="28"/>
          <w:rtl w:val="true"/>
          <w:lang w:bidi="fa-IR"/>
        </w:rPr>
        <w:t xml:space="preserve">. </w:t>
      </w:r>
      <w:bookmarkStart w:id="479" w:name="pg5678_50520"/>
    </w:p>
    <w:p>
      <w:pPr>
        <w:pStyle w:val="Heading4"/>
        <w:numPr>
          <w:ilvl w:val="3"/>
          <w:numId w:val="1"/>
        </w:numPr>
        <w:rPr/>
      </w:pPr>
      <w:bookmarkStart w:id="480" w:name="__RefHeading___Toc3562093_581953129"/>
      <w:bookmarkStart w:id="481" w:name="_Toc178"/>
      <w:bookmarkEnd w:id="479"/>
      <w:bookmarkEnd w:id="480"/>
      <w:r>
        <w:rPr>
          <w:rtl w:val="true"/>
        </w:rPr>
        <w:t>دیدگاههای معروف دربارة تصدیق</w:t>
      </w:r>
      <w:bookmarkEnd w:id="481"/>
    </w:p>
    <w:p>
      <w:pPr>
        <w:pStyle w:val="BookText"/>
        <w:rPr/>
      </w:pPr>
      <w:r>
        <w:rPr>
          <w:rFonts w:ascii="IRNazanin" w:hAnsi="IRNazanin" w:eastAsia="IRNazanin"/>
          <w:color w:val="111111"/>
          <w:sz w:val="28"/>
          <w:sz w:val="28"/>
          <w:szCs w:val="28"/>
          <w:rtl w:val="true"/>
          <w:lang w:bidi="fa-IR"/>
        </w:rPr>
        <w:t>دیدگاههای معروف در باب تصدیق به صورت زیر قابل اشاره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عین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 به ثبوت محمول برای موضوع یا سلب آن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حکما از جمله سهروردی منسوب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اذعان و اقرار به نسبت حکمیه یا اذعان به مفاد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ابن سینا،</w:t>
      </w:r>
      <w:r>
        <w:rPr>
          <w:rStyle w:val="FootnoteAnchor"/>
          <w:rtl w:val="true"/>
        </w:rPr>
        <w:footnoteReference w:id="736"/>
      </w:r>
      <w:r>
        <w:rPr>
          <w:rFonts w:ascii="IRNazanin" w:hAnsi="IRNazanin" w:eastAsia="IRNazanin"/>
          <w:color w:val="111111"/>
          <w:sz w:val="28"/>
          <w:sz w:val="28"/>
          <w:szCs w:val="28"/>
          <w:rtl w:val="true"/>
          <w:lang w:bidi="fa-IR"/>
        </w:rPr>
        <w:t>قطب‌الدین رازی،</w:t>
      </w:r>
      <w:r>
        <w:rPr>
          <w:rStyle w:val="FootnoteAnchor"/>
          <w:rtl w:val="true"/>
        </w:rPr>
        <w:footnoteReference w:id="737"/>
      </w:r>
      <w:r>
        <w:rPr>
          <w:rFonts w:ascii="IRNazanin" w:hAnsi="IRNazanin" w:eastAsia="IRNazanin"/>
          <w:color w:val="111111"/>
          <w:sz w:val="28"/>
          <w:sz w:val="28"/>
          <w:szCs w:val="28"/>
          <w:rtl w:val="true"/>
          <w:lang w:bidi="fa-IR"/>
        </w:rPr>
        <w:t>قطب‌الدین شیرازی،</w:t>
      </w:r>
      <w:r>
        <w:rPr>
          <w:rStyle w:val="FootnoteAnchor"/>
          <w:rtl w:val="true"/>
        </w:rPr>
        <w:footnoteReference w:id="738"/>
      </w:r>
      <w:r>
        <w:rPr>
          <w:rFonts w:ascii="IRNazanin" w:hAnsi="IRNazanin" w:eastAsia="IRNazanin"/>
          <w:color w:val="111111"/>
          <w:sz w:val="28"/>
          <w:sz w:val="28"/>
          <w:szCs w:val="28"/>
          <w:rtl w:val="true"/>
          <w:lang w:bidi="fa-IR"/>
        </w:rPr>
        <w:t>اثیرالدین ابهری</w:t>
      </w:r>
      <w:r>
        <w:rPr>
          <w:rStyle w:val="FootnoteAnchor"/>
          <w:rtl w:val="true"/>
        </w:rPr>
        <w:footnoteReference w:id="739"/>
      </w:r>
      <w:r>
        <w:rPr>
          <w:rFonts w:ascii="IRNazanin" w:hAnsi="IRNazanin" w:eastAsia="IRNazanin"/>
          <w:color w:val="111111"/>
          <w:sz w:val="28"/>
          <w:sz w:val="28"/>
          <w:szCs w:val="28"/>
          <w:rtl w:val="true"/>
          <w:lang w:bidi="fa-IR"/>
        </w:rPr>
        <w:t>و برخی از منطق‌دانان و متکلمان دیگر، مانند سعدالدین تفتازانی</w:t>
      </w:r>
      <w:r>
        <w:rPr>
          <w:rStyle w:val="FootnoteAnchor"/>
          <w:rtl w:val="true"/>
        </w:rPr>
        <w:footnoteReference w:id="7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یعنی تصوّری که با حکم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خواجه نصیر در اساس الاقتباس</w:t>
      </w:r>
      <w:r>
        <w:rPr>
          <w:rStyle w:val="FootnoteAnchor"/>
          <w:rtl w:val="true"/>
        </w:rPr>
        <w:footnoteReference w:id="741"/>
      </w:r>
      <w:r>
        <w:rPr>
          <w:rFonts w:ascii="IRNazanin" w:hAnsi="IRNazanin" w:eastAsia="IRNazanin"/>
          <w:color w:val="111111"/>
          <w:sz w:val="28"/>
          <w:sz w:val="28"/>
          <w:szCs w:val="28"/>
          <w:rtl w:val="true"/>
          <w:lang w:bidi="fa-IR"/>
        </w:rPr>
        <w:t>و کاتبی در شمسیه</w:t>
      </w:r>
      <w:r>
        <w:rPr>
          <w:rStyle w:val="FootnoteAnchor"/>
          <w:rtl w:val="true"/>
        </w:rPr>
        <w:footnoteReference w:id="742"/>
      </w:r>
      <w:r>
        <w:rPr>
          <w:rFonts w:ascii="IRNazanin" w:hAnsi="IRNazanin" w:eastAsia="IRNazanin"/>
          <w:color w:val="111111"/>
          <w:sz w:val="28"/>
          <w:sz w:val="28"/>
          <w:szCs w:val="28"/>
          <w:rtl w:val="true"/>
          <w:lang w:bidi="fa-IR"/>
        </w:rPr>
        <w:t>و برخی دیگر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مرکب از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موضوع، تصوّر محمول، تصوّر نسبت حکمیه و حکم به ثبوت محمول برای موضوع یا سلب آن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فخر رازی منتسب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مرکب از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موضوع، تصوّر محمول و تصوّر نسبت از حیث اینکه معروض حکم قرار می‌گیرد</w:t>
      </w:r>
      <w:r>
        <w:rPr>
          <w:rFonts w:eastAsia="IRNazanin" w:cs="IRNazanin"/>
          <w:color w:val="111111"/>
          <w:sz w:val="28"/>
          <w:szCs w:val="28"/>
          <w:rtl w:val="true"/>
          <w:lang w:bidi="fa-IR"/>
        </w:rPr>
        <w:t xml:space="preserve">. </w:t>
      </w:r>
      <w:bookmarkStart w:id="482" w:name="pg5678_50521"/>
    </w:p>
    <w:p>
      <w:pPr>
        <w:pStyle w:val="BookText"/>
        <w:rPr/>
      </w:pPr>
      <w:bookmarkEnd w:id="482"/>
      <w:r>
        <w:rPr>
          <w:rFonts w:ascii="IRNazanin" w:hAnsi="IRNazanin" w:eastAsia="IRNazanin"/>
          <w:color w:val="111111"/>
          <w:sz w:val="28"/>
          <w:sz w:val="28"/>
          <w:szCs w:val="28"/>
          <w:rtl w:val="true"/>
          <w:lang w:bidi="fa-IR"/>
        </w:rPr>
        <w:t xml:space="preserve">توضیح دیدگاه مزبور این است که تصوّرات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محمول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معروض حکم قرار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معروض حکم قرار گرفته است و حکم، به عنوان یک امر عرضی بر آن عارض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تصوّرات مزبور طبق لحاظ نخست، قسیم تصدیق و براساس لحاظ دوم، تشکیل‌دهندة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حکم در ماهیّت تصدیق دخیل نیست و یک امر عارضی برای آن به شمار می‌رود، بلکه آنچه در ماهیت تصدیق دخیل است، تصوّرات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محمدعلی در تعلیقة خود بر حاشیة ملا عبدالله به صاحب الکشف نسبت داده است</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483" w:name="__RefHeading___Toc3562095_581953129"/>
      <w:bookmarkStart w:id="484" w:name="_Toc179"/>
      <w:bookmarkEnd w:id="483"/>
      <w:r>
        <w:rPr>
          <w:rtl w:val="true"/>
        </w:rPr>
        <w:t>دیدگاه معروف دربارة تصوّر</w:t>
      </w:r>
      <w:bookmarkEnd w:id="484"/>
    </w:p>
    <w:p>
      <w:pPr>
        <w:pStyle w:val="BookText"/>
        <w:rPr/>
      </w:pPr>
      <w:r>
        <w:rPr>
          <w:rFonts w:ascii="IRNazanin" w:hAnsi="IRNazanin" w:eastAsia="IRNazanin"/>
          <w:color w:val="111111"/>
          <w:sz w:val="28"/>
          <w:sz w:val="28"/>
          <w:szCs w:val="28"/>
          <w:rtl w:val="true"/>
          <w:lang w:bidi="fa-IR"/>
        </w:rPr>
        <w:t>در باب تصوّر، دیدگاههای متفاوتی است که دو دیدگاه معروف در این زمینه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حاصله‌ای که با حکم همراه نیست؛ یعنی صورت حاصله‌ای که نسبت به حکم، به شرط لا است؛</w:t>
      </w:r>
      <w:r>
        <w:rPr>
          <w:rStyle w:val="FootnoteAnchor"/>
          <w:rtl w:val="true"/>
        </w:rPr>
        <w:footnoteReference w:id="745"/>
      </w:r>
      <w:r>
        <w:rPr>
          <w:rFonts w:ascii="IRNazanin" w:hAnsi="IRNazanin" w:eastAsia="IRNazanin"/>
          <w:color w:val="111111"/>
          <w:sz w:val="28"/>
          <w:sz w:val="28"/>
          <w:szCs w:val="28"/>
          <w:rtl w:val="true"/>
          <w:lang w:bidi="fa-IR"/>
        </w:rPr>
        <w:t>به تعبیر دیگر، صورت حاصله‌ای که با اعتبار عدم حکم، مقیّد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صورت حاصله‌ای است که نسبت به حکم، لا به شرط در نظر گرفته می‌شود؛</w:t>
      </w:r>
      <w:r>
        <w:rPr>
          <w:rStyle w:val="FootnoteAnchor"/>
          <w:rtl w:val="true"/>
        </w:rPr>
        <w:footnoteReference w:id="746"/>
      </w:r>
      <w:r>
        <w:rPr>
          <w:rFonts w:ascii="IRNazanin" w:hAnsi="IRNazanin" w:eastAsia="IRNazanin"/>
          <w:color w:val="111111"/>
          <w:sz w:val="28"/>
          <w:sz w:val="28"/>
          <w:szCs w:val="28"/>
          <w:rtl w:val="true"/>
          <w:lang w:bidi="fa-IR"/>
        </w:rPr>
        <w:t>یعنی صورت حاصله‌ای که نه به عدم اعتبار حکم مقیّد است، نه به اعتبار عدم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اشاره به برخی از دیدگاهها دربارة تصوّر و تصدیق، به دیدگاه ملاصدرا در این باره می‌پردازیم</w:t>
      </w:r>
      <w:r>
        <w:rPr>
          <w:rFonts w:eastAsia="IRNazanin" w:cs="IRNazanin"/>
          <w:color w:val="111111"/>
          <w:sz w:val="28"/>
          <w:szCs w:val="28"/>
          <w:rtl w:val="true"/>
          <w:lang w:bidi="fa-IR"/>
        </w:rPr>
        <w:t>.</w:t>
      </w:r>
    </w:p>
    <w:p>
      <w:pPr>
        <w:pStyle w:val="Heading4"/>
        <w:numPr>
          <w:ilvl w:val="3"/>
          <w:numId w:val="1"/>
        </w:numPr>
        <w:rPr/>
      </w:pPr>
      <w:bookmarkStart w:id="485" w:name="__RefHeading___Toc3562097_581953129"/>
      <w:bookmarkStart w:id="486" w:name="_Toc180"/>
      <w:bookmarkEnd w:id="485"/>
      <w:r>
        <w:rPr>
          <w:rtl w:val="true"/>
        </w:rPr>
        <w:t>دیدگاه صدرالمتألهین دربارة تصوّر و تصدیق</w:t>
      </w:r>
      <w:bookmarkEnd w:id="486"/>
    </w:p>
    <w:p>
      <w:pPr>
        <w:pStyle w:val="Heading5"/>
        <w:numPr>
          <w:ilvl w:val="4"/>
          <w:numId w:val="1"/>
        </w:numPr>
        <w:rPr/>
      </w:pPr>
      <w:bookmarkStart w:id="487" w:name="__RefHeading___Toc3562099_581953129"/>
      <w:bookmarkStart w:id="488" w:name="_Toc181"/>
      <w:bookmarkEnd w:id="487"/>
      <w:r>
        <w:rPr>
          <w:rtl w:val="true"/>
        </w:rPr>
        <w:t>اشاره</w:t>
      </w:r>
      <w:bookmarkEnd w:id="4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از کسانی است که مسئلة تصوّر و تصدیق را به دقت مورد تحلیل قرار داده و رسالة </w:t>
      </w:r>
    </w:p>
    <w:p>
      <w:pPr>
        <w:pStyle w:val="BookText"/>
        <w:rPr/>
      </w:pPr>
      <w:r>
        <w:rPr>
          <w:rFonts w:ascii="IRNazanin" w:hAnsi="IRNazanin" w:eastAsia="IRNazanin"/>
          <w:color w:val="111111"/>
          <w:sz w:val="28"/>
          <w:sz w:val="28"/>
          <w:szCs w:val="28"/>
          <w:rtl w:val="true"/>
          <w:lang w:bidi="fa-IR"/>
        </w:rPr>
        <w:t>مستقلّی را در این باره تدوین کرده 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او قبل از پرداختن به این مسئله، مطالبی را به عنوان مقدّمه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مقدّمه، پس از تعریف علم حصولی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صور اشیا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رابطة علم با معلوم،</w:t>
      </w:r>
      <w:r>
        <w:rPr>
          <w:rStyle w:val="FootnoteAnchor"/>
          <w:rtl w:val="true"/>
        </w:rPr>
        <w:footnoteReference w:id="748"/>
      </w:r>
      <w:r>
        <w:rPr>
          <w:rFonts w:ascii="IRNazanin" w:hAnsi="IRNazanin" w:eastAsia="IRNazanin"/>
          <w:color w:val="111111"/>
          <w:sz w:val="28"/>
          <w:sz w:val="28"/>
          <w:szCs w:val="28"/>
          <w:rtl w:val="true"/>
          <w:lang w:bidi="fa-IR"/>
        </w:rPr>
        <w:t>به تفاوت میان علم حصولی و حضوری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هستیِ شناخت و علم با هستی شناخته‌شده و معلوم یکی باشد، این شناخت، از نوع شناخت حضوری به شمار می‌رود؛ مانند علم مجرّدات به ذوات خویش و علم آنها به صفات که در ذواتشان استوار است و همچنین علم آنان به افعال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هستی شناخت با هستی شناخته‌شده، دوگونه از هستی به شمار آید و یکی، هستیِ عینی و دیگری، هستیِ علمی را تشکیل دهد، این علم را علم حصولی و انفعالی</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انفعالی؛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نه فعلی است و نه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فعلی علمی است که معلوم‌آفرین است و براساس آن، معلومات آفریده می‌شوند؛ مثل مهندسی که نقشة کامل یک ساختمان را در اختیار دارد و براساس آن به ایجاد ساختمان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کامل آگاهی فعلی عبارت است از علم حق تعالی به مخلوقات خود پیش از خلقت آنها که علمی فعلی است و براساس آن، مخلوقات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انفعالی علمی است که همواره تابع معلوم است؛ یعنی ابتدا معلوم و متعلّق در خارج موجود است و نفس انسان با تأثر و اثرپذیری از آن، بدان علم می‌یابد؛ مثل علم انسان به اشیای خارج از خود از قبیل درخت، دریا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علمی که نه فعلی است و نه انفعالی عبارت است از علم موجودات عاقل به ذات خود؛ این علم، چون متأثر از خارج نیست، پس علم انفعالی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معلوم آفرین نیست، پس علم فعلی نیز به شمار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الحکمی المتعالیی فی الاسفار الاربعه،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علم انفعالی، علم حصولی است و علمی که نه فعلی است و نه انفعالی؛ یعنی علم عاقل به ذات خود،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علم فعلی از سنخ علم حصولی است یا حضوری، محل بحث و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مشّائیان اسلامی علم حضوری را به علم عالِم به ذات خویش منحصر کرده و سایر علوم را علم حصولی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مبناست که علم خداوند به ممکنات قبل از ایجاد را علم حصولی ارتسامی دانسته‌اند؛ بدین معنا که واجب تعالی با علم به صوری که لازمة ذات اوست، از موجود خارجی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با مقدمة ابراهیم مدکور، تحقیق الاب قنواتی و سعید زاید، تهران، ناصر خسرو،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مقالة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علم فعلی، علم حصولی به شمار می‌آید، اما براساس دیدگاه صدرالمتألهین که علم علّت به معلول را علم حضوری می‌داند، علم فعلی، علم حضوری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او سپس یادآور می‌شود که مقسم تصوّر و تصدیق، فقط علم حصولی انفعالی است، نه علم حضوری و فعلی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ملاصدرا معتقد است علم حصولی انفعالی تنها از حیث مفهوم به تصوّر و تصدیق تقسیم می‌شود و این دو نوع، از جمله معقولات ثانی منطقی به شمار می‌رود؛ به همین سبب است که تعریف تصوّر و تصدیق امکان‌پذیر است، اما علم از حیث وجود، گونه‌ای از وجود است و اساساً تعریف‌پذیر نیست؛</w:t>
      </w:r>
      <w:r>
        <w:rPr>
          <w:rStyle w:val="FootnoteAnchor"/>
          <w:rtl w:val="true"/>
        </w:rPr>
        <w:footnoteReference w:id="752"/>
      </w:r>
      <w:r>
        <w:rPr>
          <w:rFonts w:ascii="IRNazanin" w:hAnsi="IRNazanin" w:eastAsia="IRNazanin"/>
          <w:color w:val="111111"/>
          <w:sz w:val="28"/>
          <w:sz w:val="28"/>
          <w:szCs w:val="28"/>
          <w:rtl w:val="true"/>
          <w:lang w:bidi="fa-IR"/>
        </w:rPr>
        <w:t>زیرا وجود مشخص بالذات است</w:t>
      </w:r>
      <w:r>
        <w:rPr>
          <w:rStyle w:val="FootnoteAnchor"/>
          <w:rtl w:val="true"/>
        </w:rPr>
        <w:footnoteReference w:id="753"/>
      </w:r>
      <w:r>
        <w:rPr>
          <w:rFonts w:ascii="IRNazanin" w:hAnsi="IRNazanin" w:eastAsia="IRNazanin"/>
          <w:color w:val="111111"/>
          <w:sz w:val="28"/>
          <w:sz w:val="28"/>
          <w:szCs w:val="28"/>
          <w:rtl w:val="true"/>
          <w:lang w:bidi="fa-IR"/>
        </w:rPr>
        <w:t>و در هیچ مقوله‌ای داخل نیست</w:t>
      </w:r>
      <w:r>
        <w:rPr>
          <w:rFonts w:eastAsia="IRNazanin" w:cs="IRNazanin"/>
          <w:color w:val="111111"/>
          <w:sz w:val="28"/>
          <w:szCs w:val="28"/>
          <w:rtl w:val="true"/>
          <w:lang w:bidi="fa-IR"/>
        </w:rPr>
        <w:t>.</w:t>
      </w:r>
      <w:r>
        <w:rPr>
          <w:rStyle w:val="FootnoteAnchor"/>
          <w:rtl w:val="true"/>
        </w:rPr>
        <w:footnoteReference w:id="75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حکمت متعالیه، تقسیم علم به تصوّر و تصدیق را از سنخ تقسیم جنس به انواع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تصوّر و تصدیق را دو نوع از علم و این دو نوع را از انواع بسیطه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دو در خارج از مادّه و صورت مرکب نیست، بلکه تنها جنس و فصل ذهنی دارد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ملاصدرا پس از بیان مطالب یادشده، قول عدّه‌ای را در این باب باطل دانسته و خود، تعریف ماهیّت تصوّر و تصدیق و قول حق را در این مسئله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تعریف تصوّر و تصدیق یادآوری می‌شود که علم حصولی به معنای حضور صورت شیء در ذهن یا صورت حاصله در ذهن، با تصوّر به معنای عام مساوی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اگر نسبت این علم به حکم را در نظر بگیریم، چهار صورت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به شرط مقسمی که از هرگونه قیدی مبرّاست؛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به شرط قسمی که به لا به شرطیت مقیّد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عدم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مزبور در صورت نخست، جنس تصوّر و تصدیق است و مقسم آن دو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تصوّر به شمار آمده و قسیم تصدیق خواهد بود و در صورت سوم، تصدیق و در مقابل تصوّر قرار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با توجه به مطالب یادشده، تعریف تصوّر و تصدیق را می‌توان بدین صورت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حاصله‌ای که مقیّد است به لا به شرطیت 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حاصله‌ای که مقیّد و مشروط است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ملاصدرا نسبت به معنای تصوّر روشن است و ابهامی در آن نیست؛ زیرا تصوّر از نظر وی، همان صورت حاصله‌ای است که لا به شرط از حکم است و این لا به شرطیت، از قیود آن به شمار می‌رود،</w:t>
      </w:r>
      <w:r>
        <w:rPr>
          <w:rStyle w:val="FootnoteAnchor"/>
          <w:rtl w:val="true"/>
        </w:rPr>
        <w:footnoteReference w:id="758"/>
      </w:r>
      <w:r>
        <w:rPr>
          <w:rFonts w:ascii="IRNazanin" w:hAnsi="IRNazanin" w:eastAsia="IRNazanin"/>
          <w:color w:val="111111"/>
          <w:sz w:val="28"/>
          <w:sz w:val="28"/>
          <w:szCs w:val="28"/>
          <w:rtl w:val="true"/>
          <w:lang w:bidi="fa-IR"/>
        </w:rPr>
        <w:t>اما نظر او نسبت به معنای تصدیق، خالی از ابهام نیست؛ زیرا چندان واضح نیست که از نظر او، تصدیق عین حکم است یا تصوّری مقارن با حکم؟</w:t>
      </w:r>
    </w:p>
    <w:p>
      <w:pPr>
        <w:pStyle w:val="BookText"/>
        <w:rPr/>
      </w:pPr>
      <w:r>
        <w:rPr>
          <w:rFonts w:ascii="IRNazanin" w:hAnsi="IRNazanin" w:eastAsia="IRNazanin"/>
          <w:color w:val="111111"/>
          <w:sz w:val="28"/>
          <w:sz w:val="28"/>
          <w:szCs w:val="28"/>
          <w:rtl w:val="true"/>
          <w:lang w:bidi="fa-IR"/>
        </w:rPr>
        <w:t>ملاصدرا در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تصوّری است که به یک معنا عین حکم و به معنای دیگر، مستلزم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در این باره چنین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حصول صوری الشیء فی العقل الذی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تصوّر لیس بحکم و إمّا تصوّر هو </w:t>
      </w:r>
      <w:bookmarkStart w:id="489" w:name="pg5678_50525"/>
    </w:p>
    <w:p>
      <w:pPr>
        <w:pStyle w:val="BookText"/>
        <w:rPr/>
      </w:pPr>
      <w:bookmarkEnd w:id="489"/>
      <w:r>
        <w:rPr>
          <w:rFonts w:ascii="IRNazanin" w:hAnsi="IRNazanin" w:eastAsia="IRNazanin"/>
          <w:color w:val="111111"/>
          <w:sz w:val="28"/>
          <w:sz w:val="28"/>
          <w:szCs w:val="28"/>
          <w:rtl w:val="true"/>
          <w:lang w:bidi="fa-IR"/>
        </w:rPr>
        <w:t xml:space="preserve">بعینه حکم أو مستلزم للحکم بمعنی آخر، و التصوّر الثانی یسمّی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لایسمّی باسم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به یک اعتبار، تصوّری است عین حکم و به اعتبار دیگر، تصوّری است ملزوم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التصوّر الذی لاینفکّ عن الحکم، بل یستلزمه و هذا هو التصدیق المقابل للتصوّر القسیم له، من حیث هو تصوّر لا بشرط أن یکون حکماً أو معه حکم و هو لأنّه نفس الحکم باعتبار و ملزوم له باعتبار یکون مستفاداً من الحجّی إذا کان کسبیّاً</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حال، باید دید که چه تفسیرهایی برای کلام وی در این باره ارائه شده است؟ آیا تفسیرهای مطرح از کلام او، بیانگر نظریة وی در این مسئله است یا نه؟</w:t>
      </w:r>
    </w:p>
    <w:p>
      <w:pPr>
        <w:pStyle w:val="Heading5"/>
        <w:numPr>
          <w:ilvl w:val="4"/>
          <w:numId w:val="1"/>
        </w:numPr>
        <w:rPr/>
      </w:pPr>
      <w:bookmarkStart w:id="490" w:name="__RefHeading___Toc3562101_581953129"/>
      <w:bookmarkStart w:id="491" w:name="_Toc182"/>
      <w:bookmarkEnd w:id="490"/>
      <w:r>
        <w:rPr>
          <w:rtl w:val="true"/>
        </w:rPr>
        <w:t>تفسیرهایی از دیدگاه صدرالمتألهین دربارة تصدیق</w:t>
      </w:r>
      <w:bookmarkEnd w:id="491"/>
    </w:p>
    <w:p>
      <w:pPr>
        <w:pStyle w:val="BookText"/>
        <w:rPr/>
      </w:pPr>
      <w:r>
        <w:rPr>
          <w:rFonts w:ascii="IRNazanin" w:hAnsi="IRNazanin" w:eastAsia="IRNazanin"/>
          <w:color w:val="111111"/>
          <w:sz w:val="28"/>
          <w:sz w:val="28"/>
          <w:szCs w:val="28"/>
          <w:rtl w:val="true"/>
          <w:lang w:bidi="fa-IR"/>
        </w:rPr>
        <w:t>براساس استقصا تاکنون سه تفسیر از دیدگاه ملاصدرا در باب تصدیق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تصوّرات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محمول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در پی داشته باشد، ناگریز باید با حجّت و برهان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که این تصوّرات با حجّت و برهان به دست می‌آید، عین تصدیق به شمار می‌آید، اما با قطع نظر از دلیل اثباتش، تصوّری است مستلزم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در واقع، یک واحد بسیط حقیقی است، ولی هر واحد بسیطی را هر اندازه هم که بساطت و وحدت کامل داشته باشد، می‌توانیم در تحلیل عقلانی به ما به الامتیاز و ما به الاشتراک تحلیل کنیم، سپس این اجزای تحلیلی را همچون جنس و فصلِ مرکبات، لازم و ملزوم یکدیگر قرار دهیم؛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تأثیر علیّت نیست، بلکه به معنای نوعی استنتاج و انتزاع است که آن را لزوم ذهنی یا عقلی گویند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تعریف تصوّر و تصدیق به اعتبار مفهوم آن دو است، اما بیان مفهوم در تعریف آنها گاهی به وجود ناظر است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وجود ناظر باشد، علم به دو تصوّر، تصوّری که لا به شرط از حکم و عدم حکم است و تصوّری که به عینه حکم است، </w:t>
      </w:r>
      <w:bookmarkStart w:id="492" w:name="pg5678_50526"/>
    </w:p>
    <w:p>
      <w:pPr>
        <w:pStyle w:val="BookText"/>
        <w:rPr/>
      </w:pPr>
      <w:bookmarkEnd w:id="492"/>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تصدیق و اوّلی، تصوّری است که قسیم تصدیق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بیان مفهوم به وجود ناظر نباشد، علم به دو تصوّر، تصوّری که لا به شرط از اقتران و عدم اقتران با حکم است و تصوّری که مستلزم حکم است،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دومی، تصدیق و اوّلی، تصوّری است مقابل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تفسیر، اگر بیان مفهوم تصدیق به وجود ناظر باشد، تصدیق، تصوّری است که به عینه حکم می‌باشد، اما اگر بیان مفهوم آن به وجود ناظر نباشد، تصدیق، تصوّری است که مستلزم حکم خواهد بود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هر یک از تفسیرهای مزبور ممکن است برخی از ابعاد نظریة صدرالمتألهین را توجیه و تفسیر کند، ولی هیچ یک نظریة او را در این باب به طور کامل تبیین نمی‌کند؛ بنابراین، توضیح و تبیین دیدگاه او را باید از راه دیگر به دست آورد</w:t>
      </w:r>
      <w:r>
        <w:rPr>
          <w:rFonts w:eastAsia="IRNazanin" w:cs="IRNazanin"/>
          <w:color w:val="111111"/>
          <w:sz w:val="28"/>
          <w:szCs w:val="28"/>
          <w:rtl w:val="true"/>
          <w:lang w:bidi="fa-IR"/>
        </w:rPr>
        <w:t>.</w:t>
      </w:r>
    </w:p>
    <w:p>
      <w:pPr>
        <w:pStyle w:val="Heading5"/>
        <w:numPr>
          <w:ilvl w:val="4"/>
          <w:numId w:val="1"/>
        </w:numPr>
        <w:rPr/>
      </w:pPr>
      <w:bookmarkStart w:id="493" w:name="__RefHeading___Toc3562103_581953129"/>
      <w:bookmarkStart w:id="494" w:name="_Toc183"/>
      <w:bookmarkEnd w:id="493"/>
      <w:r>
        <w:rPr>
          <w:rtl w:val="true"/>
        </w:rPr>
        <w:t>تبیین و تفسیر نگارنده از کلام ملاصدرا در باب تصدیق</w:t>
      </w:r>
      <w:bookmarkEnd w:id="494"/>
    </w:p>
    <w:p>
      <w:pPr>
        <w:pStyle w:val="BookText"/>
        <w:rPr/>
      </w:pPr>
      <w:r>
        <w:rPr>
          <w:rFonts w:ascii="IRNazanin" w:hAnsi="IRNazanin" w:eastAsia="IRNazanin"/>
          <w:color w:val="111111"/>
          <w:sz w:val="28"/>
          <w:sz w:val="28"/>
          <w:szCs w:val="28"/>
          <w:rtl w:val="true"/>
          <w:lang w:bidi="fa-IR"/>
        </w:rPr>
        <w:t xml:space="preserve">به نظر می‌رسد تفسیر و تبیین نظریة ملاصدرا در باب تصدیق بدون بررسی مختصر معنا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زیرا براساس دیدگاه او، تصدیق یا عین حکم است و یا مستلزم آن؛ پس نخست باید چیستی حکم معلوم گردد و اینکه آیا حکم معنای واحدی دارد یا از معانی متعدّد برخوردار است؟ اگر حکم معانی متعدّدی دارد، کدام یک از آن معانی با تصدیق ارتباط دارد و کیفیت این ارتباط چگونه است؟ آیا این ارتباط به صورت لزوم است، یا به صورت عینیت و اتّحاد و یا هیچ کدام یا برخی از آن معانی با تصدیق رابطة لزومی دارد و برخی رابطة اتّحادی؟ بنابراین، پیش از پرداختن به تفسیر دیدگاه صدرالمتألهین در باب تصدیق، بررسی مسائل یادشده دربارة حکم و نیز کشف ماهیت حکم که از سنخ ادراک است یا از سنخ فعل، ضروری است</w:t>
      </w:r>
      <w:r>
        <w:rPr>
          <w:rFonts w:eastAsia="IRNazanin" w:cs="IRNazanin"/>
          <w:color w:val="111111"/>
          <w:sz w:val="28"/>
          <w:szCs w:val="28"/>
          <w:rtl w:val="true"/>
          <w:lang w:bidi="fa-IR"/>
        </w:rPr>
        <w:t>.</w:t>
      </w:r>
    </w:p>
    <w:p>
      <w:pPr>
        <w:pStyle w:val="Heading5"/>
        <w:numPr>
          <w:ilvl w:val="4"/>
          <w:numId w:val="1"/>
        </w:numPr>
        <w:rPr/>
      </w:pPr>
      <w:bookmarkStart w:id="495" w:name="__RefHeading___Toc3562105_581953129"/>
      <w:bookmarkStart w:id="496" w:name="_Toc184"/>
      <w:bookmarkEnd w:id="495"/>
      <w:r>
        <w:rPr>
          <w:rtl w:val="true"/>
        </w:rPr>
        <w:t>معنای حکم</w:t>
      </w:r>
      <w:bookmarkEnd w:id="4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به عدل</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اصطلاح فقها از معنای دیگری برخوردار بوده، دارای اقسام گوناگونی است، اما در اصطلاح حکما و منطق‌دانان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سه معنا برای واژة مزبور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حکمیه</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در توضیح این معنا باید در نظر داشت که هر قضیه‌ای، بر سه امر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موضوع، تصوّر محمول و تصوّر نسبت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نسبت حکمیه چیست و آیا نسبت مزبور در تمام قضایا، چه موجبه و چه سالبه، ثبوتی است، یا در قضایای موجبه، ثبوتی و در قضایای سالبه، سلبی است، بین محقّقان اختلاف است که بررسی تفصیلی آن، مجال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آن است که ملاصدرا به تبع برخی از فلاسفة قدیم، معتقد است نسبت حکمیه همواره یک امر ثبوتی به شمار می‌رود؛ خواه قضیه، موجبه باشد و خواه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النسبی الحکمیّی فی کلّ قضیّی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 کانت أو سالبی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ثبوتیّه و لا نسبی فی السوالب وراء النسبی الإیجابیّی التی هی فی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مدلول القضیّی السالبی و مفادها لیس إلا رفع تلک النسبی الإیجابیّی</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ملاصدرا در چیستی مراد خویش از نسبت حکمیه توضیحی نمی‌دهد، لکن می‌توان از مجموع کلام وی، به مقصود او دست یافت که نسبت حکمیه از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نسبت و ارتباط محمول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امری ثبوتی است و در هر قضیه‌ای، چه موجبه و چه سالبه، محقّق است، لکن پس از سنجش مزبور، گاهی به عدم ارتباط محمول با موضوع حکم می‌شود و قضیة سالبه تشکیل می‌گردد و گاهی به ثبوت محمول برای موضوع حکم می‌شود و قضیة موجبه پدید می‌آید؛ بنابراین، حقیقت نسبت حکمیه جز سنجش میان موضوع و محمول، چیز دیگری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و اعتراف به نسبت حکمیه؛</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نسبت</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اختلاف تعابیر مزبور نسبت به حکمی که به معنای سوم است، هیچ گاه دلیل اختلاف در معنا نخواهد بود، بلکه همة آنها معنای واحد را افاده می‌کند؛ بنابراین، در این نوشتار ممکن است، تعابیر مختلف فوق به کار گرفته شوند، ولی مقصود از همه آنها، حکم به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انتزاع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سوم، وضع نسبت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نسبت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موجبه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پدید آمدن حکم به معنای سوم، سه مرحله را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نخست، موضوع و محمول مسئله تصوّر می‌گردد و نسبت محمول با موضوع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دوم، پس از سنجش مزبور، از طریق دلیل یا راهی دیگر، اذعان به ثبوت نسبت و پیوند محمول به موضوع یا اعتراف به سلب نسبت میان آن دو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سوم، پس از اعتراف و اذعان، حکم به ثبوت نسبت یا سلب آن،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بحث می‌توان از مثالی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که بر مسند قضاوت نشسته است، پس از طرح دعوا از طرف متخاصمان، ابتدا موضوع و محمول مسئلة مورد نزاع را تصوّر کرده، نسبت و ارتباط محمول با موضوع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اگر یک طرف دعوا، دلیل کافی برای مدّعای خویش اقامه کند، این دلیل باعث اذعان و اعتراف قاضی نسبت به یک طرف مسئله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سوم، قاضی مزبور پس از اذعان و اعتراف به سبب دلیل، حکم را صادر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سیر مراحل، مرحلة نخست که سنجش محمول با موضوع است، حکم به معنای نخست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که اذعان و اعتراف است، حکم به معنای دوم پدید می‌آید و در مرحلة سوم که صدور حکم است، حکم به معنای سوم محقّق می‌گردد</w:t>
      </w:r>
      <w:r>
        <w:rPr>
          <w:rFonts w:eastAsia="IRNazanin" w:cs="IRNazanin"/>
          <w:color w:val="111111"/>
          <w:sz w:val="28"/>
          <w:szCs w:val="28"/>
          <w:rtl w:val="true"/>
          <w:lang w:bidi="fa-IR"/>
        </w:rPr>
        <w:t xml:space="preserve">. </w:t>
      </w:r>
      <w:bookmarkStart w:id="497" w:name="pg5678_50529"/>
    </w:p>
    <w:p>
      <w:pPr>
        <w:pStyle w:val="Heading5"/>
        <w:numPr>
          <w:ilvl w:val="4"/>
          <w:numId w:val="1"/>
        </w:numPr>
        <w:rPr/>
      </w:pPr>
      <w:bookmarkStart w:id="498" w:name="__RefHeading___Toc3562107_581953129"/>
      <w:bookmarkStart w:id="499" w:name="_Toc185"/>
      <w:bookmarkEnd w:id="497"/>
      <w:bookmarkEnd w:id="498"/>
      <w:r>
        <w:rPr>
          <w:rtl w:val="true"/>
        </w:rPr>
        <w:t>حقیقت و ماهیت حکم</w:t>
      </w:r>
      <w:bookmarkEnd w:id="499"/>
    </w:p>
    <w:p>
      <w:pPr>
        <w:pStyle w:val="BookText"/>
        <w:rPr/>
      </w:pPr>
      <w:r>
        <w:rPr>
          <w:rFonts w:ascii="IRNazanin" w:hAnsi="IRNazanin" w:eastAsia="IRNazanin"/>
          <w:color w:val="111111"/>
          <w:sz w:val="28"/>
          <w:sz w:val="28"/>
          <w:szCs w:val="28"/>
          <w:rtl w:val="true"/>
          <w:lang w:bidi="fa-IR"/>
        </w:rPr>
        <w:t>پس از بررسی معنای حکم، این پرسش مطرح می‌شود که آیا حکم یادشده از سنخ فعل است، یا از سنخ ادراک، یا هر دو یا براساس برخی از معانی، از سنخ فعل و براساس برخی دیگر از معانی، از سنخ ادراک به شمار می‌رود؟</w:t>
      </w:r>
    </w:p>
    <w:p>
      <w:pPr>
        <w:pStyle w:val="BookText"/>
        <w:rPr/>
      </w:pPr>
      <w:r>
        <w:rPr>
          <w:rFonts w:ascii="IRNazanin" w:hAnsi="IRNazanin" w:eastAsia="IRNazanin"/>
          <w:color w:val="111111"/>
          <w:sz w:val="28"/>
          <w:sz w:val="28"/>
          <w:szCs w:val="28"/>
          <w:rtl w:val="true"/>
          <w:lang w:bidi="fa-IR"/>
        </w:rPr>
        <w:t>اگر حکم از سنخ ادراک باشد، آیا از سنخ ادراک حصولی است، یا از نوع دانش حضوری یا هر دو یا طبق برخی از معانی، از نوع ادراک حصولی و طبق برخی دیگر از معانی، از نوع آگاهی حضوری به شمار می‌رود؟</w:t>
      </w:r>
    </w:p>
    <w:p>
      <w:pPr>
        <w:pStyle w:val="BookText"/>
        <w:rPr/>
      </w:pPr>
      <w:r>
        <w:rPr>
          <w:rFonts w:ascii="IRNazanin" w:hAnsi="IRNazanin" w:eastAsia="IRNazanin"/>
          <w:color w:val="111111"/>
          <w:sz w:val="28"/>
          <w:sz w:val="28"/>
          <w:szCs w:val="28"/>
          <w:rtl w:val="true"/>
          <w:lang w:bidi="fa-IR"/>
        </w:rPr>
        <w:t>پاسخ پرسشهای یادشده به صورت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محمول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از سنخ افعال نفسانی به شمار آمده، هیچ‌گونه کاشفیتی از ماورای خود ندارد؛ بنابراین، حکم به این معنا از سنخ ادراک حصولی نخواهد بود؛ زیرا علم حصولی همواره از ماورای خود حکایت کرده، آن را مکشوف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و اعتراف به 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چگونه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حالتی نفسانی بدانیم که هیچ‌گونه کاشفیتی از خارج ندارد، در این صورت، حکم مزبور از سنخ علم حصولی نیست، اما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بیرون‌نمایی کرده، واقعیت خارجی را مکشوف می‌سازد، در این صورت، حکم یادشده از نوع علم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دیدگاه خویش را در این باره توضیح نداده است، ولی از برخی از کلمات او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تصدیق را تشکیل می‌دهد، نمایانگر ماورای خود می‌باشد و از سنخ علم حصولی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رسالة تصوّر و تصدیق، هنگامی که خلاصة نظریة تحقیقی خود را بیان می‌کند، به این مطلب اشاره می‌کند که صورتهای حاصله که به وسیلة حقایق خارجی در ذهن پدید می‌آید،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صرفاً تصوّر ماهیات و مفاهیم آن صورتهای عینی است و یا صورت و درک این است که این صورتهای ذهنی مطابق با واقعیت عینی خارجی است، خواه حقیقت این صورت و درک، با واقع و نفس‌الامر مطابقت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نخست، تصوّر و فرض دوم، تصدیق و اذعان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کما سبق أنّ الأثر الحاصل فی الذهن إمّا تصوّر ماهیّات الأشیاء و مفهوماتها و صوری أنّ هذا ذاک مطابقاً للواقع؛ سواء طابق أو لا و الأوّل هو التصوّر و الثانی هو التصدیق و الإذعان</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حکم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نسبت یا انتزاع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دیدگاه صدرالمتألهین، از سنخ فعل است و هیچ‌گونه کاشفیتی از ماورای خود ندارد؛ بنابراین، حکم مزبور از سنخ ادراک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ههنا أموراً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نفس الحکم؛ أی الإیقاع أو الانتزاع و هو فعل نفسانیّ لیس من قبیل العلم الحصولیّ</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شایان ذکر است که براساس مبانی صدرالمتألهین، تمام حالات و افعال نفسانی به وجود واقعی و نفس‌الامری خود، پیش نفس حاضر است و به علم حضوری برای نفس معلوم است؛ بنابراین، حکم به معنای نخست و سوم، هرچند از سنخ ادراک حصولی نیست، امّا از باب اینکه فعل نفس است، به وجود واقعی و نفس‌الامری خود نزد نفس حضور دارد و از سنخ علم حضوری به شمار می‌رود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حاصل آنکه حکم به سه معنا به کار می‌رود که براساس معنای نخست و سوم، از افعال نفسانی به شمار می‌رود و ادراک حصولی تلقّی نمی‌گردد، ولی از باب اینکه فعل نفس است، از نوع علم حضوری به شمار می‌رود، اما حکم به معنای دوم، از سنخ علم حصولی و کاشف از ماورای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بررسی معنای حکم باید دید که مراد صدرالمتألهین از این کلام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به یک اعتبار، تصوّری است عین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اعتبار دیگر، تصوّری است مستلزم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مقصودی دارد؟</w:t>
      </w:r>
    </w:p>
    <w:p>
      <w:pPr>
        <w:pStyle w:val="BookText"/>
        <w:rPr/>
      </w:pPr>
      <w:r>
        <w:rPr>
          <w:rFonts w:ascii="IRNazanin" w:hAnsi="IRNazanin" w:eastAsia="IRNazanin"/>
          <w:color w:val="111111"/>
          <w:sz w:val="28"/>
          <w:sz w:val="28"/>
          <w:szCs w:val="28"/>
          <w:rtl w:val="true"/>
          <w:lang w:bidi="fa-IR"/>
        </w:rPr>
        <w:t>در دو عبارت مزبور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مختلف و اعتبارات متعدّد است؛ به گونه‌ای که طبق یک معنا و اعتبار، عین حکم و طبق معنا و اعتبار دیگر، لازم حکم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گوناگونی دارد و از اعتبارات مختلف </w:t>
      </w:r>
    </w:p>
    <w:p>
      <w:pPr>
        <w:pStyle w:val="BookText"/>
        <w:rPr/>
      </w:pPr>
      <w:r>
        <w:rPr>
          <w:rFonts w:ascii="IRNazanin" w:hAnsi="IRNazanin" w:eastAsia="IRNazanin"/>
          <w:color w:val="111111"/>
          <w:sz w:val="28"/>
          <w:sz w:val="28"/>
          <w:szCs w:val="28"/>
          <w:rtl w:val="true"/>
          <w:lang w:bidi="fa-IR"/>
        </w:rPr>
        <w:t>برخوردار است؛ به گونه‌ای که طبق یک معنا و اعتبار، عین تصدیق، اما طبق معنا و اعتبار دیگر، لازم تصدیق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سه‌گانة مطرح شده دربارة تصدیق از نظر ملاصدرا از سوی برخی از اندیشمندان که قبلاً ذکر شد، براساس احتمال نخست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کلام صدرالمتألهین باید براساس احتمال دوم تفسیر گردد؛ بدین معنا که حکم، معانی متعدّدی دارد که طبق یک معنا، عین تصدیق و طبق معنای دیگر، لازم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می‌گوییم، مراد ملاصدرا از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تصوّری است عین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و اقرار به 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تصوّری است مستلزم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نسبت یا انتزاع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بیان، تصدیق، تصوّری است عین حکم به معنای دوم و لازم حکم به معنای سوم؛ به تعبیر دیگر، حکم به معنای دوم، عینِ تصدیق و به معنای سوم، لازمِ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این تفسیر و نسبت دادن آن به صدرالمتألهین، در صورتی درست است که تمام جهات سلبی و ایجابی دیدگاه وی، طبق تفسیر مزبور مورد بررسی قرار گیرد و همة آنها از کلام وی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یادشده براساس تفسیر مذکور، به سه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سلبی و دو جهت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تحلیل‌پذیر است که همة آنها از کلام صدرالمتألهین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سه‌گانه،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تصدیق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و اقرار به نسبت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معنای سوم، هرچند عین تصدیق نیست، لازم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 را صدرالمتألهین در ابتدای رسالة خود به روشنی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مطرح کردن برخی از مباحث مقدّماتی، قول کسانی که تصدیق را حکم به معنای ایقاع و انتزاع می‌دانند، خطا و سخیف اعلام می‌کند؛ چرا که تصدیق یکی از اقسام علم حصولی است و نسبتش با نفس به گونة پذیرش و انفعال است، در حالی که حکم، یکی از افعال نفسانی است و نسبتش با نفس، همچون نسبت تأثیر و ایجاد است؛ پس معلوم می‌شود که تصدیق را نمی‌توان عین حکم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أسخف رأی من جعله نفس الحکم الذی هو فعل من أفعال النفس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من العلم الانفعالی الذی نسبی النفس إلیه بالقبول و الانفعال، لا بالتأثیر و الإیجاد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ممکن است این اشکال مطرح گردد که براساس این عبارت، فقط عینیت تصدیق با حکم انکار شده است، اما اینکه مراد از این حکم، حکم به معنای دوم است یا حکم به معنای سوم، عبارت او ساکت است و ممکن است مراد وی، حکم به معنای دوم باشد، نه معنای سوم؛ پس جهت نخست را از عبارت یادشده نمی‌توان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اشکال یادشده، یادآور می‌شویم که مراد ملاصدرا از حکم در این عبارت، حکم به معنای سوم است، نه معنای دوم؛ زیرا همان‌گونه که گذشت، از نظر وی حکم به معنای دوم، از سنخ ادراک حصولی است، نه از سنخ فعل، اما حکم به معنای سوم، از سنخ فعل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مراد از حکم در عبارت مذکور، حکمی است که از سنخ فعل به شمار می‌رود و چون این حکم از سنخ فعل است؛ از این رو، نمی‌توان آن را عین تصدیق دانست؛ بنابراین، آشکار می‌شود که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عبارت، به روشنی استفاده می‌شود که حکم به معنای سوم، عین تصدیق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عین حکم به معنای اذعان و اقرار به نسبت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سخنان صدرالمتألهین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یک‌جا تصدیق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به معنای اذعان و ادراک اذعانی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نختار أنّ التصدیق نفس الحکم، أی الإدراک الإذعانیّ</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جایی دیگر، تصدیق را از لحاظ اینکه صورتی است در ذهن، تصوّر و از لحاظ اینکه همین صورت امتیاز اذعان به نسبت حکمیه را به خود پذیرفته است، تصدیق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حصوله فی الذهن تصوّر، لکن بخصوصیّی کونه إذعاناً بغیره تصدیق</w:t>
      </w:r>
      <w:r>
        <w:rPr>
          <w:rFonts w:eastAsia="IRNazanin" w:cs="IRNazanin"/>
          <w:color w:val="111111"/>
          <w:sz w:val="28"/>
          <w:szCs w:val="28"/>
          <w:rtl w:val="true"/>
          <w:lang w:bidi="fa-IR"/>
        </w:rPr>
        <w:t>».</w:t>
      </w:r>
      <w:r>
        <w:rPr>
          <w:rStyle w:val="FootnoteAnchor"/>
          <w:rtl w:val="true"/>
        </w:rPr>
        <w:footnoteReference w:id="77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گفتار ابن سینا را در الموجز الکبیر، مؤید دیدگاه خود در باب تصدیق و تصوّر قرار می‌دهد، آنجا که ابن سینا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تنها به دو صورت حاصل می‌شود؛ تصدیق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فقط معنای لفظ را به ذهن می‌آورد، اما تصدیق که همان اذعان به معنای قضیه است، صرف حصول معنای قضیه در ذهن نیست، بلکه چیز دیگری به آن پیوسته است و آن، صورت اذعان به معنای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سینا در الموجز الکبیر، طبق نقل ملاصدرا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یحصل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التصدیق و الآخر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التصوّر أن یحدث مثلاً معنی اللفظ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غیر أن یحصل فی النفس معنی القضیّی، بل شیء آخر یقترن به و هو صوری الإذعان له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صدرالمتألهین همچنین هنگامی که می‌خواهد کلام قطب‌الدین رازی را نقد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قطب‌الدین رازی، هرچند در بسیاری از موارد، به ویژه در رسالة تصوّر و تصدیق خود، نظری واقع‌بینانه داشته است، به این روش پایدار نمانده و در مواردی، از حقیقت به دور افتاده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این مطلب نیز بیانگر این است که تصدیق از نظر ملاصدرا همان اذعان و اقرار به نسبت حکمیه و مفاد قضیه است؛ زیرا قطب‌الدین در رسالة تصوّر و تصدیق اظهار می‌دارد که تصدیق، اذعان و اعتراف به نسبت حکمیه و مفاد قضیه است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صدرالمتألهین این دیدگاه را یک دیدگاه واقع‌بینانه معرفی می‌کند؛ پس این مطلب، مؤید این است که تصدیق از نظر ملاصدرا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اذعان به نسبت حکمیه و مفاد قضیه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معنای اذعان و اعتراف به نسبت حکمیه، لازم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کلام وی آشکارا قابل استفاده است؛ زیرا وی به روشنی بیان می‌کند که حکم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تصدیق است و هیچ گاه فصل حقیقی برای تصدیق به شمار نمی‌رود، ولی گاهی از این لازم،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لازم مزبور، از سنخ ادراک نیست، نام‌گذاری آن به فصل مشکلی ندارد؛ زیرا بسیار است که لازم یک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سنخ ملزوم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فصل آن ارائه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اَبعاد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فصل جسم به شمار می‌رود، در حالی که قابل اَبعاد، لازم جسم است و هیچ‌گاه فصل حقیقی برای جسم به شمار نمی‌رود؛ چرا که اگر قابل اَبعاد، فصل حقیقی برای جسم باشد، وابستگی جوهر به عرض لازم می‌آید؛ زیرا جسم از مقولة جوهر و قابل اَبعاد از مقولة انفعال است و مقولة انفعال یکی از مقولات نه‌گانة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نیز این سنّت تکرار شده است؛ به گونه‌ای که حکم به معنای ایقاع و انتزاع که از لوازم تصدیق به شمار می‌رود، به جای فصل تصدیق ارائه می‌شود؛ زیرا لوازم، هرچند فصل حقیقی و اشتقاقی برای ملزوم به شمار نمی‌رود، فصل منطقی برای آن تلقّی می‌شود؛ چرا که در منطق از لوازم خاصّه به فصل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یعبّر عن نفس الفصل بشیء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فصل الجسم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ههنا أیضاً عبّر عن فصل العلم بالحکم؛ أی الإیقاع و الانتزاع و هو من لوازم العلم التصدیقیّ الذی هو من مقولی الکیف، فیصحّ جعله عنواناً لأمر بسیط هو فصل التصدیق؛ إذ لابدّ فی تعریف الأمور البسیطی من ذکر لوازمها الذاتیّی التی توصل الذهن إلی حاقّ الملزومات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با توجّه به آنچه ذکر شد، روشن می‌شود که جهات سه‌گانةمزبور از کلام صدرالمتألهین به روشنی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که ملاصدرا در تعریف تصدیق، همان گونه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کار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به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است عین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است مستلزم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مراد وی از حکم، معلوم شد که به یک معنا عین تصدیق و به معنای دیگر، لازم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مراد او از تصوّری که عین حکم یا مستلزم حکم است،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نیز از کلام خود او به دست می‌آید؛ زیرا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کار برده است، تصوّر به معنای عام آن است؛ یعنی صورت حاصله‌ای که مساوی با علم حضوری و مقسم برای تصوّر و تصدیق است و همچنین جنس آن دو نیز به شمار می‌رود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نهایت، می‌توان کلام او را چنین تفسیر کرد که به اعتبار اینکه حکم به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و اقرار به 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تصوّر به معنای عام که جنس تصدیق است، عین چنین حکمی خواهد بود؛ زیرا حکم به معنای مزبور، فصل حقیقی تصدیق است و جنس و فصل، وجوداً عین یکدیگر و به وجود واحد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موارد متعدّد به این مطلب اشاره کرده است، از جمله در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نختار أنّ التصدیق نفس الحکم فی الوجود و مرکّب من جنس هو الإدراک و فصل و کونه حکماً و هو غیر الحکم الذی هو فعل من أفعال النفس</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اما اگر 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یا انتزاع نسبت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تصدیق، مستلزم چنین حکمی خواهد بود، نه عین آن؛ چرا که تصدیق، در واقع، همان ادراک و دانش اذعانی است، ولی حکمی که فعل نفس است، لازم چنین ادراک و آگاهی می‌باشد؛ نفس پس از اذعان و اعتراف به نسبت حکمیه، همواره به ایقاع یا انتزاع نسبت، حکم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معانی حکم و دقّت در آن می‌توان گفت،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نفس تصدیق و گاهی بر لازم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اشتراک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معنای یادشده، باعث شده است که بسیاری از افراد در دام مغالطه بیفتند؛ از این رو، صدرالمتألهین نیز به این مطلب هشدار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لذهول المتأخّرین عن هذه الدقیقی و عن أنّ الحکم یطلق تاری علی نفس هذا التصدیق و تاری علی ما یلزمه، استصعبوا کلام الشیخ فی هذین الموضعین؛</w:t>
      </w:r>
      <w:r>
        <w:rPr>
          <w:rStyle w:val="FootnoteAnchor"/>
          <w:rtl w:val="true"/>
        </w:rPr>
        <w:footnoteReference w:id="781"/>
      </w:r>
      <w:r>
        <w:rPr>
          <w:rFonts w:ascii="IRNazanin" w:hAnsi="IRNazanin" w:eastAsia="IRNazanin"/>
          <w:color w:val="111111"/>
          <w:sz w:val="28"/>
          <w:sz w:val="28"/>
          <w:szCs w:val="28"/>
          <w:rtl w:val="true"/>
          <w:lang w:bidi="fa-IR"/>
        </w:rPr>
        <w:t>غفلت متأخران از اینکه حکم، گاهی بر نفس تصدیق و گاهی بر لازم آن اطلاق می‌گردد، باعث شده است که بسیاری در دام مغالطه افتاده، سخن شیخ الرئیس را در باب تصدیق، پیچیده و دشوار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جای دیگر، پس از آنکه حکم به معنای ایقاع و انتزاع را لازم تصدیق می‌داند و معتقد است گاهی این لازم به جای فصل ارائه می‌شود و اظهار می‌دارد که به سبب همین نکتة دقیق است که حکم، گاهی به خود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الدقیقی یطلق الحکم تاری علی نفس التصدیق و تاری علی لازمه</w:t>
      </w:r>
      <w:r>
        <w:rPr>
          <w:rFonts w:eastAsia="IRNazanin" w:cs="IRNazanin"/>
          <w:color w:val="111111"/>
          <w:sz w:val="28"/>
          <w:szCs w:val="28"/>
          <w:rtl w:val="true"/>
          <w:lang w:bidi="fa-IR"/>
        </w:rPr>
        <w:t>.</w:t>
      </w:r>
      <w:r>
        <w:rPr>
          <w:rStyle w:val="FootnoteAnchor"/>
          <w:rtl w:val="true"/>
        </w:rPr>
        <w:footnoteReference w:id="782"/>
      </w:r>
      <w:bookmarkStart w:id="500" w:name="pg5678_50536"/>
    </w:p>
    <w:p>
      <w:pPr>
        <w:pStyle w:val="BookText"/>
        <w:rPr/>
      </w:pPr>
      <w:bookmarkEnd w:id="500"/>
      <w:r>
        <w:rPr>
          <w:rFonts w:ascii="IRNazanin" w:hAnsi="IRNazanin" w:eastAsia="IRNazanin"/>
          <w:color w:val="111111"/>
          <w:sz w:val="28"/>
          <w:sz w:val="28"/>
          <w:szCs w:val="28"/>
          <w:rtl w:val="true"/>
          <w:lang w:bidi="fa-IR"/>
        </w:rPr>
        <w:t>همچنین در فراز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بأحد الاصطلاحین هو بعینه التصدیق بهذا المعنی و بالاصطلاح الآخر، هو فعل نفسانی غیر مندرج تحت العلم الانفعالی</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نتیجة آنچه گفته شد آن است که حقیقت تصدیق از دیدگاه صدرالمتألهین، صورت حاصله یا تصوّر به معنای عام آن همراه با اذعان و اقرار به نسبت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حاصله در این دیدگاه، جنس تصدیق و اذعان و اعتراف، فصل آن به شمار رفته است و هر دو از حیث وجود، عین یکدیگر و به وجود واحد، موجودند، اما همین تصدیق، همواره یکی از افعال نفسانی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یا انتزاع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داشته و مستلزم آن است؛ بنابراین، تصدیق براساس این دیدگاه، به یک اعتبار، عین حکم و به اعتبار دیگر، مستلزم حکم است</w:t>
      </w:r>
      <w:r>
        <w:rPr>
          <w:rFonts w:eastAsia="IRNazanin" w:cs="IRNazanin"/>
          <w:color w:val="111111"/>
          <w:sz w:val="28"/>
          <w:szCs w:val="28"/>
          <w:rtl w:val="true"/>
          <w:lang w:bidi="fa-IR"/>
        </w:rPr>
        <w:t>.</w:t>
      </w:r>
    </w:p>
    <w:p>
      <w:pPr>
        <w:pStyle w:val="Heading3"/>
        <w:numPr>
          <w:ilvl w:val="2"/>
          <w:numId w:val="1"/>
        </w:numPr>
        <w:rPr/>
      </w:pPr>
      <w:bookmarkStart w:id="501" w:name="__RefHeading___Toc3562109_581953129"/>
      <w:bookmarkStart w:id="502" w:name="_Toc186"/>
      <w:bookmarkEnd w:id="501"/>
      <w:r>
        <w:rPr>
          <w:rtl w:val="true"/>
        </w:rPr>
        <w:t>منشأ پیدایش تصوّر و تصدیق</w:t>
      </w:r>
      <w:bookmarkEnd w:id="502"/>
    </w:p>
    <w:p>
      <w:pPr>
        <w:pStyle w:val="BookText"/>
        <w:rPr/>
      </w:pPr>
      <w:r>
        <w:rPr>
          <w:rFonts w:ascii="IRNazanin" w:hAnsi="IRNazanin" w:eastAsia="IRNazanin"/>
          <w:color w:val="111111"/>
          <w:sz w:val="28"/>
          <w:sz w:val="28"/>
          <w:szCs w:val="28"/>
          <w:rtl w:val="true"/>
          <w:lang w:bidi="fa-IR"/>
        </w:rPr>
        <w:t>تصوّر و تصدیق هر کدام به دو قسم بدیهی و نظری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تصدیقات بدیهی، خود، پیدا و از دلیل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تصوّرات، نظریة قول شارح یا معرّف است که به حد و رسم تقسیم می‌شود و هر کدام نیز دارای اقسامی است، اما پیدایش تصدیقات نظری تنها از راه حجّت امکان‌پذیر است و حجّت نیز اقسامی دارد؛ برهان، خطابه، جدل، شعر و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اقسام حجّت را از لحاظ مادّه تشکیل می‌دهد، اما قیاس، تمثیل و استقرا بیانگر اقسام حجّت از لحاظ صورت می‌باشد</w:t>
      </w:r>
      <w:r>
        <w:rPr>
          <w:rFonts w:eastAsia="IRNazanin" w:cs="IRNazanin"/>
          <w:color w:val="111111"/>
          <w:sz w:val="28"/>
          <w:szCs w:val="28"/>
          <w:rtl w:val="true"/>
          <w:lang w:bidi="fa-IR"/>
        </w:rPr>
        <w:t>.</w:t>
      </w:r>
    </w:p>
    <w:p>
      <w:pPr>
        <w:pStyle w:val="Heading3"/>
        <w:numPr>
          <w:ilvl w:val="2"/>
          <w:numId w:val="1"/>
        </w:numPr>
        <w:rPr/>
      </w:pPr>
      <w:bookmarkStart w:id="503" w:name="__RefHeading___Toc3562111_581953129"/>
      <w:bookmarkStart w:id="504" w:name="_Toc187"/>
      <w:bookmarkEnd w:id="503"/>
      <w:r>
        <w:rPr>
          <w:rtl w:val="true"/>
        </w:rPr>
        <w:t>منشأ پیدایش ادراکات اوّلیة بشر</w:t>
      </w:r>
      <w:bookmarkEnd w:id="504"/>
    </w:p>
    <w:p>
      <w:pPr>
        <w:pStyle w:val="BookText"/>
        <w:rPr/>
      </w:pPr>
      <w:r>
        <w:rPr>
          <w:rFonts w:ascii="IRNazanin" w:hAnsi="IRNazanin" w:eastAsia="IRNazanin"/>
          <w:color w:val="111111"/>
          <w:sz w:val="28"/>
          <w:sz w:val="28"/>
          <w:szCs w:val="28"/>
          <w:rtl w:val="true"/>
          <w:lang w:bidi="fa-IR"/>
        </w:rPr>
        <w:t>پرسشی که در اینجا مطرح می‌شود، این است که مُعرّف تنها بیانگر تصوّرات کلّی است، اما تصوّرات جزئی و همچنین خود معرّف، از کجا به دست می‌آید؟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اساسی‌تری که ریشه معرفت‌شناسی را تشکیل می‌دهد، چیستی منشأ پیدایش تصوّرات اولیّه و ادراکات ابتدایی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بسیطة ادراکات که سرمایة اصلی فکر بشر به شمار می‌رود، از چه راهی پدید می‌آید؟ </w:t>
      </w:r>
    </w:p>
    <w:p>
      <w:pPr>
        <w:pStyle w:val="BookText"/>
        <w:rPr/>
      </w:pPr>
      <w:r>
        <w:rPr>
          <w:rFonts w:ascii="IRNazanin" w:hAnsi="IRNazanin" w:eastAsia="IRNazanin"/>
          <w:color w:val="111111"/>
          <w:sz w:val="28"/>
          <w:sz w:val="28"/>
          <w:szCs w:val="28"/>
          <w:rtl w:val="true"/>
          <w:lang w:bidi="fa-IR"/>
        </w:rPr>
        <w:t>مسلّم است که این مطلب از قدیم تا کنون همواره مورد توجّه بشر بوده و اختلاف‌نظرها دربارة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دانشمندان بزرگ یونان باستان،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حقیقی تنها درک مُثل است، نه ادراک محسوسات و این معرفت، از سنخ یادآوری است، نه یادگیری؛ زیرا روح انسان، قبل از اینکه به این عالم بیاید، مُثل را مشاهده کرده و بعداً در اثر مجاورت با بدن، همه را از یاد برده است، ولی از آنجایی که آنچه در این عالم است، نمونه‌ای از آن حقایق است، روح انسان با احساس آن نمونه‌ها، گذشته‌ها را به یاد می‌آورد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در مقابل، ارسطو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آگاهیهای انسان یادگیری است، نه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روز نخست، فاقد هرگونه آگاهی است و تمام علوم برای انسان در همین جهان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حصول آگاهی، ادراک جزئیات از طریق حس، مقدّم بر ادراک کلیّات است؛ زیرا ذهن انسان پس از درک جزئیات به وسیلة قوة عاقله، به تجرید و تعمیم پرداخته، معانی کلّی را انتزاع می‌کند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این میان حکمای اسلامی، به ویژه صدرالمتألهین، در عین حالی که مُثل افلاطونی و رب‌النّوع را تا حدودی پذیرفته‌اند،</w:t>
      </w:r>
      <w:r>
        <w:rPr>
          <w:rStyle w:val="FootnoteAnchor"/>
          <w:rtl w:val="true"/>
        </w:rPr>
        <w:footnoteReference w:id="786"/>
      </w:r>
      <w:r>
        <w:rPr>
          <w:rFonts w:ascii="IRNazanin" w:hAnsi="IRNazanin" w:eastAsia="IRNazanin"/>
          <w:color w:val="111111"/>
          <w:sz w:val="28"/>
          <w:sz w:val="28"/>
          <w:szCs w:val="28"/>
          <w:rtl w:val="true"/>
          <w:lang w:bidi="fa-IR"/>
        </w:rPr>
        <w:t>از نظریة ارسطو در باب معرفت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روح انسان، در آغاز، لوح بی‌نقشی است که تنها استعداد پذیرفتن ادراکات اولیّه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الإشراق التاسع فی أولی مراتب العقل النظریّ و هی ما یکون للنفس بحسب أصل الفطری حین استعدادها لجمیع المعقولات؛ لخلّوها عن کلّ صوری</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این نظریه، ادراکات حسّی جزئی بر ادراکات عقلی کلّی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ادراکات حسّی جزئی در کار نباشد، عقل به درک کلیّات، اعم از تصوّری و تصدیقی، و بدیهی و نظری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ما یحدث فیها من رسوم المحسوسات التی هی معقولات بالقوّه و کانت محفوظی فی خزانی المتخیّلی، هی أوائل المعقولات التی اشترک فیها جمیع الناس من الأوّلیّات و </w:t>
      </w:r>
    </w:p>
    <w:p>
      <w:pPr>
        <w:pStyle w:val="BookText"/>
        <w:rPr/>
      </w:pPr>
      <w:r>
        <w:rPr>
          <w:rFonts w:ascii="IRNazanin" w:hAnsi="IRNazanin" w:eastAsia="IRNazanin"/>
          <w:color w:val="111111"/>
          <w:sz w:val="28"/>
          <w:sz w:val="28"/>
          <w:szCs w:val="28"/>
          <w:rtl w:val="true"/>
          <w:lang w:bidi="fa-IR"/>
        </w:rPr>
        <w:t>التجربیّات و المتواترات و المقبولات و غیرها</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طبق این عبارت، نخستین چیزی که از آثار محسوساتِ گردآمده در حافظه پدید می‌آید، بدیهیات است؛ پس بدون ادراک محسوسات، تحقّق بدیهیات نیز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مختلف انسان، مانند جاسوسان، گوناگون هستند که از نقاط مختلف گزارشی می‌آورند و آنها به نفس کمک می‌کنند که مفاهیم کلّی مجرّد را درک کند و او را برای آگاهی از تصوّرات و تصدیقات بدیهی آماده می‌سازند، آنگاه در سایه آمیختن این‌دو با هم، نفس بر کسب تصوّرات و تصدیقات نظری توانا می‌گردد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براساس این دیدگاه، تمام تصوّرات بدیهیة عقلیه، امور انتزاعی به شمار می‌روند که عقل آنها را از معانی حسّیه انتزاع کرده است، لکن بین انتزاع مفاهیم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درخت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منطبق با محسوسات است و بین انتزاع بدیهیات اولیّه و مفاهیم عامه، از قبیل مفهوم وجود، عدم، وحدت، کثرت، ضرورت، امکان و امتناع، فرق وجود دارد و آن اینکه دستة نخست، مستقیماً از راه تجرید و تعمیم جزئیات محسوس برای عقل حاصل می‌گردد،</w:t>
      </w:r>
      <w:r>
        <w:rPr>
          <w:rStyle w:val="FootnoteAnchor"/>
          <w:rtl w:val="true"/>
        </w:rPr>
        <w:footnoteReference w:id="790"/>
      </w:r>
      <w:r>
        <w:rPr>
          <w:rFonts w:ascii="IRNazanin" w:hAnsi="IRNazanin" w:eastAsia="IRNazanin"/>
          <w:color w:val="111111"/>
          <w:sz w:val="28"/>
          <w:sz w:val="28"/>
          <w:szCs w:val="28"/>
          <w:rtl w:val="true"/>
          <w:lang w:bidi="fa-IR"/>
        </w:rPr>
        <w:t xml:space="preserve">و دستة دوم از دستة نخست به گونة دیگری انتزاع می‌گردد؛ بنابراین، دستة نخست، در اصطلاح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از دیدگاه صدرالمتألهین، آگاهی حسّی و ادراک محسوسات، منشأ پیدایش تصوّرات اولیّه و ادراکات ابتدایی بشر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یادآوری است که ادراک هر کس نسبت به خودش، بر همة ادراکات مقدّم است، ولی این ادراک، ادراک حضوری و از محل بحث خارج است</w:t>
      </w:r>
      <w:r>
        <w:rPr>
          <w:rFonts w:eastAsia="IRNazanin" w:cs="IRNazanin"/>
          <w:color w:val="111111"/>
          <w:sz w:val="28"/>
          <w:szCs w:val="28"/>
          <w:rtl w:val="true"/>
          <w:lang w:bidi="fa-IR"/>
        </w:rPr>
        <w:t xml:space="preserve">. </w:t>
      </w:r>
      <w:bookmarkStart w:id="505" w:name="pg5678_50539"/>
    </w:p>
    <w:p>
      <w:pPr>
        <w:pStyle w:val="Heading3"/>
        <w:numPr>
          <w:ilvl w:val="2"/>
          <w:numId w:val="1"/>
        </w:numPr>
        <w:rPr/>
      </w:pPr>
      <w:bookmarkStart w:id="506" w:name="__RefHeading___Toc3562113_581953129"/>
      <w:bookmarkStart w:id="507" w:name="_Toc188"/>
      <w:bookmarkEnd w:id="505"/>
      <w:bookmarkEnd w:id="506"/>
      <w:r>
        <w:rPr>
          <w:rtl w:val="true"/>
        </w:rPr>
        <w:t>بررسی دیدگاه صدرالمتألهین در باب تصدیق</w:t>
      </w:r>
      <w:bookmarkEnd w:id="507"/>
    </w:p>
    <w:p>
      <w:pPr>
        <w:pStyle w:val="BookText"/>
        <w:rPr/>
      </w:pPr>
      <w:r>
        <w:rPr>
          <w:rFonts w:ascii="IRNazanin" w:hAnsi="IRNazanin" w:eastAsia="IRNazanin"/>
          <w:color w:val="111111"/>
          <w:sz w:val="28"/>
          <w:sz w:val="28"/>
          <w:szCs w:val="28"/>
          <w:rtl w:val="true"/>
          <w:lang w:bidi="fa-IR"/>
        </w:rPr>
        <w:t>دیدگاه صدرالمتألهین در باب تصوّر و تصدیق نکات جالب توجّهی دارد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وی به دست می‌آید که مقسم تصوّر و تصدیق، علم حصولی است و این تقسیم، از نوع تقسیم جنس به انواع است، نه تقسیم نوع به اصناف یا اشخاص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با تحلیل دقیق تمام جوانب تصوّر و تصدیق، جنبة اشتراک و افتراق آن دو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تحلیل وی، صورت حاصله در ذهن که مساوی با علم حصولی است، به عنوان جنس در نظر گرفته شده است، اما حکم بودن یا مستلزم حکم بودنِ آن صورت حاصله، فصل تصدیق به شمار می‌رود</w:t>
      </w:r>
      <w:r>
        <w:rPr>
          <w:rStyle w:val="FootnoteAnchor"/>
          <w:rtl w:val="true"/>
        </w:rPr>
        <w:footnoteReference w:id="791"/>
      </w:r>
      <w:r>
        <w:rPr>
          <w:rFonts w:ascii="IRNazanin" w:hAnsi="IRNazanin" w:eastAsia="IRNazanin"/>
          <w:color w:val="111111"/>
          <w:sz w:val="28"/>
          <w:sz w:val="28"/>
          <w:szCs w:val="28"/>
          <w:rtl w:val="true"/>
          <w:lang w:bidi="fa-IR"/>
        </w:rPr>
        <w:t>و مقیّد بودن صورت حاصله به اطلاق مبنی بر اینکه حکم باشد یا نباشد، فصل تصوّری که مقابل تصدیق است، دانسته می‌شود؛ به تعبیر دیگر، صورت حاصله در ذهن بدون هیچ قیدی، جنسِ تصوّر و تقیّد صورت مزبور به لا به شرطیت نسبت به حکم، فصل آن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تقسیم علم حصولی انفعالی به تصوّر و تصدیق، این است که هر یک از تصوّر و تصدیق کسبی و نظری از طریق خاصّی به دست می‌آید؛ تصوّر از راه قول شارح که حد و رسم باشد، حاصل می‌گردد، اما تصدیق تنها از راه حجّت و دلیل، دست‌یافتنی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ملاصدرا در این باب، یکی از مهم‌ترین اشکالها را 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تقسیم علم حصولی به تصوّر و تصدیق، مستلزم اتّحاد مقسم و قسم است و این تقسیم از نوع تقسیم شیء به خود و غیر است؛ به عبارت دیگر، یکی از اشکالات وارد بر تقسیم علم حصولی به تصوّر و تصدیق، این است که در این تقسیم، مقسم و قسم یکی است؛ زیرا مقسم در این تقسیم، علم حصولی انفعالی است و علم مزبور جز صورت حاصله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صورت حاصله مساوی با تصوّر است؛ بنابراین، تصوّری که یکی از اقسام علم حصولی به شمار می‌رود، عین مقسم است؛ در حالی که بی‌تردید، هر یک از اقسام باید اخص از مقسم باشد، نه عین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تحلیلی که صدرالدین شیرازی در این باب به کار برده است، پاسخ این اشکال آشکار می‌گردد؛ زیرا علم حصولی که همان صورت حاصله است اگر با حکم سنجیده شود به صورتهای گوناگونی ملاحظه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لا به شرط مقسمی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لحاظ، علم حصولی هیچ‌گونه قیدی همراه ندارد، حتی از قید لا به شرطیت نیز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لا به شرط قسمی لحاظ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لحاظ، علم حصولی مقیّد به لا به شرطیت و یکی از اقسام لا به شرط مقسمی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عدم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هر یک از لحاظهای چهارگانه از دیگری متفاوت است و هیچ کدام عین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حصولی براساس لحاظ نخست، مقسم تصوّر و تصدیق به شمار می‌رود و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اما طبق لحاظ دوم، تصوّر به معنای خاص که قسیم تصدیق است، به شمار می‌رود و براساس لحاظ سوم، تصدیق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یادشده، روشن می‌شود که مقسم و قسم در این تقسیم یکی نیست؛ زیرا در هر تقسیمی، مقسم بدون هیچ‌گونه قیدی در نظر گرفته می‌شود و با ضمیمیه شدن هر قیدی، یک قسم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نیز علم حصولی بدون هیچ قیدی در نظر گرفته شده و با ضمیمه شدن قید لا به شرطیت نسبت به حکم، تصوّری که قسیم تصدیق است، شکل می‌گیرد و با مقیّد شدن آن به حکم، تصدیق محقّق می‌گردد؛ پس، در این تقسیم، هر یک از اقسام اخص از مقسم است؛</w:t>
      </w:r>
      <w:r>
        <w:rPr>
          <w:rStyle w:val="FootnoteAnchor"/>
          <w:rtl w:val="true"/>
        </w:rPr>
        <w:footnoteReference w:id="793"/>
      </w:r>
      <w:r>
        <w:rPr>
          <w:rFonts w:ascii="IRNazanin" w:hAnsi="IRNazanin" w:eastAsia="IRNazanin"/>
          <w:color w:val="111111"/>
          <w:sz w:val="28"/>
          <w:sz w:val="28"/>
          <w:szCs w:val="28"/>
          <w:rtl w:val="true"/>
          <w:lang w:bidi="fa-IR"/>
        </w:rPr>
        <w:t>بنابراین، با این تحلیل، اشکال مذکور از اساس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 صدرالمتألهین در این باب، اشکال دیگری نیز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تقسیم علم به تصوّر و تصدیق، دو امر فاسد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اجتماع نقیضین و دیگری تقوّم یا مشروط بودن شیء به ضد 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امر، آن است که هر تصدیقی، بر تصوّر متوقف است؛ چرا که تصوّر، یا جزء </w:t>
      </w:r>
    </w:p>
    <w:p>
      <w:pPr>
        <w:pStyle w:val="BookText"/>
        <w:rPr/>
      </w:pPr>
      <w:r>
        <w:rPr>
          <w:rFonts w:ascii="IRNazanin" w:hAnsi="IRNazanin" w:eastAsia="IRNazanin"/>
          <w:color w:val="111111"/>
          <w:sz w:val="28"/>
          <w:sz w:val="28"/>
          <w:szCs w:val="28"/>
          <w:rtl w:val="true"/>
          <w:lang w:bidi="fa-IR"/>
        </w:rPr>
        <w:t>تصدیق است یا شرط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وجود تصوّر در تحقّق تصدیق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تصوّر به عدم حکم مشروط است؛ در غیر این صورت، عین تصدیق خواهد بود، نه تصوّری که قسیم آن است؛ بنابراین، عدم حکم در تصوّر معتبر است و تصوّر در تصدیق؛ در نتیجه، عدم حکم در تصدیق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حکم نیز در تصدیق معتبر است؛ چون تصدیق، یا عین حکم است، یا مستلزم آن؛ پس در تصدیق، هم حکم و هم عدم حکم، هر دو، معتبر است و این، همان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تصوّر چون قسیم و ضدّ تصدیق است، اعتبار آن در تصدیق، به معنای اعتبار وجود یک ضد برای تحقّق ضد دیگر خواهد بود؛ در نتیجه، تقسیم یادشده چون دو لازم فاسد را در پی دارد، از اساس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گفتار صدرالمتألهین در این باب، بطلان این اشکال نیز روشن می‌گردد؛ زیرا تصوّری که در تصدیق معتبر است، تصوّر به معنای عام است و این تصوّر، مساوی با علم حصولی، و مقسم تصوّر و تصدیق است، اما تصوّر به معنای خاص که یک قسم علم حصولی و قسیم تصدیق به شمار می‌رود، هیچ‌گاه در پدید آمدن تصدیق دخالت ندارد؛ بنابراین، با تقسیم علم به تصوّر و تصدیق، نه اجتماع نقیضین لازم می‌آید و نه اعتبار وجود یک ضد در ضد دیگر</w:t>
      </w:r>
      <w:r>
        <w:rPr>
          <w:rFonts w:eastAsia="IRNazanin" w:cs="IRNazanin"/>
          <w:color w:val="111111"/>
          <w:sz w:val="28"/>
          <w:szCs w:val="28"/>
          <w:rtl w:val="true"/>
          <w:lang w:bidi="fa-IR"/>
        </w:rPr>
        <w:t>.</w:t>
      </w:r>
      <w:r>
        <w:rPr>
          <w:rStyle w:val="FootnoteAnchor"/>
          <w:rtl w:val="true"/>
        </w:rPr>
        <w:footnoteReference w:id="79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از مثالی مانند حیوان می‌توان استفاده کرد که به اقسام مختلف، مانند انسان، بقر، غنم، حمار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هر یک از این اقسام، حیوان معتبر است؛ مثلاً در تحقّق انسان، حیوان معتبر است، لکن حیوانی که در مفهوم انسان و تحقّق آن دخالت دارد، حیوانِ به معنای عام است که مقسم به شمار می‌آید، نه حیوانِ 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قسیم انسان است، تا تقوّم شیء به ضدش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نیز تصوّری که در مفهوم تصدیق و تحقّق آن اعتبار دارد، تصوّر به معنای عام است که مقسم به شمار می‌رود، نه تصوّر به معنای خاص که قسیم تصدیق است؛ از این رو، روشن می‌شود که منشأ این اشکال، مغالطة اشتراک لفظ تصوّر است که به دو معنای خاص و عام به کار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دیدگاه ملاصدرا در این باب، رابطة حکم با تصدیق، یا عینیت است یا لزوم؛ یعنی حکم به یک معنا عین تصدیق و به معنای دیگر، مستلزم آن است</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طبق این دیدگاه، پاسخ اشکال سوم که یکی از مهم‌ترین اشکالها در این باب است،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حکم، یا عین تصدیق است، یا جزء آن و یا خارج از آن و عارض بر آن، هر یک از فرضهای مزبور با مشکلی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عینیت حکم با تصدیق این است که چیزی که از مقولة فعل به شمار می‌رود، تحت مقولة کیف قرار گیرد و یکی از اقسام علم حصولی به شمار رود؛ زیرا حکم یکی از افعال نفسانی و از مقولة فعل است؛ پس اگر حکم، عین تصدیق باشد، جز این نیست که یکی از انواع مقولة فعل از اقسام علم حصولی به شمار آید و تحت مقولة کیف نیز داخل باشد؛ در حالی که مقولات متباین بالذات‌اند و هیچ‌گاه ممکن نیست یک نوع، حقیقتاً مصداق دو مقولة متباین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جزء تصدیق باشد، این اشکال را به دنبال دارد که در این صورت، تصدیق مرکب از علم حصولی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مرکب از علم و غیر علم، غیر علم خواهد بود؛ زیرا هر مرکبی که از دو جزء مختلف و متباین تشکیل گردد، شیئی سوم خواهد بود؛ در حالی که تصدیق از سنخ ادراک و یکی از اقسام علم حصولی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خارج از تصدیق و عارض بر آن باشد، در این صورت، تصدیق به تصوّرات سه‌گانه موضوع، محمول و نسبت حکمیه، اختصاص دارد و تصوّرات مزبور، چیزی جز تصوّر 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قسیم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اگر حکم خارج از تصدیق باشد، تصدیق یکی از اقسام قسیم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مربوط به قضیه است و در هر قضیه، چهار امر فرض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محمول؛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نسبت حکمیه؛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ثبوت محمول برای موضوع یا سلب محمول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از این چهار امر، امر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خارج از تصدیق باشد، تصدیق به سه امر نخست اختصاص می‌یابد و این سه امر، از اقسام تصوّر به معنای خاص است؛ بنابراین، اگر حکم خارج از تصدیق و عارض بر آن باشد، تصدیق یکی از اقسام قسیم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دیدگاه ملاصدرا در باب تصدیق، پاسخ این اشکال نیز به دست می‌آید؛ زیرا براساس دیدگاه وی، حکم به معنای اذعان و اقرار که از سنخ ادراک است، عین تصدیق به شمار می‌رود؛ بنابراین، این اشکال که اگر حکم عین تصدیق باشد، لازم می‌آید که یک نوع، تحت دو مقولة متباین قرار گیرد، بی‌اساس خواهد بود؛ زیرا حکم مزبور از سنخ ادراک و تنها یکی از انواع کیف نفسانی به شمار می‌رود و هرگز از مقولة فعل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به معنای ایقاع یا انتزاع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تصدیق و عَرضِ لازم برای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اگر حکم، خارج از تصدیق باشد، تصدیق یکی از اقسام قسیم خود خواهد بود، پنداری بیش نیست؛ زیرا تشکیل‌دهندة حقیقت تصدیق و متمایزکنندة آن از تصوّری که قسیمش است، حکم به معنای اذعان و اقرار به نسبت حکمیه است، نه حکم به معنای ایقاع و انتزاع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هر قضیه‌ای که به ثبوت یا سلب نسبت حکم می‌شود، پنج امر تحقّق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محمول؛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نسبت حکمیه؛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اذعان و اعتراف به نسبت حکمیه؛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ثبوت نسبت برای موضوع یا سلب نسبت از 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امر نخست، از اقسام تصوّری است که قسیم تصدیق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تشکیل‌دهندة فصل حقیقی تصدیق و متمایزکنندة آن از تصوّر است و از حیث وجود، عین تصدیق می‌باشد و امر پنجم که از افعال نفسانی است، خارج از حقیقت تصدیق و عارض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می‌شود که این اشکال، از 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معنا پدید آمده است و این، خود، یکی از انواع مغالطه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دیگر، تفاوت اساسی دیدگاه ملاصدرا با دیدگاه سایر حکما در باب تصدیق است؛ زیرا هرچند وی تصدیق را مانند سایر حکما عین حکم معرفی می‌کند، ولی حکمی که وی آن را عین تصدیق می‌داند با حکمی که سایر حکما با تصدیق یکی می‌دانند، تفاوت بنیادین دارد؛ حکمی که وی، آن را عین تصدیق می‌داند، حکم به معنای اذعان و اعتراف به نسبت حکمیه است که از سنخ آگاهی حصولی به شمار می‌رود، اما حکمی که از نظر سایر حکما عین تصدیق است، حکم به معنای ایقاع و انتزاع نسبت است که از مقولة فعل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صدرالمتألهین، دیدگاه حکما، دیدگاهی باطل و سخیف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طبق قول آنان، تصدیقی که یکی از اقسام علم حصولی و از مقولة کیف است، تحت مقولة فعل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ملاصدرا در باب تصوّر نیز با نظر بسیاری از متفکّران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تصوّر همان صورت حاصله‌ای است که نسبت به حکم به عنوان لا به شرط مقسمی لحاظ شده است، اما بسیاری از متفکّران اسلامی بر این باورند که تصوّر، صورت حاصله‌ای است که نسبت به حکم به شرط لا در نظر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کلام ملاصدرا رابطة تصوّر با تصدیق نیز روشن می‌گردد؛ زیرا تصوّر به یک معنا جزء مفهوم تصدیق و به معنای دیگر، قسیم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 که تصوّر به معنای صورت حاصله که مساوی با علم حصولی است، جزء مفهوم تصدیق و جنس آن است، اما تصوّری که نسبت به حکم به عنوان لا به شرط قسمی لحاظ می‌شود، یکی از اقسام علم حصولی و قسیم تصدیق تلقّی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ملاصدرا در این باب، تفاوت صدق و تصدیق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تفاوت، تصدیق اعم از صدق است؛ زیرا بر پایة دیدگاه وی تصدیق، اذعان و اقرار به مطابقت مفاد قضیه با واقع است؛ چه این اذعان و اقرار در واقع و نفس الامر، مطابق با واقع باشد یا نباشد؛ چرا که اعتقاد و اذعان به مطابقت با واقع، غیر از مطابقت با واقع و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مطابقت یک قضیه با واقع معتقد باشد، در عین حال، آن قضیه فی نفسه مطابق با واقع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صدق، مطابقت یک قضیه یا حکم با واقع و</w:t>
      </w:r>
    </w:p>
    <w:p>
      <w:pPr>
        <w:pStyle w:val="BookText"/>
        <w:rPr/>
      </w:pPr>
      <w:r>
        <w:rPr>
          <w:rFonts w:ascii="IRNazanin" w:hAnsi="IRNazanin" w:eastAsia="IRNazanin"/>
          <w:color w:val="111111"/>
          <w:sz w:val="28"/>
          <w:sz w:val="28"/>
          <w:szCs w:val="28"/>
          <w:rtl w:val="true"/>
          <w:lang w:bidi="fa-IR"/>
        </w:rPr>
        <w:t>نفس الامر است؛ یعنی قضیة صادقه، قضیه‌ای است که مطابق با واقع و نفس الامر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گفتار صدرالمتألهین تفاوت تصدیق منطقی و تصدیق کلامی نیز آشکار می‌گردد؛ زیرا براساس دیدگاه او، تصدیق منطقی، اذعان و اقرار به ثبوت محمول برای موضوع یا سلب آن از موضوع است، ولی تصدیق کلامی، اعتقاد خاصّی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چیستی ایمان، سازگاریش با تعقّل و سنخیّت آن، محلّ بحث کنونی ما نیست، مسلّم است که بسیاری از متفکّران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متون دینی، بر این باورند که معرفت و آگاهی، تمام ایمان را تشکیل نمی‌دهد،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در عین حال، جزء مقوّم ایمان به شمار آمده، اساس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معرفتی که ایمان بر آن توقّف دارد، ممکن است از سنخ علم حصولی یا از سنخ علم حضوری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از کسانی است که علم و آگاهی را جزء مقوّم ایمان و قوّت و ضعف آن را در گرو قوّت و ضعف علم و آگاهی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جلد ششم اسفار پس از اثبات عینیّت صفات خداوند با ذات، این کلام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شاهد مدّعای خود ذکر می‌کند و در توضیح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دین معرفت حصولی به خداست که از راه برهان به دست می‌آید و همین معرفت، تصدیق به وجود خداوند را نیز موجب می‌شود، اما کامل‌ترین معرفتی که با آن، انسان با تمام وجود، خداوند را تصدیق می‌کند، معرفت شهودی و آگاهی حضوری است</w:t>
      </w:r>
      <w:r>
        <w:rPr>
          <w:rFonts w:eastAsia="IRNazanin" w:cs="IRNazanin"/>
          <w:color w:val="111111"/>
          <w:sz w:val="28"/>
          <w:szCs w:val="28"/>
          <w:rtl w:val="true"/>
          <w:lang w:bidi="fa-IR"/>
        </w:rPr>
        <w:t>.</w:t>
      </w:r>
      <w:r>
        <w:rPr>
          <w:rStyle w:val="FootnoteAnchor"/>
          <w:rtl w:val="true"/>
        </w:rPr>
        <w:footnoteReference w:id="7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می‌شود که مراد ملاصدرا از تصدیقی که بر علم حضوری و شهودی استوار است، تصدیق کلامی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نه تصدیق منطقی؛ زیرا تصدیق منطقی با دانش حضوری ارتباط ندارد، چون مقسم تصوّر و تصدیق در منطق، علم حصولی است، نه علم حضوری</w:t>
      </w:r>
      <w:r>
        <w:rPr>
          <w:rFonts w:eastAsia="IRNazanin" w:cs="IRNazanin"/>
          <w:color w:val="111111"/>
          <w:sz w:val="28"/>
          <w:szCs w:val="28"/>
          <w:rtl w:val="true"/>
          <w:lang w:bidi="fa-IR"/>
        </w:rPr>
        <w:t xml:space="preserve">. </w:t>
      </w:r>
      <w:bookmarkStart w:id="508" w:name="pg5678_50546"/>
    </w:p>
    <w:p>
      <w:pPr>
        <w:pStyle w:val="Heading3"/>
        <w:numPr>
          <w:ilvl w:val="2"/>
          <w:numId w:val="1"/>
        </w:numPr>
        <w:rPr/>
      </w:pPr>
      <w:bookmarkStart w:id="509" w:name="__RefHeading___Toc3562115_581953129"/>
      <w:bookmarkStart w:id="510" w:name="_Toc189"/>
      <w:bookmarkEnd w:id="508"/>
      <w:bookmarkEnd w:id="509"/>
      <w:r>
        <w:rPr>
          <w:rtl w:val="true"/>
        </w:rPr>
        <w:t>مطالب قابل تأمّل</w:t>
      </w:r>
      <w:bookmarkEnd w:id="510"/>
    </w:p>
    <w:p>
      <w:pPr>
        <w:pStyle w:val="BookText"/>
        <w:rPr/>
      </w:pPr>
      <w:r>
        <w:rPr>
          <w:rFonts w:ascii="IRNazanin" w:hAnsi="IRNazanin" w:eastAsia="IRNazanin"/>
          <w:color w:val="111111"/>
          <w:sz w:val="28"/>
          <w:sz w:val="28"/>
          <w:szCs w:val="28"/>
          <w:rtl w:val="true"/>
          <w:lang w:bidi="fa-IR"/>
        </w:rPr>
        <w:t>آنچه گذشت، نکات جالب توجّهی است که از سخنان ملاصدرا در باب تصوّر و تصدیق استفاده می‌شود، ولی جهات دیگری نیز در کلام وی هست که به نظر می‌رسد خالی از تأمّل نیست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درستی دیدگاه صدرالمتألهین بر این اساس استوار است که حکم به معنای اذعان به نسبت حکمیه، از سنخ ادراک حصولی باشد، تا بتواند حقیقت تصدیق را تشکیل دهد، اما به نظر می‌رسد این امر، جای تأمل دارد؛ زیرا ممکن است گفته شود که اذعان و اعتراف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گرویدن نفس به ثبوت یا سلب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امر، یکی از حالات نفسانی است و نه تنها هیچ‌گونه کاشفیتی از خارج ندارد، بلکه تحقّق آن بر علم به ثبوت یا سلب نسبت در واقع و نفس الامر متوقف است؛ یعنی پس از آنکه از طریق خاصّی، علم به ثبوت یا سلب نسبت پدید آمد، این حالت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اذعان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بنابراین، اذعان و اقرار را نمی‌توان از سنخ علم حصولی دانست؛ از این رو، اذعان و اقرار ممکن نیست حقیقتِ تصدیق را تشکیل دهد و عین آن به شمار آید؛ چرا که تصدیق یکی از اقسام ادراک حصولی است و آنچه از سنخ ادراک نیست، هیچ‌گاه نمی‌تواند در حقیقت آن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دیدگاه ملاصدرا در باب تصدیق، از اساس زیر سؤال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حکمت متعالیه برای حکم چندین معنا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نسبت یا انتزاع و سلب نسبت حکمیه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به این معنا را از سنخ افعال نفسانی دانسته، معتقد است حکم مزبور، هیچ‌گاه از نوع علم حصولی نیست؛ زیرا هیچ‌گونه کاشفیتی از خارج ندارد</w:t>
      </w:r>
      <w:r>
        <w:rPr>
          <w:rFonts w:eastAsia="IRNazanin" w:cs="IRNazanin"/>
          <w:color w:val="111111"/>
          <w:sz w:val="28"/>
          <w:szCs w:val="28"/>
          <w:rtl w:val="true"/>
          <w:lang w:bidi="fa-IR"/>
        </w:rPr>
        <w:t>.</w:t>
      </w:r>
      <w:r>
        <w:rPr>
          <w:rStyle w:val="FootnoteAnchor"/>
          <w:rtl w:val="true"/>
        </w:rPr>
        <w:footnoteReference w:id="79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وی در این باره، به دو جهت ایجابی و سلبی تحلیل‌پذیر است؛ جهت ایجابی آن است که حکم مزبور، فعل نفس است و جهت سلبی آن است که حکم یادشده از سنخ علم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ایجابی این دیدگاه، مطلبی درست و بدون اشکال است، اما جهت سلبی آن، خالی از اشکال نیست؛ زیرا ممکن است گفته شود حکم مزبور در حالی که فعل نفس است، ماورای خود را نیز مکشوف می‌کند و از سنخ ادراک حصولی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این نکته توجّه داشته و حکم یادشده را دارای دو جنبه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فعل و جنبة کاشفیت؛ یعنی از یک جهت، فعل نفس و از جهت دیگر، از بیرون خود حکایت می‌کند و از سنخ ادراک حصولی به شمار می‌رود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مزبور را بدین صورت می‌توان توضیح داد که هرگاه انسان با جهان خارج مواجه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حسین نشسته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مواجهه با امر واحد برخورد می‌کند، ولی این امر واحد پس از آنکه در ذهن می‌آید، به دو امر، یعنی ذات و صفت تحلیل می‌شود؛ یکی مفهوم حسین که از مفاهیم جوهری است و دیگری، مفهوم نشستن که از اوصاف آن و از مقولات اعراض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در متن خارج، یک چیز بیشتر نیست، ذهن برای هماهنگی صورت ذهنی با واقعیت خارجی به سراغ تشکیل قضیه رفته و مفهوم حسین را موضوع و وصف نشستن را محمول قرار می‌دهد و پس از سنجش ارتباط میان آن دو، به اتّحاد و این‌همانی آن دو حکم می‌کند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این حکم، بی‌گمان، فعل نفس است؛ چون از نفس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غرض از صدور این حکم، نمایاندن یکی بودن امر خارجی است؛ پس حکم مزبور، از اتّحاد میان موضوع و محمول در خارج حکایت دارد، در غیر این صورت، یکی بودن امر خارجی با این حکم نشان داده نمی‌شود، در حالی که هدف از صدور این حکم، چیزی جز نمایاندن یکی بودن امر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این هدف، محقّق می‌گردد؛ چون با صدور این حکم، مخاطب به اتّحاد میان موضوع و محمول و یکی بودن امر خارجی پی می‌برد؛ از این رو، حکم یادشده چون از ماورای خود حکایت می‌کند، از سنخ علم حصولی نیز به شمار می‌رود؛</w:t>
      </w:r>
      <w:r>
        <w:rPr>
          <w:rStyle w:val="FootnoteAnchor"/>
          <w:rtl w:val="true"/>
        </w:rPr>
        <w:footnoteReference w:id="799"/>
      </w:r>
      <w:r>
        <w:rPr>
          <w:rFonts w:ascii="IRNazanin" w:hAnsi="IRNazanin" w:eastAsia="IRNazanin"/>
          <w:color w:val="111111"/>
          <w:sz w:val="28"/>
          <w:sz w:val="28"/>
          <w:szCs w:val="28"/>
          <w:rtl w:val="true"/>
          <w:lang w:bidi="fa-IR"/>
        </w:rPr>
        <w:t>بنابراین، طبق آنچه گفته شد، این حکم،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جنبه، </w:t>
      </w:r>
    </w:p>
    <w:p>
      <w:pPr>
        <w:pStyle w:val="BookText"/>
        <w:rPr/>
      </w:pPr>
      <w:r>
        <w:rPr>
          <w:rFonts w:ascii="IRNazanin" w:hAnsi="IRNazanin" w:eastAsia="IRNazanin"/>
          <w:color w:val="111111"/>
          <w:sz w:val="28"/>
          <w:sz w:val="28"/>
          <w:szCs w:val="28"/>
          <w:rtl w:val="true"/>
          <w:lang w:bidi="fa-IR"/>
        </w:rPr>
        <w:t>انفعالی، حصولی و ذهنی است و ماورای خود را مکشوف می‌کند و از جنبة دیگر، فعل نفسانی و از سنخ علم حضوری خواهد بود؛ زیرا افعال نفسانی با تمام هستی خود نزد نفس، حاضر و به علم حضوری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آنچه گفته شد، آن است که این گفتار ملاصدرا که حکم به معنای ایقاع و اسناد، تنها فعل نفس است و هیچ‌گونه کاشفیتی از خارج ندارد، مخدوش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گذشت، ملاصدرا در ابتدای رسالة خود پس از مطرح کردن برخی از مباحث مقدماتی می‌گوید، کسانی که معتقدند تصدیق، همان حکم است، به خطا رفته و قول سخیفی را مرتکب شده‌اند؛ زیرا کاملاً روشن است که تصدیق، بخشی از علم انفعالی حصولی است و نسبت علم انفعالی به نفس، به گونة پذیرش و انفعال است، نه به گونة تأثیر و فعل؛ بنابراین، چگونه می‌توان تصدیق را از افعال و ابتکارات نفس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مطلب فوق دربارة حکم به معنای ایقاع و اِسناد، بطلان این گفتار ملاصدرا نیز روشن گردید؛ زیرا اگر کسی بگوید، تصدیق عین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تنها قول خطا و سخیفی را مرتکب نشده، بلکه یک دیدگاه درست و متقن را ارائه داده است؛ چرا که حکم مزبور هرچند از یک جهت، فعل نفس است، از جهت دیگر، ماورای خود را مکشوف می‌کند و از سنخ علم حصولی به شمار می‌رود؛ بنابراین، حکم یادشده از آن جهت که کاشف است و ماورای خود را نمایان می‌سازد، عین تصدیق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با الهام از متون دینی و وحی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را در نخستین مراحل، از هر علم و معلومی خالی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پیدایش ادراکات ابتدایی و بدیهیّات اولیّه تنها از راه آگاهی حسّی و ادراک محسوسات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 شده است، وی کیفیت انتزاع مفاهیم اولیّه را توضیح نمی‌دهد، بلکه همواره در فلسفة خود، از یک سلسله معانی، از قبیل مفهوم وجود، عدم، وحدت، کثرت، ضرورت، امکان، امتناع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مفاهیم انتزاعیه یا معقولات ثانیه یا خارج المحمول یاد می‌کند و اظهار می‌دارد که این معانی و مفاهیم، به صورت انتزاعی، از معانی دیگر ماهیات، مثل انسان،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ولی هیچ‌گونه</w:t>
      </w:r>
    </w:p>
    <w:p>
      <w:pPr>
        <w:pStyle w:val="BookText"/>
        <w:rPr/>
      </w:pPr>
      <w:r>
        <w:rPr>
          <w:rFonts w:ascii="IRNazanin" w:hAnsi="IRNazanin" w:eastAsia="IRNazanin"/>
          <w:color w:val="111111"/>
          <w:sz w:val="28"/>
          <w:sz w:val="28"/>
          <w:szCs w:val="28"/>
          <w:rtl w:val="true"/>
          <w:lang w:bidi="fa-IR"/>
        </w:rPr>
        <w:t>توضیحی نمی‌دهد که این انتزاع چگونه صورت می‌گیرد؟ آیا ممکن است یک مفهوم که از راه حس وارد ذهن شده و مفهوم دیگری را که ذهن نسبت به آن بی‌سابقه است، به دنبال خود بکشاند؟</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بنابراین، معلوم شد که منشأ و پیدایش تصوّرات ابتدایی و بدیهیات اولیّه، ادراکات حسّی و تصوّر محسوسات است؛ از این رو، پرسشهایی را در این زمینه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محسوسات تا چه اندازه ارزش دارد؟ به دیگر سخن، در ادراکات حسّی، اشیایی خارج از ذهن به وسیلة صورت حاصله در ذهن برای انسان مکشوف می‌گردد، حال، این صورت ذهنی تا چه اندازه در ارائة واقع نقش دارد؟ آیا صورت مزبور، واقع را برای انسان همان‌گونه که هست، نمایان می‌سازد یا اینکه هرگز واقع‌نمایی نمی‌کند و تنها ظهور و نمود اشیای خارجی را برای انسان نشان می‌دهد؟ اگر صورت یادشده، واقع‌نماست، آیا همواره و در همه جا، واقع را مکشوف می‌کند یا فی‌الجمله و در برخی موارد؟ اگر صورت ذهنی در بعض موارد، واقع‌نمایی دارد و در برخی موارد، دچار خطا و اشتباه می‌گردد، معیار و میزان مطابقت آن با واقع چیست؟ از کجا دانسته می‌شود که این صورت، مطابق با واقع است و صورت دیگر، واقع را نشان نمی‌دهد؟</w:t>
      </w:r>
    </w:p>
    <w:p>
      <w:pPr>
        <w:pStyle w:val="BookText"/>
        <w:rPr/>
      </w:pPr>
      <w:r>
        <w:rPr>
          <w:rFonts w:ascii="IRNazanin" w:hAnsi="IRNazanin" w:eastAsia="IRNazanin"/>
          <w:color w:val="111111"/>
          <w:sz w:val="28"/>
          <w:sz w:val="28"/>
          <w:szCs w:val="28"/>
          <w:rtl w:val="true"/>
          <w:lang w:bidi="fa-IR"/>
        </w:rPr>
        <w:t xml:space="preserve">فلاسفة اسلامی، به ویژه صدرالمتألهین، این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با ادلّة گوناگون به اثبات رسانده‌اند که صورت ذهنیه، تنها شبح و نُمود اشیا را نشان نمی‌دهد، بلکه فی‌الجمله واقع‌نمایی می‌کند و حقیقت و ماهیت اشیا را مکشوف می‌سازد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اما وی ملاک و معیاری برای مطابقت صورت ذهنیه با واقع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دقّت در این مسئله روشن می‌شود که بسیاری از ادلّة وجود ذهنی، محل مناقشه و تأمّل است که تحلیل و بررسی این امر، از حوصلة این جستار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نسبت به اصل معنای تصدیق، چیز جدیدی را ارائه نکرده است؛ زیرا وی تصدیق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در حالی که بسیاری از دانشمندان قبل از او نیز این مطلب را یادآور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الموجز 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w:t>
      </w:r>
    </w:p>
    <w:p>
      <w:pPr>
        <w:pStyle w:val="BookText"/>
        <w:rPr/>
      </w:pPr>
      <w:r>
        <w:rPr>
          <w:rFonts w:ascii="IRNazanin" w:hAnsi="IRNazanin" w:eastAsia="IRNazanin"/>
          <w:color w:val="111111"/>
          <w:sz w:val="28"/>
          <w:sz w:val="28"/>
          <w:szCs w:val="28"/>
          <w:rtl w:val="true"/>
          <w:lang w:bidi="fa-IR"/>
        </w:rPr>
        <w:t>تهذیب المنطق و شرح المقاصد</w:t>
      </w:r>
      <w:r>
        <w:rPr>
          <w:rStyle w:val="FootnoteAnchor"/>
          <w:rtl w:val="true"/>
        </w:rPr>
        <w:footnoteReference w:id="802"/>
      </w:r>
      <w:r>
        <w:rPr>
          <w:rFonts w:ascii="IRNazanin" w:hAnsi="IRNazanin" w:eastAsia="IRNazanin"/>
          <w:color w:val="111111"/>
          <w:sz w:val="28"/>
          <w:sz w:val="28"/>
          <w:szCs w:val="28"/>
          <w:rtl w:val="true"/>
          <w:lang w:bidi="fa-IR"/>
        </w:rPr>
        <w:t>و قطب‌الدین رازی در الرسالی المعموله و شرح حکمی الاشراق</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بنابراین، روشن می‌شود که ملاصدرا در اصل معنای تصدیق چیزی جدیدی ارائه نکرده است، اما با تجزیه و تحلیل دقیق این معنا و برشمردن جنس و فصل آن، به پرسشهای زیادی پاسخ داده و اشکالات متعدّدی را دفع کرده است، ولی در عین حال، یک پرسش باقی است و پاسخ مناسب را می‌طلبد و آن اینکه آیا علم حصولی که از انواع کیف نفسانی است، نسبت به مادون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متوسط تلقّی می‌گردد و در نتیجه تصوّر و تصدیق دو نوع آن به شمار می‌رود یا اینکه علم حصولی، یک نوع تام و کامل بوده و تصوّر و تصدیق از اصناف است؟</w:t>
      </w:r>
    </w:p>
    <w:p>
      <w:pPr>
        <w:pStyle w:val="BookText"/>
        <w:rPr/>
      </w:pPr>
      <w:r>
        <w:rPr>
          <w:rFonts w:ascii="IRNazanin" w:hAnsi="IRNazanin" w:eastAsia="IRNazanin"/>
          <w:color w:val="111111"/>
          <w:sz w:val="28"/>
          <w:sz w:val="28"/>
          <w:szCs w:val="28"/>
          <w:rtl w:val="true"/>
          <w:lang w:bidi="fa-IR"/>
        </w:rPr>
        <w:t>ممکن است در پاسخ گفته شود، علم حصولی که همان صورت حاصله است، با قطع نظر از هیچ قیدی، معنای محصّل و تام دارد و یکی از انواع تامّ کیف نفسانی به شمار آمده و هر یک از تصوّر و تصدیق از اصناف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یادآوری چند نکته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نخست، از بیان فوق معلوم می‌شود که قول سهروردی در باب تصدیق، به توجیه قطب‌الدین رازی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معتقد است تصدیق، همان حکم به معنای ایقاع و اسناد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قطب‌الدین رازی در الرسالی المعموله و شرح حکمی الاشراق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تصدیق در نظر گرفته شده است، ایقاع و اسناد نیست؛ زیرا حکم مزبور، فعل نفس است و امکان ندارد فعل نفس، یکی از اقسام علم حصولی که از مقولة کیف است، قرار گیرد، بلکه مقصود از حکم یادشده، ادراک وقوع نسبت یا عدم وقوع آن در خارج و نفس الامر است و چنین ادراکی اساساً حکم نیست، بلکه تنها ملزوم حکم به شمار می‌آید؛ پس حکم در حقیقت، لازم تصدیق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حکم بر تصدیق، مَجاز و از باب ذکر لازم و ارادة ملزوم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همچنین با توجّه به تبیین علامه طباطبایی از حکم مزبور، معلوم می‌شود که دیدگاه شیخ اشراق در باب تصدیق، به توجیه قطب‌الدین نیاز ندارد؛ زیرا حکم به معنای ایقاع و انتساب، هرچند از افعال نفس است، ولی علاوه بر آن، جنبة کاشفیت نیز دارد و از نوع علم حصولی به شمار می‌رود؛ بنابراین، هیچ مشکلی ندارد که حکم یادشده، تمام حقیقت تصدیق را تشکیل دهد و اطلاق آن بر تصدیق، اطلاق حقیقی باشد نه اطلاق مجازی و از باب ذکر لازم و ارادة 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 علامه طباطبایی هنگامی که می‌خواهد حکم را توضیح دهد و جنبة کاشفیت آن را نیز نمایان سازد، از تعریف تصدیق آغاز می‌کند و تصدیق را همان حکم می‌داند، ولی وی برای این تعریف، دو تعبیر متفاوت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همان حکم و اذعان نفس به ثبوت محمول برای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تصدیق یعنی اینکه نفس انسان، محمول را بر موضوع حمل کند و به اتحادّ آن دو،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 هو حکم النفس و إذعانها بثبوت المحمول للموضوع و بعباری أخری، جعل النفس وجود الموضوع وجوداً للمحمول</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حال اگر مراد وی از تعبیر دوم، تنها تغییر در لفظ و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لفظ دیگر بیان کرده است و مقصودش این است که اذعان نفس به ثبوت محمول برای موضوع با جعل النفس وجود الموضوع وجوداً للمحمول،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مطلب قابل مناقشه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مراجعه به وجدان، مشخص می‌گردد که اذعان و اقرار نفس به ثبوت محمول برای موضوع، غیر از این است که نفس انسان، محمول را بر موضوع حمل کرده، به اتّحاد آن دو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بسیاری از متفکّران که دقّت خاصّی را در این باب به کار برده‌اند، بین اذعان و حکم به اتّحاد، فرق گذاشته‌اند؛ برای نمونه، به برخی از آنها اشاره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ابهری، در تنزیل الافکار،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همان اذعان و اقرار نفس به ثبوت محمول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در تعدیل المعیار فی نقد تنزیل الافکار، پس از نقل عبارت ابهری، دیدگاه او را به نقد کشیده و اشکالات متعدّد </w:t>
      </w:r>
    </w:p>
    <w:p>
      <w:pPr>
        <w:pStyle w:val="BookText"/>
        <w:rPr/>
      </w:pPr>
      <w:r>
        <w:rPr>
          <w:rFonts w:ascii="IRNazanin" w:hAnsi="IRNazanin" w:eastAsia="IRNazanin"/>
          <w:color w:val="111111"/>
          <w:sz w:val="28"/>
          <w:sz w:val="28"/>
          <w:szCs w:val="28"/>
          <w:rtl w:val="true"/>
          <w:lang w:bidi="fa-IR"/>
        </w:rPr>
        <w:t>وارد بر آن را ذکر می‌کند؛ در نتیجه، آن را یک دیدگاه مخدوش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تصدیق را به معنای حکم نفس به اتّحاد بین محمول و موضوع یا جعل الشیء شیئاً، در نظر می‌گیرد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از اینجا معلوم می‌شود که اذعان نفس به ثبوت محمول برای موضوع، غیر از حکم نفس به اتّحاد بین محمول و موضوع و حمل کردن محمول برای موضوع است؛ در غیر این صورت، اشکال خواجه بر ابهری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قطب‌الدین رازی بر این باور است که تصدیق، همان اذعان و اقرار نفس به ثبوت محمول برای موضوع است، ولی حکم نفس به اتّحاد بین موضوع و محمول، لازم اذعان و اقرار مزبور است، نه عین آن و اطلاق تصدیق بر حکم یادشده، یک اطلاق مجازی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این مطلبِ قطب‌الدین به روشنی بیانگر آن است که اذعان، غیر از حکم به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صدرالمتألهین قول حکما را که تصدیق را همان حکم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النفس وجود الموضوع وجوداً للمحمول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سخیف و باطل دانسته است، ولی در عین حال، خود وی تصدیق را اذعان و اقرار به نسبت حکمیه می‌داند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از اینجا نیز به روشنی پیداست که تصدیق به معنای جعل النفس وجود الموضوع وجوداً للمحمول، غیر از آن است که تصدیق به معنای اذعان به نسبت حکمیه باشد؛ در غیر این صورت، سخیف خواندن قول حکما معنا نخواهد داشت؛ زیرا اگر تصدیق به آن معنایی که حکما گفته‌اند، با تصدیق به معنای اذعان به نسبت حکمیه، یکی باشد، سخافت و بطلان قول حکما دربارة تصدیق، مستلزم سخافت و بطلان قول خود صدرالمتألهین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یادشده به وضوح می‌رساند که تصدیق به معنای اذعان، غیر از تصدیق به معنای جعل النفس وجود الموضوع وجوداً للمحمول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مزبور، به دست می‌آید که نمی‌توان گفت، مقصود علامه طباطبایی از دو تعبیری که دربارة حکم به کار برده است، تنها تغییر در لفظ است و حکم به معنای </w:t>
      </w:r>
    </w:p>
    <w:p>
      <w:pPr>
        <w:pStyle w:val="BookText"/>
        <w:rPr/>
      </w:pPr>
      <w:r>
        <w:rPr>
          <w:rFonts w:ascii="IRNazanin" w:hAnsi="IRNazanin" w:eastAsia="IRNazanin"/>
          <w:color w:val="111111"/>
          <w:sz w:val="28"/>
          <w:sz w:val="28"/>
          <w:szCs w:val="28"/>
          <w:rtl w:val="true"/>
          <w:lang w:bidi="fa-IR"/>
        </w:rPr>
        <w:t>اذعان با حکم به معنای جعل النفس وجود الموضوع وجوداً للمحمول، در نظر ایشان یکی است، بلکه باید گفت، وی از این دو تعبیر، دو معنا را اراده کرده است، لکن از آن دو، معنای دوم را برگزیده و به توضیح آن پرداخته است و در نهایت، به اثبات رسانده است که حکم مزبور از یک جهت، فعل نفس و از جهت دیگر، علم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 دو تعبیر علامه طباطبایی برای تعریف حکم باعث شده است که برخی از دانشمندان نیز نسبت به تفاوت بین این دو معنا دقّت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از کسانی است که با تعلیقة خود بر اصول فلسفه و روش رئالیسم، مطالب آن را به زیباترین وجه توضیح داده و گره‌های آن را گشوده است، ولی در عین حال، وقتی دربارة حکم صحبت می‌کند، گاهی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و اقرار نفس</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 نسبت</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در نظر می‌گیرد و هر دو را به یک معنا تفسیر می‌کند، در حالی که هر یک از آن دو معنا برای حکم، غیر از دیگری است؛ زیرا همان‌گونه که گذشت، صدرالمتألهین تصدیق را به اذعان و اقرار نفس به نسبت حکمیه تعریف می‌کند، ولی تعریف آن را به ایقاع و انتزاع نسبت، یک تعریف خطا و سخیف اعلام می‌کند که این، خود، گواه روشنی بر تفاوت این دو تعریف از یکدیگر است</w:t>
      </w:r>
      <w:r>
        <w:rPr>
          <w:rFonts w:eastAsia="IRNazanin" w:cs="IRNazanin"/>
          <w:color w:val="111111"/>
          <w:sz w:val="28"/>
          <w:szCs w:val="28"/>
          <w:rtl w:val="true"/>
          <w:lang w:bidi="fa-IR"/>
        </w:rPr>
        <w:t>.</w:t>
      </w:r>
      <w:r>
        <w:rPr>
          <w:rStyle w:val="FootnoteAnchor"/>
          <w:rtl w:val="true"/>
        </w:rPr>
        <w:footnoteReference w:id="81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علوم پایه نیز در این باره، دچار کاستی است؛ زیرا هنگامی که معنای حکم در آنجا توضیح داده می‌شود،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دارم</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به یک معنا به کار رفته است و همه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 به اتّحاد میان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w:t>
      </w:r>
      <w:r>
        <w:rPr>
          <w:rStyle w:val="FootnoteAnchor"/>
          <w:rtl w:val="true"/>
        </w:rPr>
        <w:footnoteReference w:id="815"/>
      </w:r>
      <w:r>
        <w:rPr>
          <w:rFonts w:ascii="IRNazanin" w:hAnsi="IRNazanin" w:eastAsia="IRNazanin"/>
          <w:color w:val="111111"/>
          <w:sz w:val="28"/>
          <w:sz w:val="28"/>
          <w:szCs w:val="28"/>
          <w:rtl w:val="true"/>
          <w:lang w:bidi="fa-IR"/>
        </w:rPr>
        <w:t xml:space="preserve">در حالی که از مباحث گذشته روشن 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 به اتّحاد میان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محمول از </w:t>
      </w:r>
      <w:bookmarkStart w:id="511" w:name="pg5678_50554"/>
    </w:p>
    <w:p>
      <w:pPr>
        <w:pStyle w:val="BookText"/>
        <w:rPr/>
      </w:pPr>
      <w:bookmarkEnd w:id="51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حکم نفس به اتّحاد میان موضوع و محمول است، حتی در نظر برخی، مانند قطب‌الدین، اذعان و اقرار نفس، اساساً حکم نیست، بلکه ملزوم حکم و حکم، لازم آن است و اطلاق حکم بر آن یک اطلاق مجازی تلقّی می‌شود</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512" w:name="__RefHeading___Toc3562117_581953129"/>
      <w:bookmarkStart w:id="513" w:name="_Toc190"/>
      <w:bookmarkEnd w:id="512"/>
      <w:r>
        <w:rPr>
          <w:rtl w:val="true"/>
        </w:rPr>
        <w:t>نتیجه‌گیری</w:t>
      </w:r>
      <w:bookmarkEnd w:id="513"/>
    </w:p>
    <w:p>
      <w:pPr>
        <w:pStyle w:val="BookText"/>
        <w:rPr/>
      </w:pPr>
      <w:r>
        <w:rPr>
          <w:rFonts w:ascii="IRNazanin" w:hAnsi="IRNazanin" w:eastAsia="IRNazanin"/>
          <w:color w:val="111111"/>
          <w:sz w:val="28"/>
          <w:sz w:val="28"/>
          <w:szCs w:val="28"/>
          <w:rtl w:val="true"/>
          <w:lang w:bidi="fa-IR"/>
        </w:rPr>
        <w:t>از نظر صدرالمتألهین، تقسیم علم به تصوّر و تصدیق، از نوع تقسیم جنس به انواع است و هر یک از تصوّر و تصدیق، دو نوع بسیطه برای علم حصولی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وی، صورت حاصله در ذهن بدون هیچ قیدی، مقسم تصوّر و تصدیق به شمار می‌رود و اگر این صورت حاصله نسبت به حکم، به عنوان لا به شرط قسمی قلمداد شود، تصوّر تشکیل می‌گردد و اگر به شرط حکم در نظر گرفته شود، تصدیق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نظریة او، 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نسبت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حقیقی تصدیق و وجوداً عین تصدیق است، اما 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و 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نمی‌تواند در حقیقت تصدیق دخیل باشد؛ چون حکم یادشده، از سنخ فعل است، در حالی که تصدیق، از سنخ ادراک حصولی و یکی از انواع کیف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فعل با مقولة کیف متباین بالذات است و امکان ندارد یکی از آنها در حقیقت دیگری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هرچند در حقیقت تصدیق دخیل نیست، از عوارض لازم تصدیق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تصوّرات نظری، قول شارح و معرّف، اما منشأ تصدیقات نظری، حجت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تصوّرات جزئی و منشأ تصوّرات اوّلیة انسان، آگاهی حسّی و ادراک محسوسات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صدرالمتألهین، تحلیل موشکافانه‌ای از تصوّر و تصدیق ارائه داده است که با این تحلیل، بسیاری از پرسشها در این باب، پاسخ داده شده و خیلی از اشکالات دفع گردیده است، لکن هنوز بخشهایی از سخنان وی در این باره، تأمل‌برانگیز است</w:t>
      </w:r>
      <w:r>
        <w:rPr>
          <w:rFonts w:eastAsia="IRNazanin" w:cs="IRNazanin"/>
          <w:color w:val="111111"/>
          <w:sz w:val="28"/>
          <w:szCs w:val="28"/>
          <w:rtl w:val="true"/>
          <w:lang w:bidi="fa-IR"/>
        </w:rPr>
        <w:t xml:space="preserve">. </w:t>
      </w:r>
      <w:bookmarkStart w:id="514" w:name="pg5678_50555"/>
    </w:p>
    <w:p>
      <w:pPr>
        <w:pStyle w:val="Heading2"/>
        <w:numPr>
          <w:ilvl w:val="1"/>
          <w:numId w:val="1"/>
        </w:numPr>
        <w:rPr/>
      </w:pPr>
      <w:bookmarkStart w:id="515" w:name="__RefHeading___Toc3562119_581953129"/>
      <w:bookmarkStart w:id="516" w:name="_Toc191"/>
      <w:bookmarkEnd w:id="514"/>
      <w:bookmarkEnd w:id="515"/>
      <w:r>
        <w:rPr>
          <w:rtl w:val="true"/>
        </w:rPr>
        <w:t>فهرست اعلام</w:t>
      </w:r>
      <w:bookmarkEnd w:id="516"/>
    </w:p>
    <w:p>
      <w:pPr>
        <w:pStyle w:val="BookText"/>
        <w:rPr/>
      </w:pPr>
      <w:r>
        <w:rPr>
          <w:rFonts w:ascii="IRNazanin" w:hAnsi="IRNazanin" w:eastAsia="IRNazanin"/>
          <w:color w:val="111111"/>
          <w:sz w:val="28"/>
          <w:sz w:val="28"/>
          <w:szCs w:val="28"/>
          <w:rtl w:val="true"/>
          <w:lang w:bidi="fa-IR"/>
        </w:rPr>
        <w:t>آذرنگ،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آذری،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آرکسیلائوس،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آریستیپوس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آشتیانی،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آکوئیناس،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آل یاسین،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آناکساگوراس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آیتی، عبدالمحمد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ابراهیم زکی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ابی‌اصیبعه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خلدون،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ابوجعفر، محمد بن حسین بن مرزبان‌کیا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ابوعلی سینا ← ابن سینا</w:t>
      </w:r>
    </w:p>
    <w:p>
      <w:pPr>
        <w:pStyle w:val="BookText"/>
        <w:rPr/>
      </w:pPr>
      <w:r>
        <w:rPr>
          <w:rFonts w:ascii="IRNazanin" w:hAnsi="IRNazanin" w:eastAsia="IRNazanin"/>
          <w:color w:val="111111"/>
          <w:sz w:val="28"/>
          <w:sz w:val="28"/>
          <w:szCs w:val="28"/>
          <w:rtl w:val="true"/>
          <w:lang w:bidi="fa-IR"/>
        </w:rPr>
        <w:t>ابهری، اثیرالدین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اپیکتتوس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احمد 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احمد بن محمد بن مسکویه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احمد بن معتظم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احمد فرید رفاعی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ادوارد مور، جرج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اروین، ترنس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استرول، آوروم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استید، کریستوفر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استیلپن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اسکاتس، جان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اصغری‌نژاد، آدینه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اعتماد،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اعلم، امیر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افرودیسی،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افلوطین ← فلوطین</w:t>
      </w:r>
    </w:p>
    <w:p>
      <w:pPr>
        <w:pStyle w:val="BookText"/>
        <w:rPr/>
      </w:pP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اگوستین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الاب قنواتی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التکریتی، ناجی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الجرّ، خلیل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الشنتناوی،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الشیخ الیونانی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الفاخوری، حنا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امپدوکلس،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امپریکوس، سکتوس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امید،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امیری حلمی مطر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اناکساگوراس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اورلیوس، مارکوس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ایزوتسو، توشی‌هیکو</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ایسوکراتس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باکلر، جاستوس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بجنوردی،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بدوی،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برن، ژان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بریه، امیل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بغدادی، ابوالبرکات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بلوتینوس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بورمان، کارل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بوملحم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بیدارفر،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پاپکین،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پارمنیدس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پازوکی، شهرام،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پانتیوس رُدِسی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پروکلوس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پژیدُنیوس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پلوتارخوس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پورجوادی،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پورحسینی، سیدابوالقاسم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پوزیدونیوس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پیندار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تئتتوس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تالس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تفرشی،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تقی، شکوفه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توماس، دانالی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توماس، هنری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جبر، فرید،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چیچرو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حائری یزدی، مهدی،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حبیبی، نجفقلی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حجّی الحق ← ابن سینا</w:t>
      </w:r>
    </w:p>
    <w:p>
      <w:pPr>
        <w:pStyle w:val="BookText"/>
        <w:rPr/>
      </w:pPr>
      <w:r>
        <w:rPr>
          <w:rFonts w:ascii="IRNazanin" w:hAnsi="IRNazanin" w:eastAsia="IRNazanin"/>
          <w:color w:val="111111"/>
          <w:sz w:val="28"/>
          <w:sz w:val="28"/>
          <w:szCs w:val="28"/>
          <w:rtl w:val="true"/>
          <w:lang w:bidi="fa-IR"/>
        </w:rPr>
        <w:t>حسن‌زاده آملی،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حمصی، عبدالمسیح بن عبدالله بن ناعمه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حنایی کاشانی، محمدسعید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خامنه‌ای،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خراسانی، 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خروسیپوس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خوانساری،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دارائی،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داناسرشت،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داودی، علیمراد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درّی،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دریابندری، نجف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دموکریتوس،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دورانت، ویل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دیل،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هالینگ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دیونوسیوس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ذرابلتا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ذیمقراطیس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رازی، قطب‌الدین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رازی، محمد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راس،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رحمتی، انشاءالله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رحیمیان،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رضوانی، محمدسعید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رقوی،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رمضانی،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رندل، جان هرمن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روزه، والنتین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روستیکوس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رومی،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زاید،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زریاب،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ژیلسون، اتین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ساکاس، آمونیوس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ملاهادی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سعیدی، گل‌بابا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سلیمان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سلیمانی اردستانی،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سنکا، آنائیوس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سهروردی، یحیی شهاب‌الدین،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شایان،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شریعتی،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شولتش، هانیریش</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شهسا،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شیخ اشراق ← سهروردی، یحیی شهاب‌الدین</w:t>
      </w:r>
    </w:p>
    <w:p>
      <w:pPr>
        <w:pStyle w:val="BookText"/>
        <w:rPr/>
      </w:pPr>
      <w:r>
        <w:rPr>
          <w:rFonts w:ascii="IRNazanin" w:hAnsi="IRNazanin" w:eastAsia="IRNazanin"/>
          <w:color w:val="111111"/>
          <w:sz w:val="28"/>
          <w:sz w:val="28"/>
          <w:szCs w:val="28"/>
          <w:rtl w:val="true"/>
          <w:lang w:bidi="fa-IR"/>
        </w:rPr>
        <w:t>شیخ الرئیس ← ابن سینا</w:t>
      </w:r>
    </w:p>
    <w:p>
      <w:pPr>
        <w:pStyle w:val="BookText"/>
        <w:rPr/>
      </w:pPr>
      <w:r>
        <w:rPr>
          <w:rFonts w:ascii="IRNazanin" w:hAnsi="IRNazanin" w:eastAsia="IRNazanin"/>
          <w:color w:val="111111"/>
          <w:sz w:val="28"/>
          <w:sz w:val="28"/>
          <w:szCs w:val="28"/>
          <w:rtl w:val="true"/>
          <w:lang w:bidi="fa-IR"/>
        </w:rPr>
        <w:t>شیخ یونانی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شیرازی، صدرالدین محمد بن ابراهیم ← ملاصدرا</w:t>
      </w:r>
    </w:p>
    <w:p>
      <w:pPr>
        <w:pStyle w:val="BookText"/>
        <w:rPr/>
      </w:pPr>
      <w:r>
        <w:rPr>
          <w:rFonts w:ascii="IRNazanin" w:hAnsi="IRNazanin" w:eastAsia="IRNazanin"/>
          <w:color w:val="111111"/>
          <w:sz w:val="28"/>
          <w:sz w:val="28"/>
          <w:szCs w:val="28"/>
          <w:rtl w:val="true"/>
          <w:lang w:bidi="fa-IR"/>
        </w:rPr>
        <w:t>شیرازی، قطب‌الدین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صدرالمتألهین ← ملاصدرا</w:t>
      </w:r>
    </w:p>
    <w:p>
      <w:pPr>
        <w:pStyle w:val="BookText"/>
        <w:rPr/>
      </w:pPr>
      <w:r>
        <w:rPr>
          <w:rFonts w:ascii="IRNazanin" w:hAnsi="IRNazanin" w:eastAsia="IRNazanin"/>
          <w:color w:val="111111"/>
          <w:sz w:val="28"/>
          <w:sz w:val="28"/>
          <w:szCs w:val="28"/>
          <w:rtl w:val="true"/>
          <w:lang w:bidi="fa-IR"/>
        </w:rPr>
        <w:t>طباطبایی، علامه سیدمحمدحسین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طوسی، خواجه نصیرالدین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عارفی، محمداسحاق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عبدالحمید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عسکری 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علاءالدولة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عمادی،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عمید،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عمیره،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غزالی، ابوحامد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غسّان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غلامی،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فارابی، ابونصر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فتحی،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فخری، ماجد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فرامرز قراملکی، احد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فعّالی،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فلوطینس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فیلبس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قربانی،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قمی، قاضی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قوام‌صفری،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کاپلستون،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کاتبی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کارفاس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محمد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کاشف الغطاء، علی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کاویانی،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کراتس کلبی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کربن، هانری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کرسون، آندره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کفالس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کلئانتس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کلبی، آنتیس‌تِنس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کُلُتس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کندی،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گاتری،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گرگیاس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گمپرتس،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لطفی،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لوکیون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ماکوولسکی، آ</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مترودورس کیوسی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مجتبوی،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محقق،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محمد 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محمد فتحی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محمود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مدرس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مدکور،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مرفت عزّت بالی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مشکوی،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معلم اوّل ارسطو</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مکستس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ملکشاهی،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ملکیان،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ملیسوس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موسوی محلاتی، سیدهاشم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مهدوی،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سیدمحسن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میلاد ذکی غالی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نادرزاد،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ندائی،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نصر،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نورانی،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وایتیر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وحیدیان،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ورنر، شارل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ورنریگر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هاربریکر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حائری، الهه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هاملین، دیوید 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هراکلیتوس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یاسپرس،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یاسی‌پور،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یثربی، سیدیحیی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Karpathos, 97</w:t>
      </w:r>
    </w:p>
    <w:p>
      <w:pPr>
        <w:pStyle w:val="BookText"/>
        <w:rPr/>
      </w:pPr>
      <w:r>
        <w:rPr>
          <w:rFonts w:eastAsia="Times New Roman" w:cs="Times New Roman" w:ascii="Times New Roman" w:hAnsi="Times New Roman"/>
          <w:color w:val="111111"/>
          <w:sz w:val="28"/>
          <w:szCs w:val="28"/>
          <w:lang w:val="en-US" w:bidi="en-US"/>
        </w:rPr>
        <w:t>Kolotes, 85</w:t>
      </w:r>
    </w:p>
    <w:p>
      <w:pPr>
        <w:pStyle w:val="BookText"/>
        <w:rPr/>
      </w:pPr>
      <w:r>
        <w:rPr>
          <w:rFonts w:eastAsia="Times New Roman" w:cs="Times New Roman" w:ascii="Times New Roman" w:hAnsi="Times New Roman"/>
          <w:color w:val="111111"/>
          <w:sz w:val="28"/>
          <w:szCs w:val="28"/>
          <w:lang w:val="en-US" w:bidi="en-US"/>
        </w:rPr>
        <w:t>Melissus, 31</w:t>
      </w:r>
    </w:p>
    <w:p>
      <w:pPr>
        <w:pStyle w:val="BookText"/>
        <w:rPr/>
      </w:pPr>
      <w:r>
        <w:rPr>
          <w:rFonts w:eastAsia="Times New Roman" w:cs="Times New Roman" w:ascii="Times New Roman" w:hAnsi="Times New Roman"/>
          <w:color w:val="111111"/>
          <w:sz w:val="28"/>
          <w:szCs w:val="28"/>
          <w:lang w:val="en-US" w:bidi="en-US"/>
        </w:rPr>
        <w:t>Metrodore de chio, 23</w:t>
      </w:r>
    </w:p>
    <w:p>
      <w:pPr>
        <w:pStyle w:val="BookText"/>
        <w:rPr/>
      </w:pPr>
      <w:r>
        <w:rPr>
          <w:rFonts w:eastAsia="Times New Roman" w:cs="Times New Roman" w:ascii="Times New Roman" w:hAnsi="Times New Roman"/>
          <w:color w:val="111111"/>
          <w:sz w:val="28"/>
          <w:szCs w:val="28"/>
          <w:lang w:val="en-US" w:bidi="en-US"/>
        </w:rPr>
        <w:t>Nero, 95</w:t>
      </w:r>
    </w:p>
    <w:p>
      <w:pPr>
        <w:pStyle w:val="BookText"/>
        <w:rPr/>
      </w:pPr>
      <w:r>
        <w:rPr>
          <w:rFonts w:eastAsia="Times New Roman" w:cs="Times New Roman" w:ascii="Times New Roman" w:hAnsi="Times New Roman"/>
          <w:color w:val="111111"/>
          <w:sz w:val="28"/>
          <w:szCs w:val="28"/>
          <w:lang w:val="en-US" w:bidi="en-US"/>
        </w:rPr>
        <w:t>Panaetius of Rhodes, 95</w:t>
      </w:r>
    </w:p>
    <w:p>
      <w:pPr>
        <w:pStyle w:val="BookText"/>
        <w:rPr/>
      </w:pPr>
      <w:r>
        <w:rPr>
          <w:rFonts w:eastAsia="Times New Roman" w:cs="Times New Roman" w:ascii="Times New Roman" w:hAnsi="Times New Roman"/>
          <w:color w:val="111111"/>
          <w:sz w:val="28"/>
          <w:szCs w:val="28"/>
          <w:lang w:val="en-US" w:bidi="en-US"/>
        </w:rPr>
        <w:t>Parmenides, 17</w:t>
      </w:r>
    </w:p>
    <w:p>
      <w:pPr>
        <w:pStyle w:val="BookText"/>
        <w:rPr/>
      </w:pPr>
      <w:r>
        <w:rPr>
          <w:rFonts w:eastAsia="Times New Roman" w:cs="Times New Roman" w:ascii="Times New Roman" w:hAnsi="Times New Roman"/>
          <w:color w:val="111111"/>
          <w:sz w:val="28"/>
          <w:szCs w:val="28"/>
          <w:lang w:val="en-US" w:bidi="en-US"/>
        </w:rPr>
        <w:t>Pindar, 89</w:t>
      </w:r>
    </w:p>
    <w:p>
      <w:pPr>
        <w:pStyle w:val="BookText"/>
        <w:rPr/>
      </w:pPr>
      <w:r>
        <w:rPr>
          <w:rFonts w:eastAsia="Times New Roman" w:cs="Times New Roman" w:ascii="Times New Roman" w:hAnsi="Times New Roman"/>
          <w:color w:val="111111"/>
          <w:sz w:val="28"/>
          <w:szCs w:val="28"/>
          <w:lang w:val="en-US" w:bidi="en-US"/>
        </w:rPr>
        <w:t>Plato, 18</w:t>
      </w:r>
    </w:p>
    <w:p>
      <w:pPr>
        <w:pStyle w:val="BookText"/>
        <w:rPr/>
      </w:pPr>
      <w:r>
        <w:rPr>
          <w:rFonts w:eastAsia="Times New Roman" w:cs="Times New Roman" w:ascii="Times New Roman" w:hAnsi="Times New Roman"/>
          <w:color w:val="111111"/>
          <w:sz w:val="28"/>
          <w:szCs w:val="28"/>
          <w:lang w:val="en-US" w:bidi="en-US"/>
        </w:rPr>
        <w:t>Plotinus, 114</w:t>
      </w:r>
    </w:p>
    <w:p>
      <w:pPr>
        <w:pStyle w:val="BookText"/>
        <w:rPr/>
      </w:pPr>
      <w:r>
        <w:rPr>
          <w:rFonts w:eastAsia="Times New Roman" w:cs="Times New Roman" w:ascii="Times New Roman" w:hAnsi="Times New Roman"/>
          <w:color w:val="111111"/>
          <w:sz w:val="28"/>
          <w:szCs w:val="28"/>
          <w:lang w:val="en-US" w:bidi="en-US"/>
        </w:rPr>
        <w:t>Plutarchos, 85</w:t>
      </w:r>
    </w:p>
    <w:p>
      <w:pPr>
        <w:pStyle w:val="BookText"/>
        <w:rPr/>
      </w:pPr>
      <w:r>
        <w:rPr>
          <w:rFonts w:eastAsia="Times New Roman" w:cs="Times New Roman" w:ascii="Times New Roman" w:hAnsi="Times New Roman"/>
          <w:color w:val="111111"/>
          <w:sz w:val="28"/>
          <w:szCs w:val="28"/>
          <w:lang w:val="en-US" w:bidi="en-US"/>
        </w:rPr>
        <w:t>Porphyrius, 30</w:t>
      </w:r>
    </w:p>
    <w:p>
      <w:pPr>
        <w:pStyle w:val="BookText"/>
        <w:rPr/>
      </w:pPr>
      <w:r>
        <w:rPr>
          <w:rFonts w:eastAsia="Times New Roman" w:cs="Times New Roman" w:ascii="Times New Roman" w:hAnsi="Times New Roman"/>
          <w:color w:val="111111"/>
          <w:sz w:val="28"/>
          <w:szCs w:val="28"/>
          <w:lang w:val="en-US" w:bidi="en-US"/>
        </w:rPr>
        <w:t>Poseidonius, 95</w:t>
      </w:r>
    </w:p>
    <w:p>
      <w:pPr>
        <w:pStyle w:val="BookText"/>
        <w:rPr/>
      </w:pPr>
      <w:r>
        <w:rPr>
          <w:rFonts w:eastAsia="Times New Roman" w:cs="Times New Roman" w:ascii="Times New Roman" w:hAnsi="Times New Roman"/>
          <w:color w:val="111111"/>
          <w:sz w:val="28"/>
          <w:szCs w:val="28"/>
          <w:lang w:val="en-US" w:bidi="en-US"/>
        </w:rPr>
        <w:t>Proclus, 121, 148</w:t>
      </w:r>
    </w:p>
    <w:p>
      <w:pPr>
        <w:pStyle w:val="BookText"/>
        <w:rPr/>
      </w:pPr>
      <w:r>
        <w:rPr>
          <w:rFonts w:eastAsia="Times New Roman" w:cs="Times New Roman" w:ascii="Times New Roman" w:hAnsi="Times New Roman"/>
          <w:color w:val="111111"/>
          <w:sz w:val="28"/>
          <w:szCs w:val="28"/>
          <w:lang w:val="en-US" w:bidi="en-US"/>
        </w:rPr>
        <w:t>Protagoras, 20, 24</w:t>
      </w:r>
    </w:p>
    <w:p>
      <w:pPr>
        <w:pStyle w:val="BookText"/>
        <w:rPr/>
      </w:pPr>
      <w:r>
        <w:rPr>
          <w:rFonts w:eastAsia="Times New Roman" w:cs="Times New Roman" w:ascii="Times New Roman" w:hAnsi="Times New Roman"/>
          <w:color w:val="111111"/>
          <w:sz w:val="28"/>
          <w:szCs w:val="28"/>
          <w:lang w:val="en-US" w:bidi="en-US"/>
        </w:rPr>
        <w:t>Pyrrho, 24</w:t>
      </w:r>
    </w:p>
    <w:p>
      <w:pPr>
        <w:pStyle w:val="BookText"/>
        <w:rPr/>
      </w:pPr>
      <w:r>
        <w:rPr>
          <w:rFonts w:eastAsia="Times New Roman" w:cs="Times New Roman" w:ascii="Times New Roman" w:hAnsi="Times New Roman"/>
          <w:color w:val="111111"/>
          <w:sz w:val="28"/>
          <w:szCs w:val="28"/>
          <w:lang w:val="en-US" w:bidi="en-US"/>
        </w:rPr>
        <w:t>Rose, Valentin, 124</w:t>
      </w:r>
    </w:p>
    <w:p>
      <w:pPr>
        <w:pStyle w:val="BookText"/>
        <w:rPr/>
      </w:pPr>
      <w:r>
        <w:rPr>
          <w:rFonts w:eastAsia="Times New Roman" w:cs="Times New Roman" w:ascii="Times New Roman" w:hAnsi="Times New Roman"/>
          <w:color w:val="111111"/>
          <w:sz w:val="28"/>
          <w:szCs w:val="28"/>
          <w:lang w:val="en-US" w:bidi="en-US"/>
        </w:rPr>
        <w:t>Russle, Burtrand, 21, 35</w:t>
      </w:r>
    </w:p>
    <w:p>
      <w:pPr>
        <w:pStyle w:val="BookText"/>
        <w:rPr/>
      </w:pPr>
      <w:r>
        <w:rPr>
          <w:rFonts w:eastAsia="Times New Roman" w:cs="Times New Roman" w:ascii="Times New Roman" w:hAnsi="Times New Roman"/>
          <w:color w:val="111111"/>
          <w:sz w:val="28"/>
          <w:szCs w:val="28"/>
          <w:lang w:val="en-US" w:bidi="en-US"/>
        </w:rPr>
        <w:t>Rusticus, 97</w:t>
      </w:r>
    </w:p>
    <w:p>
      <w:pPr>
        <w:pStyle w:val="BookText"/>
        <w:rPr/>
      </w:pPr>
      <w:r>
        <w:rPr>
          <w:rFonts w:eastAsia="Times New Roman" w:cs="Times New Roman" w:ascii="Times New Roman" w:hAnsi="Times New Roman"/>
          <w:color w:val="111111"/>
          <w:sz w:val="28"/>
          <w:szCs w:val="28"/>
          <w:lang w:val="en-US" w:bidi="en-US"/>
        </w:rPr>
        <w:t>Saccas, Ammonius, 132</w:t>
      </w:r>
    </w:p>
    <w:p>
      <w:pPr>
        <w:pStyle w:val="BookText"/>
        <w:rPr/>
      </w:pPr>
      <w:r>
        <w:rPr>
          <w:rFonts w:eastAsia="Times New Roman" w:cs="Times New Roman" w:ascii="Times New Roman" w:hAnsi="Times New Roman"/>
          <w:color w:val="111111"/>
          <w:sz w:val="28"/>
          <w:szCs w:val="28"/>
          <w:lang w:val="en-US" w:bidi="en-US"/>
        </w:rPr>
        <w:t>Schiller, F., 36</w:t>
      </w:r>
    </w:p>
    <w:p>
      <w:pPr>
        <w:pStyle w:val="BookText"/>
        <w:rPr/>
      </w:pPr>
      <w:r>
        <w:rPr>
          <w:rFonts w:eastAsia="Times New Roman" w:cs="Times New Roman" w:ascii="Times New Roman" w:hAnsi="Times New Roman"/>
          <w:color w:val="111111"/>
          <w:sz w:val="28"/>
          <w:szCs w:val="28"/>
          <w:lang w:val="en-US" w:bidi="en-US"/>
        </w:rPr>
        <w:t>Scholz, Heinrich, 195</w:t>
      </w:r>
    </w:p>
    <w:p>
      <w:pPr>
        <w:pStyle w:val="BookText"/>
        <w:rPr/>
      </w:pPr>
      <w:r>
        <w:rPr>
          <w:rFonts w:eastAsia="Times New Roman" w:cs="Times New Roman" w:ascii="Times New Roman" w:hAnsi="Times New Roman"/>
          <w:color w:val="111111"/>
          <w:sz w:val="28"/>
          <w:szCs w:val="28"/>
          <w:lang w:val="en-US" w:bidi="en-US"/>
        </w:rPr>
        <w:t>Scotus, John, 119</w:t>
      </w:r>
    </w:p>
    <w:p>
      <w:pPr>
        <w:pStyle w:val="BookText"/>
        <w:rPr/>
      </w:pPr>
      <w:r>
        <w:rPr>
          <w:rFonts w:eastAsia="Times New Roman" w:cs="Times New Roman" w:ascii="Times New Roman" w:hAnsi="Times New Roman"/>
          <w:color w:val="111111"/>
          <w:sz w:val="28"/>
          <w:szCs w:val="28"/>
          <w:lang w:val="en-US" w:bidi="en-US"/>
        </w:rPr>
        <w:t>Seneca, L. Annaeus, 95, 100</w:t>
      </w:r>
    </w:p>
    <w:p>
      <w:pPr>
        <w:pStyle w:val="BookText"/>
        <w:rPr/>
      </w:pPr>
      <w:r>
        <w:rPr>
          <w:rFonts w:eastAsia="Times New Roman" w:cs="Times New Roman" w:ascii="Times New Roman" w:hAnsi="Times New Roman"/>
          <w:color w:val="111111"/>
          <w:sz w:val="28"/>
          <w:szCs w:val="28"/>
          <w:lang w:val="en-US" w:bidi="en-US"/>
        </w:rPr>
        <w:t>Socrates, 18</w:t>
      </w:r>
    </w:p>
    <w:p>
      <w:pPr>
        <w:pStyle w:val="BookText"/>
        <w:rPr/>
      </w:pPr>
      <w:r>
        <w:rPr>
          <w:rFonts w:eastAsia="Times New Roman" w:cs="Times New Roman" w:ascii="Times New Roman" w:hAnsi="Times New Roman"/>
          <w:color w:val="111111"/>
          <w:sz w:val="28"/>
          <w:szCs w:val="28"/>
          <w:lang w:val="en-US" w:bidi="en-US"/>
        </w:rPr>
        <w:t>Sophist, 19</w:t>
      </w:r>
    </w:p>
    <w:p>
      <w:pPr>
        <w:pStyle w:val="BookText"/>
        <w:rPr/>
      </w:pPr>
      <w:r>
        <w:rPr>
          <w:rFonts w:eastAsia="Times New Roman" w:cs="Times New Roman" w:ascii="Times New Roman" w:hAnsi="Times New Roman"/>
          <w:color w:val="111111"/>
          <w:sz w:val="28"/>
          <w:szCs w:val="28"/>
          <w:lang w:val="en-US" w:bidi="en-US"/>
        </w:rPr>
        <w:t>Stilpon, 86</w:t>
      </w:r>
    </w:p>
    <w:p>
      <w:pPr>
        <w:pStyle w:val="BookText"/>
        <w:rPr/>
      </w:pPr>
      <w:r>
        <w:rPr>
          <w:rFonts w:eastAsia="Times New Roman" w:cs="Times New Roman" w:ascii="Times New Roman" w:hAnsi="Times New Roman"/>
          <w:color w:val="111111"/>
          <w:sz w:val="28"/>
          <w:szCs w:val="28"/>
          <w:lang w:val="en-US" w:bidi="en-US"/>
        </w:rPr>
        <w:t>Thales, 125</w:t>
      </w:r>
    </w:p>
    <w:p>
      <w:pPr>
        <w:pStyle w:val="BookText"/>
        <w:rPr/>
      </w:pPr>
      <w:r>
        <w:rPr>
          <w:rFonts w:eastAsia="Times New Roman" w:cs="Times New Roman" w:ascii="Times New Roman" w:hAnsi="Times New Roman"/>
          <w:color w:val="111111"/>
          <w:sz w:val="28"/>
          <w:szCs w:val="28"/>
          <w:lang w:val="en-US" w:bidi="en-US"/>
        </w:rPr>
        <w:t>Vattier, 195</w:t>
      </w:r>
    </w:p>
    <w:p>
      <w:pPr>
        <w:pStyle w:val="BookText"/>
        <w:rPr/>
      </w:pPr>
      <w:r>
        <w:rPr>
          <w:rFonts w:eastAsia="Times New Roman" w:cs="Times New Roman" w:ascii="Times New Roman" w:hAnsi="Times New Roman"/>
          <w:color w:val="111111"/>
          <w:sz w:val="28"/>
          <w:szCs w:val="28"/>
          <w:lang w:val="en-US" w:bidi="en-US"/>
        </w:rPr>
        <w:t>Zeno, 36, 94</w:t>
      </w:r>
    </w:p>
    <w:p>
      <w:pPr>
        <w:pStyle w:val="BookText"/>
        <w:rPr/>
      </w:pPr>
      <w:r>
        <w:rPr>
          <w:rFonts w:eastAsia="Times New Roman" w:cs="Times New Roman" w:ascii="Times New Roman" w:hAnsi="Times New Roman"/>
          <w:color w:val="111111"/>
          <w:sz w:val="28"/>
          <w:szCs w:val="28"/>
          <w:lang w:val="en-US" w:bidi="en-US"/>
        </w:rPr>
        <w:t>Zrabelta, 233</w:t>
      </w:r>
    </w:p>
    <w:p>
      <w:pPr>
        <w:pStyle w:val="BookText"/>
        <w:rPr/>
      </w:pPr>
      <w:r>
        <w:rPr>
          <w:rFonts w:eastAsia="Times New Roman" w:cs="Times New Roman" w:ascii="Times New Roman" w:hAnsi="Times New Roman"/>
          <w:color w:val="111111"/>
          <w:sz w:val="28"/>
          <w:szCs w:val="28"/>
          <w:lang w:val="en-US" w:bidi="en-US"/>
        </w:rPr>
        <w:t>Anaxagoras, 190</w:t>
      </w:r>
    </w:p>
    <w:p>
      <w:pPr>
        <w:pStyle w:val="BookText"/>
        <w:rPr/>
      </w:pPr>
      <w:r>
        <w:rPr>
          <w:rFonts w:eastAsia="Times New Roman" w:cs="Times New Roman" w:ascii="Times New Roman" w:hAnsi="Times New Roman"/>
          <w:color w:val="111111"/>
          <w:sz w:val="28"/>
          <w:szCs w:val="28"/>
          <w:lang w:val="en-US" w:bidi="en-US"/>
        </w:rPr>
        <w:t>Anselm, 87</w:t>
      </w:r>
    </w:p>
    <w:p>
      <w:pPr>
        <w:pStyle w:val="BookText"/>
        <w:rPr/>
      </w:pPr>
      <w:r>
        <w:rPr>
          <w:rFonts w:eastAsia="Times New Roman" w:cs="Times New Roman" w:ascii="Times New Roman" w:hAnsi="Times New Roman"/>
          <w:color w:val="111111"/>
          <w:sz w:val="28"/>
          <w:szCs w:val="28"/>
          <w:lang w:val="en-US" w:bidi="en-US"/>
        </w:rPr>
        <w:t>Antisthenes, 110</w:t>
      </w:r>
    </w:p>
    <w:p>
      <w:pPr>
        <w:pStyle w:val="BookText"/>
        <w:rPr/>
      </w:pPr>
      <w:r>
        <w:rPr>
          <w:rFonts w:eastAsia="Times New Roman" w:cs="Times New Roman" w:ascii="Times New Roman" w:hAnsi="Times New Roman"/>
          <w:color w:val="111111"/>
          <w:sz w:val="28"/>
          <w:szCs w:val="28"/>
          <w:lang w:val="en-US" w:bidi="en-US"/>
        </w:rPr>
        <w:t>Aphrodisien, Alexander, 233</w:t>
      </w:r>
    </w:p>
    <w:p>
      <w:pPr>
        <w:pStyle w:val="BookText"/>
        <w:rPr/>
      </w:pPr>
      <w:r>
        <w:rPr>
          <w:rFonts w:eastAsia="Times New Roman" w:cs="Times New Roman" w:ascii="Times New Roman" w:hAnsi="Times New Roman"/>
          <w:color w:val="111111"/>
          <w:sz w:val="28"/>
          <w:szCs w:val="28"/>
          <w:lang w:val="en-US" w:bidi="en-US"/>
        </w:rPr>
        <w:t>Aquinas, Thomas, 119</w:t>
      </w:r>
    </w:p>
    <w:p>
      <w:pPr>
        <w:pStyle w:val="BookText"/>
        <w:rPr/>
      </w:pPr>
      <w:r>
        <w:rPr>
          <w:rFonts w:eastAsia="Times New Roman" w:cs="Times New Roman" w:ascii="Times New Roman" w:hAnsi="Times New Roman"/>
          <w:color w:val="111111"/>
          <w:sz w:val="28"/>
          <w:szCs w:val="28"/>
          <w:lang w:val="en-US" w:bidi="en-US"/>
        </w:rPr>
        <w:t>Arcesilaus, 86</w:t>
      </w:r>
    </w:p>
    <w:p>
      <w:pPr>
        <w:pStyle w:val="BookText"/>
        <w:rPr/>
      </w:pPr>
      <w:r>
        <w:rPr>
          <w:rFonts w:eastAsia="Times New Roman" w:cs="Times New Roman" w:ascii="Times New Roman" w:hAnsi="Times New Roman"/>
          <w:color w:val="111111"/>
          <w:sz w:val="28"/>
          <w:szCs w:val="28"/>
          <w:lang w:val="en-US" w:bidi="en-US"/>
        </w:rPr>
        <w:t>Augustine, 119</w:t>
      </w:r>
    </w:p>
    <w:p>
      <w:pPr>
        <w:pStyle w:val="BookText"/>
        <w:rPr/>
      </w:pPr>
      <w:r>
        <w:rPr>
          <w:rFonts w:eastAsia="Times New Roman" w:cs="Times New Roman" w:ascii="Times New Roman" w:hAnsi="Times New Roman"/>
          <w:color w:val="111111"/>
          <w:sz w:val="28"/>
          <w:szCs w:val="28"/>
          <w:lang w:val="en-US" w:bidi="en-US"/>
        </w:rPr>
        <w:t>Aurelius, Marcus, 96</w:t>
      </w:r>
    </w:p>
    <w:p>
      <w:pPr>
        <w:pStyle w:val="BookText"/>
        <w:rPr/>
      </w:pPr>
      <w:r>
        <w:rPr>
          <w:rFonts w:eastAsia="Times New Roman" w:cs="Times New Roman" w:ascii="Times New Roman" w:hAnsi="Times New Roman"/>
          <w:color w:val="111111"/>
          <w:sz w:val="28"/>
          <w:szCs w:val="28"/>
          <w:lang w:val="en-US" w:bidi="en-US"/>
        </w:rPr>
        <w:t>Bormann, Karl, 75</w:t>
      </w:r>
    </w:p>
    <w:p>
      <w:pPr>
        <w:pStyle w:val="BookText"/>
        <w:rPr/>
      </w:pPr>
      <w:r>
        <w:rPr>
          <w:rFonts w:eastAsia="Times New Roman" w:cs="Times New Roman" w:ascii="Times New Roman" w:hAnsi="Times New Roman"/>
          <w:color w:val="111111"/>
          <w:sz w:val="28"/>
          <w:szCs w:val="28"/>
          <w:lang w:val="en-US" w:bidi="en-US"/>
        </w:rPr>
        <w:t>Cephalus, 89</w:t>
      </w:r>
    </w:p>
    <w:p>
      <w:pPr>
        <w:pStyle w:val="BookText"/>
        <w:rPr/>
      </w:pPr>
      <w:r>
        <w:rPr>
          <w:rFonts w:eastAsia="Times New Roman" w:cs="Times New Roman" w:ascii="Times New Roman" w:hAnsi="Times New Roman"/>
          <w:color w:val="111111"/>
          <w:sz w:val="28"/>
          <w:szCs w:val="28"/>
          <w:lang w:val="en-US" w:bidi="en-US"/>
        </w:rPr>
        <w:t>Chrysippus, 95</w:t>
      </w:r>
    </w:p>
    <w:p>
      <w:pPr>
        <w:pStyle w:val="BookText"/>
        <w:rPr/>
      </w:pPr>
      <w:r>
        <w:rPr>
          <w:rFonts w:eastAsia="Times New Roman" w:cs="Times New Roman" w:ascii="Times New Roman" w:hAnsi="Times New Roman"/>
          <w:color w:val="111111"/>
          <w:sz w:val="28"/>
          <w:szCs w:val="28"/>
          <w:lang w:val="en-US" w:bidi="en-US"/>
        </w:rPr>
        <w:t>Cicero, 78</w:t>
      </w:r>
    </w:p>
    <w:p>
      <w:pPr>
        <w:pStyle w:val="BookText"/>
        <w:rPr/>
      </w:pPr>
      <w:r>
        <w:rPr>
          <w:rFonts w:eastAsia="Times New Roman" w:cs="Times New Roman" w:ascii="Times New Roman" w:hAnsi="Times New Roman"/>
          <w:color w:val="111111"/>
          <w:sz w:val="28"/>
          <w:szCs w:val="28"/>
          <w:lang w:val="en-US" w:bidi="en-US"/>
        </w:rPr>
        <w:t>Cleanthes, 95</w:t>
      </w:r>
    </w:p>
    <w:p>
      <w:pPr>
        <w:pStyle w:val="BookText"/>
        <w:rPr/>
      </w:pPr>
      <w:r>
        <w:rPr>
          <w:rFonts w:eastAsia="Times New Roman" w:cs="Times New Roman" w:ascii="Times New Roman" w:hAnsi="Times New Roman"/>
          <w:color w:val="111111"/>
          <w:sz w:val="28"/>
          <w:szCs w:val="28"/>
          <w:lang w:val="en-US" w:bidi="en-US"/>
        </w:rPr>
        <w:t>Copleston, F., 21</w:t>
      </w:r>
    </w:p>
    <w:p>
      <w:pPr>
        <w:pStyle w:val="BookText"/>
        <w:rPr/>
      </w:pPr>
      <w:r>
        <w:rPr>
          <w:rFonts w:eastAsia="Times New Roman" w:cs="Times New Roman" w:ascii="Times New Roman" w:hAnsi="Times New Roman"/>
          <w:color w:val="111111"/>
          <w:sz w:val="28"/>
          <w:szCs w:val="28"/>
          <w:lang w:val="en-US" w:bidi="en-US"/>
        </w:rPr>
        <w:t>Crates the Cynic, 94</w:t>
      </w:r>
    </w:p>
    <w:p>
      <w:pPr>
        <w:pStyle w:val="BookText"/>
        <w:rPr/>
      </w:pPr>
      <w:r>
        <w:rPr>
          <w:rFonts w:eastAsia="Times New Roman" w:cs="Times New Roman" w:ascii="Times New Roman" w:hAnsi="Times New Roman"/>
          <w:color w:val="111111"/>
          <w:sz w:val="28"/>
          <w:szCs w:val="28"/>
          <w:lang w:val="en-US" w:bidi="en-US"/>
        </w:rPr>
        <w:t>Democritus, 24, 79</w:t>
      </w:r>
    </w:p>
    <w:p>
      <w:pPr>
        <w:pStyle w:val="BookText"/>
        <w:rPr/>
      </w:pPr>
      <w:r>
        <w:rPr>
          <w:rFonts w:eastAsia="Times New Roman" w:cs="Times New Roman" w:ascii="Times New Roman" w:hAnsi="Times New Roman"/>
          <w:color w:val="111111"/>
          <w:sz w:val="28"/>
          <w:szCs w:val="28"/>
          <w:lang w:val="en-US" w:bidi="en-US"/>
        </w:rPr>
        <w:t>Descartes, 80</w:t>
      </w:r>
    </w:p>
    <w:p>
      <w:pPr>
        <w:pStyle w:val="BookText"/>
        <w:rPr/>
      </w:pPr>
      <w:r>
        <w:rPr>
          <w:rFonts w:eastAsia="Times New Roman" w:cs="Times New Roman" w:ascii="Times New Roman" w:hAnsi="Times New Roman"/>
          <w:color w:val="111111"/>
          <w:sz w:val="28"/>
          <w:szCs w:val="28"/>
          <w:lang w:val="en-US" w:bidi="en-US"/>
        </w:rPr>
        <w:t>Dionysius, 119</w:t>
      </w:r>
    </w:p>
    <w:p>
      <w:pPr>
        <w:pStyle w:val="BookText"/>
        <w:rPr/>
      </w:pPr>
      <w:r>
        <w:rPr>
          <w:rFonts w:eastAsia="Times New Roman" w:cs="Times New Roman" w:ascii="Times New Roman" w:hAnsi="Times New Roman"/>
          <w:color w:val="111111"/>
          <w:sz w:val="28"/>
          <w:szCs w:val="28"/>
          <w:lang w:val="en-US" w:bidi="en-US"/>
        </w:rPr>
        <w:t>Empedokles, 36</w:t>
      </w:r>
    </w:p>
    <w:p>
      <w:pPr>
        <w:pStyle w:val="BookText"/>
        <w:rPr/>
      </w:pPr>
      <w:r>
        <w:rPr>
          <w:rFonts w:eastAsia="Times New Roman" w:cs="Times New Roman" w:ascii="Times New Roman" w:hAnsi="Times New Roman"/>
          <w:color w:val="111111"/>
          <w:sz w:val="28"/>
          <w:szCs w:val="28"/>
          <w:lang w:val="en-US" w:bidi="en-US"/>
        </w:rPr>
        <w:t>Epictetus, 95</w:t>
      </w:r>
    </w:p>
    <w:p>
      <w:pPr>
        <w:pStyle w:val="BookText"/>
        <w:rPr/>
      </w:pPr>
      <w:r>
        <w:rPr>
          <w:rFonts w:eastAsia="Times New Roman" w:cs="Times New Roman" w:ascii="Times New Roman" w:hAnsi="Times New Roman"/>
          <w:color w:val="111111"/>
          <w:sz w:val="28"/>
          <w:szCs w:val="28"/>
          <w:lang w:val="en-US" w:bidi="en-US"/>
        </w:rPr>
        <w:t>Gomperz, Theodor, 29</w:t>
      </w:r>
    </w:p>
    <w:p>
      <w:pPr>
        <w:pStyle w:val="BookText"/>
        <w:rPr/>
      </w:pPr>
      <w:r>
        <w:rPr>
          <w:rFonts w:eastAsia="Times New Roman" w:cs="Times New Roman" w:ascii="Times New Roman" w:hAnsi="Times New Roman"/>
          <w:color w:val="111111"/>
          <w:sz w:val="28"/>
          <w:szCs w:val="28"/>
          <w:lang w:val="en-US" w:bidi="en-US"/>
        </w:rPr>
        <w:t>Gorgias, 22, 36</w:t>
      </w:r>
    </w:p>
    <w:p>
      <w:pPr>
        <w:pStyle w:val="BookText"/>
        <w:rPr/>
      </w:pPr>
      <w:r>
        <w:rPr>
          <w:rFonts w:eastAsia="Times New Roman" w:cs="Times New Roman" w:ascii="Times New Roman" w:hAnsi="Times New Roman"/>
          <w:color w:val="111111"/>
          <w:sz w:val="28"/>
          <w:szCs w:val="28"/>
          <w:lang w:val="en-US" w:bidi="en-US"/>
        </w:rPr>
        <w:t>Haarbrucker, 124</w:t>
      </w:r>
    </w:p>
    <w:p>
      <w:pPr>
        <w:pStyle w:val="BookText"/>
        <w:rPr/>
      </w:pPr>
      <w:r>
        <w:rPr>
          <w:rFonts w:eastAsia="Times New Roman" w:cs="Times New Roman" w:ascii="Times New Roman" w:hAnsi="Times New Roman"/>
          <w:color w:val="111111"/>
          <w:sz w:val="28"/>
          <w:szCs w:val="28"/>
          <w:lang w:val="en-US" w:bidi="en-US"/>
        </w:rPr>
        <w:t>Hamlyn, David W., 81</w:t>
      </w:r>
    </w:p>
    <w:p>
      <w:pPr>
        <w:pStyle w:val="BookText"/>
        <w:rPr/>
      </w:pPr>
      <w:r>
        <w:rPr>
          <w:rFonts w:eastAsia="Times New Roman" w:cs="Times New Roman" w:ascii="Times New Roman" w:hAnsi="Times New Roman"/>
          <w:color w:val="111111"/>
          <w:sz w:val="28"/>
          <w:szCs w:val="28"/>
          <w:lang w:val="en-US" w:bidi="en-US"/>
        </w:rPr>
        <w:t>Heraclitus, 17</w:t>
      </w:r>
    </w:p>
    <w:p>
      <w:pPr>
        <w:pStyle w:val="BookText"/>
        <w:rPr/>
      </w:pPr>
      <w:r>
        <w:rPr>
          <w:rFonts w:eastAsia="Times New Roman" w:cs="Times New Roman" w:ascii="Times New Roman" w:hAnsi="Times New Roman"/>
          <w:color w:val="111111"/>
          <w:sz w:val="28"/>
          <w:szCs w:val="28"/>
          <w:lang w:val="en-US" w:bidi="en-US"/>
        </w:rPr>
        <w:t>Hippias, 21</w:t>
      </w:r>
    </w:p>
    <w:p>
      <w:pPr>
        <w:pStyle w:val="BookText"/>
        <w:rPr/>
      </w:pPr>
      <w:r>
        <w:rPr>
          <w:rFonts w:eastAsia="Times New Roman" w:cs="Times New Roman" w:ascii="Times New Roman" w:hAnsi="Times New Roman"/>
          <w:color w:val="111111"/>
          <w:sz w:val="28"/>
          <w:szCs w:val="28"/>
          <w:lang w:val="en-US" w:bidi="en-US"/>
        </w:rPr>
        <w:t>Hume, D., 21</w:t>
      </w:r>
    </w:p>
    <w:p>
      <w:pPr>
        <w:pStyle w:val="BookText"/>
        <w:rPr/>
      </w:pPr>
      <w:r>
        <w:rPr>
          <w:rFonts w:eastAsia="Times New Roman" w:cs="Times New Roman" w:ascii="Times New Roman" w:hAnsi="Times New Roman"/>
          <w:color w:val="111111"/>
          <w:sz w:val="28"/>
          <w:szCs w:val="28"/>
          <w:lang w:val="en-US" w:bidi="en-US"/>
        </w:rPr>
        <w:t>Inge, 115</w:t>
      </w:r>
    </w:p>
    <w:p>
      <w:pPr>
        <w:pStyle w:val="BookText"/>
        <w:rPr/>
      </w:pPr>
      <w:r>
        <w:rPr>
          <w:rFonts w:eastAsia="Times New Roman" w:cs="Times New Roman" w:ascii="Times New Roman" w:hAnsi="Times New Roman"/>
          <w:color w:val="111111"/>
          <w:sz w:val="28"/>
          <w:szCs w:val="28"/>
          <w:lang w:val="en-US" w:bidi="en-US"/>
        </w:rPr>
        <w:t>Isocrates, 19</w:t>
      </w:r>
    </w:p>
    <w:p>
      <w:pPr>
        <w:pStyle w:val="BookText"/>
        <w:rPr/>
      </w:pPr>
      <w:r>
        <w:rPr>
          <w:rFonts w:eastAsia="Times New Roman" w:cs="Times New Roman" w:ascii="Times New Roman" w:hAnsi="Times New Roman"/>
          <w:color w:val="111111"/>
          <w:sz w:val="28"/>
          <w:szCs w:val="28"/>
          <w:lang w:val="en-US" w:bidi="en-US"/>
        </w:rPr>
        <w:t>Jaspers, K., 149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Kant, E., 21, 113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5678_50563"/>
      <w:bookmarkStart w:id="518" w:name="pg5678_50563"/>
      <w:bookmarkEnd w:id="518"/>
    </w:p>
    <w:p>
      <w:pPr>
        <w:pStyle w:val="Heading2"/>
        <w:numPr>
          <w:ilvl w:val="1"/>
          <w:numId w:val="1"/>
        </w:numPr>
        <w:rPr/>
      </w:pPr>
      <w:bookmarkStart w:id="519" w:name="pg5678_50563"/>
      <w:bookmarkStart w:id="520" w:name="__RefHeading___Toc3562121_581953129"/>
      <w:bookmarkStart w:id="521" w:name="_Toc192"/>
      <w:bookmarkEnd w:id="519"/>
      <w:bookmarkEnd w:id="520"/>
      <w:r>
        <w:rPr>
          <w:rtl w:val="true"/>
        </w:rPr>
        <w:t>کتابنامه</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تصحیح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یاسین، جعفر، المنطق السینوی، بیروت، دار الآفاق الجدیده،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 الحکم و درر الکلم، ترجمه و شرح سیدهاشم موسوی محلاتی،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ابی‌اصیبعه، عیون الانباء فی طبقات الاطباء، بیروت، مطبعی ذهبیه،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مقدمی تاریخ، چاپ دوم،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ابوالولید، تلخیص کتاب العباره، تحقیق محمود قاسم، مصر،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کتاب قیاس، تحقیق دکتر محمود قاسم،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الاشارات و التنبیهات مع الشرح لنصیرالدین الطوسی و شرح الشرح لقطب‌الدین الرازی، قم، نشر البلاغه،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الاشارات و التنبیهات مع شرح نصیرالدین الطوسی، تحقیق سلیمان دنیا، بیروت، مؤسسی النعمان،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الالهیات من کتاب الشفاء، تحقیق حسن حسن‌زاده آملی، قم، دفتر تبلیغات اسلامی حوزة 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التعلیقات، تحقیق عبدالرحمان بدوی، قم، مرکز النشر مکتب الاعلام الاسلامی فی الحوزی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با مقدمة ابراهیم مدکور، تحقیق الاب قنواتی و سعید زاید، تهران، ناصر خسرو،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مراجعه و مقدمة ابراهیم مدکور، قم، مکتبی آیی‌الله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قم، مکتبی آیی‌الله العظمی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الفنّ السادس من کتاب الشفاء، ترجمة اکبر داناسرشت، چاپ پنجم،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المبدأ و المعاد، تهران، مؤسسة مطالعات اسلامی دانشگاه مک‌گیل شعبة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النجای، نشر مکتبی المرتضویه، چاپ دوم،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النفس من کتاب الشفاء، تحقیق حسن حسن‌زاده آملی، قم، مرکز النشر التابع لمکتب الاعلام الاسلامی،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الهیات نجات، ترجمة سیدیحیی یثربی، تهران، فکر روز،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در حقیقت و کیفیّت سلسلة موجودات و تسلسل اسباب و مسببات، مقدّمه، حواشی و تصحیح موسی عمید، چاپ دوم،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دانشگاه بوعلی سینا و انجمن آثار و مفاخر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ابن سینا، ترجمة ضیاء‌الدین درّی، چاپ دوم، بی‌جا، چاپخانه و کتابخانة مرکزی،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نفس، تحقیق موسی عمید، چاپ دوم،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بوعلی و انجمن آثار و مفاخر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رسالی الطیر، دو بال خرد، ترجمة شکوفه تقی، تهران، نشر مرکز،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منطق المشرقیین، چاپ دوم، قم، مکتبی آیی‌الله العظمی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تحقیق عبدالسلام محمد هارون، قم، مکتب الاعلام الاسلامی،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چاپ سوم، لبنان، دار الصادر،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ابوالبرکات بغدادی، الکتاب المعتبر فی الحکمه، چاپ دوم، اصفهان، انتشارات دانشگاه اصفهان،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اپیکتتوس، مجموعه فلسفة اجتماعی، ترجمة هوشنگ آذری، چاپ دوم، تهران،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ارسطاطالیس، اخلاق نیکوماخوس، ترجمة سیدابوالقاسم پورحسینی، تهران،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دربارة نفس، ترجمه، تحقیق و تحشیة علیمراد داودی، چاپ چهارم، حکمت،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مابعدالطبیعه، ترجمة محمدحسن لطفی، تهران، طرح نو،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ترجمة شرف‌الدین خرسان،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متافیزیک، ترجمة شرف‌الدین خراسانی، تهران، حکمت،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منطق ارسطو، تحقیق عبدالرحمان بدوی، بیروت،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وکالی المطبوعات،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اروین، ترنس، تاریخ فلسفة غرب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عهد باستان، ترجمة محمدسعید حنایی کاشانی، تهران، نشر قصیده،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استید، کریستوفر، فلسفه در مسیحیت باستان، ترجمة عبدالرحیم سلیمانی اردستانی، قم، مرکز مطالعات و تحقیقات ادیان و مذاهب،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جمهوری، ترجمة فؤاد روحانی،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دورة آثار افلاطون، ترجمة محمدحسن لطفی، نشر قصیده،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دورة کامل آثار افلاطون، ترجمة محمدحسن لطفی و رضا کاویانی، چاپ دوم، انتشارات 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واسطه در گذر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تخصصی کلام اسلامی، سال نهم، ش</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صاعد، التعریف بالطبقات الامم، مقدّمه، تصحیح و تحقیق غلامرضا جمشیدنژاد،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بالی، مرفت عزّت، الاتجاه الاشراقی فی فلسفی ابن سینا، بیروت، دار الجمیل،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عبدالرحمان، الموسوعی الفلسفیه، بیروت، المؤسسی العربیی للدراسات و النشر،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 ژان، ارسطو و حکمت مشاء، ترجمة سیدابوالقاسم پورحسینی، تهران، امیرکبیر،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بریه، امیل، تاریخ فلسفة دورة یونان، ترجمة علیمراد داودی، چاپ دوم، تهران، 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بورمان، کارل، افلاطون، ترجمة محمدحسن لطفی، تهران، طرح نو،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پاپکین، ریچارد و آوروم استرول، کلیات فلسفه، ترجمه و اضافات سیدجلال‌الدین مجتبوی، چاپ هفدهم، تهران، حکمت،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پورجوادی، نصرالله، درآمدی به فلسفة افلوطین، چاپ سوم، تهران، مرکز نشر دانشگاهی،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الحکماء قفطی، ترجمة قرن یازدهم هجری، به کوشش مهین دارائی، چاپ دوم،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مسعود، شرح المقاصد، تصحیح و تعلیق عبدالرحمان عمیره، قم، منشورات شریف رضی،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التکریتی، ناجی، الفلسفی الاخلاقیی الافلاطونیی عند مفکری الاسلام، چاپ سوم، دار الشئون الثقافی العامه،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تنی چند از اساتید غرب، فلسفه یا پژوهش حقیقت، ترجمة سیدجلال‌الدین مجتبوی، چاپ سوم، تهران، حکمت،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هنری و دانالی توماس، ماجراهای جاودان در فلسفه، ترجمة احمد شهسا، چاپ چهارم، تهران، نشر ققنوس،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آگاهی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رسالة تصوّر و تصدیق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مؤسسة مطالعات و تحقیقات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سیدمحسن میری، فصلنامة ذهن،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حلمی مطر، امیری، الفلسفی الیونانیی تأریخها و مشکلاتها، دار قباء،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سیدمحمد، سیر حکمت در ایران و جهان، تهران، بنیاد حکمت اسلامی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دائری المعارف بزرگ 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زیر نظر کاظم بجنوردی، تهران، مرکز دائری المعارف بزرگ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نصیرالدین طوسی، محمد، اساس الاقتباس، تصحیح مدرس رضوی، چاپ چهارم، تهران، 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المعیار فی نقد تنزیل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و مباحث الفاظ، به اهتمام مهدی محقّق و توشی‌هیکو ایزوتسو، تهران، 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فرهنگ اصطلاحات منطقی، چاپ چهارم، تهران، نشر پژوهشگاه،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دائری المعارف الاسلامیه، ترجمة احمد الشنتناوی، ابراهیم زکی خورشید و عبدالحمید یونس، دار الفکر،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فلسفه، ترجمة عباس زریاب، چاپ نهم، تهران، سازمان انتشارات و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زیر نظر دکتر محمد معین، تهران،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 دیوید، ارسطو، ترجمة مهدی قوام‌صفری، تهران، فکر روز،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تاریخ فلسفة غرب، ترجمة نجف دریابندری، چاپ پنجم، تهران، نشر کتاب پرواز،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سعید، فیض و فاعلیت وجودی از فلوطین تا صدرالمتألیهن، چاپ اوّل، قم، دفتر تبلیغات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احمد فرید، عصر المأمون، چاپ دوم، مصر،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رَندل، جان هرمن و جاستوس باکلر، درآمدی به فلسفه، ترجمة امیر جلال‌الدین اعلم، تهران، سروش،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جلال‌الدین، مثنوی معنوی، تصحیح و پیشگفتار عبدالکریم سروش، تهران، شرکت انتشارات علمی و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تصحیح محمد رمضانی، چاپ دوم، تهران،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ژیلسون، اتین، خدا و فلسفه، ترجمة شهرام پازوکی، تهران، حقیقت،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ملاهادی، شرح المنظومه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حسن‌زاده آملی،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تهران، نشر ناب،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گل‌بابا، قضایا در منطق ارسطویی و تحوّل آن در اسلام، تهران، مشکوی،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یحیی شهاب‌الدین، مجموعه مصنّفات شیخ اشراق،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تصحیح و مقدّمة هانری کربن، چاپ دوم، پژوهشگاه علوم انسانی و مطالعات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مصنّفات شیخ اشراق،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تصحیح، تحشیه و مقدمة نجفقلی حبیبی، چاپ سوم، تهران، پژوهشگاه علوم انسانی و مطالعات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التنقیح فی المنطق، تصحیح غلامرضا یاسی‌پور، تهران، بنیاد حکمت اسلامی ملاصدرا،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الحکمی المتعالیی فی الاسفار الاربعه، چاپ سوم، بیروت، دار احیاء التراث العربی،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الشواهد الربوبیه، با حواشی ملاهادی سبزواری، تصحیح، تعلیق و مقدمة سیدجلال‌الدین آشتیانی، مشهد، دانشگاه فردوسی،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رسالی التصوّر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رسالتان فی التصوّر و التصدیق، تحقیق و مقدمة مهدی شریعتی، قم، مؤسسة اسماعیلیان،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اصول فلسفه و روش رئالیسم، چاپ چهارم،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چاپ دوم، مؤسسی الاعلمی،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بدایی الحکمه، قم، نشر دانش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یادنامة علامه طباطبایی، مؤسسة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یزدی، علی، شکّاکیت، نقدی بر ادلّه، قم، مؤسسة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خالد، افلوطین رائد الوحدانیه، بیروت، عویدات،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الفاخوری، حنا و خلیل الجرّ، تاریخ فلسفه در جهان اسلام، ترجمة عبدالمحمد آیتی، چاپ سوم، تهران، شرکت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آراء اهل المدینی الفاضلی و مضادتها، تعلیق و شرح علی بوملحم، بیروت، دار المکتبی الهلال،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الالفاظ المستعملی فی المنطق، ترجمة و شرح حسن ملکشاهی، 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اندیشه‌های اهل مدینة فاضله، ترجمه و تحشیة سیدجعفر سجادی، چاپ دوم،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عبدالله، محمد و میلاد ذکی غالی، ارسطو و المدارس المتأخره، توزیع منشآی المعارف بالاسکندریه،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الرازی، محمد، المباحث المشرقیه، چاپ دوم، بیدار،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منطق الملخص، مقدّمه، تحقیق و تعلیق احد فرامرز قراملکی و آدینه اصغری‌نژاد، تهران، انتشارات دانشگاه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فخری، ماجد، ارسطوطالیس، چاپ چهارم، بیروت، دار المشرق،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فلسفه در جهان اسلام، ترجمة جمعی از مترجمان، زیر نظر نصرالله پورجوادی، تهران، مرکز نشر دانشگاهی،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قراملکی،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 سرآغاز منطق‌نگاری دوبخشی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آینة پژوهش، اردیبهشت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محمدعلی، سیر حکمت در اروپا، چاپ دوم، تهران، زوار،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ادراک حسّی از دیدگاه ابن سینا، قم، مرکز انتشارات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درآمدی بر معرفت‌شناسی دینی و معاصر، چاپ دوم، قم،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بداهت، قم، دار الصادقین،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فلوطین، اثولوجیا، ترجمة عربی ابن ناعمة حمصی از تاسوعات فلوطین، ترجمه و شرح فارسی حسن ملکشاهی،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دورة آثار فلوطین، ترجمة محمدحسن لطفی، تهران، شرکت سهامی انتشارات خوارزمی،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رازی،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الرسالی المعمولی فی التصوّر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رسالتان فی التصوّر و التصدیق، تحقیق و مقدّمة مهدی شریعتی، قم، مؤسسة اسماعیلیان،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الشمسیه، تهران، کتاب‌فروشی علمیة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شیرازی، محمد بن مسعود کازرونی، درّی التاج، تصحیح سیّدمحمد مشکوی، چاپ سوم، تهران، حکمت،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حکمی الاشراق، به اهتمام عبدالله نورانی و مهدی محقّق، تهران، مؤسسة مطالعات اسلامی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مک‌گیل شعبة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حاشیة ملاصدرا شیرازی،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و روم، ترجمة سیدجلال‌الدین مجتبوی، چاپ دوم، تهران، شرکت انتشارات علمی و فرهنگی و سروش،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کاشف‌الغطاء، علی، نقد الآراء المنطقیی و حلّ مشکلاتها، بیروت، مؤسسی النعمان،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کرسون، آندره، فلاسفة بزرگ، ترجمة کاظم عمادی، چاپ چهارم، صفی علیشاه، پاییز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گاتری،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فلسفة یونان،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سوفسطاییان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حسن فتحی، تهران، فکر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گمپرتس، تئودور، متفکّران یونانی، ترجمة محمدحسن لطفی، تهران، شرکت سهامی انتشارات خوارزمی،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مارکوس اورلیوس آنتونیوس،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نجف دریابندری، فلسفة اجتماعی، تهران، چاپ دوم،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ماکوولسکی،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منطق، ترجمة فریدون شایان، تهران،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مرزبان،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و سخنرانیهای هزارة ابن سینا، نشر کمیسیون ملی یونسکو در ایران، نشریة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الحاشیی علی تهذیب المنطق ملاعبدالله، قم، مؤسسی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فلسفه، سازمان تبلیغات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چاپ ششم، تهران،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سی و یکم، قم، صدرا،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تکامل اجتماعی انسان به ضمیمة هدف زندگی، چاپ هفتم، نشر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معلمی، حسن، نگاهی به معرفت‌شناسی در فلسفة غرب،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تاریخ فلسفة غرب، پژوهشکدة حوزه و دانشگاه،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جزوة درسی شناخت‌شناسی، مرکز آموزشی و پژوهشی امام خمینی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یحیی، شکّاکان یونان، تهران، شرکت سهامی انتشارات خوارزمی،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الکامل لمنطق ارسطو، تحقیق فرید جبر، بیروت، دار الفکر اللبنانی،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معارف اسلامی در جهان معاصر، چاپ سوم، تهران، شرکت سهامی کتابهای جیبی،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 و معنویت، ترجمة انشاءالله رحمتی، تهران، دفتر پژوهش و نشر سهروردی،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نفیسی، تهران، کتاب‌فروشی خیام،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ورنر، شارن، حکمت یونان، ترجمة بزرگ نادرزاد، چاپ دوم، تهران،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ورنریگر، پایدیا، ترجمة محمدحسن لطفی، تهران، خوارزمی،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حائری، الهه، فلسفة یونان از دیدگاهی دیگر، تهران، مشکوی،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هالینگ دیل،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و تاریخ فلسفة غرب، ترجمة عبدالحسین آذرنگ، تهران، کیهان،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هاملین، دیوید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معرفت‌شناسی، ترجمة شاپور اعتماد، تهران، نشر پژوهشگاه علوم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یاسپرس، کارل، فلوطین، ترجمة محمدحسن لطفی، تهران، خوارزمی،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الحاشیی علی تهذیب المنطق، قم، مؤسسی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Webster’s New Calegiate Dictionary</w:t>
      </w:r>
      <w:r>
        <w:rPr>
          <w:rFonts w:ascii="IRNazanin" w:hAnsi="IRNazanin" w:eastAsia="IRNazanin"/>
          <w:color w:val="111111"/>
          <w:sz w:val="28"/>
          <w:sz w:val="28"/>
          <w:szCs w:val="28"/>
          <w:rtl w:val="true"/>
          <w:lang w:bidi="fa-IR"/>
        </w:rPr>
        <w:t xml:space="preserve">، چاپ چهارم، تهران، انتشارات علمی و فرهنگی نشر علم،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522" w:name="pg5678_50569"/>
    </w:p>
    <w:p>
      <w:pPr>
        <w:pStyle w:val="Heading2"/>
        <w:numPr>
          <w:ilvl w:val="1"/>
          <w:numId w:val="1"/>
        </w:numPr>
        <w:rPr/>
      </w:pPr>
      <w:bookmarkStart w:id="523" w:name="__RefHeading___Toc3562123_581953129"/>
      <w:bookmarkStart w:id="524" w:name="_Toc193"/>
      <w:bookmarkEnd w:id="522"/>
      <w:bookmarkEnd w:id="523"/>
      <w:r>
        <w:rPr>
          <w:rtl w:val="true"/>
        </w:rPr>
        <w:t>منشورات دانشگاه علوم اسلامی رضوی</w:t>
      </w:r>
      <w:bookmarkEnd w:id="524"/>
    </w:p>
    <w:p>
      <w:pPr>
        <w:pStyle w:val="Heading3"/>
        <w:numPr>
          <w:ilvl w:val="2"/>
          <w:numId w:val="1"/>
        </w:numPr>
        <w:rPr/>
      </w:pPr>
      <w:bookmarkStart w:id="525" w:name="__RefHeading___Toc3562125_581953129"/>
      <w:bookmarkStart w:id="526" w:name="_Toc194"/>
      <w:bookmarkEnd w:id="525"/>
      <w:r>
        <w:rPr>
          <w:rtl w:val="true"/>
        </w:rPr>
        <w:t>علوم قرآن و حدیث</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فهم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دلبری، چاپ اول،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دلبری، چاپ 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اسوه‌های عملی و پیرایه‌های خرافی در داستان یوسف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ایروانی،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چیست؟ خیانت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پنجم،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جلائیان اکبرنیا و همکاران، چاپ دوم،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قرآن در حماسة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نورایی، چاپ چهارم،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قرآن در نیایش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خیاط، چاپ اول،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فی ثوبه القشیب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آیی‌الله محمدهادی معرفت، چاپ پنجم،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دوره</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ششم،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جریان‌شناسی تفاسیر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علوم قرآن و حدیث، چاپ دوم،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درایی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ربّانی، چاپ هفتم،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درایی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تحریری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ربّانی، چاپ دوم،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رضایی، چاپ اول،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زیباشناسی قرآن از نگاه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خرقانی، چاپ اول،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هفتم،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متعادل و رفتار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و جواد ایروانی، چاپ هشتم،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در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ناصحیان، چاپ دوم،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دوم،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روابط اجتماعی در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علوم قرآن و حدیث، چاپ پنجم،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روابط اجتماعی در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علوم قرآن و حدیث، چاپ چهارم،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خرقانی،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نو در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ناصحیان، چاپ دوم،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رفع تعارض اخبار از دیدگاه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دلبری،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دوم،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مثبت‌اندیشی یا منفی‌نگری؟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علیزاده، چاپ نهم،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مسؤولیت‌پذیری و مسؤولیت‌گریزی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پنجم،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راهنمایی؛ اصول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هفتم،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تغییر رفتار دیگران در آموزه‌های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علوی گنابادی، چاپ سوم،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علوی گنابادی، چاپ دوم،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یازدهم،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نظم و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جلائیان اکبرنیا، چاپ نهم،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 و آداب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مرویان حسینی، چاپ نهم،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527" w:name="pg5678_50570"/>
    </w:p>
    <w:p>
      <w:pPr>
        <w:pStyle w:val="BookText"/>
        <w:rPr/>
      </w:pPr>
      <w:bookmarkEnd w:id="527"/>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زندگی با نگاه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خودآگاهی، همدلی و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علوی، چاپ چهارم،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همگرایی در اندیشة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وطن‌دوست، چاپ دوم،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28" w:name="__RefHeading___Toc3562127_581953129"/>
      <w:bookmarkStart w:id="529" w:name="_Toc195"/>
      <w:bookmarkEnd w:id="528"/>
      <w:r>
        <w:rPr>
          <w:rtl w:val="true"/>
        </w:rPr>
        <w:t>فلسفه و کلام اسلامی</w:t>
      </w:r>
      <w:bookmarkEnd w:id="52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ولایت؛ 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جلائیان اکبرنیا، چاپ چهارم،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ولایت، اکمال رسالت؛ 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جلائیان اکبرنیا، چاپ سوم،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هورتن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سلامی و دیگران،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چاپ چهارم،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اندیشه‌های کلامی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فلسفه و کلام اسلامی،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نسخة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و پرسشهای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عارفی شیرداغی، چاپ دوم،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و پرسشهای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عارفی و سید محمد مظفری، چاپ اول،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نفس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عارفی، چاپ اول،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ترجمه، چاپ سوم،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گروه پژوهشی فلسفه و کلام اسلامی، چاپ دوم،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مدرنیته، روشنفکری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ظهیری،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حیدری،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غلامحسین ابراهیمی دینانی،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30" w:name="__RefHeading___Toc3562129_581953129"/>
      <w:bookmarkStart w:id="531" w:name="_Toc196"/>
      <w:bookmarkEnd w:id="530"/>
      <w:r>
        <w:rPr>
          <w:rtl w:val="true"/>
        </w:rPr>
        <w:t>فقه و حقوق</w:t>
      </w:r>
      <w:bookmarkEnd w:id="53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سوء عرضة کالا در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ادلّة اثبات دعاوی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حقوق دانشگاه علوم اسلامی رضوی، چاپ ششم،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مسلمانان؛ آداب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امامی، چاپ دوم،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ادارة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صفری، چاپ اول،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رابرتسون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گروه ترجمه، چاپ سوم،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در آینة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سببیت در حقوق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سیدعلی عباس‌نیای زارع، چاپ سوم،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باطنی؛ پژوهشی فقهی دربارة گسترة زکات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دوم،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تشخیص موضوعات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علوی گنابادی،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خاوری، چاپ سوم،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امامی و عرصه‌های ولایت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قاسمی و همکاران،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دوره</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حسن رضایی خاوری، چاپ سوم،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فقه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پژوهشی حقوق، چاپ سوم،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بنیادین حقوق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سیدمهدی سیدزاده ثانی، چاپ سوم،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اسلام در پیشگیری و کاهش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چاپ دوم،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واژه‌نامة تفصیلی فقه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خاوری و همکاران، چاپ دوم،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532" w:name="pg5678_50571"/>
    </w:p>
    <w:p>
      <w:pPr>
        <w:pStyle w:val="Heading3"/>
        <w:numPr>
          <w:ilvl w:val="2"/>
          <w:numId w:val="1"/>
        </w:numPr>
        <w:rPr/>
      </w:pPr>
      <w:bookmarkStart w:id="533" w:name="__RefHeading___Toc3562131_581953129"/>
      <w:bookmarkStart w:id="534" w:name="_Toc197"/>
      <w:bookmarkEnd w:id="532"/>
      <w:bookmarkEnd w:id="533"/>
      <w:r>
        <w:rPr>
          <w:rtl w:val="true"/>
        </w:rPr>
        <w:t>اقتصاد اسلامی</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اقتصادی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دوم،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ششم،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چه مصارفی را نادرست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درباره اخلاق کار و تجارت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درباره فقر و ثروت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الگوی مصرف از نگاه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علی جلائیان و دیگران،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ما در مصرف صحیح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 در آموزه‌های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چهارم،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تولید ملی، حمایت از کار و سرمایة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محمود اصغری،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احکام بازار و تجارت 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امامی و جواد ایروانی، چاپ اول،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مصرف صحیح از نگاه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و علی جلائیان اکبرنیا، چاپ اول،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صحیح از نگاه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ایروانی، علی جلائیان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رشد اقتصادی و توزیع عادلانه ثروت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ایروانی، چاپ اول،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35" w:name="__RefHeading___Toc3562133_581953129"/>
      <w:bookmarkStart w:id="536" w:name="_Toc198"/>
      <w:bookmarkEnd w:id="535"/>
      <w:r>
        <w:rPr>
          <w:rtl w:val="true"/>
        </w:rPr>
        <w:t>زبان و ادبیات عرب</w:t>
      </w:r>
      <w:bookmarkEnd w:id="53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قاسمی، چاپ اول،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به فارسی، 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علی عبدالله ، چاپ دوم،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37" w:name="__RefHeading___Toc3562135_581953129"/>
      <w:bookmarkStart w:id="538" w:name="_Toc199"/>
      <w:bookmarkEnd w:id="537"/>
      <w:r>
        <w:rPr>
          <w:rtl w:val="true"/>
        </w:rPr>
        <w:t>منشورات دیگر</w:t>
      </w:r>
      <w:bookmarkEnd w:id="53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محمود اصغری،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مطالعات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احد فرامرز قراملکی، چاپ هشتم،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زلال اندیشة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چاپ دوم،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539" w:name="pg5678_50572"/>
    </w:p>
    <w:p>
      <w:pPr>
        <w:pStyle w:val="Heading2"/>
        <w:numPr>
          <w:ilvl w:val="1"/>
          <w:numId w:val="1"/>
        </w:numPr>
        <w:rPr/>
      </w:pPr>
      <w:bookmarkStart w:id="540" w:name="__RefHeading___Toc3562137_581953129"/>
      <w:bookmarkStart w:id="541" w:name="_Toc200"/>
      <w:bookmarkEnd w:id="539"/>
      <w:bookmarkEnd w:id="540"/>
      <w:r>
        <w:rPr>
          <w:rtl w:val="true"/>
        </w:rPr>
        <w:t>نمایندگیهای فروش در شهرستانها</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 فروشگاههای تابعة شهر مشهد</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چهارراه شهدا</w:t>
      </w:r>
      <w:r>
        <w:rPr>
          <w:rFonts w:eastAsia="IRNazanin" w:cs="IRNazanin"/>
          <w:color w:val="111111"/>
          <w:sz w:val="28"/>
          <w:szCs w:val="28"/>
          <w:rtl w:val="true"/>
          <w:lang w:bidi="fa-IR"/>
        </w:rPr>
        <w:t xml:space="preserve">. ' </w:t>
      </w:r>
      <w:r>
        <w:rPr>
          <w:rFonts w:eastAsia="IRNazanin" w:cs="IRNazanin"/>
          <w:color w:val="111111"/>
          <w:sz w:val="28"/>
          <w:szCs w:val="28"/>
          <w:lang w:bidi="fa-IR"/>
        </w:rPr>
        <w:t>2230803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آریان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خ اردیبهشت</w:t>
      </w:r>
      <w:r>
        <w:rPr>
          <w:rFonts w:eastAsia="IRNazanin" w:cs="IRNazanin"/>
          <w:color w:val="111111"/>
          <w:sz w:val="28"/>
          <w:szCs w:val="28"/>
          <w:rtl w:val="true"/>
          <w:lang w:bidi="fa-IR"/>
        </w:rPr>
        <w:t xml:space="preserve">. ' </w:t>
      </w:r>
      <w:r>
        <w:rPr>
          <w:rFonts w:eastAsia="IRNazanin" w:cs="IRNazanin"/>
          <w:color w:val="111111"/>
          <w:sz w:val="28"/>
          <w:szCs w:val="28"/>
          <w:lang w:bidi="fa-IR"/>
        </w:rPr>
        <w:t>66416412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مقابل دانشگاه تهران</w:t>
      </w:r>
      <w:r>
        <w:rPr>
          <w:rFonts w:eastAsia="IRNazanin" w:cs="IRNazanin"/>
          <w:color w:val="111111"/>
          <w:sz w:val="28"/>
          <w:szCs w:val="28"/>
          <w:rtl w:val="true"/>
          <w:lang w:bidi="fa-IR"/>
        </w:rPr>
        <w:t xml:space="preserve">. ' </w:t>
      </w:r>
      <w:r>
        <w:rPr>
          <w:rFonts w:eastAsia="IRNazanin" w:cs="IRNazanin"/>
          <w:color w:val="111111"/>
          <w:sz w:val="28"/>
          <w:szCs w:val="28"/>
          <w:lang w:bidi="fa-IR"/>
        </w:rPr>
        <w:t>66401543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بهنامی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اردیبهشت، پلاک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66409923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اول خ ابوریحان، پلاک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66415879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بالاتر از لبافی‌نژاد، کوچة بهشت‌آیین، پلاک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66490584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66495034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بین فرهنگ و رامسر</w:t>
      </w:r>
      <w:r>
        <w:rPr>
          <w:rFonts w:eastAsia="IRNazanin" w:cs="IRNazanin"/>
          <w:color w:val="111111"/>
          <w:sz w:val="28"/>
          <w:szCs w:val="28"/>
          <w:rtl w:val="true"/>
          <w:lang w:bidi="fa-IR"/>
        </w:rPr>
        <w:t xml:space="preserve">. ' </w:t>
      </w:r>
      <w:r>
        <w:rPr>
          <w:rFonts w:eastAsia="IRNazanin" w:cs="IRNazanin"/>
          <w:color w:val="111111"/>
          <w:sz w:val="28"/>
          <w:szCs w:val="28"/>
          <w:lang w:bidi="fa-IR"/>
        </w:rPr>
        <w:t>88349529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کتاب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پاساژ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66953517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کتابفروشی دانشگاه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تفرّجی</w:t>
      </w:r>
      <w:r>
        <w:rPr>
          <w:rFonts w:eastAsia="IRNazanin" w:cs="IRNazanin"/>
          <w:color w:val="111111"/>
          <w:sz w:val="28"/>
          <w:szCs w:val="28"/>
          <w:rtl w:val="true"/>
          <w:lang w:bidi="fa-IR"/>
        </w:rPr>
        <w:t xml:space="preserve">. ' </w:t>
      </w:r>
      <w:r>
        <w:rPr>
          <w:rFonts w:eastAsia="IRNazanin" w:cs="IRNazanin"/>
          <w:color w:val="111111"/>
          <w:sz w:val="28"/>
          <w:szCs w:val="28"/>
          <w:lang w:bidi="fa-IR"/>
        </w:rPr>
        <w:t>29903168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پلاک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66495275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صفائیه، پلاک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7743544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صفائیه</w:t>
      </w:r>
      <w:r>
        <w:rPr>
          <w:rFonts w:eastAsia="IRNazanin" w:cs="IRNazanin"/>
          <w:color w:val="111111"/>
          <w:sz w:val="28"/>
          <w:szCs w:val="28"/>
          <w:rtl w:val="true"/>
          <w:lang w:bidi="fa-IR"/>
        </w:rPr>
        <w:t xml:space="preserve">. '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صفائیه، مؤسسة بوستان کتاب قم</w:t>
      </w:r>
      <w:r>
        <w:rPr>
          <w:rFonts w:eastAsia="IRNazanin" w:cs="IRNazanin"/>
          <w:color w:val="111111"/>
          <w:sz w:val="28"/>
          <w:szCs w:val="28"/>
          <w:rtl w:val="true"/>
          <w:lang w:bidi="fa-IR"/>
        </w:rPr>
        <w:t xml:space="preserve">. ' </w:t>
      </w:r>
      <w:r>
        <w:rPr>
          <w:rFonts w:eastAsia="IRNazanin" w:cs="IRNazanin"/>
          <w:color w:val="111111"/>
          <w:sz w:val="28"/>
          <w:szCs w:val="28"/>
          <w:lang w:bidi="fa-IR"/>
        </w:rPr>
        <w:t>7742155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انصار الامام المنتظر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منتظری شمالی، جنب حوزة علمیه</w:t>
      </w:r>
      <w:r>
        <w:rPr>
          <w:rFonts w:eastAsia="IRNazanin" w:cs="IRNazanin"/>
          <w:color w:val="111111"/>
          <w:sz w:val="28"/>
          <w:szCs w:val="28"/>
          <w:rtl w:val="true"/>
          <w:lang w:bidi="fa-IR"/>
        </w:rPr>
        <w:t xml:space="preserve">. ' </w:t>
      </w:r>
      <w:r>
        <w:rPr>
          <w:rFonts w:eastAsia="IRNazanin" w:cs="IRNazanin"/>
          <w:color w:val="111111"/>
          <w:sz w:val="28"/>
          <w:szCs w:val="28"/>
          <w:lang w:bidi="fa-IR"/>
        </w:rPr>
        <w:t>2618583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 خ امام، روبه‌روی دانشگاه آزاد</w:t>
      </w:r>
      <w:r>
        <w:rPr>
          <w:rFonts w:eastAsia="IRNazanin" w:cs="IRNazanin"/>
          <w:color w:val="111111"/>
          <w:sz w:val="28"/>
          <w:szCs w:val="28"/>
          <w:rtl w:val="true"/>
          <w:lang w:bidi="fa-IR"/>
        </w:rPr>
        <w:t xml:space="preserve">. ' </w:t>
      </w:r>
      <w:r>
        <w:rPr>
          <w:rFonts w:eastAsia="IRNazanin" w:cs="IRNazanin"/>
          <w:color w:val="111111"/>
          <w:sz w:val="28"/>
          <w:szCs w:val="28"/>
          <w:lang w:bidi="fa-IR"/>
        </w:rPr>
        <w:t>7235881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باغ 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گنجینه کتاب</w:t>
      </w:r>
      <w:r>
        <w:rPr>
          <w:rFonts w:eastAsia="IRNazanin" w:cs="IRNazanin"/>
          <w:color w:val="111111"/>
          <w:sz w:val="28"/>
          <w:szCs w:val="28"/>
          <w:rtl w:val="true"/>
          <w:lang w:bidi="fa-IR"/>
        </w:rPr>
        <w:t>. '</w:t>
      </w:r>
      <w:r>
        <w:rPr>
          <w:rFonts w:eastAsia="IRNazanin" w:cs="IRNazanin"/>
          <w:color w:val="111111"/>
          <w:sz w:val="28"/>
          <w:szCs w:val="28"/>
          <w:lang w:bidi="fa-IR"/>
        </w:rPr>
        <w:t>2220143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Heraclitus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Parmenides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Socrates</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فعّالی، درآمدی بر معرفت‌شناسی دینی و معاصر، چاپ دوم، قم، معارف،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Webster’s New Collegiate Dictionary</w:t>
      </w:r>
      <w:r>
        <w:rPr>
          <w:rFonts w:ascii="IRNazanin" w:hAnsi="IRNazanin" w:eastAsia="IRNazanin"/>
          <w:b w:val="false"/>
          <w:b w:val="false"/>
          <w:bCs w:val="false"/>
          <w:i w:val="false"/>
          <w:i w:val="false"/>
          <w:iCs w:val="false"/>
          <w:color w:val="333333"/>
          <w:sz w:val="20"/>
          <w:sz w:val="20"/>
          <w:szCs w:val="20"/>
          <w:rtl w:val="true"/>
        </w:rPr>
        <w:t xml:space="preserve">، چاپ چهارم، تهران، انتشارات علمی و فرهنگی و نشر علم،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هاملین، تاریخ معرفت‌شناسی، ترجمة شاپور اعتماد، تهران، نشر پژوهشگاه علوم انسانی و مطالعات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Sophist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Isocrates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شاگرد و جانشین ارسطو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عسکری یزدی، شکّاکیت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مؤسسة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گمپرتس، متفکران یونانی، ترجمة محمدحسن لطفی، تهران، شرکت سهامی انتشارات خوارزمی،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ترجمة سیدجلال‌الدین مجتبوی، چاپ سوم، تهران، انتشارات علمی و فرهنگی و سروش،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Protagoras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دورة آثار افلاطون، ترجمة محمدحسن لطفی و رضا کاویانی، چاپ دوم، شرکت سهامی انتشارات خوارزمی،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گاتری، تاریخ فلسفة 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سوفسطاییان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حسن فتحی، تهران، فکر روز،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Hippias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و رضا کاویانی،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 Hume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Kant</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Russel</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تاریخ فلسفة غرب، ترجمة نجف دریابندری، چاپ پنجم، تهران، کتاب پرواز،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Copleston</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چاپ دوم، شرکت سهامی انتشارات علمی و فرهنگی و سروش،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Gorgias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معنایی است که تئودور گمپرتس دربارة سخن مشهور گرگیاس قائل است که خواهد آمد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گرگیاس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 وجود ندارد و اگر چیزی وجود هم داشته باشد نمی‌تواند شناخته شود و اگر شناختی هم باشد نمی‌توان این شناسایی را به دیگری منتقل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یک جمله، اما مرکب از سه جمله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Metrodore de chio</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مهدوی، شکّاکان یونان، تهران، شرکت سهامی انتشارات خوارزمی،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Pyrrho</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Democritus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حدود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امیل بریه، تاریخ فلسفه، ترجمة علیمراد داودی، چاپ دوم، تهران، نشر دانشگاهی،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برخی مانند تئودور گمپرتس، قائل شدن به معرفت عقلی از یک سو و نفی اعتبار حواس را از سوی دیگر، تناقض دانسته‌اند، ولی این در صورتی است که تنها راه معرفت عقلی و یا مطلق معرفت را حس بدانیم، در حالی که کسانی مثل افلاطون با تخطئة حس، راه دیگری را برای معرفت باز گذاشته‌اند که بر حس و ادراک حسّی متّکی نیست و آن، شهود عقلی و نظریة تذکّر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منظومة فلسفی پارمنیدس نیز استفاده می‌شود که او منشأ معرفت عقلی را نوعی شهود و الهام می‌دانسته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منظومه، شاعر خود را سوار بر گردونه‌ای می‌بیند که دختران خورشید آن را به سوی دروازه‌های روز راهبری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راهبران از فرشتة کینه‌توز دادگری که نگهبان این دروازه است، رجا می‌کنند که در را به روی آنان بگشاید و بدین‌سان، او به درون می‌رود و اقوال حق را از ربی‌النوع می‌شنود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Protagoras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حدود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پروتاگوراس 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حقیقت یا بطلان استدلالات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با سه عنوان دیگر نیز نام برده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موجود،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از پای درآورنده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تاریخ فلسفة غرب، پژوهشکدة حوزه و دانشگاه، آبان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Theatetus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و رضا کاویانی،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پروتاگوراس در این باره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زئوس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تقسیم کن که همه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 و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باشند؛ چه اگر تنها تنی چند از شرم و عدالت بهره‌مند باشند، جامعه پایدار نخواهد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Theodor Gomperz</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مصنّف کتاب متفکّران یونانی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Melissus</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 Moor</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عسکری یزدی، شکّاکیت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مصطفی ملکیان، تاریخ فلسفة 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Burtrand Russle</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Schiller</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Gorgias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Empedokles</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Zeno</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برتراند راسل، تاریخ فلسفة غرب، ترجمة نجف دریابندری،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محمدعلی فروغی، سیر حکمت در اروپا، چاپ دوم، تهران، زوار،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Nihilism</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گمپرتس، متفکّران یونانی،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و رضا کاویانی،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Theory of Knowledge</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مقصود افلاطون از تعلّق نگرفتن معرفت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المعدوم المطلق لایخبر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زیرا بحث در امکان اخبار از شیء و عدم امکان آن نیست، بلکه مقصود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شایستگی تعلّق به معرفت را ندارد، ولو بر فرض محال، از آن خبر داده شود؛ همچنان که از محسوسات خبر داده می‌شود، ولی متعلّق معرفت واقع نمی‌شود؛ زیرا هر گزاره‌ای خبری، از نظر افلاطون معرفت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بورمان، افلاطون، ترجمة محمدحسن لطفی، تهران، طرح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پاپکین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آوروم استرول، کلّیات فلسفه، ترجمه و اضافات سیدجلال‌الدین مجتبوی، چاپ هفدهم، تهران، حکمت،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ثبت له العدالی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Bormann</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مابعدالطبیعه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شرف‌الدین خراسانی، تهران،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بورمان، افلاطون، ترجمة محمدحسن لطفی،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Epicurus</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Democritus</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مجموعی أجزاء صغار صلبی لا تخلو من حجم، یقبل القسمی الوهمیّی و العقلیی دون الخارجیی و نسب إلی ذیمقراطیس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بدایی الحکمه، قم، نشر دانش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ترنس اروین، تاریخ فلسفة 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در عهد باستان، ترجمة محمدسعید حنایی کاشانی، تهران، نشر قصیده،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Descartes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ترنس اروین، تاریخ فلسفة 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در عهد باستان، ترجمة محمدسعید حنایی کاشانی،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اصول فلسفه و روش رئالیسم،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بدوی، الموسوعی الفلسفیه، بیروت، مؤسسی العربیی للدراسات و النشر،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W. Hamlyn</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هاملین، تاریخ معرفت‌شناسی، ترجمة شاپور اعتماد،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محمد بن ابراهیم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الحکمی المتعالیی فی الاسفار الاربعه، چاپ سوم، بیروت، دار احیاء التراث العربی،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Aristippus</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مهدوی، شکّاکان یونان،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Plutarchos</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Kolotes</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Stilpon</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Arcesilaus</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Anselm</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معرفت و معنویت، ترجمة انشاءالله رحمتی، تهران، دفتر پژوهش و نشر سهروردی،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توماس و دانالی توماس، ماجراهای جاودان در فلسفه، ترجمة احمد شهسا، چاپ پنجم، تهران، نشر ققنوس،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ترجمة عباس زریاب، چاپ نهم، تهران، سازمان انتشارات و آموزش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خامنه‌ای، سیر حکمت در ایران و جهان، تهران، بنیاد حکمت اسلامی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به ضمیمة هدف زندگی، چاپ هفتم،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ترنس اروین، تاریخ فلسفة 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در عهد باستان، ترجمة محمدسعید حنایی کاشانی،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Cephalus</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Pindar</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Salvation</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هالینگ دیل، مبانی و تاریخ فلسفة غرب، ترجمة عبدالحسین آذرنگ، تهران، کیهان،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پاپکین، آوروم استرول، کلیات فلسفه، ترجمه و اضافات سیدجلال‌الدین مجتبوی،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Zeno</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Citiun</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Cleanthes</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Assos</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Chrysippus</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Soloi</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Panaetius of Rhodes</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Annaeus Seneca</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Marcus Aurelius</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بدوی، الموسوعی الفلسفیه،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کرسون، فلاسفة بزرگ، ترجمة کاظم عمادی، چاپ چهارم، صفی علیشاه، پاییز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Rusticus</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مارکوس اورلیوس،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نجف دریابندری، فلسفة اجتماعی، چاپ دوم، تهران، مرکز انتشارات 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Karpathos</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جزوة درسی شناخت‌شناسی، مرکز آموزش و پژوهش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آدمی تنها از راه شناختِ سعادت و عمل نیکو به انجام عمل اخلاقی و نیک می‌رسد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بدوی، الموسوعی الفلسفیه،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بدوی، الموسوعی الفلسفیه،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Seneca</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اپیکتتوس، مجموعه فلسفة اجتماعی، ترجمة هوشنگ آذری، چاپ دوم، تهران، مرکز انتشارات 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اساتید غرب، فلسفه یا پژوهش حقیقت، ترجمة سیدجلال‌الدین مجتبوی، چاپ سوم، تهران، حکمت،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بدوی، الموسوعی الفلسفیه،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مهدوی، شکّاکان یونان،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حلمی مطر، الفلسفی الیونانیی تأریخها و مشکلاتها، دار قباء،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ورنر، حکمت یونان، ترجمة بزرگ نادرزاد، چاپ دوم،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Katalopsis</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هاملین، تاریخ معرفت‌شناسی، ترجمة شاپور اعتماد،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ترنس اروین، تاریخ فلسفة 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در عهد باستان، ترجمة محمدسعید حنایی کاشانی،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مهدوی، شکّاکان یونان،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مهدوی، شکّاکان یونان،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بدوی، الموسوعی الفلسفیه،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هرمن رندل و جاستوس باکلر، درآمدی به فلسفه، ترجمة امیر جلال‌الدین اعلم، تهران، سروش،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Antisthenes</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مهدوی، شکّاکان یونان،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شارل ورنر، حکمت یونان، ترجمة بزرگ نادرزاد،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الهه هاشمی حائری، فلسفة یونان از دیدگاهی دیگر، تهران، مشکوی،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Plotinus</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دورة آثار فلوطین، ترجمة محمدحسن لطفی، تهران، شرکت سهامی انتشارات خوارزمی،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Inge</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پورجوادی، درآمدی به فلسفة افلوطین، چاپ سوم، تهران، مرکز نشر دانشگاهی،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واسطه در گذر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فصلنامة کلام اسلامی،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اثولوجیا، ترجمة ابن ناعمة حمصی از تاسوعات فلوطین، ترجمه و شرح فارسی حسن ملکشاهی، تهران،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دیگر، فلسفة ارسطویی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ورنریگر، پایدیا، ترجمة محمدحسن لطفی، تهران، خوارزمی،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فروغی، 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خالد، افلوطین رائد الوحدانیه، بیروت، عویدات،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رحیمیان، فیض و فاعلیّت وجودی از فلوطین تا صدرالمتألهین، قم،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فروغی، 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خلیل الجرّ، تاریخ فلسفه در جهان اسلامی، ترجمة عبدالمحمد آیتی، چاپ چهارم، تهران، شرکت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Augustine</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Dionysius</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Scotus</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Aquinas</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و خلیل الجرّ، تاریخ فلسفه در جهان اسلامی، ترجمة عبدالمحمد آیتی،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معارف اسلامی در جهان معاصر، چاپ سوم، تهران، شرکت سهامی کتابهای جیبی،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Proclus</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دائری المعارف بزرگ اسلامی، زیر نظر کاظم بجنوری، تهران، مرکز دائری المعارف بزرگ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فخری، سیر فلسفه در جهان اسلام، ترجمة گروه مترجمان، زیر نظر نصرالله پورجوادی، مرکز نشر دانشگاهی،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دائری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نصرالله پورجوادی، درآمدی به فلسفة افلوطین،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سعید رحیمیان، فیض و فاعلیت وجودی از فلوطین تا صدرالمتألهین،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حنا الفاخوری و خلیل الجرّ، تاریخ فلسفه در جهان اسلامی، ترجمة عبدالمحمد آیتی،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دائری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فخری، سیر فلسفه در جهان اسلام، ترجمة گروه مترجمان،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ترجمة قرن یازدهم هجری، به کوشش بهمن دارائی، چاپ دوم، انتشارات دانشگاه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و خلیل الجرّ، تاریخ فلسفه در جهان اسلامی، ترجمة عبدالمحمد آیتی،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دائری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Haarbrucker</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Valentin Rose</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دائری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Thales</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فلوطین، ترجمة محمدحسن لطفی، تهران، شرکت سهامی انتشارات خوارزمی،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پورجوادی، درآمدی به فلسفة افلوطین،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خالد، فلوطین رائد الوحدانیه،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ترجمه و شرح فارسی حسن ملکشاهی،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فروغی، 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کریستوفر استید، فلسفه در مسیحیت باستان، ترجمة عبدالرحیم سلیمانی اردستانی، قم، مرکز مطالعات و تحقیقات ادیان و مذاهب،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فلسفة غرب، ترجمة نجف دریابندری،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Ammonius Saccas</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ترجمة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کریستوفر استید، فلسفه در مسیحیّت باستان، ترجمة عبدالرحیم سلیمانی اردستانی،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یاسپرس، فلوطین، ترجمة محمدحسن لطفی،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در جاهای متعدّدی واژة ملأ، پری و غنی را به کار برده است؛ بدین معنا که احد از فرط پری لبریز می‌شود و پری و کمال را مترادف استفاده کرده است؛ چنان‌که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نخستین کامل و پر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لبریز شد و از این لبریزی چیزی دیگر 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دربارة عقل و فیض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عقل که تصویری از واحد است، از واحد تقلید می‌کند؛ یعنی چون پر است، لبریز می‌شود و آنچه از طریق این فیضان پدید می‌آید، تصویری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غالباً به جای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می‌برد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رحیمیان، فیض و فاعلیت وجودی از فلوطین تا صدرالمتألهین،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 حضوری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سیدمحسن 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فصلنامة ذهن،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Proclus</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Emanation</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Apprehention</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Illumination</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 Jaspers</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یاسپرس، فلوطین، ترجمة محمدحسن لطفی،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یاسپرس، فلوطین، ترجمة محمدحسن لطفی،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رسالة سوم از انئاد پنجم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بریه، تاریخ فلسفه، علیمراد داودی،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آنچه اشاره شد،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برای موجود زنده، سطحی از ادراک حسّی قائل است که در آن، ادراک مدرَک در موجود زنده منقوش می‌شود و روح و نفس در ادراک حسّی، این تصاویر درونی را ادراک و فرمانهای خود را صادر می‌کنند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اینکه در نظر فلوطین احد، ماسوا و ماورای وجود و هستی، و مادّه، مادون هستی است، شاید تعبیر ایجاد مثلث بر بنیاد مثنا نادرست باشد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دلیل که معنای بیرون بودن از ذات عقل، آن است که معقولات بیش از عقل، هستی یافته‌اند؛ چنان‌که محسوس بیش از ادراک حسّی است، در حالی که عقل، صادر اوّل و با هستی، در یک رتبه است و عقل و هستی چنان‌که گفته شد،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به این نکته ظریف اشاره کرده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عقل روی در موضوعات خود ندارد و در آنها به عنوان چیزهایی که پیشتر از او هستند، نمی‌نگرد، آن چنان‌که ادراک حسّی در محسوسات، بلکه عین موضوعات خویش است؛ زیرا عقل نمی‌تواند تصاویری از موضوعات خود اخذ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تصاویر از کجا می‌توانند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موضوعات خویش در یک جاست و عین آنهاست و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با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بدین‌سان دانش مربوط به امور معقول هم با موضوعات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با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 و عین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عقلی به عنوان معرفت حقیقی، بسیار بحث‌برانگیز است، خصوصاً با توجّه به اینکه فلوطین از فهم یا ادراک جزء متفکّر روح، سخن گفته است به اینکه خود نوعی ادراک عقلی به شمار می‌رود و حداقل این است که ادراک، حسّی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تفاوت فهم و ادراک عقل را در تفاوت مدرک آنان جست‌وجو کرد؛ بدین معنا که عقل فقط ایده‌ها، مُثل و معقولات را درک می‌کند، اما فهم یا جزء متفکّر روح، تصویر معقولات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ادراک عقل، ادراک حقیقی و یقین که متعلّق به روح است، تصویر عقل به شمار آمده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تأمل‌برانگیز در معرفت‌شناسی فلوطین، تأکید او بر فعلیّت داشتن معقول یا موضوع اندیشه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فعلیّت داشتن موضوع اندیشه مورد توجّه قرار گرفته و اندیشیدن حقیقی بر آن متفرع شده است، بیانگر آن است که فعلیّت، متعلّق ادراک و معرفت یکی از شرایط حقیقی بودن ادراک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 که ظاهراً پیش از آن مورد توجّه قرار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در جمله‌ای که از فلوطین نقل شده، با عطف تفسیری به جدا نبودن از زندگی و هستی تفسیر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اندیشه، فعلی است و فعلیت دارد و جدا از زندگی و هستی نیست؛ بنابراین، اندیشیدن، حقیقی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علّت تأکید فلوطین بر اتّحاد، آن است که اگر معقولات بیرون از عقل باشد و با آن متّحد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ادراک حسّی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شناخت با مشکل روبه‌رو می‌شود؛ بدین سبب که معیار داوری و صدق در درون عقل قرار ندارد؛ چون بنا به فرض، معقول بیرون از عقل است و عقل هنگامی می‌تواند داوری کند که معقول و عقل و عاقل متّحد و در درون عقل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عقل باشد، وقتی که عقل آنها را ادراک کند، از کجا می‌تواند بفهمد که آنچه شناخته، همان عدالت یا زیبایی است؟ و بر فرض که همان باشد، تصویر ایده‌ها را شناخته است نه خود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شناخت تصویر شناخت حقیقت نیست، همان طور که ادراک حسّی، شناخت تصویر محسوس است، بدین سبب، عقیده و پندار به شمار می‌آید، نه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لازم می‌آید حقیقت نیز بیرون از عقل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اتّحاد برای فلوطین تا حدّی است که می‌گوید، اگر معقولات را بیرون از عقل بدانیم، نتیجه‌اش این است که نه تنها شناخت معقولات ممکن نباشد، بلکه حتی وجود آنها منتفی باشد و وجود آنها و حتی وجود عقل زیر سؤال رود و لباس عدم پوشد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نتیجة چنان پنداری این خواهد بود که معقولات ناشناختنی باشند و حتی وجود نداشته باشند، و علاوه بر این، خود عقل از میان برخیزد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دربارة نفس، ترجمه، تحقیق و تحشیة علیمراد داودی، چاپ چهارم، تهران، حکمت،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 الحکم و درر الکلم، ترجمه و شرح فارسی سیدهاشم موسوی محلاتی،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رسالی فی معرفی النفس الناطقی و احوالها،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فعّالی، ادراک حسّی از دیدگاه ابن سینا، قم، مرکز انتشارات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راس، ارسطو، ترجمة مهدی قوام‌صفری، تهران، فکر روز،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محمد فتحی عبدالله و میلاد ذکی غالی، ارسطو و المدارس المتأخره، توزیع منشآی المعارف بالاسکندریی، بی‌تا،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ماجد فخری، ارسطوطالیس، چاپ چهارم،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المشرق،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مع الشرح لنصیرالدین الطوسی و شرح الشرح لقطب‌الدین رازی، قم، نشر البلاغه،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النفس من کتاب الشفاء، تحقیق حسن حسن‌زاده آملی، قم، مرکز النشر التابع لمکتب الاعلام الاسلامی،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همو، النفس من کتاب الشفاء، تحقیق حسن حسن‌زاده آملی،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النفس من کتاب الشفاء، تحقیق حسن حسن‌زاده آملی،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النجای، چاپ دوم، نشر مکتبی المرتضویه،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النفس من کتاب الشفاء، تحقیق حسن حسن‌زاده آ‌ملی،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النفس من کتاب الشفاء، تحقیق حسن حسن‌زاده آملی،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با مقدمة ابراهیم مدکور، تحقیق الاب قنواتی و سعید زاید، تهران، ناصر خسرو،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همو،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تاریخ فلسفة 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از نظر ابن سینا صورت انسان غیر از نفس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وی، صورت، امری مادّی و نفس، امری مجرّد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مباحث بعد می‌آید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همو، النجای،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همو، المبدأ و المعاد، تهران، مؤسسة مطالعات اسلامی دانشگاه مک‌گیل شعبة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النفس من کتاب الشفاء، تحقیق حسن حسن‌زاده آملی،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همو،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قبلیّت، قبلیّت رتبی است، نه زمانی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النفس من کتاب الشفاء، تحقیق حسن حسن‌زاده آملی، مقالة چهارم، فصل چهارم،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نمط هفتم، فصل هفتم،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نمط سوم، فصل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دیوید راس، ارسطو، ترجمة مهدی قوام‌صفری،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نمط سوم، فصل نهم،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Anaxagoras</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قم، مکتبی آیی‌الله العظمی المرعشی،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منطق المشرقیین، قم، مکتبی آیی‌الله العظمی المرعشی،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الالفاظ المستعملی فی المنطق، ترجمه وشرح حسن ملکشاهی، تهران، 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التنقیح فی المنطق، تصحیح غلامرضا یاسی‌پور، با مقدمة دکتر احد فرامرز قراملکی، تهران، بنیاد حکمت اسلامی ملاصدرا،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خلدون، مقدمة تاریخ ابن خلدون، چاپ دوم، بیروت، دار 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کتاب مغالطه،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Heinrich Scholz</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منطق ارسطو به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لاتین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مع شرح نصیرالدین الطوسی، تحقیق سلیمان دنیا، بیروت، مؤسسی النعمان،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محمد شیرازی، التنقیح فی المنطق، تصحیح غلامرضا یاسی‌پور، با مقدمة دکتر احد فرامرز قراملکی، ص هشت و 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Vattier</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 و التنبیهات سرآغاز منطق‌نگاری دوبخشی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آیینة پژوهش، اردیبهشت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محمد شیرازی، الحکمی المتعالیه،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گفته شد که این تقسیم برای حفظ ساختار منطق ارسطو بوده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یاسین، المنطق السینوی، بیروت، دار الآفاق الجدیده،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النجای،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منطق ارسطو، تحقیق عبدالرحمان بدوی، بیروت،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کویت، وکالی المطبوعات،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تلخیص کتاب العباره، تحقیق محمود قاسم، مصر،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ملاعبدالله، الحاشیی علی تهذیب المنطق، قم، مؤسسی النشر الاسلامی،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تلخیص کتاب العباره، تحقیق محمود قاسم،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کلمه در اصطلاح فوق، فعل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رشد، تلخیص کتاب العباره، تحقیق محمود قاسم،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الکامل لمنطق ارسطو، تحقیق فرید جبر، بیروت، دار الفکر اللبنانی،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تلخیص کتاب العباره، تحقیق محمود قاسم،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النجای،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رشد، تلخیص کتاب العباره، تحقیق محمود قاسم،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ماکوولسکی، تاریخ منطق، ترجمة فریدون شایان، تهران، پیشرو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مرزبان،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رشد، تلخیص کتاب العباره، تحقیق محمود قاسم،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کتاب العباره،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همو،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النجای،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شهاب‌الدین سهروردی، مجموعه مصنّفات شیخ اشراق، تصحیح و مقدمة هانری کربن، تهران، پژوهشگاه علوم انسانی و مطالعات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جزئیات در نص ارسطو،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شیرازی، درّی التاج، تصحیح سیدمحمد مشکوی، چاپ سوم، تهران، حکمت،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کتاب العباری،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کتاب العباره،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خوانساری، فرهنگ اصطلاحات منطقی، چاپ چهارم، تهران، نشر پژوهشگاه،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اساس الاقتباس، تصحیح مدرس رضوی، چاپ چهارم، تهران، انتشارات دانشگاه تهران،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الکامل لمنطق ارسطو، تحقیق فرید جبر،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تلخیص کتاب قیاس، تحقیق محمود قاسم، مصر،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ماکوولسکی، تاریخ منطق، ترجمة فریدون شایان،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ابوالبرکات بغدادی، الکتاب المعتبر فی الحکمه، چاپ دوم، اصفهان، انتشارات دانشگاه اصفهان،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ماکوولسکی، تاریخ منطق، ترجمة فریدون شایان،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العباره،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تحقیق عبدالرحمان بدوی،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منطق المشرقیین،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القیاس،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النجای،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گل‌بابا سعیدی، قضایا در منطق ارسطویی و تحول آن در اسلام، تهران، مشکوی،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منطق ارسطو، کتاب قیاس، چاپ بیروت،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تحقیق سلیمان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هزارة ابن سینا، نشر کمیسیون ملّی یونسکو در ایران، نشریة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من کتاب الشفاء، تحقیق حسن حسن‌زاده آملی، قم، دفتر تبلیغات اسلامی حوزة علمیه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مرفت عزّت بالی، الاتّجاه الاشراقی فی فلسفی ابن سینا، بیروت، دارالجیل،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دائری المعارف الاسلامیه، ترجمة احمد الشنتناوی، ابراهیم زکی خورشید و عبدالحمید یونس، دارالفکر،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مرفت عزّت بالی، الاتجاه الاشراقی فی فلسفی ابن سینا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زیر نظر دکتر محمد معین، تهران،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ذیل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فرید رفاعی، عصر المأمون، چاپ دوم، مصر،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ناجی التکریتی، الفلسفی الاخلاقیه الافلاطونیه عند مفکری الاسلام، چاپ سوم، دار الشؤون الثقافی العامه،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فخری، سیر فلسفه در جهان اسلام، گروهی از مترجمان،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ابی‌اصیبعه، عیون الانباء فی طبقات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کامل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واژة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آقای پازوکی در ترجمة خدا و فلسفه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Absolute good</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نظریة فیض فارابی با نظریة ابن سینا تفاوتهایی وجود دارد؛ مثلاً صدور کثرت در عقل اوّل از نظر فارابی صورتی دوگانه، ولی از نظر ابن سینا، صورتی سه‌گانه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آراء اهل المدینی الفاضلی و مضاءتها، تعلیق و شرح بوملحم، بیروت، دار المکتبی الهلال،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الالهیات من کتاب الشفاء، تحقیق حسن حسن‌زاده آملی،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دیگر اتّحاد نفس فلوطین با عقل فعّال ابن سینا این است که نفس کلّی در نظر فلوطین، مبدأ نفوس فردی انسانی است و ابن سینا این نقش را برای عقل فعّال قائل است و آن را واهب‌الصور می‌نامد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 و روم،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ابن سینا، الالهیات من کتاب الشفاء، تحقیق حسن حسن‌زاده آملی،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دورة آثار فلوطین،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حنا الفاخوری و خلیل الجرّ، تاریخ فلسفه در جهان اسلامی، ترجمة عبدالمحمّد آیتی،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الالهیات من کتاب الشفاء، تحقیق حسن حسن‌زاده آملی،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ژیلسون، خدا و فلسفه، ترجمة شهرام پازوکی، تهران، حقیقت،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راس، ارسطو، ترجمة مهدی قوام‌صفری،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الالهیات من کتاب الشفاء، تحقیق حسن حسن‌زاده آملی،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Idea of Good</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اتین ژیلسون، خدا و فلسفه، ترجمة شهرام پازوکی،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اتین ژیلسون، خدا و فلسفه، ترجمة شهرام پازوکی،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بورمان، افلاطون، ترجمة محمدحسن لطفی،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تطبیق عالم عقول بر عالم فرشتگان،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در حقیقت و کیفیت سلسلة موجودات و تسلسل اسباب و مسببات، تصحیح موسی عمید، چاپ دوم،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دانشگاه بوعلی سینا و انجمن آثار مفاخر فرهنگی،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Demiourge</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Chaos</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Dêmiourgos</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demiurge</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خدا و فلسفه، ترجمة شهرام پازوکی،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مقدمة ابراهیم مدکور، تحقیق الاب قنواتی و سعید زاید؛ همو، الالهیات من کتاب الشفاء، تحقیق حسن حسن‌زاده آملی، مقالة هفتم، فصل دوم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الالهیات من کتاب الشفاء، تحقیق حسن حسن‌زاده آملی،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با مقدّمة ابراهیم مدکور، تحقیق الاب قنواتی و سعید زاید،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سخنی از افلاطون نقل شد که در آن، فاعل و علّت اصلی همة چیزهای موجود در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ایدة ایده‌ها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آثار افلاطون، ترجمة محمدحسن لطفی، ص</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سینا نیز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همة موجودات از او وجود گرفته‌اند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الالهیات من کتاب الشفاء، تحقیق حسن حسن‌زاده آملی،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فاعل همه است؛ یعنی موجودی است که هر وجودی فائض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موجود در ترجمة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Creater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در قوانین از آن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good–maker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لطفی در دورة آثار افلاطون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سازنده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مابعدالطبیعه، ترجمة محمدحسن لطفی،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دیوید راس، ارسطو، ترجمة مهدی قوام‌صفری،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النفس من کتاب الشفاء، تحقیق حسن حسن‌زاده آملی، مقالة اوّل، فصل اوّل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التعلیقات، تحقیق عبدالرحمان بدوی، قم، مرکز النشر مکتب الاعلام الاسلامی، بی‌تا،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من کتاب الشفاء، تحقیق حسن حسن‌زاده آملی، مقالة اول، فصل سوم؛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التعلیقات، تحقیق عبدالرحمان بدوی،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النفس من کتاب الشفاء، تحقیق حسن حسن‌زاده آملی، مقالة پنجم، فصل دوم و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در کتاب نفس، هفت دلیل بر تجرد نفس اقامه کرده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رسالة نفس، تحقیق موسی عمید، چاپ دوم، همدان، دانشگاه بوعلی و انجمن آثار و مفاخر فرهنگی،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الفن السادس من کتاب الشفاء، ترجمة اکبر داناسرشت،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رسالی الطیر، دو بال خرد، ترجمة شکوفه تقی، تهران، نشر مرکز، بی‌تا،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تو از جایگاهی بلند کبوتری گرانقدر و والا فرود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دیدن قصیده،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و خلیل الجرّ، تاریخ فلسفه در جهان اسلامی، ترجمة عبدالمحمد آیتی،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دربارة نفس، ترجمة علیمراد داودی،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Alexander Aphrodisien</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Zrabelta</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برن، ارسطو و حکمت مشاء، ترجمة سیدابوالقاسم پورحسینی، تهران،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خدا و فلسفه، ترجمة شهرام پازوکی،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رومی، مثنوی معنوی، تصحیح محمد رمضانی، چاپ دوم، تهران، خاور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دفتر چهارم، بیت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الهیات نجات، ترجمة سیدیحیی یثربی، تهران، فکر روز،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الحکمی المتعالیی فی الاسفار الاربعی العقلیه، چاپ چهارم، بیروت، دار احیاء التراث العربی،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ابن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ابن سینا، ترجمة ضیاءالدین درّی، چاپ دوم، چاپخانه و کتابخانة مرکزی،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نشر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شهاب‌الدین سهروردی، مجموعه مصنّفات، تصحیح، تحشیه و مقدمة نجفقلی حبیبی، چاپ سوم، تهران، پژوهشگاه علوم انسانی و مطالعات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رازی، الرسالی المعمولی فی التصوّر و التصدیق، تحقیق مهدی شریعتی، قم، مؤسسة اسماعیلیان،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مسعود کازرونی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قطب‌الدین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حکمی الاشراق، به اهتمام عبدالله نورانی و مهدی محقق، تهران، مؤسسة مطالعات اسلامی دانشگاه مک‌گیل شعبة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تعدیل المعیار فی نقد تنزیل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منطق و مباحث الفاظ، به اهتمام مهدی محقّق و توشی‌هیکو ایزوتسو، انتشارات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تصحیح و تعلیق عبدالرحمان عمیره، قم، منشورات شریف رضی،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ملاعبدالله، الحاشیی علی تهذیب المنطق،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اساس الاقتباس،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الشمسیه، به خط احمد تفرشی، چاپ افست، تهران، کتاب‌فروشی علمیة اسلامیه، بی‌تا،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فخرالدین رازی، منطق الملخص، مقدّمه، تحقیق و تعلیق احد فرامرز قراملکی و آدینه اصغری‌نژاد، تهران، انتشارات دانشگاه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الحاشیه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الحاشیی علی تهذیب المنطق، ملاعبدالله، قم، مؤسسی النشر الاسلامی،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خواجه نصیرالدین طوسی، اساس الاقتباس،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الرسالی المعمولی فی التصوّر و التصدیق،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مزبور یکی از رسائل دشوار در این مسئله است و فهم آن به سادگی میسور نیست؛ از این رو، اغلب محقّقانی که در این مسئله سخن گفته‌اند، یا به رسالة یادشده نپرداخته‌اند، یا اگر پرداخته‌اند تنها به ترجمة برخی عبارات آن اکتفا کرده، یا به برخی مطالب جنبی آن اشاره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تبیین کاملی از دیدگاه صدرا دربارة تصدیق، ارائه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یادشده در آخر الجوهر النضید با اشراف محسن بیدارفر، از سوی انتشارات بیدار در قم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رساله با تصحیح، تحقیق، تعلیق و مقدمة مهدی شریعتی در رسالتان فی التصوّر و التصدیق توسط مؤسسة اسماعیلیان در قم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رسالة مزبور نیز توسط دکتر مهدی حائری یزدی و تعلیقة او بر آن، با عنوان آگاهی و گواهی از سوی مؤسسة مطالعات و تحقیقات فرهنگی به چاپ رسیده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رابطة علم با معلوم را رابطة اتّحادی می‌داند و تفاوت آنها را یک امر اعتباری قلمداد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رسالی التصوّر و التصدیق، تحقیق مهدی شریعتی، قم، مؤسسة اسماعیلیان،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یک تقسیم به سه قسم تقسیم می‌شود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صدرالمتألهین تمام ماهیات نوعی را بسیطه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جنس و فصل از اجزای حدّی به شمار می‌آید، نه اجزای محدود و نوع؛ یعنی ذهن هرگاه بخواهد یک مفهوم نوعی را توضیح دهد، چاره‌ای ندارد جز اینکه از خود، دو مفهوم بسازد که با مفهوم نوعی مورد نظر مطابق باشد و این دو مفهوم را معرف حدّی برای آن مفهوم نوعی قرار دهد؛ بنابراین، ماهیّت نوعی دارای اجزا نیست، بلکه مفهوم حدّی آن دارای اجزاست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حد از اجزا تشکیل شده است، لازم نمی‌آید که محدود نیز مشتمل بر اجزا باشد؛ هرچند که حد و محدود هر دو از یک چیز حکایت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 الحکمی المتعالیی فی الاسفار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رسالی التصوّر و التصدیق،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چهارم از دیدگاه ملاصدرا، حکم خاصّی در این باب ندارد، اما براساس نظریة برخی دیگر، مانند کاتبی قزوینی همان‌گونه که گذشت، این صورت حاصله، تصوّری است که قسیم تصدیق به شمار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الشمسیه،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یزدی، آگاهی و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رسالة تصوّر و تصدیق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مؤسسة مطالعات و تحقیقات فرهنگی،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فصل اوّل، تعلیقة شمارة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شریعتی، رسالتان فی التصوّر و التصدیق،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مقاییس اللغه، تحقیق عبدالسلام محمد هارون، قم، مکتب الاعلام الاسلامی،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منظور، لسان العرب، چاپ سوم، لبنان، دار الصادر،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نفیسی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نفیسی، تهران، کتابفروشی خیام،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الرسالی المعمولی فی التصوّر و التصدیق،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الحکمی المتعالیی فی الاسفار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رسالی التصوّر و التصدیق،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قطب‌الدین رازی، الرسالی المعمولی فی التصوّر و التصدیق،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معنای سوم، اسامی دیگری نیز دارد که به برخی از آنها اشاره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النفس وجود الموضوع وجود المحمول؛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الشیء شیئاً أو سلب الشیء عن شیء؛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نسبت دادن چیزی به چیزی؛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به اتّحاد میان موضوع و محمول یا حکم به افتراق آن دو؛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انسانی، محمول را بر موضوع بار می‌کند یا محمول را از موضوع می‌گیرد؛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کردن نفس به ثبوت محمول برای موضوع یا سلب آن از موضوع؛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که فعل نفس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همو، الحکمی المتعالیی فی الاسفار الاربعه،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رسالی التصوّر و التصدیق،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چهار قول را در باب تصدیق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قول چهارم را که تصدیق به معنای اذعان و اقرار به مفاد قضیه باشد، اختیار کرده و با بیانهای گوناگون، آن را به اثبات رسانده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قطب‌الدین رازی، الرسالی المعمولی فی التصوّر و التصدیق،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دورة آثار افلاطون، ترجمة محمدحسن لطفی،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و روم، ترجمة سیدجلال‌الدین مجتبوی،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الحکمی المتعالیی فی الاسفار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الشواهد الربوبیه، با حواشی ملاهادی سبزواری، تصحیح، تعلیق و مقدمة سیدجلال‌الدین آشتیانی، چاپ دوم، المرکز الجامعی للنشر،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المشهد الثالث، الشاهد الاوّل، الاشراق التاسع،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اشراق دهم،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الحواسّ المختلفه الآلات کالجواسیس المختلفی الأخبار عن النواحی، یعدّ النفس للاطّلاع بتلک الصوری العقلیّی المجرّدی و الإحساسات الجزئیّی، إنّما تتکثّر بسبب اختلاف حرکات البدن لجلب المنافع و الخیرات و دفع الشرور و المضارّ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فبذلک ینتفع النفس بالحس ثمّ یعدّها ذلک لحصول تلک التصوّرات الأوّلیّی و التصدیقات الأوّلیّی ثمّ یتمزج بعضها ببعض و یتحصّل من هناک تصوّرات و تصدیقات مکتسبی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الحکمی المتعالیی فی الاسفار الاربعه،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موجود یمکن أن یعقل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کالحال فی المعقولات بالقوّی من الأجسام و غیره التی تحتاج فی معقولیّتها إلی نزع و تجرید مجرّد ینتزعها و یجرّدها عن المادّی و عن غواشیها، حتّی تصیر معقولی بالفعل بعد ما کانت معقولی بالقوّی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رسالی التصوّر و التصدیق،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الحکمی المتعالیی فی الاسفار الاربعه،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رسالی التصوّر و التصدیق،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حکم، تعابیر گوناگونی به کار می‌رود،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محمول برای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ایقاع نسبت حکمیه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الموضوع محمولاً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محمول را بر موضوع بار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تصوّرت الفرد القاعد جَزَأت الصوری المخزونی الواحدی إلی ذات و صفی ناعتی و تنبّهت أنّ الذات و الصفی توجدان بوجود واحد، فتحاکی ذلک بوضع بعض ما عندها من الذوات، ثمّ إحضار بعض ما عندها من الصفات الناعتی، ثمّ جعل الموضوع هو المحمول و إثبات المحمول للموضوع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کما تری، فعل من النفس و هو مع ذلک من العلم الحصولیّ المسانخ للموضوع و المحمول الذین هما معلومان للنفس علماً حصولیّاً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دومین یادنامة علامه طباطبایی، مؤسسة مطالعات و تحقیقات فرهنگی،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فصل هفتم،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الحکمی المتعالیی فی الاسفار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ملاعبدالله، الحاشیی علی تهذیب المنطق،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سعدالدین تفتازانی، شرح المقاصد، تصحیح و تعلیق عبدالرحمان عمیره،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الرسالی المعمولی فی التصوّر و التصدیق،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همو، شرح حکمی الاشراق،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شهاب‌الدین سهروردی، مجموعه مصنّفات شیخ اشراق، با تصحیح و تحشیه و مقدمة نجفقلی حبیبی،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شیرازی، شرح حکمی الاشراق، مؤسسة مطالعات اسلامی دانشگاه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همو، الرسالی المعمولی فی التصوّر و التصدیق،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دومین یادنامة علامه طباطبایی،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تعدیل المعیار فی نقد تنزیل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منطق و مباحث الفاظ،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شرح حکمی الاشراق،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همو، الرسالی المعمولی فی التصوّر و التصدیق،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رسالی التصوّر و التصدیق،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فعّالی، علوم پایه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بداهت، قم، دار الصادقین،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اگر به دقت بررسی شود، غیر از تصدیق منطقی است؛ زیرا این تعبیر، دربارة تصدیق لغوی و عرفی که در مقابل تکذیب قرار دارد، به کار می‌رود، نه برای تصدیق منطقی که در مقابل تصوّر قرار دارد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رازی، الرسالی المعمولی فی التصوّر و التصدیق،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قطب‌الدین شیرازی، شرح حکمی الاشراق،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3.jpeg"/><Relationship Id="rId68" Type="http://schemas.openxmlformats.org/officeDocument/2006/relationships/image" Target="media/image3.jpeg"/><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7.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84733</Words>
  <Characters>341996</Characters>
  <CharactersWithSpaces>423840</CharactersWithSpaces>
  <Paragraphs>3110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2026-08-19T03:38:13Z</dcterms:created>
  <dc:creator>ghaemiyeh.com</dc:creator>
  <dc:description/>
  <dc:language>en-US</dc:language>
  <cp:lastModifiedBy/>
  <dcterms:modified xsi:type="dcterms:W3CDTF">2026-08-19T07:08:25Z</dcterms:modified>
  <cp:revision>1</cp:revision>
  <dc:subject/>
  <dc:title>مجموعه مقالات معرفت شناسی</dc:title>
</cp:coreProperties>
</file>

<file path=docProps/custom.xml><?xml version="1.0" encoding="utf-8"?>
<Properties xmlns="http://schemas.openxmlformats.org/officeDocument/2006/custom-properties" xmlns:vt="http://schemas.openxmlformats.org/officeDocument/2006/docPropsVTypes"/>
</file>