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الطواف فی الطابق الاعلی من الکعبه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00759_58195312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600761_58195312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600763_581953129">
            <w:r>
              <w:rPr>
                <w:webHidden/>
                <w:rStyle w:val="IndexLink"/>
                <w:rtl w:val="true"/>
              </w:rPr>
              <w:t>تمهید</w:t>
            </w:r>
            <w:r>
              <w:rPr>
                <w:rStyle w:val="IndexLink"/>
                <w:rtl w:val="true"/>
              </w:rPr>
              <w:tab/>
            </w:r>
            <w:r>
              <w:rPr>
                <w:rStyle w:val="IndexLink"/>
              </w:rPr>
              <w:t>7</w:t>
            </w:r>
          </w:hyperlink>
        </w:p>
        <w:p>
          <w:pPr>
            <w:pStyle w:val="Contents2"/>
            <w:tabs>
              <w:tab w:val="clear" w:pos="8743"/>
              <w:tab w:val="right" w:pos="9026" w:leader="dot"/>
            </w:tabs>
            <w:rPr/>
          </w:pPr>
          <w:hyperlink w:anchor="__RefHeading___Toc2600765_581953129">
            <w:r>
              <w:rPr>
                <w:webHidden/>
                <w:rStyle w:val="IndexLink"/>
                <w:rtl w:val="true"/>
              </w:rPr>
              <w:t>علاقة البحث بفکرة حدّ المطاف</w:t>
            </w:r>
            <w:r>
              <w:rPr>
                <w:rStyle w:val="IndexLink"/>
                <w:rtl w:val="true"/>
              </w:rPr>
              <w:tab/>
            </w:r>
            <w:r>
              <w:rPr>
                <w:rStyle w:val="IndexLink"/>
              </w:rPr>
              <w:t>8</w:t>
            </w:r>
          </w:hyperlink>
        </w:p>
        <w:p>
          <w:pPr>
            <w:pStyle w:val="Contents2"/>
            <w:tabs>
              <w:tab w:val="clear" w:pos="8743"/>
              <w:tab w:val="right" w:pos="9026" w:leader="dot"/>
            </w:tabs>
            <w:rPr/>
          </w:pPr>
          <w:hyperlink w:anchor="__RefHeading___Toc2600767_581953129">
            <w:r>
              <w:rPr>
                <w:webHidden/>
                <w:rStyle w:val="IndexLink"/>
                <w:rtl w:val="true"/>
              </w:rPr>
              <w:t>علاقة البحث بمسألة الزیادة علی ارتفاع الکعبة</w:t>
            </w:r>
            <w:r>
              <w:rPr>
                <w:rStyle w:val="IndexLink"/>
                <w:rtl w:val="true"/>
              </w:rPr>
              <w:tab/>
            </w:r>
            <w:r>
              <w:rPr>
                <w:rStyle w:val="IndexLink"/>
              </w:rPr>
              <w:t>8</w:t>
            </w:r>
          </w:hyperlink>
        </w:p>
        <w:p>
          <w:pPr>
            <w:pStyle w:val="Contents2"/>
            <w:tabs>
              <w:tab w:val="clear" w:pos="8743"/>
              <w:tab w:val="right" w:pos="9026" w:leader="dot"/>
            </w:tabs>
            <w:rPr/>
          </w:pPr>
          <w:hyperlink w:anchor="__RefHeading___Toc2600769_581953129">
            <w:r>
              <w:rPr>
                <w:webHidden/>
                <w:rStyle w:val="IndexLink"/>
                <w:rtl w:val="true"/>
              </w:rPr>
              <w:t>جریان البحث فی الطواف الواجب والمندوب</w:t>
            </w:r>
            <w:r>
              <w:rPr>
                <w:rStyle w:val="IndexLink"/>
                <w:rtl w:val="true"/>
              </w:rPr>
              <w:tab/>
            </w:r>
            <w:r>
              <w:rPr>
                <w:rStyle w:val="IndexLink"/>
              </w:rPr>
              <w:t>10</w:t>
            </w:r>
          </w:hyperlink>
        </w:p>
        <w:p>
          <w:pPr>
            <w:pStyle w:val="Contents2"/>
            <w:tabs>
              <w:tab w:val="clear" w:pos="8743"/>
              <w:tab w:val="right" w:pos="9026" w:leader="dot"/>
            </w:tabs>
            <w:rPr/>
          </w:pPr>
          <w:hyperlink w:anchor="__RefHeading___Toc2600771_581953129">
            <w:r>
              <w:rPr>
                <w:webHidden/>
                <w:rStyle w:val="IndexLink"/>
                <w:rtl w:val="true"/>
              </w:rPr>
              <w:t>لزوم دخول جمیع أجزاء البدن فی المطاف، وعدمه</w:t>
            </w:r>
            <w:r>
              <w:rPr>
                <w:rStyle w:val="IndexLink"/>
                <w:rtl w:val="true"/>
              </w:rPr>
              <w:tab/>
            </w:r>
            <w:r>
              <w:rPr>
                <w:rStyle w:val="IndexLink"/>
              </w:rPr>
              <w:t>12</w:t>
            </w:r>
          </w:hyperlink>
        </w:p>
        <w:p>
          <w:pPr>
            <w:pStyle w:val="Contents2"/>
            <w:tabs>
              <w:tab w:val="clear" w:pos="8743"/>
              <w:tab w:val="right" w:pos="9026" w:leader="dot"/>
            </w:tabs>
            <w:rPr/>
          </w:pPr>
          <w:hyperlink w:anchor="__RefHeading___Toc2600773_581953129">
            <w:r>
              <w:rPr>
                <w:webHidden/>
                <w:rStyle w:val="IndexLink"/>
                <w:rtl w:val="true"/>
              </w:rPr>
              <w:t>حکم البناء فی مکّة المکرّمة مرتفعاً عن البیت</w:t>
            </w:r>
            <w:r>
              <w:rPr>
                <w:rStyle w:val="IndexLink"/>
                <w:rtl w:val="true"/>
              </w:rPr>
              <w:tab/>
            </w:r>
            <w:r>
              <w:rPr>
                <w:rStyle w:val="IndexLink"/>
              </w:rPr>
              <w:t>14</w:t>
            </w:r>
          </w:hyperlink>
        </w:p>
        <w:p>
          <w:pPr>
            <w:pStyle w:val="Contents2"/>
            <w:tabs>
              <w:tab w:val="clear" w:pos="8743"/>
              <w:tab w:val="right" w:pos="9026" w:leader="dot"/>
            </w:tabs>
            <w:rPr/>
          </w:pPr>
          <w:hyperlink w:anchor="__RefHeading___Toc2600775_581953129">
            <w:r>
              <w:rPr>
                <w:webHidden/>
                <w:rStyle w:val="IndexLink"/>
                <w:rtl w:val="true"/>
              </w:rPr>
              <w:t>فی شرطیة کون الطواف فی المسجد الحرام وعدمها</w:t>
            </w:r>
            <w:r>
              <w:rPr>
                <w:rStyle w:val="IndexLink"/>
                <w:rtl w:val="true"/>
              </w:rPr>
              <w:tab/>
            </w:r>
            <w:r>
              <w:rPr>
                <w:rStyle w:val="IndexLink"/>
              </w:rPr>
              <w:t>17</w:t>
            </w:r>
          </w:hyperlink>
        </w:p>
        <w:p>
          <w:pPr>
            <w:pStyle w:val="Contents2"/>
            <w:tabs>
              <w:tab w:val="clear" w:pos="8743"/>
              <w:tab w:val="right" w:pos="9026" w:leader="dot"/>
            </w:tabs>
            <w:rPr/>
          </w:pPr>
          <w:hyperlink w:anchor="__RefHeading___Toc2600777_581953129">
            <w:r>
              <w:rPr>
                <w:webHidden/>
                <w:rStyle w:val="IndexLink"/>
                <w:rtl w:val="true"/>
              </w:rPr>
              <w:t>اشکالات والأجوبة</w:t>
            </w:r>
            <w:r>
              <w:rPr>
                <w:rStyle w:val="IndexLink"/>
                <w:rtl w:val="true"/>
              </w:rPr>
              <w:tab/>
            </w:r>
            <w:r>
              <w:rPr>
                <w:rStyle w:val="IndexLink"/>
              </w:rPr>
              <w:t>31</w:t>
            </w:r>
          </w:hyperlink>
        </w:p>
        <w:p>
          <w:pPr>
            <w:pStyle w:val="Contents2"/>
            <w:tabs>
              <w:tab w:val="clear" w:pos="8743"/>
              <w:tab w:val="right" w:pos="9026" w:leader="dot"/>
            </w:tabs>
            <w:rPr/>
          </w:pPr>
          <w:hyperlink w:anchor="__RefHeading___Toc2600779_581953129">
            <w:r>
              <w:rPr>
                <w:webHidden/>
                <w:rStyle w:val="IndexLink"/>
                <w:rtl w:val="true"/>
              </w:rPr>
              <w:t>الطواف من الطابق الأعلی عند السنّة</w:t>
            </w:r>
            <w:r>
              <w:rPr>
                <w:rStyle w:val="IndexLink"/>
                <w:rtl w:val="true"/>
              </w:rPr>
              <w:tab/>
            </w:r>
            <w:r>
              <w:rPr>
                <w:rStyle w:val="IndexLink"/>
              </w:rPr>
              <w:t>40</w:t>
            </w:r>
          </w:hyperlink>
        </w:p>
        <w:p>
          <w:pPr>
            <w:pStyle w:val="Contents2"/>
            <w:tabs>
              <w:tab w:val="clear" w:pos="8743"/>
              <w:tab w:val="right" w:pos="9026" w:leader="dot"/>
            </w:tabs>
            <w:rPr/>
          </w:pPr>
          <w:hyperlink w:anchor="__RefHeading___Toc2600781_581953129">
            <w:r>
              <w:rPr>
                <w:webHidden/>
                <w:rStyle w:val="IndexLink"/>
                <w:rtl w:val="true"/>
              </w:rPr>
              <w:t>فروع ملحقة</w:t>
            </w:r>
            <w:r>
              <w:rPr>
                <w:rStyle w:val="IndexLink"/>
                <w:rtl w:val="true"/>
              </w:rPr>
              <w:tab/>
            </w:r>
            <w:r>
              <w:rPr>
                <w:rStyle w:val="IndexLink"/>
              </w:rPr>
              <w:t>42</w:t>
            </w:r>
          </w:hyperlink>
        </w:p>
        <w:p>
          <w:pPr>
            <w:pStyle w:val="Contents2"/>
            <w:tabs>
              <w:tab w:val="clear" w:pos="8743"/>
              <w:tab w:val="right" w:pos="9026" w:leader="dot"/>
            </w:tabs>
            <w:rPr/>
          </w:pPr>
          <w:hyperlink w:anchor="__RefHeading___Toc2600783_581953129">
            <w:r>
              <w:rPr>
                <w:webHidden/>
                <w:rStyle w:val="IndexLink"/>
                <w:rtl w:val="true"/>
              </w:rPr>
              <w:t>سوال و جواب</w:t>
            </w:r>
            <w:r>
              <w:rPr>
                <w:rStyle w:val="IndexLink"/>
                <w:rtl w:val="true"/>
              </w:rPr>
              <w:tab/>
            </w:r>
            <w:r>
              <w:rPr>
                <w:rStyle w:val="IndexLink"/>
              </w:rPr>
              <w:t>44</w:t>
            </w:r>
          </w:hyperlink>
        </w:p>
        <w:p>
          <w:pPr>
            <w:pStyle w:val="Contents2"/>
            <w:tabs>
              <w:tab w:val="clear" w:pos="8743"/>
              <w:tab w:val="right" w:pos="9026" w:leader="dot"/>
            </w:tabs>
            <w:rPr/>
          </w:pPr>
          <w:hyperlink w:anchor="__RefHeading___Toc2600785_581953129">
            <w:r>
              <w:rPr>
                <w:webHidden/>
                <w:rStyle w:val="IndexLink"/>
                <w:rtl w:val="true"/>
              </w:rPr>
              <w:t>خلاصة البحث، ونتیجة الدراسة</w:t>
            </w:r>
            <w:r>
              <w:rPr>
                <w:rStyle w:val="IndexLink"/>
                <w:rtl w:val="true"/>
              </w:rPr>
              <w:tab/>
            </w:r>
            <w:r>
              <w:rPr>
                <w:rStyle w:val="IndexLink"/>
              </w:rPr>
              <w:t>46</w:t>
            </w:r>
          </w:hyperlink>
        </w:p>
        <w:p>
          <w:pPr>
            <w:pStyle w:val="Contents2"/>
            <w:tabs>
              <w:tab w:val="clear" w:pos="8743"/>
              <w:tab w:val="right" w:pos="9026" w:leader="dot"/>
            </w:tabs>
            <w:rPr/>
          </w:pPr>
          <w:hyperlink w:anchor="__RefHeading___Toc2600787_581953129">
            <w:r>
              <w:rPr>
                <w:webHidden/>
                <w:rStyle w:val="IndexLink"/>
                <w:rtl w:val="true"/>
              </w:rPr>
              <w:t>خاتمة فی الجواب عن الشبهات</w:t>
            </w:r>
            <w:r>
              <w:rPr>
                <w:rStyle w:val="IndexLink"/>
                <w:rtl w:val="true"/>
              </w:rPr>
              <w:tab/>
            </w:r>
            <w:r>
              <w:rPr>
                <w:rStyle w:val="IndexLink"/>
              </w:rPr>
              <w:t>47</w:t>
            </w:r>
          </w:hyperlink>
        </w:p>
        <w:p>
          <w:pPr>
            <w:pStyle w:val="Contents2"/>
            <w:tabs>
              <w:tab w:val="clear" w:pos="8743"/>
              <w:tab w:val="right" w:pos="9026" w:leader="dot"/>
            </w:tabs>
            <w:rPr/>
          </w:pPr>
          <w:hyperlink w:anchor="__RefHeading___Toc2600789_581953129">
            <w:r>
              <w:rPr>
                <w:webHidden/>
                <w:rStyle w:val="IndexLink"/>
                <w:rtl w:val="true"/>
              </w:rPr>
              <w:t>فهرس المطالب</w:t>
            </w:r>
            <w:r>
              <w:rPr>
                <w:rStyle w:val="IndexLink"/>
                <w:rtl w:val="true"/>
              </w:rPr>
              <w:tab/>
            </w:r>
            <w:r>
              <w:rPr>
                <w:rStyle w:val="IndexLink"/>
              </w:rPr>
              <w:t>53</w:t>
            </w:r>
          </w:hyperlink>
        </w:p>
        <w:p>
          <w:pPr>
            <w:pStyle w:val="Contents2"/>
            <w:tabs>
              <w:tab w:val="clear" w:pos="8743"/>
              <w:tab w:val="right" w:pos="9026" w:leader="dot"/>
            </w:tabs>
            <w:rPr/>
          </w:pPr>
          <w:hyperlink w:anchor="__RefHeading___Toc2600791_581953129">
            <w:r>
              <w:rPr>
                <w:webHidden/>
                <w:rStyle w:val="IndexLink"/>
                <w:rtl w:val="true"/>
              </w:rPr>
              <w:t>فهرس المصادر</w:t>
            </w:r>
            <w:r>
              <w:rPr>
                <w:rStyle w:val="IndexLink"/>
                <w:rtl w:val="true"/>
              </w:rPr>
              <w:tab/>
            </w:r>
            <w:r>
              <w:rPr>
                <w:rStyle w:val="IndexLink"/>
              </w:rPr>
              <w:t>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54_31654"/>
      <w:bookmarkStart w:id="1" w:name="pg5554_31654"/>
      <w:bookmarkEnd w:id="1"/>
    </w:p>
    <w:p>
      <w:pPr>
        <w:pStyle w:val="Heading2"/>
        <w:numPr>
          <w:ilvl w:val="1"/>
          <w:numId w:val="1"/>
        </w:numPr>
        <w:rPr/>
      </w:pPr>
      <w:bookmarkStart w:id="2" w:name="pg5554_31654"/>
      <w:bookmarkStart w:id="3" w:name="__RefHeading___Toc2600759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فاضل‌لنکرانی، محمدجواد،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Fadhil Lankarani, Muhammad Jawad</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فی‌الطابق‌الاعلی من‌الکعبه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محمدجواد فاضل‌لنکرانی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ویراست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5694</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Circumambulation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۳۵۴۶۳۷۷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00761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الطواف فی‌الطابق‌الاعلی من‌الکعبه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محمدجواد فاضل‌لنکرانی</w:t>
      </w:r>
      <w:bookmarkStart w:id="7" w:name="pg5554_31663"/>
    </w:p>
    <w:p>
      <w:pPr>
        <w:pStyle w:val="Heading2"/>
        <w:numPr>
          <w:ilvl w:val="1"/>
          <w:numId w:val="1"/>
        </w:numPr>
        <w:rPr/>
      </w:pPr>
      <w:bookmarkStart w:id="8" w:name="__RefHeading___Toc2600763_581953129"/>
      <w:bookmarkStart w:id="9" w:name="_Toc3"/>
      <w:bookmarkEnd w:id="7"/>
      <w:bookmarkEnd w:id="8"/>
      <w:r>
        <w:rPr>
          <w:rtl w:val="true"/>
        </w:rPr>
        <w:t>تمهید</w:t>
      </w:r>
      <w:bookmarkEnd w:id="9"/>
    </w:p>
    <w:p>
      <w:pPr>
        <w:pStyle w:val="BookText"/>
        <w:rPr/>
      </w:pPr>
      <w:r>
        <w:rPr>
          <w:rFonts w:ascii="IRNazanin" w:hAnsi="IRNazanin" w:eastAsia="IRNazanin"/>
          <w:color w:val="111111"/>
          <w:sz w:val="28"/>
          <w:sz w:val="28"/>
          <w:szCs w:val="28"/>
          <w:rtl w:val="true"/>
          <w:lang w:bidi="fa-IR"/>
        </w:rPr>
        <w:t>الحمد للّه‌ربّ العالمین،</w:t>
      </w:r>
    </w:p>
    <w:p>
      <w:pPr>
        <w:pStyle w:val="BookText"/>
        <w:rPr/>
      </w:pPr>
      <w:r>
        <w:rPr>
          <w:rFonts w:ascii="Amiri" w:hAnsi="Amiri" w:eastAsia="Amiri" w:cs="Amiri"/>
          <w:color w:val="111111"/>
          <w:sz w:val="28"/>
          <w:sz w:val="28"/>
          <w:szCs w:val="28"/>
          <w:rtl w:val="true"/>
          <w:lang w:bidi="ar-SA"/>
        </w:rPr>
        <w:t>وصلّی اللّه علی نبیّنا محمّد وآله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وقع الخلاف فی عصرنا هذا فی صحّة الطواف من الطابق الأوّل الذی فوق الطابق الأرضی، وعدمها، کما اختلفت وجهات النظر فی جواز الطواف تحت الأرض بحذاء الکعبة فیما إذا بنیت أبنیة تحت أرض المسجد، وعدمه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الجواز، هل یکون الترخّص منحصراً بما إذا لم یقدر علی الطواف فی صحن المسجد، کما إذا کان الزحام کثیراً، أو لم یکن قادراً علی المشی فی الصحن؛ لعدم التمکّن والاحتیاج إلی الإطافة بالآلات الموجودة، أو لوجود المانع العرضی عن ذلک، أم لا یکون منحصراً بذلک؛ بمعنی</w:t>
      </w:r>
      <w:bookmarkStart w:id="10" w:name="pg5554_31665"/>
    </w:p>
    <w:p>
      <w:pPr>
        <w:pStyle w:val="BookText"/>
        <w:rPr/>
      </w:pPr>
      <w:bookmarkEnd w:id="10"/>
      <w:r>
        <w:rPr>
          <w:rFonts w:ascii="IRNazanin" w:hAnsi="IRNazanin" w:eastAsia="IRNazanin"/>
          <w:color w:val="111111"/>
          <w:sz w:val="28"/>
          <w:sz w:val="28"/>
          <w:szCs w:val="28"/>
          <w:rtl w:val="true"/>
          <w:lang w:bidi="fa-IR"/>
        </w:rPr>
        <w:t>أن الطائف یتخیّر بدواً بین الطواف فیه، والطواف فی الطابق الأوّل؟</w:t>
      </w:r>
    </w:p>
    <w:p>
      <w:pPr>
        <w:pStyle w:val="BookText"/>
        <w:rPr/>
      </w:pPr>
      <w:r>
        <w:rPr>
          <w:rFonts w:ascii="IRNazanin" w:hAnsi="IRNazanin" w:eastAsia="IRNazanin"/>
          <w:color w:val="111111"/>
          <w:sz w:val="28"/>
          <w:sz w:val="28"/>
          <w:szCs w:val="28"/>
          <w:rtl w:val="true"/>
          <w:lang w:bidi="fa-IR"/>
        </w:rPr>
        <w:t>والتحقیق حول هذا البحث یقع ضمن محاور</w:t>
      </w:r>
      <w:r>
        <w:rPr>
          <w:rFonts w:eastAsia="IRNazanin" w:cs="IRNazanin"/>
          <w:color w:val="111111"/>
          <w:sz w:val="28"/>
          <w:szCs w:val="28"/>
          <w:rtl w:val="true"/>
          <w:lang w:bidi="fa-IR"/>
        </w:rPr>
        <w:t>:</w:t>
      </w:r>
    </w:p>
    <w:p>
      <w:pPr>
        <w:pStyle w:val="Heading2"/>
        <w:numPr>
          <w:ilvl w:val="1"/>
          <w:numId w:val="1"/>
        </w:numPr>
        <w:rPr/>
      </w:pPr>
      <w:bookmarkStart w:id="11" w:name="__RefHeading___Toc2600765_581953129"/>
      <w:bookmarkStart w:id="12" w:name="_Toc4"/>
      <w:bookmarkEnd w:id="11"/>
      <w:r>
        <w:rPr>
          <w:rtl w:val="true"/>
        </w:rPr>
        <w:t>علاقة البحث بفکرة حدّ المطاف</w:t>
      </w:r>
      <w:bookmarkEnd w:id="1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الواضح دخول من ذهب إلی عدم وجود حدّ للمطاف فی هذا النزاع، لکن هل یدخل فیه من ذهب إلی وجود حدّ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کالمشهور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pStyle w:val="BookText"/>
        <w:rPr/>
      </w:pPr>
      <w:r>
        <w:rPr>
          <w:rFonts w:ascii="IRNazanin" w:hAnsi="IRNazanin" w:eastAsia="IRNazanin"/>
          <w:color w:val="111111"/>
          <w:sz w:val="28"/>
          <w:sz w:val="28"/>
          <w:szCs w:val="28"/>
          <w:rtl w:val="true"/>
          <w:lang w:bidi="fa-IR"/>
        </w:rPr>
        <w:t>الظاهر دخولهم فی محلّ البحث، وذلک بأن یفرض فیما إذا بنی فی نفس الحدّ الطابق الأوّل والثانی، حال کونهما مرتفعین عن البیت أو مساویین، إلّاأنّ المشکلة أنّه لا واقع لهذا الفرض فی زماننا هذا</w:t>
      </w:r>
      <w:r>
        <w:rPr>
          <w:rFonts w:eastAsia="IRNazanin" w:cs="IRNazanin"/>
          <w:color w:val="111111"/>
          <w:sz w:val="28"/>
          <w:szCs w:val="28"/>
          <w:rtl w:val="true"/>
          <w:lang w:bidi="fa-IR"/>
        </w:rPr>
        <w:t>.</w:t>
      </w:r>
    </w:p>
    <w:p>
      <w:pPr>
        <w:pStyle w:val="Heading2"/>
        <w:numPr>
          <w:ilvl w:val="1"/>
          <w:numId w:val="1"/>
        </w:numPr>
        <w:rPr/>
      </w:pPr>
      <w:bookmarkStart w:id="13" w:name="__RefHeading___Toc2600767_581953129"/>
      <w:bookmarkStart w:id="14" w:name="_Toc5"/>
      <w:bookmarkEnd w:id="13"/>
      <w:r>
        <w:rPr>
          <w:rtl w:val="true"/>
        </w:rPr>
        <w:t>علاقة البحث بمسألة الزیادة علی ارتفاع الکعبة</w:t>
      </w:r>
      <w:bookmarkEnd w:id="1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الخلاف فی جواز الإضافة وعدمه، من جهة الارتفاع علی البیت الشریف، وذلک بعد المفروغیّة عن أنّه لا یجوز التنقیص أو التخریب فیه، فبناءً علی جواز الإضافة، إذا تحقّقت الإضافة مثلاً إلی حدّ یصیر ضعف</w:t>
      </w:r>
    </w:p>
    <w:p>
      <w:pPr>
        <w:pStyle w:val="BookText"/>
        <w:rPr/>
      </w:pPr>
      <w:r>
        <w:rPr>
          <w:rFonts w:ascii="IRNazanin" w:hAnsi="IRNazanin" w:eastAsia="IRNazanin"/>
          <w:color w:val="111111"/>
          <w:sz w:val="28"/>
          <w:sz w:val="28"/>
          <w:szCs w:val="28"/>
          <w:rtl w:val="true"/>
          <w:lang w:bidi="fa-IR"/>
        </w:rPr>
        <w:t xml:space="preserve">الموجود الآن، أو أکثر، فلاشکّ فی جواز الطواف حوله وإن علا، 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الجواز وعدم تحقّق الإضافة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النزاع فی جواز الطواف بالنسبة إلی محلّ یکون أعلی من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ذهبنا إلی عدم جواز الإضافة إلی البیت، فالظاهر عدم الخلاف فی عدم الجواز بالنسبة إلی ما یکون فوق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إلّاأن یقال أن عدم الجواز تکلیفاً لا ینافی صحّة الطواف وضعاً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جواز الإضافة؛ فإنّه مضافاً إلی الأصل وإلی أنّه لو کان رفع الکعبة ممنوعاً لکان مذکوراً من ناحیة الشارع وبعبارة اخری إنّ الشارع لم یذکر للکعبة حدّاً من ناحیة الارتفاع وهذه قرینة علی جواز الاضافة، وإلی أنّ البیت کسائر الأمکنة والأبنیة، فکما تجوز الإضافة مثلاً إلی المسجد، کذلک تجوز إلی نفس البیت، ولاینبغی التوهّم أنّه من الاُمور التوقیفیّة، کالأحکام التعبّدیة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علیه بعض الروایات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عدّة من أصحابنا، عن أحمد بن محمّد، عن سعید بن جناح، عن عدّة من أصحابنا،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الکعبة علی عهد إبراهیم علیه السلام تسعة أذرع، وکان لها بابان، فبناها عبداللّه بن زبیر فرفعها ثمانیة عشر ذراعاً، فهدمها الحجّاج وبناها سبعة</w:t>
      </w:r>
      <w:bookmarkStart w:id="15" w:name="pg5554_31668"/>
    </w:p>
    <w:p>
      <w:pPr>
        <w:pStyle w:val="BookText"/>
        <w:rPr/>
      </w:pPr>
      <w:bookmarkEnd w:id="15"/>
      <w:r>
        <w:rPr>
          <w:rFonts w:ascii="IRNazanin" w:hAnsi="IRNazanin" w:eastAsia="IRNazanin"/>
          <w:color w:val="111111"/>
          <w:sz w:val="28"/>
          <w:sz w:val="28"/>
          <w:szCs w:val="28"/>
          <w:rtl w:val="true"/>
          <w:lang w:bidi="fa-IR"/>
        </w:rPr>
        <w:t>وعشرین ذراعاً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وتقریب الاستدلال بها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ردع الإمام علیه السلام عن ازدیاد ارتفاع الکعبة من قبل ابن الزبیر ثمّ ا لحجّاج یدلّ علی جواز الإضافة من جهة الارتفاع إلی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الروایة غیر معتبرة من جهة اشتمالها علی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مشترک بین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وسعید بن جناح؛ فإنّه وإن کان مورداً لتوثیق النجاشی</w:t>
      </w:r>
      <w:r>
        <w:rPr>
          <w:rStyle w:val="FootnoteAnchor"/>
          <w:rtl w:val="true"/>
        </w:rPr>
        <w:footnoteReference w:id="4"/>
      </w:r>
      <w:r>
        <w:rPr>
          <w:rFonts w:ascii="IRNazanin" w:hAnsi="IRNazanin" w:eastAsia="IRNazanin"/>
          <w:color w:val="111111"/>
          <w:sz w:val="28"/>
          <w:sz w:val="28"/>
          <w:szCs w:val="28"/>
          <w:rtl w:val="true"/>
          <w:lang w:bidi="fa-IR"/>
        </w:rPr>
        <w:t>، وموجوداً فی أسناد کامل الزیارات</w:t>
      </w:r>
      <w:r>
        <w:rPr>
          <w:rStyle w:val="FootnoteAnchor"/>
          <w:rtl w:val="true"/>
        </w:rPr>
        <w:footnoteReference w:id="5"/>
      </w:r>
      <w:r>
        <w:rPr>
          <w:rFonts w:ascii="IRNazanin" w:hAnsi="IRNazanin" w:eastAsia="IRNazanin"/>
          <w:color w:val="111111"/>
          <w:sz w:val="28"/>
          <w:sz w:val="28"/>
          <w:szCs w:val="28"/>
          <w:rtl w:val="true"/>
          <w:lang w:bidi="fa-IR"/>
        </w:rPr>
        <w:t>، إلّاأنّه لم یعلم المروی عنه، ومعه لایصحّ الاستناد إلی الروایة المذکورة</w:t>
      </w:r>
      <w:r>
        <w:rPr>
          <w:rFonts w:eastAsia="IRNazanin" w:cs="IRNazanin"/>
          <w:color w:val="111111"/>
          <w:sz w:val="28"/>
          <w:szCs w:val="28"/>
          <w:rtl w:val="true"/>
          <w:lang w:bidi="fa-IR"/>
        </w:rPr>
        <w:t>.</w:t>
      </w:r>
    </w:p>
    <w:p>
      <w:pPr>
        <w:pStyle w:val="Heading2"/>
        <w:numPr>
          <w:ilvl w:val="1"/>
          <w:numId w:val="1"/>
        </w:numPr>
        <w:rPr/>
      </w:pPr>
      <w:bookmarkStart w:id="16" w:name="__RefHeading___Toc2600769_581953129"/>
      <w:bookmarkStart w:id="17" w:name="_Toc6"/>
      <w:bookmarkEnd w:id="16"/>
      <w:r>
        <w:rPr>
          <w:rtl w:val="true"/>
        </w:rPr>
        <w:t>جریان البحث فی الطواف الواجب والمندوب</w:t>
      </w:r>
      <w:bookmarkEnd w:id="17"/>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اختصاص النزاع بالطواف الواجب، بل یجری فی الطواف المندوب أیضاً، کما أنّه علی القول بوجود حدّ للمطاف، وهو ما بین البیت والمقام، لاشکّ فی لزوم مراعاته فی الطواف المندوب</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ویدلّ علیه إطلاق ما دلّ علی الحدّ، وأنّ الطائف</w:t>
      </w:r>
    </w:p>
    <w:p>
      <w:pPr>
        <w:pStyle w:val="BookText"/>
        <w:rPr/>
      </w:pPr>
      <w:r>
        <w:rPr>
          <w:rFonts w:ascii="IRNazanin" w:hAnsi="IRNazanin" w:eastAsia="IRNazanin"/>
          <w:color w:val="111111"/>
          <w:sz w:val="28"/>
          <w:sz w:val="28"/>
          <w:szCs w:val="28"/>
          <w:rtl w:val="true"/>
          <w:lang w:bidi="fa-IR"/>
        </w:rPr>
        <w:t>الخارج عن هذا الحدّ لیس بطائف</w:t>
      </w:r>
      <w:r>
        <w:rPr>
          <w:rStyle w:val="FootnoteAnchor"/>
          <w:rtl w:val="true"/>
        </w:rPr>
        <w:footnoteReference w:id="6"/>
      </w:r>
      <w:r>
        <w:rPr>
          <w:rFonts w:ascii="IRNazanin" w:hAnsi="IRNazanin" w:eastAsia="IRNazanin"/>
          <w:color w:val="111111"/>
          <w:sz w:val="28"/>
          <w:sz w:val="28"/>
          <w:szCs w:val="28"/>
          <w:rtl w:val="true"/>
          <w:lang w:bidi="fa-IR"/>
        </w:rPr>
        <w:t>، والانصراف إلی الواجب لا وجه له أصلاً، کما أنّه لا دلیل علی تقیید الإطلاق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یستفاد من بعض الأدلّة أنّه فرق بین الطواف الواجب والمندوب، أهمّها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الطهارة فی الطواف المستحبّ</w:t>
      </w:r>
      <w:r>
        <w:rPr>
          <w:rStyle w:val="FootnoteAnchor"/>
          <w:rtl w:val="true"/>
        </w:rPr>
        <w:footnoteReference w:id="7"/>
      </w:r>
      <w:r>
        <w:rPr>
          <w:rFonts w:ascii="IRNazanin" w:hAnsi="IRNazanin" w:eastAsia="IRNazanin"/>
          <w:color w:val="111111"/>
          <w:sz w:val="28"/>
          <w:sz w:val="28"/>
          <w:szCs w:val="28"/>
          <w:rtl w:val="true"/>
          <w:lang w:bidi="fa-IR"/>
        </w:rPr>
        <w:t>، کما تدلّ علیه الروایات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أحدهما علیهما السلام عن رجل طاف طواف الفریضة وهو علی غیر طهور؟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یتوضّأ ویعید الطواف، وإن کان تطوّعاً توضّأ وصلّی رکعتین</w:t>
      </w:r>
      <w:r>
        <w:rPr>
          <w:rStyle w:val="FootnoteAnchor"/>
          <w:rtl w:val="true"/>
        </w:rPr>
        <w:footnoteReference w:id="8"/>
      </w:r>
      <w:r>
        <w:rPr>
          <w:rFonts w:ascii="IRNazanin" w:hAnsi="IRNazanin" w:eastAsia="IRNazanin"/>
          <w:color w:val="111111"/>
          <w:sz w:val="28"/>
          <w:sz w:val="28"/>
          <w:szCs w:val="28"/>
          <w:rtl w:val="true"/>
          <w:lang w:bidi="fa-IR"/>
        </w:rPr>
        <w:t>، خلافاً لأبی الصلاح</w:t>
      </w:r>
      <w:r>
        <w:rPr>
          <w:rStyle w:val="FootnoteAnchor"/>
          <w:rtl w:val="true"/>
        </w:rPr>
        <w:footnoteReference w:id="9"/>
      </w:r>
      <w:r>
        <w:rPr>
          <w:rFonts w:ascii="IRNazanin" w:hAnsi="IRNazanin" w:eastAsia="IRNazanin"/>
          <w:color w:val="111111"/>
          <w:sz w:val="28"/>
          <w:sz w:val="28"/>
          <w:szCs w:val="28"/>
          <w:rtl w:val="true"/>
          <w:lang w:bidi="fa-IR"/>
        </w:rPr>
        <w:t>؛ فإنّه ذهب إلی وجوبها فیه أیضاً؛ لإطلاق بعض النصوص</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قطع الطواف المندوب عمداً علی قول جمع</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bookmarkStart w:id="18" w:name="pg5554_31672"/>
    </w:p>
    <w:p>
      <w:pPr>
        <w:pStyle w:val="BookText"/>
        <w:rPr/>
      </w:pPr>
      <w:bookmarkEnd w:id="18"/>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الزیادة علی السبع فی الطواف المندوب بخلاف الواجب</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 w:name="__RefHeading___Toc2600771_581953129"/>
      <w:bookmarkStart w:id="20" w:name="_Toc7"/>
      <w:bookmarkEnd w:id="19"/>
      <w:r>
        <w:rPr>
          <w:rtl w:val="true"/>
        </w:rPr>
        <w:t>لزوم دخول جمیع أجزاء البدن فی المطاف، وعدمه</w:t>
      </w:r>
      <w:bookmarkEnd w:id="20"/>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دخول جمیع أجزاء بدن الطائف فی المطاف؟ وهل یکفی دخول معظم أجزائه بحیث یصدق عرفاً أنّه یطوف، أم لا؟</w:t>
      </w:r>
    </w:p>
    <w:p>
      <w:pPr>
        <w:pStyle w:val="BookText"/>
        <w:rPr/>
      </w:pPr>
      <w:r>
        <w:rPr>
          <w:rFonts w:ascii="IRNazanin" w:hAnsi="IRNazanin" w:eastAsia="IRNazanin"/>
          <w:color w:val="111111"/>
          <w:sz w:val="28"/>
          <w:sz w:val="28"/>
          <w:szCs w:val="28"/>
          <w:rtl w:val="true"/>
          <w:lang w:bidi="fa-IR"/>
        </w:rPr>
        <w:t>الظاهر کفایة الصدق العرفی فی ذلک، والعرف یحکم بأنّه إذا کان معظم أجزائه داخلاً فی المطاف، یصحّ طوافه وإن کان رأسه مثلاً أعلی من البیت، ولا دلیل علی لزوم کون جمیع الأجزاء داخلة فیه، وقد صرّح صاحب الجواهر فی مسألة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یکفی صدق الاستقبال وإن خرج بعض أجزاء البدن عن جهة الکعبة، ولا یلزم فی صدقه کون جمیع أجزاء البدن داخلاً فی جهة القبلة، وهذا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إذا أمر بالاستقبال کفی فی الامتثال تحقّق هذا العنوان عرفاً، وصدقه فی الخارج کذلک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عبارته،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وکیفیّة‌استقبالها أمر عرفیّ لا مدخلیّة للشرع فیه، والظاهر تحقّق الصدق وإن خرج بعض أجزاء البدن التی لامدخلیّة لها فی صدق کون</w:t>
      </w:r>
    </w:p>
    <w:p>
      <w:pPr>
        <w:pStyle w:val="BookText"/>
        <w:rPr/>
      </w:pPr>
      <w:r>
        <w:rPr>
          <w:rFonts w:ascii="IRNazanin" w:hAnsi="IRNazanin" w:eastAsia="IRNazanin"/>
          <w:color w:val="111111"/>
          <w:sz w:val="28"/>
          <w:sz w:val="28"/>
          <w:szCs w:val="28"/>
          <w:rtl w:val="true"/>
          <w:lang w:bidi="fa-IR"/>
        </w:rPr>
        <w:t>الشخص مستقبلاً، وحالته استقبالاً، من غیر فرق فی ذلک بین القریب والبعید، لکن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خرج بعض بدنه عن جهة الکعبة بطلت صلاته</w:t>
      </w:r>
      <w:r>
        <w:rPr>
          <w:rStyle w:val="FootnoteAnchor"/>
          <w:rtl w:val="true"/>
        </w:rPr>
        <w:footnoteReference w:id="12"/>
      </w:r>
      <w:r>
        <w:rPr>
          <w:rFonts w:ascii="IRNazanin" w:hAnsi="IRNazanin" w:eastAsia="IRNazanin"/>
          <w:color w:val="111111"/>
          <w:sz w:val="28"/>
          <w:sz w:val="28"/>
          <w:szCs w:val="28"/>
          <w:rtl w:val="true"/>
          <w:lang w:bidi="fa-IR"/>
        </w:rPr>
        <w:t>، بل قیل</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کذلک، فی نهایة الإحکام</w:t>
      </w:r>
      <w:r>
        <w:rPr>
          <w:rStyle w:val="FootnoteAnchor"/>
          <w:rtl w:val="true"/>
        </w:rPr>
        <w:footnoteReference w:id="14"/>
      </w:r>
      <w:r>
        <w:rPr>
          <w:rFonts w:ascii="IRNazanin" w:hAnsi="IRNazanin" w:eastAsia="IRNazanin"/>
          <w:color w:val="111111"/>
          <w:sz w:val="28"/>
          <w:sz w:val="28"/>
          <w:szCs w:val="28"/>
          <w:rtl w:val="true"/>
          <w:lang w:bidi="fa-IR"/>
        </w:rPr>
        <w:t>، والتحریر</w:t>
      </w:r>
      <w:r>
        <w:rPr>
          <w:rStyle w:val="FootnoteAnchor"/>
          <w:rtl w:val="true"/>
        </w:rPr>
        <w:footnoteReference w:id="15"/>
      </w:r>
      <w:r>
        <w:rPr>
          <w:rFonts w:ascii="IRNazanin" w:hAnsi="IRNazanin" w:eastAsia="IRNazanin"/>
          <w:color w:val="111111"/>
          <w:sz w:val="28"/>
          <w:sz w:val="28"/>
          <w:szCs w:val="28"/>
          <w:rtl w:val="true"/>
          <w:lang w:bidi="fa-IR"/>
        </w:rPr>
        <w:t>، والتذکرة</w:t>
      </w:r>
      <w:r>
        <w:rPr>
          <w:rStyle w:val="FootnoteAnchor"/>
          <w:rtl w:val="true"/>
        </w:rPr>
        <w:footnoteReference w:id="16"/>
      </w:r>
      <w:r>
        <w:rPr>
          <w:rFonts w:ascii="IRNazanin" w:hAnsi="IRNazanin" w:eastAsia="IRNazanin"/>
          <w:color w:val="111111"/>
          <w:sz w:val="28"/>
          <w:sz w:val="28"/>
          <w:szCs w:val="28"/>
          <w:rtl w:val="true"/>
          <w:lang w:bidi="fa-IR"/>
        </w:rPr>
        <w:t>، والذکری</w:t>
      </w:r>
      <w:r>
        <w:rPr>
          <w:rStyle w:val="FootnoteAnchor"/>
          <w:rtl w:val="true"/>
        </w:rPr>
        <w:footnoteReference w:id="17"/>
      </w:r>
      <w:r>
        <w:rPr>
          <w:rFonts w:ascii="IRNazanin" w:hAnsi="IRNazanin" w:eastAsia="IRNazanin"/>
          <w:color w:val="111111"/>
          <w:sz w:val="28"/>
          <w:sz w:val="28"/>
          <w:szCs w:val="28"/>
          <w:rtl w:val="true"/>
          <w:lang w:bidi="fa-IR"/>
        </w:rPr>
        <w:t>، والبیان</w:t>
      </w:r>
      <w:r>
        <w:rPr>
          <w:rStyle w:val="FootnoteAnchor"/>
          <w:rtl w:val="true"/>
        </w:rPr>
        <w:footnoteReference w:id="18"/>
      </w:r>
      <w:r>
        <w:rPr>
          <w:rFonts w:ascii="IRNazanin" w:hAnsi="IRNazanin" w:eastAsia="IRNazanin"/>
          <w:color w:val="111111"/>
          <w:sz w:val="28"/>
          <w:sz w:val="28"/>
          <w:szCs w:val="28"/>
          <w:rtl w:val="true"/>
          <w:lang w:bidi="fa-IR"/>
        </w:rPr>
        <w:t>، والموجز</w:t>
      </w:r>
      <w:r>
        <w:rPr>
          <w:rStyle w:val="FootnoteAnchor"/>
          <w:rtl w:val="true"/>
        </w:rPr>
        <w:footnoteReference w:id="19"/>
      </w:r>
      <w:r>
        <w:rPr>
          <w:rFonts w:ascii="IRNazanin" w:hAnsi="IRNazanin" w:eastAsia="IRNazanin"/>
          <w:color w:val="111111"/>
          <w:sz w:val="28"/>
          <w:sz w:val="28"/>
          <w:szCs w:val="28"/>
          <w:rtl w:val="true"/>
          <w:lang w:bidi="fa-IR"/>
        </w:rPr>
        <w:t>، وکشف الالتباس</w:t>
      </w:r>
      <w:r>
        <w:rPr>
          <w:rStyle w:val="FootnoteAnchor"/>
          <w:rtl w:val="true"/>
        </w:rPr>
        <w:footnoteReference w:id="20"/>
      </w:r>
      <w:r>
        <w:rPr>
          <w:rFonts w:ascii="IRNazanin" w:hAnsi="IRNazanin" w:eastAsia="IRNazanin"/>
          <w:color w:val="111111"/>
          <w:sz w:val="28"/>
          <w:sz w:val="28"/>
          <w:szCs w:val="28"/>
          <w:rtl w:val="true"/>
          <w:lang w:bidi="fa-IR"/>
        </w:rPr>
        <w:t>، و جامع المقاصد</w:t>
      </w:r>
      <w:r>
        <w:rPr>
          <w:rStyle w:val="FootnoteAnchor"/>
          <w:rtl w:val="true"/>
        </w:rPr>
        <w:footnoteReference w:id="21"/>
      </w:r>
      <w:r>
        <w:rPr>
          <w:rFonts w:ascii="IRNazanin" w:hAnsi="IRNazanin" w:eastAsia="IRNazanin"/>
          <w:color w:val="111111"/>
          <w:sz w:val="28"/>
          <w:sz w:val="28"/>
          <w:szCs w:val="28"/>
          <w:rtl w:val="true"/>
          <w:lang w:bidi="fa-IR"/>
        </w:rPr>
        <w:t xml:space="preserve">، و فوائد القواعد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والتحقیق عدم اشتراط ما یزید علی صدق الاستقبال؛ للأصل وإطلاق الأدلّة والسیرة القطعیّة فی استقبال القبلة، ودعوی توقّف الصدق المزبور علی الاستقبال بجمیع أجزاء البدن یکذّبها الوجدان فیما لم یذکر فیه متعلّق الأمر بالاستقبال جمیع البدن، بل اقتصر علی قوله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استقبل</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bookmarkStart w:id="21" w:name="pg5554_31676"/>
    </w:p>
    <w:p>
      <w:pPr>
        <w:pStyle w:val="BookText"/>
        <w:rPr/>
      </w:pPr>
      <w:bookmarkEnd w:id="21"/>
      <w:r>
        <w:rPr>
          <w:rFonts w:ascii="IRNazanin" w:hAnsi="IRNazanin" w:eastAsia="IRNazanin"/>
          <w:color w:val="111111"/>
          <w:sz w:val="28"/>
          <w:sz w:val="28"/>
          <w:szCs w:val="28"/>
          <w:rtl w:val="true"/>
          <w:lang w:bidi="fa-IR"/>
        </w:rPr>
        <w:t xml:space="preserve">والظاهر أنّ الطواف کالاستقبال؛ فإنّ امتثال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لْیَطَّوَّفُوا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فیه صدق الطواف العرفی، ولا یعتبر فیه أن یکون جمیع أجزاء الطائف داخلاً فی المطاف، بحیث لو کان رأسه أو یده مثلاً خارجاً عن حدّ المطاف لکان مخلّاً بطوافه، ومن الواضح عدم ثبوت حقیقة شرعیّة لهذا المفهوم، کما أنّه لیس من الموضوعات التی تصرّف فیها الشارع المقدّس، وأنّه لیس عنده کیفیّة خاصّة من جهة أصل العمل فیه وإن أضاف إلیه بعض الشرائط، کالطهارة، والبدو من الحجر الأسود والختم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ثمرة لهذا البحث بعد الذهاب إلی التوسعة، والقول بأنّ ما علا الکعبة محکوم بحکم البیت ویجوز الطواف حوله؛ إذ علیه تکون أجزاء الطائف داخلةً علی الدوام، ولا معنی لخروج بعضها</w:t>
      </w:r>
      <w:r>
        <w:rPr>
          <w:rFonts w:eastAsia="IRNazanin" w:cs="IRNazanin"/>
          <w:color w:val="111111"/>
          <w:sz w:val="28"/>
          <w:szCs w:val="28"/>
          <w:rtl w:val="true"/>
          <w:lang w:bidi="fa-IR"/>
        </w:rPr>
        <w:t>.</w:t>
      </w:r>
    </w:p>
    <w:p>
      <w:pPr>
        <w:pStyle w:val="Heading2"/>
        <w:numPr>
          <w:ilvl w:val="1"/>
          <w:numId w:val="1"/>
        </w:numPr>
        <w:rPr/>
      </w:pPr>
      <w:bookmarkStart w:id="22" w:name="__RefHeading___Toc2600773_581953129"/>
      <w:bookmarkStart w:id="23" w:name="_Toc8"/>
      <w:bookmarkEnd w:id="22"/>
      <w:r>
        <w:rPr>
          <w:rtl w:val="true"/>
        </w:rPr>
        <w:t>حکم البناء فی مکّة المکرّمة مرتفعاً عن البیت</w:t>
      </w:r>
      <w:bookmarkEnd w:id="23"/>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النهی فی الروایات عن البناء فی مکّة مرتفعاً عن الکعبة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محمّد بن یعقوب، عن محمّد بن یحیی العطّار، عن محمّد بن الحسین، عن علی بن الحکم،</w:t>
      </w:r>
    </w:p>
    <w:p>
      <w:pPr>
        <w:pStyle w:val="BookText"/>
        <w:rPr/>
      </w:pPr>
      <w:r>
        <w:rPr>
          <w:rFonts w:ascii="IRNazanin" w:hAnsi="IRNazanin" w:eastAsia="IRNazanin"/>
          <w:color w:val="111111"/>
          <w:sz w:val="28"/>
          <w:sz w:val="28"/>
          <w:szCs w:val="28"/>
          <w:rtl w:val="true"/>
          <w:lang w:bidi="fa-IR"/>
        </w:rPr>
        <w:t>وصفوان جمیعاً، عن‌العلاء، عن‌محمّد بن‌مسلم،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للرجل أن یقیم بمکّة سنة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یتحول عنها، ولا ینبغی لأحد أن یرفع بناءً فوق الکعبة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معتبرة من جهة السند؛ فإنّ المراد من محمّد بن الحسین هو محمّد بن الحسین بن أبی الخطّاب علی ما استظهره السیّد الخوئی</w:t>
      </w:r>
      <w:r>
        <w:rPr>
          <w:rStyle w:val="FootnoteAnchor"/>
          <w:rtl w:val="true"/>
        </w:rPr>
        <w:footnoteReference w:id="26"/>
      </w:r>
      <w:r>
        <w:rPr>
          <w:rFonts w:ascii="IRNazanin" w:hAnsi="IRNazanin" w:eastAsia="IRNazanin"/>
          <w:color w:val="111111"/>
          <w:sz w:val="28"/>
          <w:sz w:val="28"/>
          <w:szCs w:val="28"/>
          <w:rtl w:val="true"/>
          <w:lang w:bidi="fa-IR"/>
        </w:rPr>
        <w:t>، وهو ثقة جلیل، وعلی ابن الحکم أیضاً ثقة، وصفوان وإن کان مشترکاً بین صفوان بن مهران وصفوان ابن یحیی، إلّاأنّ کلیهما ثقتان، والمراد من العلاء هو علاء بن رزین؛ وهو ثقة جلیل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المفید فی المقنعة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علیه السلام أن یرفع الإنسان بمکّة بناءً فوق الکعبة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الاختلاف فی أنّه هل هو محمول علی الحرمة، أو دالّ علی الکراهة کما یستفاد من عنوان الباب الموجود فی الوسائل أو من قرینة السیاق فإنّ قوله علیه السلام لا ینبغی للرجل أن یقیم بمکّة سنة، ظاهر ومحمول علی الکراهة إلّاأن یقال</w:t>
      </w:r>
    </w:p>
    <w:p>
      <w:pPr>
        <w:pStyle w:val="BookText"/>
        <w:rPr/>
      </w:pPr>
      <w:r>
        <w:rPr>
          <w:rFonts w:ascii="IRNazanin" w:hAnsi="IRNazanin" w:eastAsia="IRNazanin"/>
          <w:color w:val="111111"/>
          <w:sz w:val="28"/>
          <w:sz w:val="28"/>
          <w:szCs w:val="28"/>
          <w:rtl w:val="true"/>
          <w:lang w:bidi="fa-IR"/>
        </w:rPr>
        <w:t>بوجود القرینة الخاصّة فی هذا الموضوع، یوجد سؤال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النهی فی هذا النصّ شامل لجمیع الأبنیة الواقعة فی مکّة حتّی المسجد الحرام؛ بمعنی أنّ الشارع نهی أن یرفع بناء فوق الکعبة لشرافتها، فلایجوز البناء حتّی داخل المسجد، بحیث یصیر مرتفعاً عنها، أو أنّ النهی مختصّ بالأبنیة التی یصطنعها الناس لأنفسهم، ومن ثمّ فتکون الروایات منصرفة عن نفس المسجد؟</w:t>
      </w:r>
    </w:p>
    <w:p>
      <w:pPr>
        <w:pStyle w:val="BookText"/>
        <w:rPr/>
      </w:pPr>
      <w:r>
        <w:rPr>
          <w:rFonts w:ascii="IRNazanin" w:hAnsi="IRNazanin" w:eastAsia="IRNazanin"/>
          <w:color w:val="111111"/>
          <w:sz w:val="28"/>
          <w:sz w:val="28"/>
          <w:szCs w:val="28"/>
          <w:rtl w:val="true"/>
          <w:lang w:bidi="fa-IR"/>
        </w:rPr>
        <w:t xml:space="preserve">الظاهر عدم الانصراف؛ لعدم وجه له، والإنصاف ظهور الکلام فی الإطلاق، سیّما بالنسبة إلی 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فی سیاق النفی أو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ویؤیّده قرینة مناسبة الحکم والموضوع؛ فإنّ شرافة الکعبة وعظمتها یجب أن تحفظ بالنسبة إلی کلّ شیء حتّی بلحاظ البناء الموجود داخل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الإطلاق یمکن أن یقال بعدم صحّة الطواف من الطابق الأوّل الموجود فعلاً؛ فإنّه بعد التحقیق والسؤال؛ ظهر فی زماننا هذا کونه مرتفعاً عن البیت بمقدار سبعة وعشرین سانتمتراً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إذا نهی عن البناء نفهم بالملازمة العرفیّة عدم صحّة الطواف منه، أو نفهم عدم جواز کون الإنسان أیضاً مرتفعاً عن الکعبة</w:t>
      </w:r>
      <w:r>
        <w:rPr>
          <w:rFonts w:eastAsia="IRNazanin" w:cs="IRNazanin"/>
          <w:color w:val="111111"/>
          <w:sz w:val="28"/>
          <w:szCs w:val="28"/>
          <w:rtl w:val="true"/>
          <w:lang w:bidi="fa-IR"/>
        </w:rPr>
        <w:t>.</w:t>
      </w:r>
      <w:bookmarkStart w:id="24" w:name="pg5554_31681"/>
    </w:p>
    <w:p>
      <w:pPr>
        <w:pStyle w:val="BookText"/>
        <w:rPr/>
      </w:pPr>
      <w:bookmarkEnd w:id="24"/>
      <w:r>
        <w:rPr>
          <w:rFonts w:ascii="IRNazanin" w:hAnsi="IRNazanin" w:eastAsia="IRNazanin"/>
          <w:color w:val="111111"/>
          <w:sz w:val="28"/>
          <w:sz w:val="28"/>
          <w:szCs w:val="28"/>
          <w:rtl w:val="true"/>
          <w:lang w:bidi="fa-IR"/>
        </w:rPr>
        <w:t>هذا، والإنصاف أنّ هذه الروایات لا تشمل صورة ما إذا کان نفس الإنسان مرتفعاً عن البیت حال الطواف؛ فإنّ موردها الأبنیة الثابتة لا المتحرِّکة، فلا تشمل الإنسان نفسه فی دورانه حوله مرتفعاً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شرافة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الحکمة الأصلیّة لهذا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تشمل ما یتعلّق بهذا البیت من الأبنیة الموجودة فی المسجد، ممّا هو من شؤونه</w:t>
      </w:r>
      <w:r>
        <w:rPr>
          <w:rFonts w:eastAsia="IRNazanin" w:cs="IRNazanin"/>
          <w:color w:val="111111"/>
          <w:sz w:val="28"/>
          <w:szCs w:val="28"/>
          <w:rtl w:val="true"/>
          <w:lang w:bidi="fa-IR"/>
        </w:rPr>
        <w:t>.</w:t>
      </w:r>
    </w:p>
    <w:p>
      <w:pPr>
        <w:pStyle w:val="Heading2"/>
        <w:numPr>
          <w:ilvl w:val="1"/>
          <w:numId w:val="1"/>
        </w:numPr>
        <w:rPr/>
      </w:pPr>
      <w:bookmarkStart w:id="25" w:name="__RefHeading___Toc2600775_581953129"/>
      <w:bookmarkStart w:id="26" w:name="_Toc9"/>
      <w:bookmarkEnd w:id="25"/>
      <w:r>
        <w:rPr>
          <w:rtl w:val="true"/>
        </w:rPr>
        <w:t>فی شرطیة کون الطواف فی المسجد الحرام وعدمها</w:t>
      </w:r>
      <w:bookmarkEnd w:id="26"/>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الطواف مشروط بکونه داخلاً فی المسجد الحرام؟</w:t>
      </w:r>
    </w:p>
    <w:p>
      <w:pPr>
        <w:pStyle w:val="BookText"/>
        <w:rPr/>
      </w:pPr>
      <w:r>
        <w:rPr>
          <w:rFonts w:ascii="IRNazanin" w:hAnsi="IRNazanin" w:eastAsia="IRNazanin"/>
          <w:color w:val="111111"/>
          <w:sz w:val="28"/>
          <w:sz w:val="28"/>
          <w:szCs w:val="28"/>
          <w:rtl w:val="true"/>
          <w:lang w:bidi="fa-IR"/>
        </w:rPr>
        <w:t>قد یتمسّک لعدم الاشتراط بالاطلاق اللفظی والاطلاق المقامی ولکنّهما مخدوش جدّاً لأنّ الروایات الدالّة علی وجوب الطواف لیست بصدد بیان جمیع الشرائط حتّی یتمسّک بالاطلاق اللفظی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أنّه لم توجد روایة کانت الإمام علیه السلام بصدد بیان جمیع شرائط الطواف وکانت خالیة عن هذا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ذکر بعض الشرائط فی بعض الروایات کلزوم الابتداء من الحجر الأسود والاختتام به والروایة ما ذکرها سعد بن عبداللّه، عن القاسم بن ربیع و محمّد بن الحسین بن أبی</w:t>
      </w:r>
    </w:p>
    <w:p>
      <w:pPr>
        <w:pStyle w:val="BookText"/>
        <w:rPr/>
      </w:pPr>
      <w:r>
        <w:rPr>
          <w:rFonts w:ascii="IRNazanin" w:hAnsi="IRNazanin" w:eastAsia="IRNazanin"/>
          <w:color w:val="111111"/>
          <w:sz w:val="28"/>
          <w:sz w:val="28"/>
          <w:szCs w:val="28"/>
          <w:rtl w:val="true"/>
          <w:lang w:bidi="fa-IR"/>
        </w:rPr>
        <w:t>الخطّاب ومحمّد بن سنان جمیعاً، عن میاح المدائنی، عن المفضّل بن عمر، عن أبی عبداللّه علیه السلام فی کتابه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أردت المتعة فی الحجّ فأحرم من العقیق واجعلها متعة فمتی ما قدمت مکّة طفت بالبیت واستملت الحجر الأسود فتحت به وختمت سبعة أشواط ثمّ تصلّی رکعتین عند مقام إبراهیم ثمّ أخرج من المسجد فاسع بین الصفا والمروة تفتتح بالصفا وتختتم بالمروة</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ولا یخفی أنّ الاستدلال بها غیر تامّ 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بصدد بیان جمیع الشرائط ولذا لا یستفاد منها عدم شرطیة الطهارة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الإمام علیه السلام یکون فقط بصدد بیان المبدأ والمنتهی فی الطواف والسعی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یکون التصریح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هذا الشرط؟</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التعبیر لا یدلّ علی لزوم الطواف فی المسجد، بل یدلّ علی أنّ السعی یکون خارج المسجد وبعبارة اخری بما أنّ السعی وقع بحسب الواقع خارج المسجد قد عبّر الإمام علیه السلام عنه بذلک فتدبّر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لا یصحّ الاستدلال بهذه الروایة علی عدم الاشتراط کما أنّه لا یصحّ الاستدلال بالاطلاق المقامی</w:t>
      </w:r>
    </w:p>
    <w:p>
      <w:pPr>
        <w:pStyle w:val="BookText"/>
        <w:rPr/>
      </w:pPr>
      <w:r>
        <w:rPr>
          <w:rFonts w:ascii="IRNazanin" w:hAnsi="IRNazanin" w:eastAsia="IRNazanin"/>
          <w:color w:val="111111"/>
          <w:sz w:val="28"/>
          <w:sz w:val="28"/>
          <w:szCs w:val="28"/>
          <w:rtl w:val="true"/>
          <w:lang w:bidi="fa-IR"/>
        </w:rPr>
        <w:t>فإنّه مشروط بکون الموضوع موجوداً مورداً للتوهّم والعمل فی زمن الخطاب وبما أنّ الطواف خارج المسجد لم یکن مورداً للتوهّم فلا مجال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کون القضایا بنحو القضایا الحقیقیة فلا ربط له بالمقام لاحتمال ان عدم التعرّض لهذا الشرط من باب الوضوح کما أنّ الوقوع الخارجی المتعارف بین الناس یکون علی هذا النحو ویمکن أن یقال بوجود الارتکاز المتشرّعی فی المقام قبل الإسلام وبعده،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إلّاأن یقال بان هذا من قبیل لو کان لبان فلو کان الدخول فی المسجد شرطاً لبیّنه الشارع فمن جهة عدم البیان نستفید عدم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الاضافات الفوقانیة والتحتانیة من المسجد الحرام أم لا؟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یتوهّم أنّ المسجد الحرام مکان معیّن شرعاً قد حدّاه إبراهیم وإسماعیل فهو اسم للأرض المعیّنة وأمّا فوقها أو تحتها فلیست داخلة فی عنوان المسجد الحرام فقد ورد فی بعض الروایات أنّ إبراهیم وإسماعیل حدّا المسجد الحرام ما بین الصفا والمروة</w:t>
      </w:r>
      <w:r>
        <w:rPr>
          <w:rStyle w:val="FootnoteAnchor"/>
          <w:rtl w:val="true"/>
        </w:rPr>
        <w:footnoteReference w:id="29"/>
      </w:r>
      <w:r>
        <w:rPr>
          <w:rFonts w:ascii="IRNazanin" w:hAnsi="IRNazanin" w:eastAsia="IRNazanin"/>
          <w:color w:val="111111"/>
          <w:sz w:val="28"/>
          <w:sz w:val="28"/>
          <w:szCs w:val="28"/>
          <w:rtl w:val="true"/>
          <w:lang w:bidi="fa-IR"/>
        </w:rPr>
        <w:t>أو أنّهما حدّا المسجد مابین الصفا والمروة فکان الناس یحجّون من المسجد إلی الصفا</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وعلی ذلک فلو زید فیها لم یصدق علیها عنوان المسجد وإن کان یصدق علیها عنوان المسجد بنحو المطلق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التوهّم مخدوش جدّاً فإنّه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یستفاد منها أنّ إبراهیم وإسماعیل کانا بصدد التعیین الشرعی بل الروایات فی المقام الحکایة عن المسجد الحرام فی زمنهما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یستفاد منها أنّ سطح الأرض فقط کان من المسجد الحرام بل الاطلاق فی قوله مابین الصفا والمروة یدلّ علی أنّ هذا المقدار من المسجد مطلقاً من دون فرق بین الفوق والسطح والتحت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أن یقال بأنّ الزائد یصیر مسجداً ولا یصیر من المسجد الحرام فهذا التفکیک مضافاً إلی رکاکته غیر صحیح جدّاً فإنّه إذا قصد الزیادة بعنوان المسجد الحرام فأمّا أن یتحقّق ذلک أو لا یتحقّق شیء أبداً فلا یمکن أن یلتزم بعدم تحقّق عنوان المسجد الحرام ولکن یتحقّق عنوان المسجدیة، فتدبّر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بعد عدم دلالة الروایات علی التعیین الشرعی وبعد کون المسجد الحرام من جهة الزیادة طولاً وعرضاً وارتفاعاً وعمقاً کسائر المساجد فلا ریب فی أنّ جمیع الزیادات الفوقانیة والتحتانیة تکون داخلة فی المسجد الحرام وتجری فیها جمیع أحکامه إلّاما دلّ الدلیل</w:t>
      </w:r>
    </w:p>
    <w:p>
      <w:pPr>
        <w:pStyle w:val="BookText"/>
        <w:rPr/>
      </w:pPr>
      <w:r>
        <w:rPr>
          <w:rFonts w:ascii="IRNazanin" w:hAnsi="IRNazanin" w:eastAsia="IRNazanin"/>
          <w:color w:val="111111"/>
          <w:sz w:val="28"/>
          <w:sz w:val="28"/>
          <w:szCs w:val="28"/>
          <w:rtl w:val="true"/>
          <w:lang w:bidi="fa-IR"/>
        </w:rPr>
        <w:t>الخاصّ علی اختصاصه بالمسجد القدیم کالنوم فیه، هذا کلّه مضافاً إلی استیناس ذلک بالروایات الدالّة علی أنّ البیت بیت من تخوم الأرض إلی عنان السماء،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المهمّ فی المقام، ولابدّ فی البحث فی هذا الموضوع من الجهات الثلاثة اللغویة والاُصولیة والفقهیة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المراجعة إلی کتب اللغة نصل إلی أنّ المراد من الطواف هو الحرکة الدوریة حول شیء ولا یستفاد من کتب اللغة أکثر من ذلک، فلا یعتبر فی صدق الطواف أن یکون الطائف موازیاً ومحاذیاً لما یطوف به بل المراد هی الحرکة حول الشیء سواء کان موازیاً أو مرتفعاً أو منخفضاً عنه وما یقال من أنّ بعض کتب اللغة قد فسّره بالاحاطة فهو أیضاً لا یدلّ علی الموازاة فإنّ الاحاطة أعمّ من أن یکون موازیاً أو مرتفعاً أو منفخضاً وإلیک بعض تصریحات اللغویین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 فی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طاف بالقوم وعلیهم طوفاً وطوفاناً ومطافاً واطاف أی‌استدار وجاء من نواحیه انتهی والظاهر أنّ قوله وجاء من نواحیه تفسیر للاستدارة ولیس شیئاً آخر وبعبارة اخری هذا التعبیر لایدلّ علی المحاذاة وهو واضح</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یتوهّم أنّ کلمة باء فی قوله طاف به بمعنی</w:t>
      </w:r>
    </w:p>
    <w:p>
      <w:pPr>
        <w:pStyle w:val="BookText"/>
        <w:rPr/>
      </w:pPr>
      <w:r>
        <w:rPr>
          <w:rFonts w:ascii="IRNazanin" w:hAnsi="IRNazanin" w:eastAsia="IRNazanin"/>
          <w:color w:val="111111"/>
          <w:sz w:val="28"/>
          <w:sz w:val="28"/>
          <w:szCs w:val="28"/>
          <w:rtl w:val="true"/>
          <w:lang w:bidi="fa-IR"/>
        </w:rPr>
        <w:t xml:space="preserve">الالصاق وهذا أیضاً باطل لعدم استفادته من کتب اللغة کما أنّه لا یستفاد منها وجود الفرق بین التعدّیة بالباء والتعدیة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فبالنتیجة المعتبر فی صدق هذه الکلمة وجود الحرکة الاستداریة علی نحو یکون الشیء محوراً له ولا یعتبر موازة المتحرّک مع ما یطوف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بعض الاستعمالات فی القرآن الکریم والروایات أمّا القرآن فقوله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فَطافَ عَلَیْها طائِفٌ مِنْ رَبِّکَ وَ هُمْ نائِمُونَ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الظاهر أنّ هذا الطواف وإن کان واقعاً علیهم ولکن ینزل من السماء ولیس محاذیاً للناس وإن شملهم کما هو واضح وفی الروایات قد ورد کراهة الطواف بالقبر ومن الواضح أنّ الطائف به لیس موازیاً للقبر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شکّ من الجهة اللغویة فی صدق الطواف علی من یطوف فی الطوابق الفوقانیة أو التحتانیة ولا یکون محاذیاً للکعبة المعظّمة فالارتفاع عنه لا یضرّ بصدق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الاُصولی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غض النظر عما استفدنا من اللغة إذا شککنا فی صدق الطواف علی الحرکة الدوریة غیر المحاذیة للکعبة، بل مرتفعة عنها بمقدار قلیل أو کثیر فما هو مقتضی القواعد</w:t>
      </w:r>
    </w:p>
    <w:p>
      <w:pPr>
        <w:pStyle w:val="BookText"/>
        <w:rPr/>
      </w:pPr>
      <w:r>
        <w:rPr>
          <w:rFonts w:ascii="Amiri" w:hAnsi="Amiri" w:eastAsia="Amiri" w:cs="Amiri"/>
          <w:color w:val="111111"/>
          <w:sz w:val="28"/>
          <w:sz w:val="28"/>
          <w:szCs w:val="28"/>
          <w:rtl w:val="true"/>
          <w:lang w:bidi="ar-SA"/>
        </w:rPr>
        <w:t>الاُصولیة؟</w:t>
      </w:r>
    </w:p>
    <w:p>
      <w:pPr>
        <w:pStyle w:val="BookText"/>
        <w:rPr/>
      </w:pPr>
      <w:r>
        <w:rPr>
          <w:rFonts w:ascii="IRNazanin" w:hAnsi="IRNazanin" w:eastAsia="IRNazanin"/>
          <w:color w:val="111111"/>
          <w:sz w:val="28"/>
          <w:sz w:val="28"/>
          <w:szCs w:val="28"/>
          <w:rtl w:val="true"/>
          <w:lang w:bidi="fa-IR"/>
        </w:rPr>
        <w:t>والظاهر أنّه فی فرض الشکّ، یکون المقام من قبیل الشکّ فی المحصّل ولابدّ من الاحتیاط وعدم الاکتفاء بهذا الطواف فإنّ المقام من الشبهة المفهومیة لأنّا لا نعلم أنّ مفهوم الطواف هل هو شامل لهذا النوع من الطواف أم لا، فنشکّ فی تحقّق الامتثال فالعقل یحکم بالاشتغال وعدم الاکتفاء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بأنّ المقام من قبیل الدوران فی الشبهة المفهومیة بین الأقلّ والأکثر والقاعدة تقتضی جریان البرائة عن الأکثر وتوضیح ذلک أنّا نشکّ فی أنّ ما ناتی به وهو الطواف أی‌العمل الخارجی هل هو مشروط بمحاذاة الطائف للکعبة أم لا؟ فنجری البرائة عن هذا الاشتراط</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علیه أنّ موارد الأقلّ والأکثر إنّما هو فیما إذا نعلم بتحقّق الأقلّ فی ضمن الأکثر بمعنی أنّ الأکثر متضمّن للأقلّ دائماً وفی المقام لا یوجد هذا المعنی فإنّ الطواف فی الطبقات الفوقانیة لا یشتمل ما هو المتیقّن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یکون المورد من الأقلّ والأکثر کما إذا شککنا فی مفهوم اللیل هل هو الغروب أو المغرب فنشکّ فی وجوب الامساک إلی الغروب أو المغرب فإنّه دائر بین الأقلّ والأکثر ولکن الأکثر متضمّن للأقلّ ولکن فی المقام یحتمل</w:t>
      </w:r>
    </w:p>
    <w:p>
      <w:pPr>
        <w:pStyle w:val="BookText"/>
        <w:rPr/>
      </w:pPr>
      <w:r>
        <w:rPr>
          <w:rFonts w:ascii="IRNazanin" w:hAnsi="IRNazanin" w:eastAsia="IRNazanin"/>
          <w:color w:val="111111"/>
          <w:sz w:val="28"/>
          <w:sz w:val="28"/>
          <w:szCs w:val="28"/>
          <w:rtl w:val="true"/>
          <w:lang w:bidi="fa-IR"/>
        </w:rPr>
        <w:t>أن یکون الطواف فی الطبقات الفوقانیة خارجاً من المأمور به کلّاً وتماماً ففی هذه الصورة لا یصحّ الاکتفاء به ولا یصحّ أن یقال أنّ الشکّ فی الشرط الزائد،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قد اشتهر فی ألسنة الفقهاء، بل صار أمراً مجمعاً علیه بینهم، بل بین المسلمین، کما صرّح به کاشف الغطاء</w:t>
      </w:r>
      <w:r>
        <w:rPr>
          <w:rStyle w:val="FootnoteAnchor"/>
          <w:rtl w:val="true"/>
        </w:rPr>
        <w:footnoteReference w:id="31"/>
      </w:r>
      <w:r>
        <w:rPr>
          <w:rFonts w:ascii="IRNazanin" w:hAnsi="IRNazanin" w:eastAsia="IRNazanin"/>
          <w:color w:val="111111"/>
          <w:sz w:val="28"/>
          <w:sz w:val="28"/>
          <w:szCs w:val="28"/>
          <w:rtl w:val="true"/>
          <w:lang w:bidi="fa-IR"/>
        </w:rPr>
        <w:t>؛ أنّ القبلة تمتدّ محاذیة للکعبة علواً وسفلاً من تخوم الأرض إلی أعلی السماء، فالمتوجّه إلیه مستعلیاً علی البنیة إلی السماء، أو منخفضاً عنها إلی الثری مستقبل لها، ولا مدار علی بنیانها، والظاهر أنّ أوّل من صرّح به هو الشهید الثانی فی المسالک</w:t>
      </w:r>
      <w:r>
        <w:rPr>
          <w:rStyle w:val="FootnoteAnchor"/>
          <w:rtl w:val="true"/>
        </w:rPr>
        <w:footnoteReference w:id="32"/>
      </w:r>
      <w:r>
        <w:rPr>
          <w:rFonts w:ascii="IRNazanin" w:hAnsi="IRNazanin" w:eastAsia="IRNazanin"/>
          <w:color w:val="111111"/>
          <w:sz w:val="28"/>
          <w:sz w:val="28"/>
          <w:szCs w:val="28"/>
          <w:rtl w:val="true"/>
          <w:lang w:bidi="fa-IR"/>
        </w:rPr>
        <w:t>، ثمّ تبعه صاحب المدارک</w:t>
      </w:r>
      <w:r>
        <w:rPr>
          <w:rStyle w:val="FootnoteAnchor"/>
          <w:rtl w:val="true"/>
        </w:rPr>
        <w:footnoteReference w:id="33"/>
      </w:r>
      <w:r>
        <w:rPr>
          <w:rFonts w:ascii="IRNazanin" w:hAnsi="IRNazanin" w:eastAsia="IRNazanin"/>
          <w:color w:val="111111"/>
          <w:sz w:val="28"/>
          <w:sz w:val="28"/>
          <w:szCs w:val="28"/>
          <w:rtl w:val="true"/>
          <w:lang w:bidi="fa-IR"/>
        </w:rPr>
        <w:t>، وتبعهما جمیع من تأخّر عنهما إلی زماننا هذا، إلی أن صار أمراً مسلَّماً عند الجمیع</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السؤال یکمن فی أنّ الطواف هل هو ملحق بالاستقبال، بحیث یکون الفضاء الموجود فوق البیت وتحت الأرض ملحقاً به، فیجوز الطواف حوله، أم لا؟</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الطواف حول الفضاء طواف حول البیت، أم لا؟ ومن ثمّ لایکون ملحقاً، بل ذاک الحکم مختصّ بالاستقبال؟</w:t>
      </w:r>
    </w:p>
    <w:p>
      <w:pPr>
        <w:pStyle w:val="BookText"/>
        <w:rPr/>
      </w:pPr>
      <w:r>
        <w:rPr>
          <w:rFonts w:ascii="IRNazanin" w:hAnsi="IRNazanin" w:eastAsia="IRNazanin"/>
          <w:color w:val="111111"/>
          <w:sz w:val="28"/>
          <w:sz w:val="28"/>
          <w:szCs w:val="28"/>
          <w:rtl w:val="true"/>
          <w:lang w:bidi="fa-IR"/>
        </w:rPr>
        <w:t>الظاهر أنّ المستفاد من الروایات عدم اختصاصه بالاستقبال؛ فإنّ بعضها یدلّ بالإطلاق علی جواز الطواف حول الفضاء أیضاً، فقد روی الصدوق مرسلاً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 البیت من الأرض السابعة السفلی إلی الأرض السابعة العلیا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وإن کانت مرسلة، إلّاأنّ هذا النوع من الإرسال غیر مضرّ علی ما حقّق فی محلّه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دلالتها أیضاً واضحة؛ فإنّ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أساس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بالاستقبال، بل یشمل الطواف أیضاً، ولا قرینة فی الروایة علی اختصاصه بالاستقبال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یدلّ علی کون الفوق ملحقاً بالبیت، وإنّما یدلّ علی أنّ ما تحت البیت من الأرض السفلی إلی الأرض العلیا من البیت، إلّاأن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کلمة الأرض لا یراد بها الأرض فی قبال السماء، بل یراد من الأرض السفلی والعلیا الامتداد من جهة الفوق والتحت، ومعه فیکون التعبیر کنایة عن</w:t>
      </w:r>
    </w:p>
    <w:p>
      <w:pPr>
        <w:pStyle w:val="BookText"/>
        <w:rPr/>
      </w:pPr>
      <w:r>
        <w:rPr>
          <w:rFonts w:ascii="IRNazanin" w:hAnsi="IRNazanin" w:eastAsia="IRNazanin"/>
          <w:color w:val="111111"/>
          <w:sz w:val="28"/>
          <w:sz w:val="28"/>
          <w:szCs w:val="28"/>
          <w:rtl w:val="true"/>
          <w:lang w:bidi="fa-IR"/>
        </w:rPr>
        <w:t>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لا یکون التعبیر بالأساس فی مقابل العلوّ والفوق بل الأساس بمعنی الأرکان کما أنّ الأساس لیس المراد منها الجهة الفیزیکیة والحسیة لأنّ البیت من الجهة الحسیة لا تکون من الأرض السابعة العلیا وکانت من هذه الجهة واضحة عند العرب، بل المراد الامتداد من حیث الشرافة والعظمة والاحترام فالإمام علیه السلام فی مقام بیان عظمة الکعبة وشرافتها ولزوم رعایة احترامها من الجانبین وبهذا البیان یظهر الضعف فیما یقال من أنّ الروایة لیست بصدد بیان الحکم الشرعی وأدلّة حجّیة الخبر الواحد غیر شاملة للخبر الذی لا یکون دالّاً علی الحکم الشرعی فإنّه مضافاً إلی ما حقّقناه فی محلّه من الإطلاق والعموم فی أدلّة الحجیّة نقول لا شکّ فی انّ الإمام علیه السلام فی هذا الکلام بصدد بیان الحکم الشرعی ولزوم رعایة أحکام الکعبة من الجانبین، فتدبّر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فی بعض الروایات الواردة فی ذیل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خَلَقَ سَبْعَ سَماواتٍ وَ مِنَ الْأَرْضِ مِثْلَهُنَّ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المراد من الأرض العلیا هی الأرض السابعة فوق السماء السادسة، فقد روی العیّاشی بإسناده</w:t>
      </w:r>
    </w:p>
    <w:p>
      <w:pPr>
        <w:pStyle w:val="BookText"/>
        <w:rPr/>
      </w:pPr>
      <w:r>
        <w:rPr>
          <w:rFonts w:ascii="Amiri" w:hAnsi="Amiri" w:eastAsia="Amiri" w:cs="Amiri"/>
          <w:color w:val="111111"/>
          <w:sz w:val="28"/>
          <w:sz w:val="28"/>
          <w:szCs w:val="28"/>
          <w:rtl w:val="true"/>
          <w:lang w:bidi="ar-SA"/>
        </w:rPr>
        <w:t>عن الحسین بن خالد،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کفّه ثمّ وضع الیمنی علیها،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الدُّنیا والسماء الدُّنیا علیها فوقها قبّة، والأرض الثانیة فوق السماء الدُّنیا، والسماء الثانیة فوقها قبّة، والأرض الثالثة فوق السماء الثانیة، والسماء الثالثة فوقها قبّة، حتّی ذکر الرابعة والخامسة والسادسة،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السابعة فوق السماء السادسة، والسماء السابعة فوقها قبّة، وعرش الرحمن فوق السماء السابعة، وهو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سَماواتٍ وَ مِنَ الْأَرْضِ مِثْلَهُنَّ یَتَنَزَّلُ الْأَمْرُ بَیْنَهُنَّ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فما تحتنا إلّاأرض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تحتنا إلّاأرض واحدة وإنّ الستّ لهنّ فوقنا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الروایة صریحة فی الامتداد والتوسعة من جهة الفوق والتحت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فلاشکّ فی أنّ هذا التعبیر إنّما هو کنایة عن الامتداد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بعض الروایات الواردة فی القبلة إشارة إلی الفوق أیضاً، کما فی خبر عبداللّه بن سنان فی طریق الشیخ أبی عبداللّه بن سنان</w:t>
      </w:r>
      <w:r>
        <w:rPr>
          <w:rStyle w:val="FootnoteAnchor"/>
          <w:rtl w:val="true"/>
        </w:rPr>
        <w:footnoteReference w:id="36"/>
      </w:r>
      <w:r>
        <w:rPr>
          <w:rFonts w:ascii="IRNazanin" w:hAnsi="IRNazanin" w:eastAsia="IRNazanin"/>
          <w:color w:val="111111"/>
          <w:sz w:val="28"/>
          <w:sz w:val="28"/>
          <w:szCs w:val="28"/>
          <w:rtl w:val="true"/>
          <w:lang w:bidi="fa-IR"/>
        </w:rPr>
        <w:t>یوجد علیّ بن محمّد بن الزبیر القرشی</w:t>
      </w:r>
    </w:p>
    <w:p>
      <w:pPr>
        <w:pStyle w:val="BookText"/>
        <w:rPr/>
      </w:pPr>
      <w:r>
        <w:rPr>
          <w:rFonts w:ascii="IRNazanin" w:hAnsi="IRNazanin" w:eastAsia="IRNazanin"/>
          <w:color w:val="111111"/>
          <w:sz w:val="28"/>
          <w:sz w:val="28"/>
          <w:szCs w:val="28"/>
          <w:rtl w:val="true"/>
          <w:lang w:bidi="fa-IR"/>
        </w:rPr>
        <w:t>الکوفی الذی قال النجاشی فی حقّه أنّه کان علوّاً فی الوقت ولا یعلم أنّ هذا مدح له أو قدح نعم ذکر السیّد الداماد أنّه دالّ علی غایة الفضل والعلم والثقة والجلالة فی وقته وأوانه وذکر التستری فی قاموس الرجال تفسیراً آخر، فراجع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فوق أبی قبیس العصر، فهل‌یجزئ ذلک‌والکعبة تحتی؟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إنّها قبلة من موضعها إلی السماء</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تدلّ علی امتداد القبلة ولا تدلّ علی امتداد الکعبة لانا نقول لا معنی للتفکیک بینهما لانّ الکعبة هی القبلة فالامتداد بعنوان القبلة لازم للقول بأنّ البیت ممتدّة حکماً أیضاً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الروایة معارضة لما تقدّم من صحیحة محمّد بن مسلم عن أبی جعفر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ینبغی لأحد أن یرفع بناء فوق الکعبة بناء علی حمل کلمة لا ینبغی علی الحرمة فإنّه علی ذلک تدلّ علی عدم جواز احداث البناء فوق الکعبة فإذا قلنا بأنّ الکعبة ممتدّة إلی</w:t>
      </w:r>
    </w:p>
    <w:p>
      <w:pPr>
        <w:pStyle w:val="BookText"/>
        <w:rPr/>
      </w:pPr>
      <w:r>
        <w:rPr>
          <w:rFonts w:ascii="IRNazanin" w:hAnsi="IRNazanin" w:eastAsia="IRNazanin"/>
          <w:color w:val="111111"/>
          <w:sz w:val="28"/>
          <w:sz w:val="28"/>
          <w:szCs w:val="28"/>
          <w:rtl w:val="true"/>
          <w:lang w:bidi="fa-IR"/>
        </w:rPr>
        <w:t>السماء فلازم ذلک عدم وجود موضوع لتلک الصحیحة فلا معنی علی ذلک لاحداث شیء فوق الکعبة لأنّها لیست منحصرة بما هو المحسوس بل ممتدّة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جواز البناء أنّما هو موضوعه البناء المحسوس الموجود فإنّ لهذا الموجود المحسوس أحکاماً خاصّة من قبیل عدم جواز احداث البناء فوقه فلا یرتبط بالامتداد الحکمی المستفاد من روایة عبداللّه بن سنان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البیان یظهر الجواب عن المعارضة بما رواه الصدوق عن أبیه عن سعد بن عبداللّه عن أحمد بن محمّد عن علی بن الحسن الطویل عن عبداللّه بن المغیرة عن ذریح المحاربی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أغرق الأرض کلّها یوم نوح إلّاالبیت فیومئذٍ سمی العتیق لأنّه أعتق یومئذ من الغرق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 یصل إلیه الماء ورفع عنه</w:t>
      </w:r>
      <w:r>
        <w:rPr>
          <w:rFonts w:eastAsia="IRNazanin" w:cs="IRNazanin"/>
          <w:color w:val="111111"/>
          <w:sz w:val="28"/>
          <w:szCs w:val="28"/>
          <w:rtl w:val="true"/>
          <w:lang w:bidi="fa-IR"/>
        </w:rPr>
        <w:t>.</w:t>
      </w:r>
      <w:r>
        <w:rPr>
          <w:rStyle w:val="FootnoteAnchor"/>
          <w:rtl w:val="true"/>
        </w:rPr>
        <w:footnoteReference w:id="3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وتقریب المعارضة أنّ الظاهر من الروایة إنّ رفع الماء عن البیت ظاهر فی أنّ البیت مختصّ بما هو الموجود وإلّا فلو کان فوقها ملحقاً بها لما کان لرفع الماء عنه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إنّا لا ننکر أنّ التعبیر بالبیت فی الروایات والآیات ظاهرة فی البیت المحسوس الموجود ولکن ندعی وجود التوسعة من جانب حکومة الدلیل اللفظی علی أنّ ما فوق الکعبة، کعبة وما فوق البیت بیت وبعبارة اخری لا شکّ فی انّ البیت الموجود المحسوس له أحکام خاصّة کحرمة التنجیس مثلاً وهی لا معنی لها بالنسبة إلی العلوّ أو السفل والمقصود الأساسی فی المقام اعتبار البیت من ناحیة العلوّ والسفل فی بعض الاُمور کالطواف والصلاة والذبیحة وبالجملة عدم جواز رفع البناء إنّما هو بالنسبة إلی البناء المحسوس ومسئلة جواز الطواف والصلاة انّما هی بالنسبة إلی الامتداد الحکمی فلا منافاة ولا تعارض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انضمام هذه الروایة إلی المرسلة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الروایة المذکورة عن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 أنّ البیت ممتدّ من الجانبین، ولا یختصّ بالبناء الموجود هذا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أن نضیف بأنّ التوسعة من جانب التحت فقط دون الفوق، ووجود الفرق بینهما من هذه الجهة بعید جدّاً، وغریب حقّاً، ولا یکون الخبر قرینة علی کون المراد من المرسلة القبلة والاستقبال فقط؛ لعدم جریان التقیید فی المثبتین</w:t>
      </w:r>
      <w:r>
        <w:rPr>
          <w:rFonts w:eastAsia="IRNazanin" w:cs="IRNazanin"/>
          <w:color w:val="111111"/>
          <w:sz w:val="28"/>
          <w:szCs w:val="28"/>
          <w:rtl w:val="true"/>
          <w:lang w:bidi="fa-IR"/>
        </w:rPr>
        <w:t>.</w:t>
      </w:r>
      <w:bookmarkStart w:id="27" w:name="pg5554_31708"/>
    </w:p>
    <w:p>
      <w:pPr>
        <w:pStyle w:val="Heading2"/>
        <w:numPr>
          <w:ilvl w:val="1"/>
          <w:numId w:val="1"/>
        </w:numPr>
        <w:rPr/>
      </w:pPr>
      <w:bookmarkStart w:id="28" w:name="__RefHeading___Toc2600777_581953129"/>
      <w:bookmarkStart w:id="29" w:name="_Toc10"/>
      <w:bookmarkEnd w:id="27"/>
      <w:bookmarkEnd w:id="28"/>
      <w:r>
        <w:rPr>
          <w:rtl w:val="true"/>
        </w:rPr>
        <w:t>اشکالات والأجوبة</w:t>
      </w:r>
      <w:bookmarkEnd w:id="29"/>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أدلّة الطواف ظاهرة فی وجوب کون الطواف محاذیاً لنفس البیت؛ فإنّ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لِیُطْفِؤُا بِالْبَیْتِ الْعَتِیقِ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لزوم کون الطواف بنفس البیت لا بفضائها، والعودة إلی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بالنسبة إلی التعبیر بکلمة الحول فی بعض الروایات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تؤیّد ذلک،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طاف بالمکان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جعل المکان فی وسطه، لا فوقه ولا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وإن کان الظاهر کذلک، إلّاأنّ الروایة حاکمة، ومفسِّرة للأمر الذی یوجب التوسعة، کما أنّ الأدلّة الواردة فی الاستقبال ظاهرة فی لزوم کون الصلاة محاذیة لنفس البیت، ولا أقلّ لمن کان فی المسجد، والروایة توجب التوسعة فی ذلک، ومن البعید جدّاً وجود الفرق بین الاستقبال والطواف مع کون التکلیف فیهما إلی البیت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یستفاد من بعض الآیات الشریفة أنّ الواجب علی المصلّی أن یجعل وجهه شطر المسجد الحرام، 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وَجْهَکَ شَطْرَ الْمَسْجِدِ الْحَرامِ وَ حَیْثُ ما</w:t>
      </w:r>
    </w:p>
    <w:p>
      <w:pPr>
        <w:pStyle w:val="BookText"/>
        <w:rPr/>
      </w:pPr>
      <w:r>
        <w:rPr>
          <w:rFonts w:ascii="Amiri" w:hAnsi="Amiri" w:eastAsia="Amiri" w:cs="Amiri"/>
          <w:color w:val="111111"/>
          <w:sz w:val="28"/>
          <w:sz w:val="28"/>
          <w:szCs w:val="28"/>
          <w:rtl w:val="true"/>
          <w:lang w:bidi="ar-SA"/>
        </w:rPr>
        <w:t>کُنْتُمْ فَوَلُّوا وُجُوهَکُمْ شَطْرَهُ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ومعنی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مدخلیّة لنفس البیت، مع أنّ التکلیف فی الطواف لا یکون إلی المسجد، بل بالبیت،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لِیُطْفِؤُا بِالْبَیْتِ الْعَتِیقِ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عَهِدْنا إِلی إِبْراهِیمَ وَ إِسْماعِیلَ أَنْ طَهِّرا بَیْتِیَ لِلطّائِفِینَ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الواضح أنّ المراد من البیت فی الآیة الکعبة لا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إلی أنّ هذا التعبیر إنّما جاء فی قبال بیت المقدس، ولزوم الانصراف عنه، والتوجّه إلی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لاشکّ فی أنّه من کان داخلاً فی المسجد یجب علیه أن یتوجّه إلی البیت، ولایجوز أن یصلّی إلی المسجد، وعنوان المسجد الحرام فی الآیات الشریفة إشارة إلی البیت، ولا مدخلیّة لنفس المسجد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ذهب الکثیر أو الأکثر، بل حکی عن مجمع البیان نسبته إلی أصحابنا</w:t>
      </w:r>
      <w:r>
        <w:rPr>
          <w:rStyle w:val="FootnoteAnchor"/>
          <w:rtl w:val="true"/>
        </w:rPr>
        <w:footnoteReference w:id="40"/>
      </w:r>
      <w:r>
        <w:rPr>
          <w:rFonts w:ascii="IRNazanin" w:hAnsi="IRNazanin" w:eastAsia="IRNazanin"/>
          <w:color w:val="111111"/>
          <w:sz w:val="28"/>
          <w:sz w:val="28"/>
          <w:szCs w:val="28"/>
          <w:rtl w:val="true"/>
          <w:lang w:bidi="fa-IR"/>
        </w:rPr>
        <w:t>، وادّعی الشیخ فی الخلاف الإجماع علیه</w:t>
      </w:r>
      <w:r>
        <w:rPr>
          <w:rStyle w:val="FootnoteAnchor"/>
          <w:rtl w:val="true"/>
        </w:rPr>
        <w:footnoteReference w:id="41"/>
      </w:r>
      <w:r>
        <w:rPr>
          <w:rFonts w:ascii="IRNazanin" w:hAnsi="IRNazanin" w:eastAsia="IRNazanin"/>
          <w:color w:val="111111"/>
          <w:sz w:val="28"/>
          <w:sz w:val="28"/>
          <w:szCs w:val="28"/>
          <w:rtl w:val="true"/>
          <w:lang w:bidi="fa-IR"/>
        </w:rPr>
        <w:t>،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الکعبة قبلة لمن کان فی المسجد، والمسجد قبلة لمن کان فی الحرم، والحرم قبلة لمن خرج</w:t>
      </w:r>
    </w:p>
    <w:p>
      <w:pPr>
        <w:pStyle w:val="BookText"/>
        <w:rPr/>
      </w:pPr>
      <w:r>
        <w:rPr>
          <w:rFonts w:ascii="IRNazanin" w:hAnsi="IRNazanin" w:eastAsia="IRNazanin"/>
          <w:color w:val="111111"/>
          <w:sz w:val="28"/>
          <w:sz w:val="28"/>
          <w:szCs w:val="28"/>
          <w:rtl w:val="true"/>
          <w:lang w:bidi="fa-IR"/>
        </w:rPr>
        <w:t>عنه، ولکن لاتردید فی أنّ البیت قبلة لمن کان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فالظاهر عدم الفرق بین الاستقبال والطواف من هذه الجهة، والشاهد علی ذلک أنّه لو ازیل البناء تصحّ الصلاة إلی الفضاء، ولا تصحّ إلی البناء الزائل، وأیضاً یجوز الطواف حول الفضاء الموجود، ولایسقط وجوبه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هذه التوسعة إنّما هی فی الطواف، ولا تجری فی السعی، فلا یتوهّم أنّه کما یجوز الطواف فوق الکعبة، یجوز السعی أیضاً من الفوق؛ فإنّ السعی لابدّ وأن یکون بین الجبلین لا فوقهما، ولا دلیل علی أنّ الفوق فیه ملحق بالبین، إلّاأن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البین لیس مقابلاً للفوق، بل المراد کون السعی فی هذا الحدّ بدواً وختماً،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بعض الروایات</w:t>
      </w:r>
      <w:r>
        <w:rPr>
          <w:rStyle w:val="FootnoteAnchor"/>
          <w:rtl w:val="true"/>
        </w:rPr>
        <w:footnoteReference w:id="42"/>
      </w:r>
      <w:r>
        <w:rPr>
          <w:rFonts w:ascii="IRNazanin" w:hAnsi="IRNazanin" w:eastAsia="IRNazanin"/>
          <w:color w:val="111111"/>
          <w:sz w:val="28"/>
          <w:sz w:val="28"/>
          <w:szCs w:val="28"/>
          <w:rtl w:val="true"/>
          <w:lang w:bidi="fa-IR"/>
        </w:rPr>
        <w:t>أنّ الملائکة ینزلون إلی الأرض ویطوفون‌حول البیت، ألیس هذا شاهداً علی أنّ الملاک فی الطواف نفس البیت، وإلّا لما احتاجوا إلی النزول؟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لا یثبت بهذا ذاک، بل یمکن أن یکون نزولهم</w:t>
      </w:r>
    </w:p>
    <w:p>
      <w:pPr>
        <w:pStyle w:val="BookText"/>
        <w:rPr/>
      </w:pPr>
      <w:r>
        <w:rPr>
          <w:rFonts w:ascii="IRNazanin" w:hAnsi="IRNazanin" w:eastAsia="IRNazanin"/>
          <w:color w:val="111111"/>
          <w:sz w:val="28"/>
          <w:sz w:val="28"/>
          <w:szCs w:val="28"/>
          <w:rtl w:val="true"/>
          <w:lang w:bidi="fa-IR"/>
        </w:rPr>
        <w:t>لاشتراکهم مع المؤمنین، وجعل أنفسهم فی صفّهم، هذا أوّلاً،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ینکر رجحان الطواف بنفس البیت من باب أنّ الأقرب إلیه یکون أکثر ثواباً، وأیضاً من جهة أنّ الموجود والمحسوس هو الطواف حول هذا البیت، وربما یکون هذا موجباً لکون القرب إلیه أکثر ثواباً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البیت ممتدّاً حتّی من جهة الطواف، فما معنی استلام الحجر، أو الرکن الیمانی؟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استلام الحجر بالإشارة إلی محاذیه، وکذا الحال فی الرکن الیمانی، وکیف کان، فنحن نلتزم بصحّة الطواف من الفوق، وهذه الاُمور لا توجب رفع الید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العرف یساعدنا فی ذلک بالنسبة إلی الاستقبال، لکنّه لا یوافقنا فی الطواف؛ بمعنی أنّ الاستقبال إلی الفضاء لا نقص فیه عند العرف، بل هو مقبول عندهم، بخلاف الطواف فیه؛ إذ لا یعدّ عنده طوافاً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نوافق فی ذلک، بل ندّعی أنّ العرف لا یفرّق بینهما من هذه الجهة، فیصدق الطواف علی الطائف من الفوق عرفاً، والظاهر عدم وجود مسامحة عرفیّة فی هذا الصدق، وإن کان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بالمسامحة العرفیّة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کافیاً فی حکم العقل بامتثال الأمر، ألاتری أنّه إذا أمر المولی بإتیان الماء، فأتاه العبد بالمائع المسمّی عند العرف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مسامحةً وإن لم یکن بالدقّة العقلیّة ماءً، تحقّق الامتثال وکفی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التسلیم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قد خالف العرف فی هذه الجهة، فجعل البیت فوقاً وتحتاً بیتاً تجوز الصلاة والطواف نحوه مطلقاً، دون أن یکون للبناء مدخلیّة فیه عند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انعقاد الإجماع بین الفریقین علی عدم جواز الطواف خارج المسجد، بخلاف الاستقبال، فالفرق بینهما من هذه الجهة ممّا لاینکر؛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أن یکون الطواف داخلاً فی المسجد، إمّا ما بین البیت والمقام، کما ذهب إلیه المشهور، أو فی المسجد مطلقاً، کما صرّح به العامّة</w:t>
      </w:r>
      <w:r>
        <w:rPr>
          <w:rStyle w:val="FootnoteAnchor"/>
          <w:rtl w:val="true"/>
        </w:rPr>
        <w:footnoteReference w:id="43"/>
      </w:r>
      <w:r>
        <w:rPr>
          <w:rFonts w:ascii="IRNazanin" w:hAnsi="IRNazanin" w:eastAsia="IRNazanin"/>
          <w:color w:val="111111"/>
          <w:sz w:val="28"/>
          <w:sz w:val="28"/>
          <w:szCs w:val="28"/>
          <w:rtl w:val="true"/>
          <w:lang w:bidi="fa-IR"/>
        </w:rPr>
        <w:t>وبعض علماء الشیعة</w:t>
      </w:r>
      <w:r>
        <w:rPr>
          <w:rStyle w:val="FootnoteAnchor"/>
          <w:rtl w:val="true"/>
        </w:rPr>
        <w:footnoteReference w:id="44"/>
      </w:r>
      <w:r>
        <w:rPr>
          <w:rFonts w:ascii="IRNazanin" w:hAnsi="IRNazanin" w:eastAsia="IRNazanin"/>
          <w:color w:val="111111"/>
          <w:sz w:val="28"/>
          <w:sz w:val="28"/>
          <w:szCs w:val="28"/>
          <w:rtl w:val="true"/>
          <w:lang w:bidi="fa-IR"/>
        </w:rPr>
        <w:t>، ولکن رعایة الحدّ وعدمها أمر آخر غیر ما نحن فیه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 التی یمکن الخروج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قطع النظر عن الروایة المرسلة الدالّة بالإطلاق علی صحّة الطواف والصلاة حول الفضاء وتحت الأرض،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المستفاد من أدلّة القبلة والطواف، ووحدة التعبیر فی کلیهما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جعل الملاک فی کلّ واحد منهما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یکون</w:t>
      </w:r>
    </w:p>
    <w:p>
      <w:pPr>
        <w:pStyle w:val="BookText"/>
        <w:rPr/>
      </w:pPr>
      <w:r>
        <w:rPr>
          <w:rFonts w:ascii="IRNazanin" w:hAnsi="IRNazanin" w:eastAsia="IRNazanin"/>
          <w:color w:val="111111"/>
          <w:sz w:val="28"/>
          <w:sz w:val="28"/>
          <w:szCs w:val="28"/>
          <w:rtl w:val="true"/>
          <w:lang w:bidi="fa-IR"/>
        </w:rPr>
        <w:t>الفوق صالحاً للاستقبال، یکون صالحاً للطواف أیضاً، ولولا هذه الروایة لأمکن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أمر عرفیّ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ومراجعة الأسئلة الواردة فی الروایات تشعر بذلک؛ فإنّ الناس کانوا یصلّون ارتکازاً فوق جبل أبی قبیس، فهم وإن سألوا بعد العمل، إلّاأنّ عملهم هذا کان مطابقاً لارتکازهم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أثبتنا التوسعة فی ناحیة البیت فالطواف فی الطبقات الفوقانیة یکون من مصادیق الطواف بالبیت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عموم التنزیل المستفاد من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بالبیت صلاة</w:t>
      </w:r>
      <w:r>
        <w:rPr>
          <w:rStyle w:val="FootnoteAnchor"/>
          <w:rtl w:val="true"/>
        </w:rPr>
        <w:footnoteReference w:id="45"/>
      </w:r>
      <w:r>
        <w:rPr>
          <w:rFonts w:ascii="Amiri" w:hAnsi="Amiri" w:eastAsia="Amiri" w:cs="Amiri"/>
          <w:color w:val="111111"/>
          <w:sz w:val="28"/>
          <w:sz w:val="28"/>
          <w:szCs w:val="28"/>
          <w:rtl w:val="true"/>
          <w:lang w:bidi="ar-SA"/>
        </w:rPr>
        <w:t>؛ فإنّه دالّ علی أنّه کما یمتدّ البیت فی الصلاة علوّاً وسفلاً، فکذلک فی الطواف</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والدلیل علی عموم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استثنی فی الروایة مورداً واحداً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اللّه تعالی أحلَّ فیه النطق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وإن کانت غیر مسندة من طرقنا سوی ما عن عوالی اللئالی، إلّاأنّ جمعاً من کبار الفقهاء قد استند إلیها واستدلّ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استدلّ الشیخ بها فی الخلاف</w:t>
      </w:r>
      <w:r>
        <w:rPr>
          <w:rStyle w:val="FootnoteAnchor"/>
          <w:rtl w:val="true"/>
        </w:rPr>
        <w:footnoteReference w:id="46"/>
      </w:r>
      <w:r>
        <w:rPr>
          <w:rFonts w:ascii="IRNazanin" w:hAnsi="IRNazanin" w:eastAsia="IRNazanin"/>
          <w:color w:val="111111"/>
          <w:sz w:val="28"/>
          <w:sz w:val="28"/>
          <w:szCs w:val="28"/>
          <w:rtl w:val="true"/>
          <w:lang w:bidi="fa-IR"/>
        </w:rPr>
        <w:t>، والعلّامة فی المختلف فی باب وجوب القیام فی الطواف،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وجوب القیام فی الصلاة فکذا فیه</w:t>
      </w:r>
      <w:r>
        <w:rPr>
          <w:rStyle w:val="FootnoteAnchor"/>
          <w:rtl w:val="true"/>
        </w:rPr>
        <w:footnoteReference w:id="47"/>
      </w:r>
      <w:r>
        <w:rPr>
          <w:rFonts w:ascii="IRNazanin" w:hAnsi="IRNazanin" w:eastAsia="IRNazanin"/>
          <w:color w:val="111111"/>
          <w:sz w:val="28"/>
          <w:sz w:val="28"/>
          <w:szCs w:val="28"/>
          <w:rtl w:val="true"/>
          <w:lang w:bidi="fa-IR"/>
        </w:rPr>
        <w:t>، وکذا فی المنتهی فی شرطیّة الطهارة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شرط فی الطواف الواجب، وفی شرطیّة الستر،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شرط فی الطواف</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وحکی عن ابن إدریس الفتوی علی طبقها، مع کونه ممّن لا یعمل بالخبر الواحد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بها الشهید الثانی فی المسالک، مصرّحاً بالإطلاق،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ذلک إطلاق قوله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ما أجمع علی عدم مشارکته لها فیه، فیبقی الباقی</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بالبیت صلاة، فیشترط فیه ما یشترط فیها، إلّاما أخرجه الدلیل</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السیّد الطباطبائی إلی أنّ التشبیه یقتضی الشرکة فی جمیع الأحکام، ومنها هنا الطهارة من النجاسة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خالفهم سیّد المدارک، حیث ذهب إلی أنّ سند الروایة قاصر، ومتنها مجمل</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یستفاد العموم من نفس التنزیل والتشبیه؛ بمعنی أنّ هذا الأمر لو خلّی وطبعه یقتضی العموم، حتّی لو لم یکن استثناء فی الروایة یستفاد هذا العموم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الاُمور التی قام الدلیل علی أنّها مختصّة بالصلاة، یستثنی من هذا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واردة فی مقام بیان التنزیل من بعض الجهات، وهذه الجهة لم تکن واضحة، فتصیر مجملة، مضافاً إلی أنّه لو قلنا بالتعمیم یلزم کثرة التخصیص، وهو مستهجن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فی الروایة مُحکَّمٌ یرفع الإجمال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تخصیص الأکثر، فلا یکون فی حدّ الاستهجان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لا ریب فی استناد المشهور إلی الروایة، وعلیه ینجبر ضعفها، فما ورد من السیّد الخوئی؛ من أنّه لم یعلم استناد المشهور إلیه</w:t>
      </w:r>
      <w:r>
        <w:rPr>
          <w:rStyle w:val="FootnoteAnchor"/>
          <w:rtl w:val="true"/>
        </w:rPr>
        <w:footnoteReference w:id="54"/>
      </w:r>
      <w:r>
        <w:rPr>
          <w:rFonts w:ascii="IRNazanin" w:hAnsi="IRNazanin" w:eastAsia="IRNazanin"/>
          <w:color w:val="111111"/>
          <w:sz w:val="28"/>
          <w:sz w:val="28"/>
          <w:szCs w:val="28"/>
          <w:rtl w:val="true"/>
          <w:lang w:bidi="fa-IR"/>
        </w:rPr>
        <w:t>غیر تامّ، وقد صرّح السیّد الحکیم بالانجبار</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وقدورد من طرق الإمامیّة عن معاویة بن عمّار،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تقضی المناسک کلّها علی غیر وضوء إلّاالطواف؛ فإنّ فیه صلاة، والوضوء أفضل</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استشعر صاحب الجواهر من هذا الخبر؛ أنّ أصل المرسل المشهور عن النبی صلی الله علیه و آله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الطواف بالبیت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أسقط من أوّله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أنّه من التشبیه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الاستشعار إشکال، بل منع؛ لأنّه فی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استثنی منه النطق، فقال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اللّه أحلّ فیه النطق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ولعلّه من هذه الجهة استدلّ هو نفسه بهذه الروایة فی مواضع عدیدة من کتابه، من دون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bookmarkStart w:id="30" w:name="pg5554_31727"/>
    </w:p>
    <w:p>
      <w:pPr>
        <w:pStyle w:val="BookText"/>
        <w:rPr/>
      </w:pPr>
      <w:bookmarkEnd w:id="30"/>
      <w:r>
        <w:rPr>
          <w:rFonts w:ascii="IRNazanin" w:hAnsi="IRNazanin" w:eastAsia="IRNazanin"/>
          <w:color w:val="111111"/>
          <w:sz w:val="28"/>
          <w:sz w:val="28"/>
          <w:szCs w:val="28"/>
          <w:rtl w:val="true"/>
          <w:lang w:bidi="fa-IR"/>
        </w:rPr>
        <w:t xml:space="preserve">والمتحصّل إلی هنا أنّ الشارع المقدّس قد أوجب الطواف بالبیت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لْیَطَّوَّفُوا بِالْبَیْتِ الْعَتِیقِ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وملاحظة الأدلّة تدلّ علی وجود التوسعة من ناحیتین الطواف والبیت وبعبارة اخری الأدلّة حاکمة علی أنّ البیت من جهة الفوق والتحت بیت کما أنّ الأدلّة الاُخری حاکمة علی أنّ الطواف بمنزلة الصلاة فکما أنّ الصلاة مرتفعاً عن البیت صحیحة فکذلک الطواف فالحکومة فی الأمرین وهذا واضح یکفی فی الوثوق إلی صحّة الطواف من الطابق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أنّه لو کان الطواف مرتفعاً عن الکعبة غیر جائز، لصار هذا أیضاً حدّاً من جهة الارتفاع، ولکان اللّازم علی الشارع ذکره، کما ذکر الحدّ فی جهة المساحة ومحیط الدائرة الأرضیّة، فمن عدم البیان بالنسبة إلی هذه الجهة نستکشف صحّة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البیان إنّما کان من جهة عدم الموضوع الخارجی فی ذلک الزمان، وهو کما تری</w:t>
      </w:r>
      <w:r>
        <w:rPr>
          <w:rFonts w:eastAsia="IRNazanin" w:cs="IRNazanin"/>
          <w:color w:val="111111"/>
          <w:sz w:val="28"/>
          <w:szCs w:val="28"/>
          <w:rtl w:val="true"/>
          <w:lang w:bidi="fa-IR"/>
        </w:rPr>
        <w:t>.</w:t>
      </w:r>
    </w:p>
    <w:p>
      <w:pPr>
        <w:pStyle w:val="Heading2"/>
        <w:numPr>
          <w:ilvl w:val="1"/>
          <w:numId w:val="1"/>
        </w:numPr>
        <w:rPr/>
      </w:pPr>
      <w:bookmarkStart w:id="31" w:name="__RefHeading___Toc2600779_581953129"/>
      <w:bookmarkStart w:id="32" w:name="_Toc11"/>
      <w:bookmarkEnd w:id="31"/>
      <w:r>
        <w:rPr>
          <w:rtl w:val="true"/>
        </w:rPr>
        <w:t>الطواف من الطابق الأعلی عند السنّة</w:t>
      </w:r>
      <w:bookmarkEnd w:id="32"/>
    </w:p>
    <w:p>
      <w:pPr>
        <w:pStyle w:val="BookText"/>
        <w:rPr/>
      </w:pPr>
      <w:r>
        <w:rPr>
          <w:rFonts w:ascii="IRNazanin" w:hAnsi="IRNazanin" w:eastAsia="IRNazanin"/>
          <w:color w:val="111111"/>
          <w:sz w:val="28"/>
          <w:sz w:val="28"/>
          <w:szCs w:val="28"/>
          <w:rtl w:val="true"/>
          <w:lang w:bidi="fa-IR"/>
        </w:rPr>
        <w:t>وممّا ذکرنا ظهر ضعف ما حکی عن الشافعی؛ فإنّه قال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جعل سقف المسجد أعلی لم یجز الطواف علی</w:t>
      </w:r>
    </w:p>
    <w:p>
      <w:pPr>
        <w:pStyle w:val="BookText"/>
        <w:rPr/>
      </w:pPr>
      <w:r>
        <w:rPr>
          <w:rFonts w:ascii="IRNazanin" w:hAnsi="IRNazanin" w:eastAsia="IRNazanin"/>
          <w:color w:val="111111"/>
          <w:sz w:val="28"/>
          <w:sz w:val="28"/>
          <w:szCs w:val="28"/>
          <w:rtl w:val="true"/>
          <w:lang w:bidi="fa-IR"/>
        </w:rPr>
        <w:t>سطحه</w:t>
      </w:r>
      <w:r>
        <w:rPr>
          <w:rStyle w:val="FootnoteAnchor"/>
          <w:rtl w:val="true"/>
        </w:rPr>
        <w:footnoteReference w:id="59"/>
      </w:r>
      <w:r>
        <w:rPr>
          <w:rFonts w:ascii="IRNazanin" w:hAnsi="IRNazanin" w:eastAsia="IRNazanin"/>
          <w:color w:val="111111"/>
          <w:sz w:val="28"/>
          <w:sz w:val="28"/>
          <w:szCs w:val="28"/>
          <w:rtl w:val="true"/>
          <w:lang w:bidi="fa-IR"/>
        </w:rPr>
        <w:t>، ویستفاد من صاحب الجواهر مخالفته له فی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مقتضاه کما عن التذکرة</w:t>
      </w:r>
      <w:r>
        <w:rPr>
          <w:rStyle w:val="FootnoteAnchor"/>
          <w:rtl w:val="true"/>
        </w:rPr>
        <w:footnoteReference w:id="60"/>
      </w:r>
      <w:r>
        <w:rPr>
          <w:rFonts w:ascii="IRNazanin" w:hAnsi="IRNazanin" w:eastAsia="IRNazanin"/>
          <w:color w:val="111111"/>
          <w:sz w:val="28"/>
          <w:sz w:val="28"/>
          <w:szCs w:val="28"/>
          <w:rtl w:val="true"/>
          <w:lang w:bidi="fa-IR"/>
        </w:rPr>
        <w:t xml:space="preserve">أنّه لو انهدمت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لم‌یصحّ الطواف حول عرصتها، وهو بعید، بل باطل</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ذهاب صاحب الجواهر أیضاً إلی صحّة الطواف من السطح وإن کان أعلی من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یبدو أنّ أکثر العامّة قائلون بصحّة الطواف فیما إذا کان مرتفعاً عن البیت، فقد 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سطوح المسجد إذا کان البیت أرفع بناءً من المسجد، کما هو الیوم، 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جعل سقف المسجد أعلی من سطح الکعبة، فقد ذکر صاحب العدّة أنّه لایجوز الطواف علی سطح المسجد، وأنکره علیه الرافعی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قوله لزم منه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انهدمت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الطواف حول عرصتها، وهو بعید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الذی قاله الرافعی هو الصواب، وقد جزم القاضی حسین فی 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طاف علی سطح المسجد</w:t>
      </w:r>
      <w:bookmarkStart w:id="33" w:name="pg5554_31731"/>
    </w:p>
    <w:p>
      <w:pPr>
        <w:pStyle w:val="BookText"/>
        <w:rPr/>
      </w:pPr>
      <w:bookmarkEnd w:id="33"/>
      <w:r>
        <w:rPr>
          <w:rFonts w:ascii="Amiri" w:hAnsi="Amiri" w:eastAsia="Amiri" w:cs="Amiri"/>
          <w:color w:val="111111"/>
          <w:sz w:val="28"/>
          <w:sz w:val="28"/>
          <w:szCs w:val="28"/>
          <w:rtl w:val="true"/>
          <w:lang w:bidi="ar-SA"/>
        </w:rPr>
        <w:t>صحّ وإن ارتفع عن محاذاة الکعبة، ثمّ أضاف قاعدةً کلّیّةً؛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وسّع المسجد اتّسع المطاف،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أصحابنا علی ذلک</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الزحیلی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علی سطح المسجد وإن کان سقف المسجد أعلی من البیت</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 w:name="__RefHeading___Toc2600781_581953129"/>
      <w:bookmarkStart w:id="35" w:name="_Toc12"/>
      <w:bookmarkEnd w:id="34"/>
      <w:r>
        <w:rPr>
          <w:rtl w:val="true"/>
        </w:rPr>
        <w:t>فروع ملحقة</w:t>
      </w:r>
      <w:bookmarkEnd w:id="3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فی المکان المرتفع من البیت قلیلاً</w:t>
      </w:r>
    </w:p>
    <w:p>
      <w:p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التوسعة، وبناءً علی عدمها، ولزوم الاقتصار علی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عند العرف أنّ الارتفاع القلیل بمقدار متر، أو مترین لا یخرجه عن الطواف حول البیت، فیصحّ الطواف انطلاقاً من الصدق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الحکم لحال الاضطرار، وعدمه</w:t>
      </w:r>
    </w:p>
    <w:p>
      <w:pPr>
        <w:pStyle w:val="BookText"/>
        <w:rPr/>
      </w:pPr>
      <w:r>
        <w:rPr>
          <w:rFonts w:ascii="IRNazanin" w:hAnsi="IRNazanin" w:eastAsia="IRNazanin"/>
          <w:color w:val="111111"/>
          <w:sz w:val="28"/>
          <w:sz w:val="28"/>
          <w:szCs w:val="28"/>
          <w:rtl w:val="true"/>
          <w:lang w:bidi="fa-IR"/>
        </w:rPr>
        <w:t>ثمّ إنّه یظهر أیضاً أنّ صحّة الطواف فیما إذا کان أعلی من الکعبة لیست مختصّةً بحال الاضطرار، بل من یقول بعدم وجود حدّ للمطاف یصحّ له القول بذلک مطلقاً،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الاستنابة ومشروعیّتها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أنّه لا تصل النوبة إلی الاستنابة إلّاعلی قول من</w:t>
      </w:r>
    </w:p>
    <w:p>
      <w:pPr>
        <w:pStyle w:val="BookText"/>
        <w:rPr/>
      </w:pPr>
      <w:r>
        <w:rPr>
          <w:rFonts w:ascii="IRNazanin" w:hAnsi="IRNazanin" w:eastAsia="IRNazanin"/>
          <w:color w:val="111111"/>
          <w:sz w:val="28"/>
          <w:sz w:val="28"/>
          <w:szCs w:val="28"/>
          <w:rtl w:val="true"/>
          <w:lang w:bidi="fa-IR"/>
        </w:rPr>
        <w:t>یذهب إلی وجود حدّ للمطاف؛ إذ یلزمه طبعاً الإفتاء بلزوم الاستنابة، وعدم صحّة الطواف من الطابق الأوّل، لا من جهة کونه أعلی من البیت، بل من جهة کونه خارجاً عن حدّ المطاف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هنا بحث،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القول بوجود الحدّ إذا أمکنت الاستنابة وجبت علیه، وأمّا إذا لم یمکن، وعلم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قبل الشروع فی الإحرام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قادر علی الطواف لا بنفسه ولا بالاستنابة، فهل یکون إحرامه صحیحاً، أم لا؟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 بعدم وجوب الحجّ فی هذا الفرض؛ إمّا من جهة أنّ عدم القدرة علی الجزء أو الشرط، موجب لعدم القدرة علی المرکّب أو المشروط، فیسقط وجوب الحجّ لأجل عدم توجّه التکلیف والخطاب نحو المخاطب، بناءً علی ما أسّسه المحقّق النائینی من أنّ شرطیّة القدرة تستفاد من اقتضاء الخطاب لا من حکم العقل</w:t>
      </w:r>
      <w:r>
        <w:rPr>
          <w:rStyle w:val="FootnoteAnchor"/>
          <w:rtl w:val="true"/>
        </w:rPr>
        <w:footnoteReference w:id="65"/>
      </w:r>
      <w:r>
        <w:rPr>
          <w:rFonts w:ascii="IRNazanin" w:hAnsi="IRNazanin" w:eastAsia="IRNazanin"/>
          <w:color w:val="111111"/>
          <w:sz w:val="28"/>
          <w:sz w:val="28"/>
          <w:szCs w:val="28"/>
          <w:rtl w:val="true"/>
          <w:lang w:bidi="fa-IR"/>
        </w:rPr>
        <w:t>، أو أنّ عدم القدرة علی الجزء أو الشرط موجب لکون توجّه التکلیف إلیه قبیحاً علی مبنی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بحکم العقل بقبح تکلیف العاجز، کلّ ذلک بناءً علی شرطیّة القدرة فی التکلیف؛ إمّا من اقتضاء نفس الخطاب، أو من حکم العقل</w:t>
      </w:r>
      <w:r>
        <w:rPr>
          <w:rFonts w:eastAsia="IRNazanin" w:cs="IRNazanin"/>
          <w:color w:val="111111"/>
          <w:sz w:val="28"/>
          <w:szCs w:val="28"/>
          <w:rtl w:val="true"/>
          <w:lang w:bidi="fa-IR"/>
        </w:rPr>
        <w:t>.</w:t>
      </w:r>
      <w:bookmarkStart w:id="36" w:name="pg5554_31735"/>
    </w:p>
    <w:p>
      <w:pPr>
        <w:pStyle w:val="BookText"/>
        <w:rPr/>
      </w:pPr>
      <w:bookmarkEnd w:id="36"/>
      <w:r>
        <w:rPr>
          <w:rFonts w:ascii="IRNazanin" w:hAnsi="IRNazanin" w:eastAsia="IRNazanin"/>
          <w:color w:val="111111"/>
          <w:sz w:val="28"/>
          <w:sz w:val="28"/>
          <w:szCs w:val="28"/>
          <w:rtl w:val="true"/>
          <w:lang w:bidi="fa-IR"/>
        </w:rPr>
        <w:t>وأمّا بناءً علی عدم شرطیّة القدرة فیه، والقول بأنّ الخطاب یشمل العاجز کما أنّه یشمل القادر، غایته أنّ العاجز معذور فی ترک الامتثال، وهو ما ذهب إلیه السیّد الإمام الخمینی</w:t>
      </w:r>
      <w:r>
        <w:rPr>
          <w:rStyle w:val="FootnoteAnchor"/>
          <w:rtl w:val="true"/>
        </w:rPr>
        <w:footnoteReference w:id="66"/>
      </w:r>
      <w:r>
        <w:rPr>
          <w:rFonts w:ascii="IRNazanin" w:hAnsi="IRNazanin" w:eastAsia="IRNazanin"/>
          <w:color w:val="111111"/>
          <w:sz w:val="28"/>
          <w:sz w:val="28"/>
          <w:szCs w:val="28"/>
          <w:rtl w:val="true"/>
          <w:lang w:bidi="fa-IR"/>
        </w:rPr>
        <w:t xml:space="preserve">والسیّد الخوئی </w:t>
      </w:r>
      <w:r>
        <w:rPr>
          <w:rFonts w:eastAsia="IRNazanin" w:cs="IRNazanin"/>
          <w:color w:val="111111"/>
          <w:sz w:val="28"/>
          <w:szCs w:val="28"/>
          <w:lang w:bidi="fa-IR"/>
        </w:rPr>
        <w:t>0</w:t>
      </w:r>
      <w:r>
        <w:rPr>
          <w:rStyle w:val="FootnoteAnchor"/>
          <w:rtl w:val="true"/>
        </w:rPr>
        <w:footnoteReference w:id="67"/>
      </w:r>
      <w:r>
        <w:rPr>
          <w:rFonts w:ascii="IRNazanin" w:hAnsi="IRNazanin" w:eastAsia="IRNazanin"/>
          <w:color w:val="111111"/>
          <w:sz w:val="28"/>
          <w:sz w:val="28"/>
          <w:szCs w:val="28"/>
          <w:rtl w:val="true"/>
          <w:lang w:bidi="fa-IR"/>
        </w:rPr>
        <w:t>، فیکون العجز عن الجزء مساوقاً للعجز عن المرکّب، فیکون معذوراً فی ترک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الواحد فی المرکّب یسقط بتعذّر جزء من الأجزاء، فإذا تعذّر أحد الأجزاء یسقط الوجوب عن الباقی بمقتضی القاعدة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یدلّ الدلیل الخاصّ علی بقاء الوجوب فی الباقی، کما فی باب الصلاة</w:t>
      </w:r>
      <w:r>
        <w:rPr>
          <w:rFonts w:eastAsia="IRNazanin" w:cs="IRNazanin"/>
          <w:color w:val="111111"/>
          <w:sz w:val="28"/>
          <w:szCs w:val="28"/>
          <w:rtl w:val="true"/>
          <w:lang w:bidi="fa-IR"/>
        </w:rPr>
        <w:t>.</w:t>
      </w:r>
    </w:p>
    <w:p>
      <w:pPr>
        <w:pStyle w:val="Heading2"/>
        <w:numPr>
          <w:ilvl w:val="1"/>
          <w:numId w:val="1"/>
        </w:numPr>
        <w:rPr/>
      </w:pPr>
      <w:bookmarkStart w:id="37" w:name="__RefHeading___Toc2600783_581953129"/>
      <w:bookmarkStart w:id="38" w:name="_Toc13"/>
      <w:bookmarkEnd w:id="37"/>
      <w:r>
        <w:rPr>
          <w:rtl w:val="true"/>
        </w:rPr>
        <w:t>سوال و جواب</w:t>
      </w:r>
      <w:bookmarkEnd w:id="3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حقّق فی محلّه أنّ الجامع بین المقدور، وغیر المقدور مقدور</w:t>
      </w:r>
      <w:r>
        <w:rPr>
          <w:rStyle w:val="FootnoteAnchor"/>
          <w:rtl w:val="true"/>
        </w:rPr>
        <w:footnoteReference w:id="68"/>
      </w:r>
      <w:r>
        <w:rPr>
          <w:rFonts w:ascii="IRNazanin" w:hAnsi="IRNazanin" w:eastAsia="IRNazanin"/>
          <w:color w:val="111111"/>
          <w:sz w:val="28"/>
          <w:sz w:val="28"/>
          <w:szCs w:val="28"/>
          <w:rtl w:val="true"/>
          <w:lang w:bidi="fa-IR"/>
        </w:rPr>
        <w:t>، فإذا کان بعض أفراد الطبیعة المأمور بها مقدوراً، ولکن بعضها الآخر غیر مقدور، یصحّ التکلیف بالطبیعة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الکلام إنّما یجری فی الکلّی والفرد، لا فی الکلّ والجزء، والکلام هنا إنّما هو فی الثانی؛ فإنّ العاجز عن الجزء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عاجزاً عن الکلّ،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ملازمة بین عدم وجوب الحجّ، وعدم صحّة الإحرام، فیمکن أن یقال بصحّة إحرامه دون وجوب الحجّ علیه، والخروج من الإحرام له أسباب یمکن الإتیان بها، ولم یشترط أحد فی صحّة الإحرام إمکان الإتیان ببقیّة الأجزاء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الإحرام أیضاً من أجزاء الحجّ، فبعد عدم القدرة علی جزء من أجزائه تکون بقیّة الأجزاء فی حکم غیر المقدور، ولا أقلّ لا تکون مشمولةً للطلب المتوجّه إلی المرکّب، والمفروض عدم المطلوبیّة الاستقلالیّة لکلّ من الأجزاء، فلایصحّ الإحرام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ظهر ممّا أسلفناه أنّ العاجز عن الطواف الصحیح المشروع مع عدم إمکان الاستنابة أیضاً یسقط عنه الوجوب، ولا یجب علیه الحجّ، کما لایصحّ منه الإحرام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یخفی أنّ القدرة علی العمل کافیة ولو من طریق الاستنابة؛ فإنّ القادر علی الاستنابة فی العمل الذی یقبل النیابة قادر علی العمل أیضاً، وعلی هذا یتّضح أنّه لو لم یکن الحاجّ قادراً علی الطواف والسعی مثلاً، لکنّه کان</w:t>
      </w:r>
      <w:bookmarkStart w:id="39" w:name="pg5554_31739"/>
    </w:p>
    <w:p>
      <w:pPr>
        <w:pStyle w:val="BookText"/>
        <w:rPr/>
      </w:pPr>
      <w:bookmarkEnd w:id="39"/>
      <w:r>
        <w:rPr>
          <w:rFonts w:ascii="IRNazanin" w:hAnsi="IRNazanin" w:eastAsia="IRNazanin"/>
          <w:color w:val="111111"/>
          <w:sz w:val="28"/>
          <w:sz w:val="28"/>
          <w:szCs w:val="28"/>
          <w:rtl w:val="true"/>
          <w:lang w:bidi="fa-IR"/>
        </w:rPr>
        <w:t>قادراً علی الاستنابة فیهما، وعلی المباشرة فی الصلاة والتقصیر، لکان إحرامه وعمرته صحیحین</w:t>
      </w:r>
      <w:r>
        <w:rPr>
          <w:rFonts w:eastAsia="IRNazanin" w:cs="IRNazanin"/>
          <w:color w:val="111111"/>
          <w:sz w:val="28"/>
          <w:szCs w:val="28"/>
          <w:rtl w:val="true"/>
          <w:lang w:bidi="fa-IR"/>
        </w:rPr>
        <w:t>.</w:t>
      </w:r>
    </w:p>
    <w:p>
      <w:pPr>
        <w:pStyle w:val="Heading2"/>
        <w:numPr>
          <w:ilvl w:val="1"/>
          <w:numId w:val="1"/>
        </w:numPr>
        <w:rPr/>
      </w:pPr>
      <w:bookmarkStart w:id="40" w:name="__RefHeading___Toc2600785_581953129"/>
      <w:bookmarkStart w:id="41" w:name="_Toc14"/>
      <w:bookmarkEnd w:id="40"/>
      <w:r>
        <w:rPr>
          <w:rtl w:val="true"/>
        </w:rPr>
        <w:t>خلاصة البحث، ونتیجة الدراسة</w:t>
      </w:r>
      <w:bookmarkEnd w:id="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بناءً علی جواز الإضافة فی جهة الارتفاع إلی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وبناءً علی عدم شمول النهی الوارد فی الروایات عن البناء فوق الکعبة</w:t>
      </w:r>
      <w:r>
        <w:rPr>
          <w:rStyle w:val="FootnoteAnchor"/>
          <w:rtl w:val="true"/>
        </w:rPr>
        <w:footnoteReference w:id="69"/>
      </w:r>
      <w:r>
        <w:rPr>
          <w:rFonts w:ascii="IRNazanin" w:hAnsi="IRNazanin" w:eastAsia="IRNazanin"/>
          <w:color w:val="111111"/>
          <w:sz w:val="28"/>
          <w:sz w:val="28"/>
          <w:szCs w:val="28"/>
          <w:rtl w:val="true"/>
          <w:lang w:bidi="fa-IR"/>
        </w:rPr>
        <w:t>للأبنیة المتعلِّقة بالمسجد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وبناءً علی عدم اختصاص التوسعة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علوّاً وسفلاً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بالاستقبال، بل تجری فی الطواف أیضاً بمقتضی إطلاق الروایة المرسلة</w:t>
      </w:r>
      <w:r>
        <w:rPr>
          <w:rStyle w:val="FootnoteAnchor"/>
          <w:rtl w:val="true"/>
        </w:rPr>
        <w:footnoteReference w:id="70"/>
      </w:r>
      <w:r>
        <w:rPr>
          <w:rFonts w:ascii="IRNazanin" w:hAnsi="IRNazanin" w:eastAsia="IRNazanin"/>
          <w:color w:val="111111"/>
          <w:sz w:val="28"/>
          <w:sz w:val="28"/>
          <w:szCs w:val="28"/>
          <w:rtl w:val="true"/>
          <w:lang w:bidi="fa-IR"/>
        </w:rPr>
        <w:t>الواردة فی المقام أوّلاً، وانضمام الروایات</w:t>
      </w:r>
      <w:r>
        <w:rPr>
          <w:rStyle w:val="FootnoteAnchor"/>
          <w:rtl w:val="true"/>
        </w:rPr>
        <w:footnoteReference w:id="71"/>
      </w:r>
      <w:r>
        <w:rPr>
          <w:rFonts w:ascii="IRNazanin" w:hAnsi="IRNazanin" w:eastAsia="IRNazanin"/>
          <w:color w:val="111111"/>
          <w:sz w:val="28"/>
          <w:sz w:val="28"/>
          <w:szCs w:val="28"/>
          <w:rtl w:val="true"/>
          <w:lang w:bidi="fa-IR"/>
        </w:rPr>
        <w:t xml:space="preserve">الدالّة علی أنّ البیت قبلة من جهة الفوق ثانیاً؛ فإنّ الانضمام یدلّ علی التوسعة من جهة الفوق أیضاً، ومن جهة الصدق العرفی، کالاستقبال ثالثاً، ووحدة السیاق والتعبیر فی أدلّة الطواف، وأدلّة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أنّ المحور فیهما هو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 عدم وجود حدّ للمطاف</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نستنتج صحّة الطواف من الطابق الأوّل وإن کان أعلی</w:t>
      </w:r>
      <w:bookmarkStart w:id="42" w:name="pg5554_31741"/>
    </w:p>
    <w:p>
      <w:pPr>
        <w:pStyle w:val="BookText"/>
        <w:rPr/>
      </w:pPr>
      <w:bookmarkEnd w:id="42"/>
      <w:r>
        <w:rPr>
          <w:rFonts w:ascii="IRNazanin" w:hAnsi="IRNazanin" w:eastAsia="IRNazanin"/>
          <w:color w:val="111111"/>
          <w:sz w:val="28"/>
          <w:sz w:val="28"/>
          <w:szCs w:val="28"/>
          <w:rtl w:val="true"/>
          <w:lang w:bidi="fa-IR"/>
        </w:rPr>
        <w:t>من البیت، وهو المستفاد أیضاً من کلمات صاحب الجواهر</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وبعبارة اخری قد أثبتنا وجود الحکومة والتوسعة من ناحیتین من جانب البیت ومن جانب الطواف أیضاً واثبات أحدهما یکفی فی هذه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نستنتج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التوسعة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الطواف وإن کان أعلی من البیت بمقدار متر، أو مترین؛ فإنّ هذا المقدار لا یضرّ فی صدق الطواف عرفاً حول البیت،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أنّ هذا البحث جدید، ولم أرَ من تعرّض له سابقاً حتّی بنحو الإشارة، یحتاج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دقّة کثیرة، وعلی المحقّقین والفقهاء أن یبحثوا حوله، وینظروا إلی ما قلناه نظراً جامعاً وافیاً</w:t>
      </w:r>
      <w:r>
        <w:rPr>
          <w:rFonts w:eastAsia="IRNazanin" w:cs="IRNazanin"/>
          <w:color w:val="111111"/>
          <w:sz w:val="28"/>
          <w:szCs w:val="28"/>
          <w:rtl w:val="true"/>
          <w:lang w:bidi="fa-IR"/>
        </w:rPr>
        <w:t>.</w:t>
      </w:r>
    </w:p>
    <w:p>
      <w:pPr>
        <w:pStyle w:val="Heading2"/>
        <w:numPr>
          <w:ilvl w:val="1"/>
          <w:numId w:val="1"/>
        </w:numPr>
        <w:rPr/>
      </w:pPr>
      <w:bookmarkStart w:id="43" w:name="__RefHeading___Toc2600787_581953129"/>
      <w:bookmarkStart w:id="44" w:name="_Toc15"/>
      <w:bookmarkEnd w:id="43"/>
      <w:r>
        <w:rPr>
          <w:rtl w:val="true"/>
        </w:rPr>
        <w:t>خاتمة فی الجواب عن الشبهات</w:t>
      </w:r>
      <w:bookmarkEnd w:id="4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انتشار الطبعة الاُولی من هذه الرسالة قد ذکر بعض من الفضلاء والمحقّقین ایرادات حول هذا الرأی وینبغی هنا ذکر أهمّها والجواب عنها وإن کان التدقیق فی الرسالة یوجب الاستغناء عن التعرّض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الشبهة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مرسلة الصدوق أنّما هی فی مقام تحدید أساس الکعبة لا نفسها وکون أساسها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أی‌قاعدتها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الأرض السابقة السفلی إلی أعلی طبقة من الأرض أجنبی عن محلّ الکلام وهو دعوی امتداد نفس الکعبة إلی عنان السماء فغایة مفاد المرسلة امتداد الکعبة فی جهة السفل</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منّا إنّ الظاهر من کلمة الأرض أنّها لیست فی قبال السماء، بل یراد من الأرض السفلی والعلیا الامتداد من جهة الفوق والتحت وتکون کنایة عن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التعبیر بالأساس لیس فی مقابل العلوّ والفوق بل هذا کنایة عن الشرافة والعظمة والإمام علیه السلام انّما هو فی مقام بیان عظمة الکعبة ولزوم رعایة احترامها من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التعبیر بالأساس فانّ قوله إلی الأرض السابعة العلیا قرینة واضحة علی التوسعة من جهة العلوّ،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الشبهة الثانیة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مرسلة الصدوق لیست بصدد بیان الحکم الشرعی وأدلّة حجّیة خبر الواحد غیر شاملة للخبر الذی لا یکون</w:t>
      </w:r>
    </w:p>
    <w:p>
      <w:pPr>
        <w:pStyle w:val="BookText"/>
        <w:rPr/>
      </w:pPr>
      <w:r>
        <w:rPr>
          <w:rFonts w:ascii="Amiri" w:hAnsi="Amiri" w:eastAsia="Amiri" w:cs="Amiri"/>
          <w:color w:val="111111"/>
          <w:sz w:val="28"/>
          <w:sz w:val="28"/>
          <w:szCs w:val="28"/>
          <w:rtl w:val="true"/>
          <w:lang w:bidi="ar-SA"/>
        </w:rPr>
        <w:t>دالّاً علی الحکم الشرعی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مرّ إنّ الإمام علیه السلام بصدد بیان عظمة الکعبة وشرافتها ولیس ذلک إلّالأجل لزوم رعایة أحکامها من الجانبین ولا یخفی انّ الروایة دالّة علی التوسعة بالنسبة إلی جمیع أحکام البیت فی الصلاة والطواف وغیرهما،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أنّا قد حقّقنا فی المباحث الاُصولیّة انّ أدلّة حجّیة خبر الواحد مطلقة شاملة لذلک أیضاً،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أنّکم قد ذکرتم فی الرسالة استبعاد الفرق بین الصلاة والطواف ولمّا کان ما یستقبل فی الصلاة ممتداً إلی عنان السماء فلا محالة یکون الطواف أیضاً کذلک والشاهد علی ذلک أنّه لو ازیل البناء لصحّت الصلاة إلی الفضاء فلیکن الطواف صحیحاً فی هذا الفرض أیضاً وهذا یدلّ علی عدم الفرق بینهما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یرد علیکم أنّه لا ملازمة بینهما بمجرّد کون التکلیف فیهما إلی البیت بعد أن قام الدلیل علی کون ما یستقبل فی الصلاة یمتدّ إلی العنان ولم یتمّ دلیل علی مساواة الطواف بالبیت لاستقباله فی الصلاة</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قد ذکرنا فی الرسالة انّ عدم الفرق والاستبعاد انّما هو من جهة انّه کما تکون الروایة الواردة فی خصوص الصلاة موجبة للتوسعة فیها کذلک الروایة الواردة فی البیت أی‌مرسلة الصدوق تکون موجبة للتوسعة فی الطواف والصلاة معاً وبعبارة اخری اطلاق المرسلة بالنسبة إلی جمیع ما یتعلّق بالبیت ثابت محکم والفرق بین الصلاة والطواف من هذه الجهة بعید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احراز صدق الطواف بالبیت بالطواف من الطابق الأوّل لو لم نقل باحراز عدم الصدق وقد صرّح بعض بأنّ عنوان طواف البیت من جهة الصدق معلوم عدمه ولا أقلّ من الشک فیه</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أنّه بعد المراجعة إلی کتب اللغة انّ المراد من الطواف هی الحرکة الدوریة حول الشیء ولا یستفاد من کتب اللغة أکثر من ذلک فلا یعتبر فی صدق الطواف أن یکون الطائف موازیاً ومحاذیاً لما یطوف به وما ورد من بعض کتب اللغة</w:t>
      </w:r>
      <w:r>
        <w:rPr>
          <w:rStyle w:val="FootnoteAnchor"/>
          <w:rtl w:val="true"/>
        </w:rPr>
        <w:footnoteReference w:id="76"/>
      </w:r>
      <w:r>
        <w:rPr>
          <w:rFonts w:ascii="IRNazanin" w:hAnsi="IRNazanin" w:eastAsia="IRNazanin"/>
          <w:color w:val="111111"/>
          <w:sz w:val="28"/>
          <w:sz w:val="28"/>
          <w:szCs w:val="28"/>
          <w:rtl w:val="true"/>
          <w:lang w:bidi="fa-IR"/>
        </w:rPr>
        <w:t>من التفسیر بالاحاطة فهو لا یدلّ علی</w:t>
      </w:r>
    </w:p>
    <w:p>
      <w:pPr>
        <w:pStyle w:val="BookText"/>
        <w:rPr/>
      </w:pPr>
      <w:r>
        <w:rPr>
          <w:rFonts w:ascii="IRNazanin" w:hAnsi="IRNazanin" w:eastAsia="IRNazanin"/>
          <w:color w:val="111111"/>
          <w:sz w:val="28"/>
          <w:sz w:val="28"/>
          <w:szCs w:val="28"/>
          <w:rtl w:val="true"/>
          <w:lang w:bidi="fa-IR"/>
        </w:rPr>
        <w:t>الموازاة فانّ الاحاطة أعمّ من أن یکون موازیاً أو مرتفعاً أو منخفضاً ویؤیّد ذلک بعض الاستعمالات فی القرآن الکریم،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من الجهة اللغویة فی صدق الطواف علی من یطوف فی الطوابق الفوقانیة أو التحتانیة والارتفاع لا یضرّ بصدق الطواف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الشبهة 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استناد المشهور بالمرسلة لجبران ضعف سندها غیر تامّ صغری وکبری أما الصغری فهو أنّ من استند إلی الروایة لم یتجاوز عددهم عن عدد أصابع الید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الکبری فهی دائرة مدار حصول الوثوق بالصدور وجوداً وعدماً وهو غیر حاصل</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قد أثبتنا فی الرسالة أنّ الشیخ فی الخلاف والعلّامة فی المختلف والمنتهی وابن إدریس الذی هو لا یعمل بأخبار الآحاد وأیضاً جمع من المتأخّرین کالشهید الثانی فی المسالک وصاحب الروض والسیّد الطباطبائی فی ریاض المسائل قد استندوا إلی هذه الروایة والظاهر أنّ تمسّک المتأخّرین من أجل اعتماد المتقدّمین علی هذه الروایة والإنصاف أنّه یکفی للوثوق عمل الشیخ والعلّامة وابن</w:t>
      </w:r>
    </w:p>
    <w:p>
      <w:pPr>
        <w:pStyle w:val="BookText"/>
        <w:rPr/>
      </w:pPr>
      <w:r>
        <w:rPr>
          <w:rFonts w:ascii="IRNazanin" w:hAnsi="IRNazanin" w:eastAsia="IRNazanin"/>
          <w:color w:val="111111"/>
          <w:sz w:val="28"/>
          <w:sz w:val="28"/>
          <w:szCs w:val="28"/>
          <w:rtl w:val="true"/>
          <w:lang w:bidi="fa-IR"/>
        </w:rPr>
        <w:t>إدریس، وبعبارة اخری لیس المراد من الشهرة فی هذه القاعدة هی الشهرة المصطلحة التی تتقوم بالعدد الکثیر، بل المراد جبران ضعف السند بسبب اعتماد جمع یوجب الوثوق والاطمئنان بصدوره من المعصوم علیه السلام والظاهر أنّ عمل هذه الجماعة یکون من هذا النوع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الشبهة السادسة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الشهرة جابرة لضعف السند فیما عمل به وعلی هذا فالمرسلة معتبرة فی المورد التی عمل بها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استناد القوم إلی الروایة دالّ علی وجود العموم والاطلاق وبعبارة اخری العمل بالمرسلة أنّما هو من حیث عدم اختصاصها بخصوص الطهارة مثلاً وقد وقع الخلط بین المقام وبین نصّ غیر صحیح یصحّ التمسّک به فیما عمل به کما قیل فی قاعدة القرعة فإنّ من أنکر القاعدة یذهب إلیها فی الموارد التی عمل المشهور بها مستنداً إلیها والمقام لیس من هذا القبیل فإنّ الاستناد یکشف عن وجود العموم فی المرسلة فتدبّر</w:t>
      </w:r>
      <w:r>
        <w:rPr>
          <w:rFonts w:eastAsia="IRNazanin" w:cs="IRNazanin"/>
          <w:color w:val="111111"/>
          <w:sz w:val="28"/>
          <w:szCs w:val="28"/>
          <w:rtl w:val="true"/>
          <w:lang w:bidi="fa-IR"/>
        </w:rPr>
        <w:t>.</w:t>
      </w:r>
      <w:bookmarkStart w:id="45" w:name="pg5554_31752"/>
    </w:p>
    <w:p>
      <w:pPr>
        <w:pStyle w:val="Heading2"/>
        <w:numPr>
          <w:ilvl w:val="1"/>
          <w:numId w:val="1"/>
        </w:numPr>
        <w:rPr/>
      </w:pPr>
      <w:bookmarkStart w:id="46" w:name="__RefHeading___Toc2600789_581953129"/>
      <w:bookmarkStart w:id="47" w:name="_Toc16"/>
      <w:bookmarkEnd w:id="45"/>
      <w:bookmarkEnd w:id="46"/>
      <w:r>
        <w:rPr>
          <w:rtl w:val="true"/>
        </w:rPr>
        <w:t>فهرس المطالب</w:t>
      </w:r>
      <w:bookmarkEnd w:id="47"/>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علاقة البحث بفکرة حدّ المطاف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علاقة البحث بمسألة الزیادة علی ارتفاع الکعبة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جریان البحث فی الطواف الواجب والمندوب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لزوم دخول جمیع أجزاء البدن فی المطاف، وعدمه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حکم البناء فی مکّة المکرّمة مرتفعاً عن البیت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فی شرطیة کون الطواف فی المسجد الحرام وعدمها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اشکالات والأجوبة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الطواف من الطابق الأعلی عند السنّة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فروع ملحقة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سوال و جواب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خلاصة البحث، ونتیجة الدراسة </w:t>
      </w:r>
      <w:r>
        <w:rPr>
          <w:rFonts w:eastAsia="IRNazanin" w:cs="IRNazanin"/>
          <w:color w:val="111111"/>
          <w:sz w:val="28"/>
          <w:szCs w:val="28"/>
          <w:lang w:bidi="fa-IR"/>
        </w:rPr>
        <w:t>44</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خاتمة فی الجواب عن الشبهات </w:t>
      </w:r>
      <w:r>
        <w:rPr>
          <w:rFonts w:eastAsia="IRNazanin" w:cs="IRNazanin"/>
          <w:color w:val="111111"/>
          <w:sz w:val="28"/>
          <w:szCs w:val="28"/>
          <w:lang w:bidi="fa-IR"/>
        </w:rPr>
        <w:t>45</w:t>
      </w:r>
      <w:bookmarkStart w:id="48" w:name="pg5554_31756"/>
    </w:p>
    <w:p>
      <w:pPr>
        <w:pStyle w:val="Heading2"/>
        <w:numPr>
          <w:ilvl w:val="1"/>
          <w:numId w:val="1"/>
        </w:numPr>
        <w:rPr/>
      </w:pPr>
      <w:bookmarkStart w:id="49" w:name="__RefHeading___Toc2600791_581953129"/>
      <w:bookmarkStart w:id="50" w:name="_Toc17"/>
      <w:bookmarkEnd w:id="48"/>
      <w:bookmarkEnd w:id="49"/>
      <w:r>
        <w:rPr>
          <w:rtl w:val="true"/>
        </w:rPr>
        <w:t>فهرس المصادر</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الاستبصار فیما اختلف من الأخبار، لشیخ الطائفة أبی جعفر محمد بن الحسن بن علیّ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طهران، الطبعة الثالثة،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بحوث فی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الدلیل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 لأبحاث السیّد محمد باقر الصدر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محمودالهاشمی، مکتب الإعلام الإسلامی، قم،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فی تفسیر القرآن، للسیّد هاشم بن سلیمان بن إسماعیل بن عبد الجواد بن علیّ بن سلیمان بن السیّد ناصر الحسینی البحرانی، التوبلی الکتکتانی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قم،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البیان، للشیخ أبی عبداللّه شمس الدین محمد بن جمال الدین مکّی بن محمد بن حامد بن أحمد المطّلبی العاملیّ النباطی، المشتهر بالشهید الأوّل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الإمام المهدی علیه السلام، قم،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تحریر الأحکام الشرعیّة علی مذهب الإمامیّة، لأبی منصور</w:t>
      </w:r>
    </w:p>
    <w:p>
      <w:pPr>
        <w:pStyle w:val="BookText"/>
        <w:rPr/>
      </w:pPr>
      <w:r>
        <w:rPr>
          <w:rFonts w:ascii="IRNazanin" w:hAnsi="IRNazanin" w:eastAsia="IRNazanin"/>
          <w:color w:val="111111"/>
          <w:sz w:val="28"/>
          <w:sz w:val="28"/>
          <w:szCs w:val="28"/>
          <w:rtl w:val="true"/>
          <w:lang w:bidi="fa-IR"/>
        </w:rPr>
        <w:t xml:space="preserve">الحسن بن یوسف بن علیّ بن المطهّر الأسدی، المعروف بالعلّامة الحلّی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علیه السلام، قم،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الفقهاء، لأبی منصور الحسن بن یوسف بن علیّ بن المطهّر الأسدی، المعروف بالعلّامة الحلّی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ومکتبة المرتضویّة لإحیاء الآثار الجعفریّة،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لأبی النضر محمّد بن مسعود بن محمّد بن عیّاش السلمی السمرقندی، المعروف بالعیّاشی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الثالث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الإسلامیّة، طهران، الطبعة الاُولی،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فی شرح المقنعة، لشیخ الطائفة أبی جعفر محمد بن الحسن بن علی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طهران،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الاُصول، تقریر أبحاث آیة اللّه العظمی السیّد روح اللّه الموسوی الخمینی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جعفر السبحانی، مؤسّسة تنظیم ونشر آثار الإمام الخمینی قدس سره، قم، الطبعة الاُولی،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لأبی جعفر محمّد بن علیّ بن الحسین بن موسی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طهران،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المقاصد فی شرح القواعد، لنور الدین أبی الحسن علیّ بن</w:t>
      </w:r>
    </w:p>
    <w:p>
      <w:pPr>
        <w:pStyle w:val="BookText"/>
        <w:rPr/>
      </w:pPr>
      <w:r>
        <w:rPr>
          <w:rFonts w:ascii="IRNazanin" w:hAnsi="IRNazanin" w:eastAsia="IRNazanin"/>
          <w:color w:val="111111"/>
          <w:sz w:val="28"/>
          <w:sz w:val="28"/>
          <w:szCs w:val="28"/>
          <w:rtl w:val="true"/>
          <w:lang w:bidi="fa-IR"/>
        </w:rPr>
        <w:t xml:space="preserve">الحسین بن علیّ بن عبد العالی الکرکی، المعروف بالمحقّق الثانی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فی شرح شرائع الإسلام، للشیخ محمد حسن بن باقر بن عبد الرحیم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 الطبعة السابعة، و مؤسّسة النشر الإسلامی، قم،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الحبل المتین فی إحکام أحکام الدِّین، للشیخ بهاء الدین محمد بن عزّ الدین حسین بن عبد الصمد بن شمس الدین محمد بن علیّ بن الحسین بن محمد بن صالح بن إسماعیل العاملیّ الجبعی الحارثی الهمدانی، الملقّب بالشیخ البهائی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مشهد، الطبعة الاُولی،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الحدائق الناضرة فی أحکام العترة الطاهرة، للشیخ یوسف بن أحمد بن إبراهیم بن أحمد بن صالح بن أحمد بن عصفور البحرانی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 لشیخ الطائفة أبی جعفر محمد بن الحسن بن علی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الخامسة،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الناسک، للسیّد محسن بن مهدی بن صالح بن أحمد بن محمود الطباطبائی الحکیم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دار الحکمة، الطبعة الثالثة،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ذخیرة المعاد فی شرح الإرشاد، للمحقّق المولی محمد باقر بن</w:t>
      </w:r>
    </w:p>
    <w:p>
      <w:pPr>
        <w:pStyle w:val="BookText"/>
        <w:rPr/>
      </w:pPr>
      <w:r>
        <w:rPr>
          <w:rFonts w:ascii="IRNazanin" w:hAnsi="IRNazanin" w:eastAsia="IRNazanin"/>
          <w:color w:val="111111"/>
          <w:sz w:val="28"/>
          <w:sz w:val="28"/>
          <w:szCs w:val="28"/>
          <w:rtl w:val="true"/>
          <w:lang w:bidi="fa-IR"/>
        </w:rPr>
        <w:t xml:space="preserve">محمد مؤمن الخراسانی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ذکری الشیعة فی أحکام الشریعة، للشیخ شمس الدین محمد بن مکّی العاملی، الشهیر بالشهیدالأوّل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النجاشی، لأبی العبّاس أحمد بن علی بن أحمد بن العبّاس النجاشی الأسدی الکوفی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السادسة،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 الجنان فی شرح إرشاد الأذهان، لزین الدین بن علیّ بن أحمد العاملی، المعروف بالشهیدالثانی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الأبحاث والدراسات الإسلامیّة، قم،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المسائل فی بیان أحکام الشرع بالدلائل، للسیّد علیّ بن محمد بن علیّبن أبی المعالی الطباطبائی الحسینی الحائری </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الثانیة،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الحاوی لتحریر الفتاوی، لمحمد بن منصور بن أحمد بن إدریس بن الحسین بن القاسم ابن عیسی العجلی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الدارمی، لأبی محمّد عبداللّه بن عبد الرحمن بن الفضل بن بهرام بن عبد الصمد التمیمی الدارمی السمرقندی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لأبی بکر أحمد بن الحسین بن علی بن موسی البیهقی الخسروجردی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النسائی، لأحمد بن شعیب بن علیّ بن سنان بن بحر بن دینار النسائی، أبو عبد الرحمان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شرائع الإسلام فی مسائل الحلال والحرام، لأبی القاسم نجم الدین جعفر بن الحسن بن أبی زکریّا یحیی بن الحسن بن سعید الهذلی، المعروف بالمحقّق الحلّی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الآداب، النجف الأشرف، الطبعة الاُولی،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الشرح الکبیر، لشمس الدِّین أبی محمّد عبد الرحمن بن محمد بن أحمد بن قدامة المقدسی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العزیز شرح الوجیز، المعروف بالشرح الکبیر، لأبی القاسم عبد الکریم بن محمّد بن عبد الکریم بن الفضل بن الحسین بن الحسن القزوینی الرافعی الشافعی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لأبی جعفر محمد بن علیّ بن الحسین بن موسی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ومطبعتها، النجف،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عوالی اللئالی العزیزیّة فی الأحادیث الدینیّة، لمحمد بن علیّ بن إبراهیم الإحسائی، المعروف بابن أبی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سیّد الشهداء علیه السلام، قم، 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من لا یحضره الفقیه، لأبی جعفر محمّد بن علی بن الحسین بن موسی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طهران، الطبعة الخامسة،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الفقه الإسلامی وأدلّته، للدکتور وهبة الزحیلی، دار الفکر، بیروت، الطبعة الثالثة،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فوائد الاُصول، من إفادات المیرزا محمد حسین بن عبد الرحیم بن محمد سعید بن عبد الرحیم الغروی النائینی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علی بن حسن بن محمّد القابچی الکاظمی النجفی، المعروف‌بالجمالی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المقدّسة، الطبعة الثامنة،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فوائد القواعد، لزین الدِّین بن علیّ بن أحمد العاملی الشامی، المعروف بالشهید الثانی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النشر التابع لمکتب الإعلام الإسلامی،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قواعد الأحکام، لأبی منصور الحسن بن یوسف بن علیّ بن المطهّر الأسدی، المعروف بالعلّامة الحلّی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فی الفقه، لأبی الصلاح تقیّ الدین بن نجم الدین بن عبیداللّه بن عبداللّه بن محمد الحلبی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الإمام أمیر المؤمنین علیه السلام، اصفهان،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لثقة الإسلام أبی جعفر محمد بن یعقوب بن إسحاق الکلینی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طهران، الطبعة الثالثة،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الزیارات، لأبی القاسم جعفر بن محمد بن جعفر بن موسی بن قولویه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الفقاهة، قم،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الغطاء عن مبهمات الشریعة الغرّاء، للشیخ جعفر بن خضر بن یحیی بن مطر بن سیف الدِّین الجناجی النجفی،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w:t>
      </w:r>
      <w:r>
        <w:rPr>
          <w:rFonts w:eastAsia="IRNazanin" w:cs="IRNazanin"/>
          <w:color w:val="111111"/>
          <w:sz w:val="28"/>
          <w:szCs w:val="28"/>
          <w:lang w:bidi="fa-IR"/>
        </w:rPr>
        <w:t>1156</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قم،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فی تفسیر القرآن، لأبی علی الفضل بن الحسن بن الفضل الطبرسی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الفائدة والبرهان فی شرح إرشاد الأذهان، للمولی أحمد بن محمد، الشهیر بالمحقّق والمقدّس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المجموع شرح المهذّب، لمحیی الدین یحیی بن شرف بن مری بن حسن بن حسین بن محمد ابن جمعة بن حزام النووی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محاضرات فی اصول الفقه، تقریر أبحاث السیّد أبو القاسم بن علی أکبر بن هاشم الموسوی الخوئی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الشیخ محمد إسحاق الفیّاض، مؤسّسة إحیاء آثار الإمام الخوئی،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مختلف الشیعة فی أحکام الشریعة، لأبی منصور الحسن بن یوسف بن علیّ بن المطهّر الأسدی، المعروف بالعلّامة الحلّی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قم،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مدارک الأحکام فی شرح شرائع الإسلام، للسیّد شمس الدین محمد بن علیّ بن الحسین بن أبی الحسن الموسوی العاملی الجبعی </w:t>
      </w: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مسالک الأفهام إلی تنقیح شرائع الإسلام، لزین الدین بن علیّ بن أحمد العاملی، المعروف بالشهید الثانی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قم،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ومستنبط المسائل وخاتمته، للمیرزا حسین بن المیرزا محمد تقی بن المیرزا علی محمد بن تقی النوری الطبرسی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بیروت،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لأبی عبداللّه محمّد بن عبداللّه بن حمدویه بن نعیم بن الحکیم الضبیّ الطهمانی النیسابوری الشافعی، المعروف بابن البیّع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مستمسک العروة الوثقی، للسیّد محسن بن مهدی بن صالح بن أحمد بن محمود الطباطبائی الحکیم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الآداب، النجف الأشرف، الطبعة الرابعة،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مستند الشیعة فی أحکام الشریعة، للمولی أحمد بن المولی محمّد مهدی بن أبی ذرّ، المعروف بالفاضل النراقی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الفقیه، للحاج آقا محمد رضا ابن الشیخ المولی الفقیه محمد هادی الهمدانی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1250</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الجعفریّة لإحیاء التراث، قم،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المنیر، لأبی العبّاس أحمد بن محمّد بن علیّ الفیّومی الحموی المقرئ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الهجرة، قم، 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لأبی القاسم سلیمان بن أحمد بن أیّوب بن مطیر اللخمی الشامی الطبرانی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للسیّد أبو القاسم بن علی أکبر بن هاشم الموسوی الخوئی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آثار الشیعة، قم، الطبعة الرابعة،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المعتمد فی شرح العروة الوثقی، تقریراً لأبحاث السیّد أبو القاسم بن علی أکبر بن هاشم الموسوی الخوئی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رضا الموسوی الخلخالی، مؤسّسة إحیاء آثار الإمام الخوئی، قم، الطبعة الثالثة،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المغنی، لعبداللّه بن أحمد بن محمد بن قدامة المقدسی الجماعی الحنبلی </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الکرامة، لمحمد جواد بن محمد بن محمد بن أحمد بن قاسم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قم المقدّسة، الطبعة الاُولی،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المقنعة، لأبی عبداللّه محمد بن محمد بن النعمان العبکری</w:t>
      </w:r>
    </w:p>
    <w:p>
      <w:pPr>
        <w:pStyle w:val="BookText"/>
        <w:rPr/>
      </w:pPr>
      <w:r>
        <w:rPr>
          <w:rFonts w:ascii="IRNazanin" w:hAnsi="IRNazanin" w:eastAsia="IRNazanin"/>
          <w:color w:val="111111"/>
          <w:sz w:val="28"/>
          <w:sz w:val="28"/>
          <w:szCs w:val="28"/>
          <w:rtl w:val="true"/>
          <w:lang w:bidi="fa-IR"/>
        </w:rPr>
        <w:t xml:space="preserve">البغدادی، الملقّب بالشیخ المفید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المطلب فی تحقیق المذهب، لأبی منصور الحسن بن یوسف بن علیّ بن المطهّر الأسدی، المعروف بالعلّامة الحلّی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فی الآستانة الرضویّة المقدّسة،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الموجز الحاوی لتحریر الفتاوی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جمال الدِّین أبی العبّاس أحمد بن محمّد بن فهد الحلّی الأسدی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النجفی، قم المقدّسة،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نهایة الإحکام فی معرفة الأحکام، لأبی منصور الحسن بن یوسف بن علیّ بن المطهّر الأسدی، المعروف بالعلّامة الحلّی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بیروت،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وسائل الشیعة إلی تحصیل مسائل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الحسن بن علیّ بن محمّد بن الحسین، المعروف بالحرّ العاملی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الطبعة الثانیة،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هدایة المسترشدین فی شرح اصول معالم الدین، للشیخ محمد تقیّ بن محمد رحیم بن محمد قاسم الأیوان کیفی الرازی الأصبهانی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536:6</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75:12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298:19</w:t>
      </w:r>
      <w:r>
        <w:rPr>
          <w:rFonts w:ascii="IRNazanin" w:hAnsi="IRNazanin" w:eastAsia="IRNazanin"/>
          <w:b w:val="false"/>
          <w:b w:val="false"/>
          <w:bCs w:val="false"/>
          <w:i w:val="false"/>
          <w:i w:val="false"/>
          <w:iCs w:val="false"/>
          <w:color w:val="333333"/>
          <w:sz w:val="20"/>
          <w:sz w:val="20"/>
          <w:szCs w:val="20"/>
          <w:rtl w:val="true"/>
        </w:rPr>
        <w:t xml:space="preserve">، المعتمد فی شرح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وعنه وسائل الشیعة </w:t>
      </w:r>
      <w:r>
        <w:rPr>
          <w:rFonts w:eastAsia="IRNazanin" w:cs="IRNazanin"/>
          <w:b w:val="false"/>
          <w:bCs w:val="false"/>
          <w:i w:val="false"/>
          <w:iCs w:val="false"/>
          <w:color w:val="333333"/>
          <w:sz w:val="20"/>
          <w:szCs w:val="20"/>
        </w:rPr>
        <w:t>213:13</w:t>
      </w:r>
      <w:r>
        <w:rPr>
          <w:rFonts w:ascii="IRNazanin" w:hAnsi="IRNazanin" w:eastAsia="IRNazanin"/>
          <w:b w:val="false"/>
          <w:b w:val="false"/>
          <w:bCs w:val="false"/>
          <w:i w:val="false"/>
          <w:i w:val="false"/>
          <w:iCs w:val="false"/>
          <w:color w:val="333333"/>
          <w:sz w:val="20"/>
          <w:sz w:val="20"/>
          <w:szCs w:val="20"/>
          <w:rtl w:val="true"/>
        </w:rPr>
        <w:t xml:space="preserve">، کتاب الحجّ، أبواب مقدّمات الطواف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أحمد بن محمّد فی هذه الطبعة إمّا ابن عیسی وإما ابن خالد، وکلاهما من الأجلّا الثقات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 وعنها وسائل الشیعة </w:t>
      </w:r>
      <w:r>
        <w:rPr>
          <w:rFonts w:eastAsia="IRNazanin" w:cs="IRNazanin"/>
          <w:b w:val="false"/>
          <w:bCs w:val="false"/>
          <w:i w:val="false"/>
          <w:iCs w:val="false"/>
          <w:color w:val="333333"/>
          <w:sz w:val="20"/>
          <w:szCs w:val="20"/>
        </w:rPr>
        <w:t>350:13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کتاب الحجّ، أبواب الطواف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وعنها وسائل الشیعة </w:t>
      </w:r>
      <w:r>
        <w:rPr>
          <w:rFonts w:eastAsia="IRNazanin" w:cs="IRNazanin"/>
          <w:b w:val="false"/>
          <w:bCs w:val="false"/>
          <w:i w:val="false"/>
          <w:iCs w:val="false"/>
          <w:color w:val="333333"/>
          <w:sz w:val="20"/>
          <w:szCs w:val="20"/>
        </w:rPr>
        <w:t>374:13</w:t>
      </w:r>
      <w:r>
        <w:rPr>
          <w:rFonts w:ascii="IRNazanin" w:hAnsi="IRNazanin" w:eastAsia="IRNazanin"/>
          <w:b w:val="false"/>
          <w:b w:val="false"/>
          <w:bCs w:val="false"/>
          <w:i w:val="false"/>
          <w:i w:val="false"/>
          <w:iCs w:val="false"/>
          <w:color w:val="333333"/>
          <w:sz w:val="20"/>
          <w:sz w:val="20"/>
          <w:szCs w:val="20"/>
          <w:rtl w:val="true"/>
        </w:rPr>
        <w:t xml:space="preserve">، کتاب الحجّ، أبواب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340:19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382:13</w:t>
      </w:r>
      <w:r>
        <w:rPr>
          <w:rFonts w:ascii="IRNazanin" w:hAnsi="IRNazanin" w:eastAsia="IRNazanin"/>
          <w:b w:val="false"/>
          <w:b w:val="false"/>
          <w:bCs w:val="false"/>
          <w:i w:val="false"/>
          <w:i w:val="false"/>
          <w:iCs w:val="false"/>
          <w:color w:val="333333"/>
          <w:sz w:val="20"/>
          <w:sz w:val="20"/>
          <w:szCs w:val="20"/>
          <w:rtl w:val="true"/>
        </w:rPr>
        <w:t xml:space="preserve">، کتاب الحجّ، أبواب الطواف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363:13</w:t>
      </w:r>
      <w:r>
        <w:rPr>
          <w:rFonts w:ascii="IRNazanin" w:hAnsi="IRNazanin" w:eastAsia="IRNazanin"/>
          <w:b w:val="false"/>
          <w:b w:val="false"/>
          <w:bCs w:val="false"/>
          <w:i w:val="false"/>
          <w:i w:val="false"/>
          <w:iCs w:val="false"/>
          <w:color w:val="333333"/>
          <w:sz w:val="20"/>
          <w:sz w:val="20"/>
          <w:szCs w:val="20"/>
          <w:rtl w:val="true"/>
        </w:rPr>
        <w:t xml:space="preserve">، أبواب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العاملی فی مفتاح الکرامة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فی معرفة الأحکام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 لابن فهد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 فی مفتاح الکرامة </w:t>
      </w:r>
      <w:r>
        <w:rPr>
          <w:rFonts w:eastAsia="IRNazanin" w:cs="IRNazanin"/>
          <w:b w:val="false"/>
          <w:bCs w:val="false"/>
          <w:i w:val="false"/>
          <w:iCs w:val="false"/>
          <w:color w:val="333333"/>
          <w:sz w:val="20"/>
          <w:szCs w:val="20"/>
        </w:rPr>
        <w:t>284:5</w:t>
      </w:r>
      <w:r>
        <w:rPr>
          <w:rFonts w:ascii="IRNazanin" w:hAnsi="IRNazanin" w:eastAsia="IRNazanin"/>
          <w:b w:val="false"/>
          <w:b w:val="false"/>
          <w:bCs w:val="false"/>
          <w:i w:val="false"/>
          <w:i w:val="false"/>
          <w:iCs w:val="false"/>
          <w:color w:val="333333"/>
          <w:sz w:val="20"/>
          <w:sz w:val="20"/>
          <w:szCs w:val="20"/>
          <w:rtl w:val="true"/>
        </w:rPr>
        <w:t xml:space="preserve">، وجواهر الکلام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القواعد للشهید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کتاب الصلاة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 xml:space="preserve">، وعنها وسائل الشیعة </w:t>
      </w:r>
      <w:r>
        <w:rPr>
          <w:rFonts w:eastAsia="IRNazanin" w:cs="IRNazanin"/>
          <w:b w:val="false"/>
          <w:bCs w:val="false"/>
          <w:i w:val="false"/>
          <w:iCs w:val="false"/>
          <w:color w:val="333333"/>
          <w:sz w:val="20"/>
          <w:szCs w:val="20"/>
        </w:rPr>
        <w:t>233:13</w:t>
      </w:r>
      <w:r>
        <w:rPr>
          <w:rFonts w:ascii="IRNazanin" w:hAnsi="IRNazanin" w:eastAsia="IRNazanin"/>
          <w:b w:val="false"/>
          <w:b w:val="false"/>
          <w:bCs w:val="false"/>
          <w:i w:val="false"/>
          <w:i w:val="false"/>
          <w:iCs w:val="false"/>
          <w:color w:val="333333"/>
          <w:sz w:val="20"/>
          <w:sz w:val="20"/>
          <w:szCs w:val="20"/>
          <w:rtl w:val="true"/>
        </w:rPr>
        <w:t xml:space="preserve">، کتاب الحجّ، أبواب مقدّمات الطاف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290:15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وعنه وسائل الشیعة </w:t>
      </w:r>
      <w:r>
        <w:rPr>
          <w:rFonts w:eastAsia="IRNazanin" w:cs="IRNazanin"/>
          <w:b w:val="false"/>
          <w:bCs w:val="false"/>
          <w:i w:val="false"/>
          <w:iCs w:val="false"/>
          <w:color w:val="333333"/>
          <w:sz w:val="20"/>
          <w:szCs w:val="20"/>
        </w:rPr>
        <w:t>236:13</w:t>
      </w:r>
      <w:r>
        <w:rPr>
          <w:rFonts w:ascii="IRNazanin" w:hAnsi="IRNazanin" w:eastAsia="IRNazanin"/>
          <w:b w:val="false"/>
          <w:b w:val="false"/>
          <w:bCs w:val="false"/>
          <w:i w:val="false"/>
          <w:i w:val="false"/>
          <w:iCs w:val="false"/>
          <w:color w:val="333333"/>
          <w:sz w:val="20"/>
          <w:sz w:val="20"/>
          <w:szCs w:val="20"/>
          <w:rtl w:val="true"/>
        </w:rPr>
        <w:t xml:space="preserve">، کتاب الحجّ، أبواب مقدّمات الطواف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377:6</w:t>
      </w:r>
      <w:r>
        <w:rPr>
          <w:rFonts w:ascii="IRNazanin" w:hAnsi="IRNazanin" w:eastAsia="IRNazanin"/>
          <w:b w:val="false"/>
          <w:b w:val="false"/>
          <w:bCs w:val="false"/>
          <w:i w:val="false"/>
          <w:i w:val="false"/>
          <w:iCs w:val="false"/>
          <w:color w:val="333333"/>
          <w:sz w:val="20"/>
          <w:sz w:val="20"/>
          <w:szCs w:val="20"/>
          <w:rtl w:val="true"/>
        </w:rPr>
        <w:t xml:space="preserve">، غنائم الأیّام </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320:7</w:t>
      </w:r>
      <w:r>
        <w:rPr>
          <w:rFonts w:ascii="IRNazanin" w:hAnsi="IRNazanin" w:eastAsia="IRNazanin"/>
          <w:b w:val="false"/>
          <w:b w:val="false"/>
          <w:bCs w:val="false"/>
          <w:i w:val="false"/>
          <w:i w:val="false"/>
          <w:iCs w:val="false"/>
          <w:color w:val="333333"/>
          <w:sz w:val="20"/>
          <w:sz w:val="20"/>
          <w:szCs w:val="20"/>
          <w:rtl w:val="true"/>
        </w:rPr>
        <w:t xml:space="preserve">، مصباح الفقیه </w:t>
      </w:r>
      <w:r>
        <w:rPr>
          <w:rFonts w:eastAsia="IRNazanin" w:cs="IRNazanin"/>
          <w:b w:val="false"/>
          <w:bCs w:val="false"/>
          <w:i w:val="false"/>
          <w:iCs w:val="false"/>
          <w:color w:val="333333"/>
          <w:sz w:val="20"/>
          <w:szCs w:val="20"/>
        </w:rPr>
        <w:t>40:10</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وعنه وسائل الشیعة </w:t>
      </w:r>
      <w:r>
        <w:rPr>
          <w:rFonts w:eastAsia="IRNazanin" w:cs="IRNazanin"/>
          <w:b w:val="false"/>
          <w:bCs w:val="false"/>
          <w:i w:val="false"/>
          <w:iCs w:val="false"/>
          <w:color w:val="333333"/>
          <w:sz w:val="20"/>
          <w:szCs w:val="20"/>
        </w:rPr>
        <w:t>339:4</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القبلة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طریق الشیخ إلی عبداللّه بن سنان یوجد علیّ بن محمّد بن الزبیر القرشی الکوفی‌الذی قال النجاشی فی حقّه أنّه کان علواً فی الوقت ولا یعلم أنّ هذا مدح له أو 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ذکر السیّد الداماد دالّ علی غایة الفضل والعلم والثقة والجلالة فی وقته وأوانه وذکر التستری فی قاموس الرجال تفسیراً آخر، فراجع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xml:space="preserve">، وعنه وسائل الشیعة </w:t>
      </w:r>
      <w:r>
        <w:rPr>
          <w:rFonts w:eastAsia="IRNazanin" w:cs="IRNazanin"/>
          <w:b w:val="false"/>
          <w:bCs w:val="false"/>
          <w:i w:val="false"/>
          <w:iCs w:val="false"/>
          <w:color w:val="333333"/>
          <w:sz w:val="20"/>
          <w:szCs w:val="20"/>
        </w:rPr>
        <w:t>339:4</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القبلة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التی من أجلها سمی البیت العتیق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الملابس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210:13</w:t>
      </w:r>
      <w:r>
        <w:rPr>
          <w:rFonts w:ascii="IRNazanin" w:hAnsi="IRNazanin" w:eastAsia="IRNazanin"/>
          <w:b w:val="false"/>
          <w:b w:val="false"/>
          <w:bCs w:val="false"/>
          <w:i w:val="false"/>
          <w:i w:val="false"/>
          <w:iCs w:val="false"/>
          <w:color w:val="333333"/>
          <w:sz w:val="20"/>
          <w:sz w:val="20"/>
          <w:szCs w:val="20"/>
          <w:rtl w:val="true"/>
        </w:rPr>
        <w:t xml:space="preserve">، کتاب الحجّ، أبواب مقدّمات الطلاق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أبواب الطواف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تفسیرالعیّاشی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وعنها وسائل الشیعة </w:t>
      </w:r>
      <w:r>
        <w:rPr>
          <w:rFonts w:eastAsia="IRNazanin" w:cs="IRNazanin"/>
          <w:b w:val="false"/>
          <w:bCs w:val="false"/>
          <w:i w:val="false"/>
          <w:iCs w:val="false"/>
          <w:color w:val="333333"/>
          <w:sz w:val="20"/>
          <w:szCs w:val="20"/>
        </w:rPr>
        <w:t>210:13</w:t>
      </w:r>
      <w:r>
        <w:rPr>
          <w:rFonts w:ascii="IRNazanin" w:hAnsi="IRNazanin" w:eastAsia="IRNazanin"/>
          <w:b w:val="false"/>
          <w:b w:val="false"/>
          <w:bCs w:val="false"/>
          <w:i w:val="false"/>
          <w:i w:val="false"/>
          <w:iCs w:val="false"/>
          <w:color w:val="333333"/>
          <w:sz w:val="20"/>
          <w:sz w:val="20"/>
          <w:szCs w:val="20"/>
          <w:rtl w:val="true"/>
        </w:rPr>
        <w:t xml:space="preserve">، کتاب الحجّ، أبواب مقدّمات الطواف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421:14</w:t>
      </w:r>
      <w:r>
        <w:rPr>
          <w:rFonts w:ascii="IRNazanin" w:hAnsi="IRNazanin" w:eastAsia="IRNazanin"/>
          <w:b w:val="false"/>
          <w:b w:val="false"/>
          <w:bCs w:val="false"/>
          <w:i w:val="false"/>
          <w:i w:val="false"/>
          <w:iCs w:val="false"/>
          <w:color w:val="333333"/>
          <w:sz w:val="20"/>
          <w:sz w:val="20"/>
          <w:szCs w:val="20"/>
          <w:rtl w:val="true"/>
        </w:rPr>
        <w:t xml:space="preserve">، أبواب المزار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ومستدرک الوسائل </w:t>
      </w:r>
      <w:r>
        <w:rPr>
          <w:rFonts w:eastAsia="IRNazanin" w:cs="IRNazanin"/>
          <w:b w:val="false"/>
          <w:bCs w:val="false"/>
          <w:i w:val="false"/>
          <w:iCs w:val="false"/>
          <w:color w:val="333333"/>
          <w:sz w:val="20"/>
          <w:szCs w:val="20"/>
        </w:rPr>
        <w:t>338:9</w:t>
      </w:r>
      <w:r>
        <w:rPr>
          <w:rFonts w:ascii="IRNazanin" w:hAnsi="IRNazanin" w:eastAsia="IRNazanin"/>
          <w:b w:val="false"/>
          <w:b w:val="false"/>
          <w:bCs w:val="false"/>
          <w:i w:val="false"/>
          <w:i w:val="false"/>
          <w:iCs w:val="false"/>
          <w:color w:val="333333"/>
          <w:sz w:val="20"/>
          <w:sz w:val="20"/>
          <w:szCs w:val="20"/>
          <w:rtl w:val="true"/>
        </w:rPr>
        <w:t xml:space="preserve">، کتاب الحجّ، أبواب مقدّمات الطواف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388:3</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 کما استظهر فی مدارک الأحکام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وعنها وسائل الشیعة </w:t>
      </w:r>
      <w:r>
        <w:rPr>
          <w:rFonts w:eastAsia="IRNazanin" w:cs="IRNazanin"/>
          <w:b w:val="false"/>
          <w:bCs w:val="false"/>
          <w:i w:val="false"/>
          <w:iCs w:val="false"/>
          <w:color w:val="333333"/>
          <w:sz w:val="20"/>
          <w:szCs w:val="20"/>
        </w:rPr>
        <w:t>376:13</w:t>
      </w:r>
      <w:r>
        <w:rPr>
          <w:rFonts w:ascii="IRNazanin" w:hAnsi="IRNazanin" w:eastAsia="IRNazanin"/>
          <w:b w:val="false"/>
          <w:b w:val="false"/>
          <w:bCs w:val="false"/>
          <w:i w:val="false"/>
          <w:i w:val="false"/>
          <w:iCs w:val="false"/>
          <w:color w:val="333333"/>
          <w:sz w:val="20"/>
          <w:sz w:val="20"/>
          <w:szCs w:val="20"/>
          <w:rtl w:val="true"/>
        </w:rPr>
        <w:t xml:space="preserve">، کتاب الحجّ، أبواب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أبواب السعی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تهذیب الأحکام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10955</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9388</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3058</w:t>
      </w:r>
      <w:r>
        <w:rPr>
          <w:rFonts w:ascii="IRNazanin" w:hAnsi="IRNazanin" w:eastAsia="IRNazanin"/>
          <w:b w:val="false"/>
          <w:b w:val="false"/>
          <w:bCs w:val="false"/>
          <w:i w:val="false"/>
          <w:i w:val="false"/>
          <w:iCs w:val="false"/>
          <w:color w:val="333333"/>
          <w:sz w:val="20"/>
          <w:sz w:val="20"/>
          <w:szCs w:val="20"/>
          <w:rtl w:val="true"/>
        </w:rPr>
        <w:t xml:space="preserve">، عوالی اللئالی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وعنه مستدرک الوسائل </w:t>
      </w:r>
      <w:r>
        <w:rPr>
          <w:rFonts w:eastAsia="IRNazanin" w:cs="IRNazanin"/>
          <w:b w:val="false"/>
          <w:bCs w:val="false"/>
          <w:i w:val="false"/>
          <w:iCs w:val="false"/>
          <w:color w:val="333333"/>
          <w:sz w:val="20"/>
          <w:szCs w:val="20"/>
        </w:rPr>
        <w:t>410:9</w:t>
      </w:r>
      <w:r>
        <w:rPr>
          <w:rFonts w:ascii="IRNazanin" w:hAnsi="IRNazanin" w:eastAsia="IRNazanin"/>
          <w:b w:val="false"/>
          <w:b w:val="false"/>
          <w:bCs w:val="false"/>
          <w:i w:val="false"/>
          <w:i w:val="false"/>
          <w:iCs w:val="false"/>
          <w:color w:val="333333"/>
          <w:sz w:val="20"/>
          <w:sz w:val="20"/>
          <w:szCs w:val="20"/>
          <w:rtl w:val="true"/>
        </w:rPr>
        <w:t xml:space="preserve">، کتاب الحجّ، أبواب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313:10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والبرهان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و ریاض المسائل </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فی شرح إرشاد الأذهان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وکذا المحقّق الأردبیلی فی مجمع الفائدة والبرهان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صحیح ولا صریح، وج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تعلم عدم صحّة الخبر؛ فإنّه ذکر فی کتب الاستدلال بغیر سند، وما رأیته مسنداً فی الاُصول،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وسیجیء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منع حجیّته عن المصنّف فی المختلف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فی شرح المناسک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الناسک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8415</w:t>
      </w:r>
      <w:r>
        <w:rPr>
          <w:rFonts w:ascii="IRNazanin" w:hAnsi="IRNazanin" w:eastAsia="IRNazanin"/>
          <w:b w:val="false"/>
          <w:b w:val="false"/>
          <w:bCs w:val="false"/>
          <w:i w:val="false"/>
          <w:i w:val="false"/>
          <w:iCs w:val="false"/>
          <w:color w:val="333333"/>
          <w:sz w:val="20"/>
          <w:sz w:val="20"/>
          <w:szCs w:val="20"/>
          <w:rtl w:val="true"/>
        </w:rPr>
        <w:t xml:space="preserve">، وعنهما وسائل الشیعة </w:t>
      </w:r>
      <w:r>
        <w:rPr>
          <w:rFonts w:eastAsia="IRNazanin" w:cs="IRNazanin"/>
          <w:b w:val="false"/>
          <w:bCs w:val="false"/>
          <w:i w:val="false"/>
          <w:iCs w:val="false"/>
          <w:color w:val="333333"/>
          <w:sz w:val="20"/>
          <w:szCs w:val="20"/>
        </w:rPr>
        <w:t>374:1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493:13</w:t>
      </w:r>
      <w:r>
        <w:rPr>
          <w:rFonts w:ascii="IRNazanin" w:hAnsi="IRNazanin" w:eastAsia="IRNazanin"/>
          <w:b w:val="false"/>
          <w:b w:val="false"/>
          <w:bCs w:val="false"/>
          <w:i w:val="false"/>
          <w:i w:val="false"/>
          <w:iCs w:val="false"/>
          <w:color w:val="333333"/>
          <w:sz w:val="20"/>
          <w:sz w:val="20"/>
          <w:szCs w:val="20"/>
          <w:rtl w:val="true"/>
        </w:rPr>
        <w:t xml:space="preserve">، کتاب الحجّ، أبواب السعی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270:19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360:35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العزیز شرح الوجیز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298:19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شرح الوجیز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وأدلّته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 xml:space="preserve">، محاضرات فی اصول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538:1</w:t>
      </w:r>
      <w:r>
        <w:rPr>
          <w:rFonts w:ascii="IRNazanin" w:hAnsi="IRNazanin" w:eastAsia="IRNazanin"/>
          <w:b w:val="false"/>
          <w:b w:val="false"/>
          <w:bCs w:val="false"/>
          <w:i w:val="false"/>
          <w:i w:val="false"/>
          <w:iCs w:val="false"/>
          <w:color w:val="333333"/>
          <w:sz w:val="20"/>
          <w:sz w:val="20"/>
          <w:szCs w:val="20"/>
          <w:rtl w:val="true"/>
        </w:rPr>
        <w:t xml:space="preserve">، بحوث فی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الدلیل اللفظی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رسالة 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رسالة 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فی مصباح المنیر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footnotes" Target="footnotes.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9884</Words>
  <Characters>44210</Characters>
  <CharactersWithSpaces>53694</CharactersWithSpaces>
  <Paragraphs>496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2026-08-19T02:43:38Z</dcterms:created>
  <dc:creator>ghaemiyeh.com</dc:creator>
  <dc:description/>
  <dc:language>en-US</dc:language>
  <cp:lastModifiedBy/>
  <dcterms:modified xsi:type="dcterms:W3CDTF">2026-08-19T06:13:59Z</dcterms:modified>
  <cp:revision>1</cp:revision>
  <dc:subject/>
  <dc:title>الطواف فی الطابق الاعلی من الکعبه</dc:title>
</cp:coreProperties>
</file>

<file path=docProps/custom.xml><?xml version="1.0" encoding="utf-8"?>
<Properties xmlns="http://schemas.openxmlformats.org/officeDocument/2006/custom-properties" xmlns:vt="http://schemas.openxmlformats.org/officeDocument/2006/docPropsVTypes"/>
</file>