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95.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9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235.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بحوث فی آیات الأحکام الخمس</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58334_581953129">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158336_581953129">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158338_581953129">
            <w:r>
              <w:rPr>
                <w:webHidden/>
                <w:rStyle w:val="IndexLink"/>
                <w:rtl w:val="true"/>
              </w:rPr>
              <w:t>کلمة المؤلّف</w:t>
            </w:r>
            <w:r>
              <w:rPr>
                <w:rStyle w:val="IndexLink"/>
                <w:rtl w:val="true"/>
              </w:rPr>
              <w:tab/>
            </w:r>
            <w:r>
              <w:rPr>
                <w:rStyle w:val="IndexLink"/>
              </w:rPr>
              <w:t>10</w:t>
            </w:r>
          </w:hyperlink>
        </w:p>
        <w:p>
          <w:pPr>
            <w:pStyle w:val="Contents2"/>
            <w:tabs>
              <w:tab w:val="clear" w:pos="8743"/>
              <w:tab w:val="right" w:pos="9026" w:leader="dot"/>
            </w:tabs>
            <w:rPr/>
          </w:pPr>
          <w:hyperlink w:anchor="__RefHeading___Toc2158340_581953129">
            <w:r>
              <w:rPr>
                <w:webHidden/>
                <w:rStyle w:val="IndexLink"/>
                <w:rtl w:val="true"/>
              </w:rPr>
              <w:t>تقدیم</w:t>
            </w:r>
            <w:r>
              <w:rPr>
                <w:rStyle w:val="IndexLink"/>
                <w:rtl w:val="true"/>
              </w:rPr>
              <w:tab/>
            </w:r>
            <w:r>
              <w:rPr>
                <w:rStyle w:val="IndexLink"/>
              </w:rPr>
              <w:t>12</w:t>
            </w:r>
          </w:hyperlink>
        </w:p>
        <w:p>
          <w:pPr>
            <w:pStyle w:val="Contents2"/>
            <w:tabs>
              <w:tab w:val="clear" w:pos="8743"/>
              <w:tab w:val="right" w:pos="9026" w:leader="dot"/>
            </w:tabs>
            <w:rPr/>
          </w:pPr>
          <w:hyperlink w:anchor="__RefHeading___Toc2158342_581953129">
            <w:r>
              <w:rPr>
                <w:webHidden/>
                <w:rStyle w:val="IndexLink"/>
                <w:rtl w:val="true"/>
              </w:rPr>
              <w:t>تمهید</w:t>
            </w:r>
            <w:r>
              <w:rPr>
                <w:rStyle w:val="IndexLink"/>
                <w:rtl w:val="true"/>
              </w:rPr>
              <w:tab/>
            </w:r>
            <w:r>
              <w:rPr>
                <w:rStyle w:val="IndexLink"/>
              </w:rPr>
              <w:t>16</w:t>
            </w:r>
          </w:hyperlink>
        </w:p>
        <w:p>
          <w:pPr>
            <w:pStyle w:val="Contents2"/>
            <w:tabs>
              <w:tab w:val="clear" w:pos="8743"/>
              <w:tab w:val="right" w:pos="9026" w:leader="dot"/>
            </w:tabs>
            <w:rPr/>
          </w:pPr>
          <w:hyperlink w:anchor="__RefHeading___Toc2158344_581953129">
            <w:r>
              <w:rPr>
                <w:webHidden/>
                <w:rStyle w:val="IndexLink"/>
                <w:rtl w:val="true"/>
              </w:rPr>
              <w:t>النقطة الأولی</w:t>
            </w:r>
            <w:r>
              <w:rPr>
                <w:rStyle w:val="IndexLink"/>
                <w:rtl w:val="true"/>
              </w:rPr>
              <w:t xml:space="preserve">: </w:t>
            </w:r>
            <w:r>
              <w:rPr>
                <w:rStyle w:val="IndexLink"/>
                <w:rtl w:val="true"/>
              </w:rPr>
              <w:t>المِلاک فی آیات الأحکام</w:t>
            </w:r>
            <w:r>
              <w:rPr>
                <w:rStyle w:val="IndexLink"/>
                <w:rtl w:val="true"/>
              </w:rPr>
              <w:tab/>
            </w:r>
            <w:r>
              <w:rPr>
                <w:rStyle w:val="IndexLink"/>
              </w:rPr>
              <w:t>17</w:t>
            </w:r>
          </w:hyperlink>
        </w:p>
        <w:p>
          <w:pPr>
            <w:pStyle w:val="Contents3"/>
            <w:tabs>
              <w:tab w:val="clear" w:pos="8459"/>
              <w:tab w:val="right" w:pos="9026" w:leader="dot"/>
            </w:tabs>
            <w:rPr/>
          </w:pPr>
          <w:hyperlink w:anchor="__RefHeading___Toc2158346_581953129">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2158348_581953129">
            <w:r>
              <w:rPr>
                <w:webHidden/>
                <w:rStyle w:val="IndexLink"/>
                <w:rtl w:val="true"/>
              </w:rPr>
              <w:t>لزوم وجود متعلّق خاصّ ومعیّن لکل حکم فقهی</w:t>
            </w:r>
            <w:r>
              <w:rPr>
                <w:rStyle w:val="IndexLink"/>
                <w:rtl w:val="true"/>
              </w:rPr>
              <w:tab/>
            </w:r>
            <w:r>
              <w:rPr>
                <w:rStyle w:val="IndexLink"/>
              </w:rPr>
              <w:t>22</w:t>
            </w:r>
          </w:hyperlink>
        </w:p>
        <w:p>
          <w:pPr>
            <w:pStyle w:val="Contents2"/>
            <w:tabs>
              <w:tab w:val="clear" w:pos="8743"/>
              <w:tab w:val="right" w:pos="9026" w:leader="dot"/>
            </w:tabs>
            <w:rPr/>
          </w:pPr>
          <w:hyperlink w:anchor="__RefHeading___Toc2158350_581953129">
            <w:r>
              <w:rPr>
                <w:webHidden/>
                <w:rStyle w:val="IndexLink"/>
                <w:rtl w:val="true"/>
              </w:rPr>
              <w:t>النقطة الثانیة</w:t>
            </w:r>
            <w:r>
              <w:rPr>
                <w:rStyle w:val="IndexLink"/>
                <w:rtl w:val="true"/>
              </w:rPr>
              <w:t xml:space="preserve">: </w:t>
            </w:r>
            <w:r>
              <w:rPr>
                <w:rStyle w:val="IndexLink"/>
                <w:rtl w:val="true"/>
              </w:rPr>
              <w:t>تاریخ التألیف فی آیات الأحکام</w:t>
            </w:r>
            <w:r>
              <w:rPr>
                <w:rStyle w:val="IndexLink"/>
                <w:rtl w:val="true"/>
              </w:rPr>
              <w:tab/>
            </w:r>
            <w:r>
              <w:rPr>
                <w:rStyle w:val="IndexLink"/>
              </w:rPr>
              <w:t>24</w:t>
            </w:r>
          </w:hyperlink>
        </w:p>
        <w:p>
          <w:pPr>
            <w:pStyle w:val="Contents2"/>
            <w:tabs>
              <w:tab w:val="clear" w:pos="8743"/>
              <w:tab w:val="right" w:pos="9026" w:leader="dot"/>
            </w:tabs>
            <w:rPr/>
          </w:pPr>
          <w:hyperlink w:anchor="__RefHeading___Toc2158352_581953129">
            <w:r>
              <w:rPr>
                <w:webHidden/>
                <w:rStyle w:val="IndexLink"/>
                <w:rtl w:val="true"/>
              </w:rPr>
              <w:t>النقطة الثالثة</w:t>
            </w:r>
            <w:r>
              <w:rPr>
                <w:rStyle w:val="IndexLink"/>
                <w:rtl w:val="true"/>
              </w:rPr>
              <w:t xml:space="preserve">: </w:t>
            </w:r>
            <w:r>
              <w:rPr>
                <w:rStyle w:val="IndexLink"/>
                <w:rtl w:val="true"/>
              </w:rPr>
              <w:t>أسلوب تألیف آیات الأحکام</w:t>
            </w:r>
            <w:r>
              <w:rPr>
                <w:rStyle w:val="IndexLink"/>
                <w:rtl w:val="true"/>
              </w:rPr>
              <w:tab/>
            </w:r>
            <w:r>
              <w:rPr>
                <w:rStyle w:val="IndexLink"/>
              </w:rPr>
              <w:t>26</w:t>
            </w:r>
          </w:hyperlink>
        </w:p>
        <w:p>
          <w:pPr>
            <w:pStyle w:val="Contents3"/>
            <w:tabs>
              <w:tab w:val="clear" w:pos="8459"/>
              <w:tab w:val="right" w:pos="9026" w:leader="dot"/>
            </w:tabs>
            <w:rPr/>
          </w:pPr>
          <w:hyperlink w:anchor="__RefHeading___Toc2158354_581953129">
            <w:r>
              <w:rPr>
                <w:webHidden/>
                <w:rStyle w:val="IndexLink"/>
                <w:rtl w:val="true"/>
              </w:rPr>
              <w:t>الأسلوب الترتیبی علی أساس سور القرآن</w:t>
            </w:r>
            <w:r>
              <w:rPr>
                <w:rStyle w:val="IndexLink"/>
                <w:rtl w:val="true"/>
              </w:rPr>
              <w:tab/>
            </w:r>
            <w:r>
              <w:rPr>
                <w:rStyle w:val="IndexLink"/>
              </w:rPr>
              <w:t>26</w:t>
            </w:r>
          </w:hyperlink>
        </w:p>
        <w:p>
          <w:pPr>
            <w:pStyle w:val="Contents3"/>
            <w:tabs>
              <w:tab w:val="clear" w:pos="8459"/>
              <w:tab w:val="right" w:pos="9026" w:leader="dot"/>
            </w:tabs>
            <w:rPr/>
          </w:pPr>
          <w:hyperlink w:anchor="__RefHeading___Toc2158356_581953129">
            <w:r>
              <w:rPr>
                <w:webHidden/>
                <w:rStyle w:val="IndexLink"/>
                <w:rtl w:val="true"/>
              </w:rPr>
              <w:t>الأسلوب الترتیبی وفق الأبواب الفقهیة</w:t>
            </w:r>
            <w:r>
              <w:rPr>
                <w:rStyle w:val="IndexLink"/>
                <w:rtl w:val="true"/>
              </w:rPr>
              <w:tab/>
            </w:r>
            <w:r>
              <w:rPr>
                <w:rStyle w:val="IndexLink"/>
              </w:rPr>
              <w:t>26</w:t>
            </w:r>
          </w:hyperlink>
        </w:p>
        <w:p>
          <w:pPr>
            <w:pStyle w:val="Contents3"/>
            <w:tabs>
              <w:tab w:val="clear" w:pos="8459"/>
              <w:tab w:val="right" w:pos="9026" w:leader="dot"/>
            </w:tabs>
            <w:rPr/>
          </w:pPr>
          <w:hyperlink w:anchor="__RefHeading___Toc2158358_581953129">
            <w:r>
              <w:rPr>
                <w:webHidden/>
                <w:rStyle w:val="IndexLink"/>
                <w:rtl w:val="true"/>
              </w:rPr>
              <w:t>الأسلوب الموضوعی</w:t>
            </w:r>
            <w:r>
              <w:rPr>
                <w:rStyle w:val="IndexLink"/>
                <w:rtl w:val="true"/>
              </w:rPr>
              <w:tab/>
            </w:r>
            <w:r>
              <w:rPr>
                <w:rStyle w:val="IndexLink"/>
              </w:rPr>
              <w:t>27</w:t>
            </w:r>
          </w:hyperlink>
        </w:p>
        <w:p>
          <w:pPr>
            <w:pStyle w:val="Contents3"/>
            <w:tabs>
              <w:tab w:val="clear" w:pos="8459"/>
              <w:tab w:val="right" w:pos="9026" w:leader="dot"/>
            </w:tabs>
            <w:rPr/>
          </w:pPr>
          <w:hyperlink w:anchor="__RefHeading___Toc2158360_581953129">
            <w:r>
              <w:rPr>
                <w:webHidden/>
                <w:rStyle w:val="IndexLink"/>
                <w:rtl w:val="true"/>
              </w:rPr>
              <w:t>أسلوبنا فی البحث حول آیات الأحکام</w:t>
            </w:r>
            <w:r>
              <w:rPr>
                <w:rStyle w:val="IndexLink"/>
                <w:rtl w:val="true"/>
              </w:rPr>
              <w:tab/>
            </w:r>
            <w:r>
              <w:rPr>
                <w:rStyle w:val="IndexLink"/>
              </w:rPr>
              <w:t>27</w:t>
            </w:r>
          </w:hyperlink>
        </w:p>
        <w:p>
          <w:pPr>
            <w:pStyle w:val="Contents2"/>
            <w:tabs>
              <w:tab w:val="clear" w:pos="8743"/>
              <w:tab w:val="right" w:pos="9026" w:leader="dot"/>
            </w:tabs>
            <w:rPr/>
          </w:pPr>
          <w:hyperlink w:anchor="__RefHeading___Toc2158362_581953129">
            <w:r>
              <w:rPr>
                <w:webHidden/>
                <w:rStyle w:val="IndexLink"/>
                <w:rtl w:val="true"/>
              </w:rPr>
              <w:t>النقطة الرابعة</w:t>
            </w:r>
            <w:r>
              <w:rPr>
                <w:rStyle w:val="IndexLink"/>
                <w:rtl w:val="true"/>
              </w:rPr>
              <w:t xml:space="preserve">: </w:t>
            </w:r>
            <w:r>
              <w:rPr>
                <w:rStyle w:val="IndexLink"/>
                <w:rtl w:val="true"/>
              </w:rPr>
              <w:t>ما الفائدة من دراسة آیات الأحکام</w:t>
            </w:r>
            <w:r>
              <w:rPr>
                <w:rStyle w:val="IndexLink"/>
                <w:rtl w:val="true"/>
              </w:rPr>
              <w:tab/>
            </w:r>
            <w:r>
              <w:rPr>
                <w:rStyle w:val="IndexLink"/>
              </w:rPr>
              <w:t>28</w:t>
            </w:r>
          </w:hyperlink>
        </w:p>
        <w:p>
          <w:pPr>
            <w:pStyle w:val="Contents2"/>
            <w:tabs>
              <w:tab w:val="clear" w:pos="8743"/>
              <w:tab w:val="right" w:pos="9026" w:leader="dot"/>
            </w:tabs>
            <w:rPr/>
          </w:pPr>
          <w:hyperlink w:anchor="__RefHeading___Toc2158364_581953129">
            <w:r>
              <w:rPr>
                <w:webHidden/>
                <w:rStyle w:val="IndexLink"/>
                <w:rtl w:val="true"/>
              </w:rPr>
              <w:t>الآیات السّت المتعلقة بالخمس</w:t>
            </w:r>
            <w:r>
              <w:rPr>
                <w:rStyle w:val="IndexLink"/>
                <w:rtl w:val="true"/>
              </w:rPr>
              <w:tab/>
            </w:r>
            <w:r>
              <w:rPr>
                <w:rStyle w:val="IndexLink"/>
              </w:rPr>
              <w:t>37</w:t>
            </w:r>
          </w:hyperlink>
        </w:p>
        <w:p>
          <w:pPr>
            <w:pStyle w:val="Contents2"/>
            <w:tabs>
              <w:tab w:val="clear" w:pos="8743"/>
              <w:tab w:val="right" w:pos="9026" w:leader="dot"/>
            </w:tabs>
            <w:rPr/>
          </w:pPr>
          <w:hyperlink w:anchor="__RefHeading___Toc2158366_581953129">
            <w:r>
              <w:rPr>
                <w:webHidden/>
                <w:rStyle w:val="IndexLink"/>
                <w:rtl w:val="true"/>
              </w:rPr>
              <w:t>الآیة الأولی المتعلقة بالخمس</w:t>
            </w:r>
            <w:r>
              <w:rPr>
                <w:rStyle w:val="IndexLink"/>
                <w:rtl w:val="true"/>
              </w:rPr>
              <w:tab/>
            </w:r>
            <w:r>
              <w:rPr>
                <w:rStyle w:val="IndexLink"/>
              </w:rPr>
              <w:t>38</w:t>
            </w:r>
          </w:hyperlink>
        </w:p>
        <w:p>
          <w:pPr>
            <w:pStyle w:val="Contents2"/>
            <w:tabs>
              <w:tab w:val="clear" w:pos="8743"/>
              <w:tab w:val="right" w:pos="9026" w:leader="dot"/>
            </w:tabs>
            <w:rPr/>
          </w:pPr>
          <w:hyperlink w:anchor="__RefHeading___Toc2158368_581953129">
            <w:r>
              <w:rPr>
                <w:webHidden/>
                <w:rStyle w:val="IndexLink"/>
                <w:rtl w:val="true"/>
              </w:rPr>
              <w:t>الآیة الأولی المتعلقة بالخمس</w:t>
            </w:r>
            <w:r>
              <w:rPr>
                <w:rStyle w:val="IndexLink"/>
                <w:rtl w:val="true"/>
              </w:rPr>
              <w:tab/>
            </w:r>
            <w:r>
              <w:rPr>
                <w:rStyle w:val="IndexLink"/>
              </w:rPr>
              <w:t>39</w:t>
            </w:r>
          </w:hyperlink>
        </w:p>
        <w:p>
          <w:pPr>
            <w:pStyle w:val="Contents3"/>
            <w:tabs>
              <w:tab w:val="clear" w:pos="8459"/>
              <w:tab w:val="right" w:pos="9026" w:leader="dot"/>
            </w:tabs>
            <w:rPr/>
          </w:pPr>
          <w:hyperlink w:anchor="__RefHeading___Toc2158370_581953129">
            <w:r>
              <w:rPr>
                <w:webHidden/>
                <w:rStyle w:val="IndexLink"/>
                <w:rtl w:val="true"/>
              </w:rPr>
              <w:t>اشارة</w:t>
            </w:r>
            <w:r>
              <w:rPr>
                <w:rStyle w:val="IndexLink"/>
                <w:rtl w:val="true"/>
              </w:rPr>
              <w:tab/>
            </w:r>
            <w:r>
              <w:rPr>
                <w:rStyle w:val="IndexLink"/>
              </w:rPr>
              <w:t>39</w:t>
            </w:r>
          </w:hyperlink>
        </w:p>
        <w:p>
          <w:pPr>
            <w:pStyle w:val="Contents3"/>
            <w:tabs>
              <w:tab w:val="clear" w:pos="8459"/>
              <w:tab w:val="right" w:pos="9026" w:leader="dot"/>
            </w:tabs>
            <w:rPr/>
          </w:pPr>
          <w:hyperlink w:anchor="__RefHeading___Toc2158372_581953129">
            <w:r>
              <w:rPr>
                <w:webHidden/>
                <w:rStyle w:val="IndexLink"/>
                <w:rtl w:val="true"/>
              </w:rPr>
              <w:t>ما المراد من الغنیمة ؟</w:t>
            </w:r>
            <w:r>
              <w:rPr>
                <w:rStyle w:val="IndexLink"/>
                <w:rtl w:val="true"/>
              </w:rPr>
              <w:tab/>
            </w:r>
            <w:r>
              <w:rPr>
                <w:rStyle w:val="IndexLink"/>
              </w:rPr>
              <w:t>39</w:t>
            </w:r>
          </w:hyperlink>
        </w:p>
        <w:p>
          <w:pPr>
            <w:pStyle w:val="Contents3"/>
            <w:tabs>
              <w:tab w:val="clear" w:pos="8459"/>
              <w:tab w:val="right" w:pos="9026" w:leader="dot"/>
            </w:tabs>
            <w:rPr/>
          </w:pPr>
          <w:hyperlink w:anchor="__RefHeading___Toc2158374_581953129">
            <w:r>
              <w:rPr>
                <w:webHidden/>
                <w:rStyle w:val="IndexLink"/>
                <w:rtl w:val="true"/>
              </w:rPr>
              <w:t>رأیُنا فی معنی الغنیمة</w:t>
            </w:r>
            <w:r>
              <w:rPr>
                <w:rStyle w:val="IndexLink"/>
                <w:rtl w:val="true"/>
              </w:rPr>
              <w:t>:</w:t>
              <w:tab/>
            </w:r>
            <w:r>
              <w:rPr>
                <w:rStyle w:val="IndexLink"/>
              </w:rPr>
              <w:t>44</w:t>
            </w:r>
          </w:hyperlink>
        </w:p>
        <w:p>
          <w:pPr>
            <w:pStyle w:val="Contents3"/>
            <w:tabs>
              <w:tab w:val="clear" w:pos="8459"/>
              <w:tab w:val="right" w:pos="9026" w:leader="dot"/>
            </w:tabs>
            <w:rPr/>
          </w:pPr>
          <w:hyperlink w:anchor="__RefHeading___Toc2158376_581953129">
            <w:r>
              <w:rPr>
                <w:webHidden/>
                <w:rStyle w:val="IndexLink"/>
                <w:rtl w:val="true"/>
              </w:rPr>
              <w:t>أدلة أهل السنة علی أنّ المراد من الغنیمة هو الغنیمة الحربیة</w:t>
            </w:r>
            <w:r>
              <w:rPr>
                <w:rStyle w:val="IndexLink"/>
                <w:rtl w:val="true"/>
              </w:rPr>
              <w:t>:</w:t>
              <w:tab/>
            </w:r>
            <w:r>
              <w:rPr>
                <w:rStyle w:val="IndexLink"/>
              </w:rPr>
              <w:t>45</w:t>
            </w:r>
          </w:hyperlink>
        </w:p>
        <w:p>
          <w:pPr>
            <w:pStyle w:val="Contents3"/>
            <w:tabs>
              <w:tab w:val="clear" w:pos="8459"/>
              <w:tab w:val="right" w:pos="9026" w:leader="dot"/>
            </w:tabs>
            <w:rPr/>
          </w:pPr>
          <w:hyperlink w:anchor="__RefHeading___Toc2158378_581953129">
            <w:r>
              <w:rPr>
                <w:webHidden/>
                <w:rStyle w:val="IndexLink"/>
                <w:rtl w:val="true"/>
              </w:rPr>
              <w:t>هل قرینیة السیاق أوسع من قرینیة المورد؟</w:t>
            </w:r>
            <w:r>
              <w:rPr>
                <w:rStyle w:val="IndexLink"/>
                <w:rtl w:val="true"/>
              </w:rPr>
              <w:tab/>
            </w:r>
            <w:r>
              <w:rPr>
                <w:rStyle w:val="IndexLink"/>
              </w:rPr>
              <w:t>46</w:t>
            </w:r>
          </w:hyperlink>
        </w:p>
        <w:p>
          <w:pPr>
            <w:pStyle w:val="Contents3"/>
            <w:tabs>
              <w:tab w:val="clear" w:pos="8459"/>
              <w:tab w:val="right" w:pos="9026" w:leader="dot"/>
            </w:tabs>
            <w:rPr/>
          </w:pPr>
          <w:hyperlink w:anchor="__RefHeading___Toc2158380_581953129">
            <w:r>
              <w:rPr>
                <w:webHidden/>
                <w:rStyle w:val="IndexLink"/>
                <w:rtl w:val="true"/>
              </w:rPr>
              <w:t xml:space="preserve">دراسة الآیات التی استعمل فیها لفظ </w:t>
            </w:r>
            <w:r>
              <w:rPr>
                <w:rStyle w:val="IndexLink"/>
                <w:rtl w:val="true"/>
              </w:rPr>
              <w:t>(</w:t>
            </w:r>
            <w:r>
              <w:rPr>
                <w:rStyle w:val="IndexLink"/>
                <w:rtl w:val="true"/>
              </w:rPr>
              <w:t>الغنیمة</w:t>
            </w:r>
            <w:r>
              <w:rPr>
                <w:rStyle w:val="IndexLink"/>
                <w:rtl w:val="true"/>
              </w:rPr>
              <w:t xml:space="preserve">) </w:t>
            </w:r>
            <w:r>
              <w:rPr>
                <w:rStyle w:val="IndexLink"/>
                <w:rtl w:val="true"/>
              </w:rPr>
              <w:t>أو إحدی مشتقاتها</w:t>
            </w:r>
            <w:r>
              <w:rPr>
                <w:rStyle w:val="IndexLink"/>
                <w:rtl w:val="true"/>
              </w:rPr>
              <w:t>:</w:t>
              <w:tab/>
            </w:r>
            <w:r>
              <w:rPr>
                <w:rStyle w:val="IndexLink"/>
              </w:rPr>
              <w:t>50</w:t>
            </w:r>
          </w:hyperlink>
        </w:p>
        <w:p>
          <w:pPr>
            <w:pStyle w:val="Contents3"/>
            <w:tabs>
              <w:tab w:val="clear" w:pos="8459"/>
              <w:tab w:val="right" w:pos="9026" w:leader="dot"/>
            </w:tabs>
            <w:rPr/>
          </w:pPr>
          <w:hyperlink w:anchor="__RefHeading___Toc2158382_581953129">
            <w:r>
              <w:rPr>
                <w:webHidden/>
                <w:rStyle w:val="IndexLink"/>
                <w:rtl w:val="true"/>
              </w:rPr>
              <w:t xml:space="preserve">معنی </w:t>
            </w:r>
            <w:r>
              <w:rPr>
                <w:rStyle w:val="IndexLink"/>
                <w:rtl w:val="true"/>
              </w:rPr>
              <w:t>(</w:t>
            </w:r>
            <w:r>
              <w:rPr>
                <w:rStyle w:val="IndexLink"/>
                <w:rtl w:val="true"/>
              </w:rPr>
              <w:t>الغنیمة</w:t>
            </w:r>
            <w:r>
              <w:rPr>
                <w:rStyle w:val="IndexLink"/>
                <w:rtl w:val="true"/>
              </w:rPr>
              <w:t xml:space="preserve">) </w:t>
            </w:r>
            <w:r>
              <w:rPr>
                <w:rStyle w:val="IndexLink"/>
                <w:rtl w:val="true"/>
              </w:rPr>
              <w:t>فی سائر استعمالات العرب</w:t>
            </w:r>
            <w:r>
              <w:rPr>
                <w:rStyle w:val="IndexLink"/>
                <w:rtl w:val="true"/>
              </w:rPr>
              <w:t>:</w:t>
              <w:tab/>
            </w:r>
            <w:r>
              <w:rPr>
                <w:rStyle w:val="IndexLink"/>
              </w:rPr>
              <w:t>52</w:t>
            </w:r>
          </w:hyperlink>
        </w:p>
        <w:p>
          <w:pPr>
            <w:pStyle w:val="Contents3"/>
            <w:tabs>
              <w:tab w:val="clear" w:pos="8459"/>
              <w:tab w:val="right" w:pos="9026" w:leader="dot"/>
            </w:tabs>
            <w:rPr/>
          </w:pPr>
          <w:hyperlink w:anchor="__RefHeading___Toc2158384_581953129">
            <w:r>
              <w:rPr>
                <w:webHidden/>
                <w:rStyle w:val="IndexLink"/>
                <w:rtl w:val="true"/>
              </w:rPr>
              <w:t xml:space="preserve">معنی الغنیمة فی </w:t>
            </w:r>
            <w:r>
              <w:rPr>
                <w:rStyle w:val="IndexLink"/>
                <w:rtl w:val="true"/>
              </w:rPr>
              <w:t>(</w:t>
            </w:r>
            <w:r>
              <w:rPr>
                <w:rStyle w:val="IndexLink"/>
                <w:rtl w:val="true"/>
              </w:rPr>
              <w:t>نهج البلاغة</w:t>
            </w:r>
            <w:r>
              <w:rPr>
                <w:rStyle w:val="IndexLink"/>
                <w:rtl w:val="true"/>
              </w:rPr>
              <w:t>):</w:t>
              <w:tab/>
            </w:r>
            <w:r>
              <w:rPr>
                <w:rStyle w:val="IndexLink"/>
              </w:rPr>
              <w:t>52</w:t>
            </w:r>
          </w:hyperlink>
        </w:p>
        <w:p>
          <w:pPr>
            <w:pStyle w:val="Contents3"/>
            <w:tabs>
              <w:tab w:val="clear" w:pos="8459"/>
              <w:tab w:val="right" w:pos="9026" w:leader="dot"/>
            </w:tabs>
            <w:rPr/>
          </w:pPr>
          <w:hyperlink w:anchor="__RefHeading___Toc2158386_581953129">
            <w:r>
              <w:rPr>
                <w:webHidden/>
                <w:rStyle w:val="IndexLink"/>
                <w:rtl w:val="true"/>
              </w:rPr>
              <w:t xml:space="preserve">معنی </w:t>
            </w:r>
            <w:r>
              <w:rPr>
                <w:rStyle w:val="IndexLink"/>
                <w:rtl w:val="true"/>
              </w:rPr>
              <w:t>((</w:t>
            </w:r>
            <w:r>
              <w:rPr>
                <w:rStyle w:val="IndexLink"/>
                <w:rtl w:val="true"/>
              </w:rPr>
              <w:t>غنمتم</w:t>
            </w:r>
            <w:r>
              <w:rPr>
                <w:rStyle w:val="IndexLink"/>
                <w:rtl w:val="true"/>
              </w:rPr>
              <w:t xml:space="preserve">) </w:t>
            </w:r>
            <w:r>
              <w:rPr>
                <w:rStyle w:val="IndexLink"/>
                <w:rtl w:val="true"/>
              </w:rPr>
              <w:t>فی الروایات</w:t>
            </w:r>
            <w:r>
              <w:rPr>
                <w:rStyle w:val="IndexLink"/>
                <w:rtl w:val="true"/>
              </w:rPr>
              <w:t>:</w:t>
              <w:tab/>
            </w:r>
            <w:r>
              <w:rPr>
                <w:rStyle w:val="IndexLink"/>
              </w:rPr>
              <w:t>53</w:t>
            </w:r>
          </w:hyperlink>
        </w:p>
        <w:p>
          <w:pPr>
            <w:pStyle w:val="Contents3"/>
            <w:tabs>
              <w:tab w:val="clear" w:pos="8459"/>
              <w:tab w:val="right" w:pos="9026" w:leader="dot"/>
            </w:tabs>
            <w:rPr/>
          </w:pPr>
          <w:hyperlink w:anchor="__RefHeading___Toc2158388_581953129">
            <w:r>
              <w:rPr>
                <w:webHidden/>
                <w:rStyle w:val="IndexLink"/>
                <w:rtl w:val="true"/>
              </w:rPr>
              <w:t>لأی دلیل اعتبر أهل السنة الخمس فی موارد أخری غیر الغنائم الحربیة ؟</w:t>
            </w:r>
            <w:r>
              <w:rPr>
                <w:rStyle w:val="IndexLink"/>
                <w:rtl w:val="true"/>
              </w:rPr>
              <w:tab/>
            </w:r>
            <w:r>
              <w:rPr>
                <w:rStyle w:val="IndexLink"/>
              </w:rPr>
              <w:t>58</w:t>
            </w:r>
          </w:hyperlink>
        </w:p>
        <w:p>
          <w:pPr>
            <w:pStyle w:val="Contents3"/>
            <w:tabs>
              <w:tab w:val="clear" w:pos="8459"/>
              <w:tab w:val="right" w:pos="9026" w:leader="dot"/>
            </w:tabs>
            <w:rPr/>
          </w:pPr>
          <w:hyperlink w:anchor="__RefHeading___Toc2158390_581953129">
            <w:r>
              <w:rPr>
                <w:webHidden/>
                <w:rStyle w:val="IndexLink"/>
                <w:rtl w:val="true"/>
              </w:rPr>
              <w:t>رأی المحقق الأردبیلی حول الغنیمة</w:t>
            </w:r>
            <w:r>
              <w:rPr>
                <w:rStyle w:val="IndexLink"/>
                <w:rtl w:val="true"/>
              </w:rPr>
              <w:t>:</w:t>
              <w:tab/>
            </w:r>
            <w:r>
              <w:rPr>
                <w:rStyle w:val="IndexLink"/>
              </w:rPr>
              <w:t>60</w:t>
            </w:r>
          </w:hyperlink>
        </w:p>
        <w:p>
          <w:pPr>
            <w:pStyle w:val="Contents3"/>
            <w:tabs>
              <w:tab w:val="clear" w:pos="8459"/>
              <w:tab w:val="right" w:pos="9026" w:leader="dot"/>
            </w:tabs>
            <w:rPr/>
          </w:pPr>
          <w:hyperlink w:anchor="__RefHeading___Toc2158392_581953129">
            <w:r>
              <w:rPr>
                <w:webHidden/>
                <w:rStyle w:val="IndexLink"/>
                <w:rtl w:val="true"/>
              </w:rPr>
              <w:t>نتیجة البحث</w:t>
            </w:r>
            <w:r>
              <w:rPr>
                <w:rStyle w:val="IndexLink"/>
                <w:rtl w:val="true"/>
              </w:rPr>
              <w:t>:</w:t>
              <w:tab/>
            </w:r>
            <w:r>
              <w:rPr>
                <w:rStyle w:val="IndexLink"/>
              </w:rPr>
              <w:t>66</w:t>
            </w:r>
          </w:hyperlink>
        </w:p>
        <w:p>
          <w:pPr>
            <w:pStyle w:val="Contents2"/>
            <w:tabs>
              <w:tab w:val="clear" w:pos="8743"/>
              <w:tab w:val="right" w:pos="9026" w:leader="dot"/>
            </w:tabs>
            <w:rPr/>
          </w:pPr>
          <w:hyperlink w:anchor="__RefHeading___Toc2158394_581953129">
            <w:r>
              <w:rPr>
                <w:webHidden/>
                <w:rStyle w:val="IndexLink"/>
                <w:rtl w:val="true"/>
              </w:rPr>
              <w:t>مصارف الخمس</w:t>
            </w:r>
            <w:r>
              <w:rPr>
                <w:rStyle w:val="IndexLink"/>
                <w:rtl w:val="true"/>
              </w:rPr>
              <w:tab/>
            </w:r>
            <w:r>
              <w:rPr>
                <w:rStyle w:val="IndexLink"/>
              </w:rPr>
              <w:t>67</w:t>
            </w:r>
          </w:hyperlink>
        </w:p>
        <w:p>
          <w:pPr>
            <w:pStyle w:val="Contents3"/>
            <w:tabs>
              <w:tab w:val="clear" w:pos="8459"/>
              <w:tab w:val="right" w:pos="9026" w:leader="dot"/>
            </w:tabs>
            <w:rPr/>
          </w:pPr>
          <w:hyperlink w:anchor="__RefHeading___Toc2158396_581953129">
            <w:r>
              <w:rPr>
                <w:webHidden/>
                <w:rStyle w:val="IndexLink"/>
                <w:rtl w:val="true"/>
              </w:rPr>
              <w:t>اشارة</w:t>
            </w:r>
            <w:r>
              <w:rPr>
                <w:rStyle w:val="IndexLink"/>
                <w:rtl w:val="true"/>
              </w:rPr>
              <w:tab/>
            </w:r>
            <w:r>
              <w:rPr>
                <w:rStyle w:val="IndexLink"/>
              </w:rPr>
              <w:t>67</w:t>
            </w:r>
          </w:hyperlink>
        </w:p>
        <w:p>
          <w:pPr>
            <w:pStyle w:val="Contents3"/>
            <w:tabs>
              <w:tab w:val="clear" w:pos="8459"/>
              <w:tab w:val="right" w:pos="9026" w:leader="dot"/>
            </w:tabs>
            <w:rPr/>
          </w:pPr>
          <w:hyperlink w:anchor="__RefHeading___Toc2158398_581953129">
            <w:r>
              <w:rPr>
                <w:webHidden/>
                <w:rStyle w:val="IndexLink"/>
                <w:rtl w:val="true"/>
              </w:rPr>
              <w:t>الجهة الأولی</w:t>
            </w:r>
            <w:r>
              <w:rPr>
                <w:rStyle w:val="IndexLink"/>
                <w:rtl w:val="true"/>
              </w:rPr>
              <w:t xml:space="preserve">: </w:t>
            </w:r>
            <w:r>
              <w:rPr>
                <w:rStyle w:val="IndexLink"/>
                <w:rtl w:val="true"/>
              </w:rPr>
              <w:t>هل الآیة الکریمة فی مقام التقسیم أم فی مقام الترتیب ؟</w:t>
            </w:r>
            <w:r>
              <w:rPr>
                <w:rStyle w:val="IndexLink"/>
                <w:rtl w:val="true"/>
              </w:rPr>
              <w:tab/>
            </w:r>
            <w:r>
              <w:rPr>
                <w:rStyle w:val="IndexLink"/>
              </w:rPr>
              <w:t>67</w:t>
            </w:r>
          </w:hyperlink>
        </w:p>
        <w:p>
          <w:pPr>
            <w:pStyle w:val="Contents3"/>
            <w:tabs>
              <w:tab w:val="clear" w:pos="8459"/>
              <w:tab w:val="right" w:pos="9026" w:leader="dot"/>
            </w:tabs>
            <w:rPr/>
          </w:pPr>
          <w:hyperlink w:anchor="__RefHeading___Toc2158400_581953129">
            <w:r>
              <w:rPr>
                <w:webHidden/>
                <w:rStyle w:val="IndexLink"/>
                <w:rtl w:val="true"/>
              </w:rPr>
              <w:t>إشکالان علی ترتیبیة الآیة</w:t>
            </w:r>
            <w:r>
              <w:rPr>
                <w:rStyle w:val="IndexLink"/>
                <w:rtl w:val="true"/>
              </w:rPr>
              <w:t>:</w:t>
              <w:tab/>
            </w:r>
            <w:r>
              <w:rPr>
                <w:rStyle w:val="IndexLink"/>
              </w:rPr>
              <w:t>72</w:t>
            </w:r>
          </w:hyperlink>
        </w:p>
        <w:p>
          <w:pPr>
            <w:pStyle w:val="Contents3"/>
            <w:tabs>
              <w:tab w:val="clear" w:pos="8459"/>
              <w:tab w:val="right" w:pos="9026" w:leader="dot"/>
            </w:tabs>
            <w:rPr/>
          </w:pPr>
          <w:hyperlink w:anchor="__RefHeading___Toc2158402_581953129">
            <w:r>
              <w:rPr>
                <w:webHidden/>
                <w:rStyle w:val="IndexLink"/>
                <w:rtl w:val="true"/>
              </w:rPr>
              <w:t>رأی علماء السنة فی التقسیم والترتیب</w:t>
            </w:r>
            <w:r>
              <w:rPr>
                <w:rStyle w:val="IndexLink"/>
                <w:rtl w:val="true"/>
              </w:rPr>
              <w:t>:</w:t>
              <w:tab/>
            </w:r>
            <w:r>
              <w:rPr>
                <w:rStyle w:val="IndexLink"/>
              </w:rPr>
              <w:t>74</w:t>
            </w:r>
          </w:hyperlink>
        </w:p>
        <w:p>
          <w:pPr>
            <w:pStyle w:val="Contents3"/>
            <w:tabs>
              <w:tab w:val="clear" w:pos="8459"/>
              <w:tab w:val="right" w:pos="9026" w:leader="dot"/>
            </w:tabs>
            <w:rPr/>
          </w:pPr>
          <w:hyperlink w:anchor="__RefHeading___Toc2158404_581953129">
            <w:r>
              <w:rPr>
                <w:webHidden/>
                <w:rStyle w:val="IndexLink"/>
                <w:rtl w:val="true"/>
              </w:rPr>
              <w:t>إکمال المطلب</w:t>
            </w:r>
            <w:r>
              <w:rPr>
                <w:rStyle w:val="IndexLink"/>
                <w:rtl w:val="true"/>
              </w:rPr>
              <w:t>:</w:t>
              <w:tab/>
            </w:r>
            <w:r>
              <w:rPr>
                <w:rStyle w:val="IndexLink"/>
              </w:rPr>
              <w:t>75</w:t>
            </w:r>
          </w:hyperlink>
        </w:p>
        <w:p>
          <w:pPr>
            <w:pStyle w:val="Contents3"/>
            <w:tabs>
              <w:tab w:val="clear" w:pos="8459"/>
              <w:tab w:val="right" w:pos="9026" w:leader="dot"/>
            </w:tabs>
            <w:rPr/>
          </w:pPr>
          <w:hyperlink w:anchor="__RefHeading___Toc2158406_581953129">
            <w:r>
              <w:rPr>
                <w:webHidden/>
                <w:rStyle w:val="IndexLink"/>
                <w:rtl w:val="true"/>
              </w:rPr>
              <w:t xml:space="preserve">من هم </w:t>
            </w:r>
            <w:r>
              <w:rPr>
                <w:rStyle w:val="IndexLink"/>
                <w:rtl w:val="true"/>
              </w:rPr>
              <w:t>(</w:t>
            </w:r>
            <w:r>
              <w:rPr>
                <w:rStyle w:val="IndexLink"/>
                <w:rtl w:val="true"/>
              </w:rPr>
              <w:t>ذو القربی</w:t>
            </w:r>
            <w:r>
              <w:rPr>
                <w:rStyle w:val="IndexLink"/>
                <w:rtl w:val="true"/>
              </w:rPr>
              <w:t>)</w:t>
            </w:r>
            <w:r>
              <w:rPr>
                <w:rStyle w:val="IndexLink"/>
                <w:rtl w:val="true"/>
              </w:rPr>
              <w:t>؟</w:t>
            </w:r>
            <w:r>
              <w:rPr>
                <w:rStyle w:val="IndexLink"/>
                <w:rtl w:val="true"/>
              </w:rPr>
              <w:tab/>
            </w:r>
            <w:r>
              <w:rPr>
                <w:rStyle w:val="IndexLink"/>
              </w:rPr>
              <w:t>77</w:t>
            </w:r>
          </w:hyperlink>
        </w:p>
        <w:p>
          <w:pPr>
            <w:pStyle w:val="Contents3"/>
            <w:tabs>
              <w:tab w:val="clear" w:pos="8459"/>
              <w:tab w:val="right" w:pos="9026" w:leader="dot"/>
            </w:tabs>
            <w:rPr/>
          </w:pPr>
          <w:hyperlink w:anchor="__RefHeading___Toc2158408_581953129">
            <w:r>
              <w:rPr>
                <w:webHidden/>
                <w:rStyle w:val="IndexLink"/>
                <w:rtl w:val="true"/>
              </w:rPr>
              <w:t>رأی فقهاء الإمامیة حول ذی القربی</w:t>
            </w:r>
            <w:r>
              <w:rPr>
                <w:rStyle w:val="IndexLink"/>
                <w:rtl w:val="true"/>
              </w:rPr>
              <w:t>:</w:t>
              <w:tab/>
            </w:r>
            <w:r>
              <w:rPr>
                <w:rStyle w:val="IndexLink"/>
              </w:rPr>
              <w:t>77</w:t>
            </w:r>
          </w:hyperlink>
        </w:p>
        <w:p>
          <w:pPr>
            <w:pStyle w:val="Contents3"/>
            <w:tabs>
              <w:tab w:val="clear" w:pos="8459"/>
              <w:tab w:val="right" w:pos="9026" w:leader="dot"/>
            </w:tabs>
            <w:rPr/>
          </w:pPr>
          <w:hyperlink w:anchor="__RefHeading___Toc2158410_581953129">
            <w:r>
              <w:rPr>
                <w:webHidden/>
                <w:rStyle w:val="IndexLink"/>
                <w:rtl w:val="true"/>
              </w:rPr>
              <w:t>هل المقصود من ذی القربی شخص واحد وهو الإمام المعصوم ؟ أو إن معناه هو الجمع ؟</w:t>
            </w:r>
            <w:r>
              <w:rPr>
                <w:rStyle w:val="IndexLink"/>
                <w:rtl w:val="true"/>
              </w:rPr>
              <w:tab/>
            </w:r>
            <w:r>
              <w:rPr>
                <w:rStyle w:val="IndexLink"/>
              </w:rPr>
              <w:t>78</w:t>
            </w:r>
          </w:hyperlink>
        </w:p>
        <w:p>
          <w:pPr>
            <w:pStyle w:val="Contents3"/>
            <w:tabs>
              <w:tab w:val="clear" w:pos="8459"/>
              <w:tab w:val="right" w:pos="9026" w:leader="dot"/>
            </w:tabs>
            <w:rPr/>
          </w:pPr>
          <w:hyperlink w:anchor="__RefHeading___Toc2158412_581953129">
            <w:r>
              <w:rPr>
                <w:webHidden/>
                <w:rStyle w:val="IndexLink"/>
                <w:rtl w:val="true"/>
              </w:rPr>
              <w:t>رأی المرحوم الجزائری فی حمل ذی القربی علی المعنی الجنسی</w:t>
            </w:r>
            <w:r>
              <w:rPr>
                <w:rStyle w:val="IndexLink"/>
                <w:rtl w:val="true"/>
              </w:rPr>
              <w:t>:</w:t>
              <w:tab/>
            </w:r>
            <w:r>
              <w:rPr>
                <w:rStyle w:val="IndexLink"/>
              </w:rPr>
              <w:t>80</w:t>
            </w:r>
          </w:hyperlink>
        </w:p>
        <w:p>
          <w:pPr>
            <w:pStyle w:val="Contents3"/>
            <w:tabs>
              <w:tab w:val="clear" w:pos="8459"/>
              <w:tab w:val="right" w:pos="9026" w:leader="dot"/>
            </w:tabs>
            <w:rPr/>
          </w:pPr>
          <w:hyperlink w:anchor="__RefHeading___Toc2158414_581953129">
            <w:r>
              <w:rPr>
                <w:webHidden/>
                <w:rStyle w:val="IndexLink"/>
                <w:rtl w:val="true"/>
              </w:rPr>
              <w:t>(</w:t>
            </w:r>
            <w:r>
              <w:rPr>
                <w:rStyle w:val="IndexLink"/>
                <w:rtl w:val="true"/>
              </w:rPr>
              <w:t>ذو القربی</w:t>
            </w:r>
            <w:r>
              <w:rPr>
                <w:rStyle w:val="IndexLink"/>
                <w:rtl w:val="true"/>
              </w:rPr>
              <w:t xml:space="preserve">) </w:t>
            </w:r>
            <w:r>
              <w:rPr>
                <w:rStyle w:val="IndexLink"/>
                <w:rtl w:val="true"/>
              </w:rPr>
              <w:t>فی الروایات</w:t>
            </w:r>
            <w:r>
              <w:rPr>
                <w:rStyle w:val="IndexLink"/>
                <w:rtl w:val="true"/>
              </w:rPr>
              <w:t>:</w:t>
              <w:tab/>
            </w:r>
            <w:r>
              <w:rPr>
                <w:rStyle w:val="IndexLink"/>
              </w:rPr>
              <w:t>82</w:t>
            </w:r>
          </w:hyperlink>
        </w:p>
        <w:p>
          <w:pPr>
            <w:pStyle w:val="Contents3"/>
            <w:tabs>
              <w:tab w:val="clear" w:pos="8459"/>
              <w:tab w:val="right" w:pos="9026" w:leader="dot"/>
            </w:tabs>
            <w:rPr/>
          </w:pPr>
          <w:hyperlink w:anchor="__RefHeading___Toc2158416_581953129">
            <w:r>
              <w:rPr>
                <w:webHidden/>
                <w:rStyle w:val="IndexLink"/>
                <w:rtl w:val="true"/>
              </w:rPr>
              <w:t>الروایات الدالة علی أن المراد من ذی القربی هو الإمام المعصوم</w:t>
            </w:r>
            <w:r>
              <w:rPr>
                <w:rStyle w:val="IndexLink"/>
                <w:rtl w:val="true"/>
              </w:rPr>
              <w:t>:</w:t>
              <w:tab/>
            </w:r>
            <w:r>
              <w:rPr>
                <w:rStyle w:val="IndexLink"/>
              </w:rPr>
              <w:t>82</w:t>
            </w:r>
          </w:hyperlink>
        </w:p>
        <w:p>
          <w:pPr>
            <w:pStyle w:val="Contents3"/>
            <w:tabs>
              <w:tab w:val="clear" w:pos="8459"/>
              <w:tab w:val="right" w:pos="9026" w:leader="dot"/>
            </w:tabs>
            <w:rPr/>
          </w:pPr>
          <w:hyperlink w:anchor="__RefHeading___Toc2158418_581953129">
            <w:r>
              <w:rPr>
                <w:webHidden/>
                <w:rStyle w:val="IndexLink"/>
                <w:rtl w:val="true"/>
              </w:rPr>
              <w:t xml:space="preserve">الروایات الدالة علی أن المراد من ذی القربی هم أقرباء الرسول </w:t>
            </w:r>
            <w:r>
              <w:rPr>
                <w:rStyle w:val="IndexLink"/>
                <w:rtl w:val="true"/>
              </w:rPr>
              <w:t>(</w:t>
            </w:r>
            <w:r>
              <w:rPr>
                <w:rStyle w:val="IndexLink"/>
                <w:rtl w:val="true"/>
              </w:rPr>
              <w:t>صلی الله علیه و آله</w:t>
            </w:r>
            <w:r>
              <w:rPr>
                <w:rStyle w:val="IndexLink"/>
                <w:rtl w:val="true"/>
              </w:rPr>
              <w:t>):</w:t>
              <w:tab/>
            </w:r>
            <w:r>
              <w:rPr>
                <w:rStyle w:val="IndexLink"/>
              </w:rPr>
              <w:t>85</w:t>
            </w:r>
          </w:hyperlink>
        </w:p>
        <w:p>
          <w:pPr>
            <w:pStyle w:val="Contents3"/>
            <w:tabs>
              <w:tab w:val="clear" w:pos="8459"/>
              <w:tab w:val="right" w:pos="9026" w:leader="dot"/>
            </w:tabs>
            <w:rPr/>
          </w:pPr>
          <w:hyperlink w:anchor="__RefHeading___Toc2158420_581953129">
            <w:r>
              <w:rPr>
                <w:webHidden/>
                <w:rStyle w:val="IndexLink"/>
                <w:rtl w:val="true"/>
              </w:rPr>
              <w:t>هل یمکن الجمع بین هاتین الطائفتین من الروایات ؟</w:t>
            </w:r>
            <w:r>
              <w:rPr>
                <w:rStyle w:val="IndexLink"/>
                <w:rtl w:val="true"/>
              </w:rPr>
              <w:tab/>
            </w:r>
            <w:r>
              <w:rPr>
                <w:rStyle w:val="IndexLink"/>
              </w:rPr>
              <w:t>87</w:t>
            </w:r>
          </w:hyperlink>
        </w:p>
        <w:p>
          <w:pPr>
            <w:pStyle w:val="Contents3"/>
            <w:tabs>
              <w:tab w:val="clear" w:pos="8459"/>
              <w:tab w:val="right" w:pos="9026" w:leader="dot"/>
            </w:tabs>
            <w:rPr/>
          </w:pPr>
          <w:hyperlink w:anchor="__RefHeading___Toc2158422_581953129">
            <w:r>
              <w:rPr>
                <w:webHidden/>
                <w:rStyle w:val="IndexLink"/>
                <w:rtl w:val="true"/>
              </w:rPr>
              <w:t xml:space="preserve">إشکالان علی فرضیة أن المراد من ذی القربی الإمام المعصوم </w:t>
            </w:r>
            <w:r>
              <w:rPr>
                <w:rStyle w:val="IndexLink"/>
                <w:rtl w:val="true"/>
              </w:rPr>
              <w:t>(</w:t>
            </w:r>
            <w:r>
              <w:rPr>
                <w:rStyle w:val="IndexLink"/>
                <w:rtl w:val="true"/>
              </w:rPr>
              <w:t>علیه السلام</w:t>
            </w:r>
            <w:r>
              <w:rPr>
                <w:rStyle w:val="IndexLink"/>
                <w:rtl w:val="true"/>
              </w:rPr>
              <w:t>):</w:t>
              <w:tab/>
            </w:r>
            <w:r>
              <w:rPr>
                <w:rStyle w:val="IndexLink"/>
              </w:rPr>
              <w:t>88</w:t>
            </w:r>
          </w:hyperlink>
        </w:p>
        <w:p>
          <w:pPr>
            <w:pStyle w:val="Contents3"/>
            <w:tabs>
              <w:tab w:val="clear" w:pos="8459"/>
              <w:tab w:val="right" w:pos="9026" w:leader="dot"/>
            </w:tabs>
            <w:rPr/>
          </w:pPr>
          <w:hyperlink w:anchor="__RefHeading___Toc2158424_581953129">
            <w:r>
              <w:rPr>
                <w:webHidden/>
                <w:rStyle w:val="IndexLink"/>
                <w:rtl w:val="true"/>
              </w:rPr>
              <w:t>المراد من الیتامی والمساکین وابن السبیل</w:t>
            </w:r>
            <w:r>
              <w:rPr>
                <w:rStyle w:val="IndexLink"/>
                <w:rtl w:val="true"/>
              </w:rPr>
              <w:t>:</w:t>
              <w:tab/>
            </w:r>
            <w:r>
              <w:rPr>
                <w:rStyle w:val="IndexLink"/>
              </w:rPr>
              <w:t>91</w:t>
            </w:r>
          </w:hyperlink>
        </w:p>
        <w:p>
          <w:pPr>
            <w:pStyle w:val="Contents4"/>
            <w:tabs>
              <w:tab w:val="clear" w:pos="8176"/>
              <w:tab w:val="right" w:pos="9026" w:leader="dot"/>
            </w:tabs>
            <w:rPr/>
          </w:pPr>
          <w:hyperlink w:anchor="__RefHeading___Toc2158426_581953129">
            <w:r>
              <w:rPr>
                <w:webHidden/>
                <w:rStyle w:val="IndexLink"/>
                <w:rtl w:val="true"/>
              </w:rPr>
              <w:t>اشارة</w:t>
            </w:r>
            <w:r>
              <w:rPr>
                <w:rStyle w:val="IndexLink"/>
                <w:rtl w:val="true"/>
              </w:rPr>
              <w:tab/>
            </w:r>
            <w:r>
              <w:rPr>
                <w:rStyle w:val="IndexLink"/>
              </w:rPr>
              <w:t>91</w:t>
            </w:r>
          </w:hyperlink>
        </w:p>
        <w:p>
          <w:pPr>
            <w:pStyle w:val="Contents4"/>
            <w:tabs>
              <w:tab w:val="clear" w:pos="8176"/>
              <w:tab w:val="right" w:pos="9026" w:leader="dot"/>
            </w:tabs>
            <w:rPr/>
          </w:pPr>
          <w:hyperlink w:anchor="__RefHeading___Toc2158428_581953129">
            <w:r>
              <w:rPr>
                <w:webHidden/>
                <w:rStyle w:val="IndexLink"/>
                <w:rtl w:val="true"/>
              </w:rPr>
              <w:t>رأی أهل السنة</w:t>
            </w:r>
            <w:r>
              <w:rPr>
                <w:rStyle w:val="IndexLink"/>
                <w:rtl w:val="true"/>
              </w:rPr>
              <w:t>:</w:t>
              <w:tab/>
            </w:r>
            <w:r>
              <w:rPr>
                <w:rStyle w:val="IndexLink"/>
              </w:rPr>
              <w:t>92</w:t>
            </w:r>
          </w:hyperlink>
        </w:p>
        <w:p>
          <w:pPr>
            <w:pStyle w:val="Contents4"/>
            <w:tabs>
              <w:tab w:val="clear" w:pos="8176"/>
              <w:tab w:val="right" w:pos="9026" w:leader="dot"/>
            </w:tabs>
            <w:rPr/>
          </w:pPr>
          <w:hyperlink w:anchor="__RefHeading___Toc2158430_581953129">
            <w:r>
              <w:rPr>
                <w:webHidden/>
                <w:rStyle w:val="IndexLink"/>
                <w:rtl w:val="true"/>
              </w:rPr>
              <w:t>رأی علماء الإمامیة</w:t>
            </w:r>
            <w:r>
              <w:rPr>
                <w:rStyle w:val="IndexLink"/>
                <w:rtl w:val="true"/>
              </w:rPr>
              <w:t>:</w:t>
              <w:tab/>
            </w:r>
            <w:r>
              <w:rPr>
                <w:rStyle w:val="IndexLink"/>
              </w:rPr>
              <w:t>92</w:t>
            </w:r>
          </w:hyperlink>
        </w:p>
        <w:p>
          <w:pPr>
            <w:pStyle w:val="Contents4"/>
            <w:tabs>
              <w:tab w:val="clear" w:pos="8176"/>
              <w:tab w:val="right" w:pos="9026" w:leader="dot"/>
            </w:tabs>
            <w:rPr/>
          </w:pPr>
          <w:hyperlink w:anchor="__RefHeading___Toc2158432_581953129">
            <w:r>
              <w:rPr>
                <w:webHidden/>
                <w:rStyle w:val="IndexLink"/>
                <w:rtl w:val="true"/>
              </w:rPr>
              <w:t>معنی الیتیم</w:t>
            </w:r>
            <w:r>
              <w:rPr>
                <w:rStyle w:val="IndexLink"/>
                <w:rtl w:val="true"/>
              </w:rPr>
              <w:t>:</w:t>
              <w:tab/>
            </w:r>
            <w:r>
              <w:rPr>
                <w:rStyle w:val="IndexLink"/>
              </w:rPr>
              <w:t>92</w:t>
            </w:r>
          </w:hyperlink>
        </w:p>
        <w:p>
          <w:pPr>
            <w:pStyle w:val="Contents4"/>
            <w:tabs>
              <w:tab w:val="clear" w:pos="8176"/>
              <w:tab w:val="right" w:pos="9026" w:leader="dot"/>
            </w:tabs>
            <w:rPr/>
          </w:pPr>
          <w:hyperlink w:anchor="__RefHeading___Toc2158434_581953129">
            <w:r>
              <w:rPr>
                <w:webHidden/>
                <w:rStyle w:val="IndexLink"/>
                <w:rtl w:val="true"/>
              </w:rPr>
              <w:t>معنی المسکین</w:t>
            </w:r>
            <w:r>
              <w:rPr>
                <w:rStyle w:val="IndexLink"/>
                <w:rtl w:val="true"/>
              </w:rPr>
              <w:t>:</w:t>
              <w:tab/>
            </w:r>
            <w:r>
              <w:rPr>
                <w:rStyle w:val="IndexLink"/>
              </w:rPr>
              <w:t>93</w:t>
            </w:r>
          </w:hyperlink>
        </w:p>
        <w:p>
          <w:pPr>
            <w:pStyle w:val="Contents4"/>
            <w:tabs>
              <w:tab w:val="clear" w:pos="8176"/>
              <w:tab w:val="right" w:pos="9026" w:leader="dot"/>
            </w:tabs>
            <w:rPr/>
          </w:pPr>
          <w:hyperlink w:anchor="__RefHeading___Toc2158436_581953129">
            <w:r>
              <w:rPr>
                <w:webHidden/>
                <w:rStyle w:val="IndexLink"/>
                <w:rtl w:val="true"/>
              </w:rPr>
              <w:t>معنی ابن السبیل</w:t>
            </w:r>
            <w:r>
              <w:rPr>
                <w:rStyle w:val="IndexLink"/>
                <w:rtl w:val="true"/>
              </w:rPr>
              <w:t>:</w:t>
              <w:tab/>
            </w:r>
            <w:r>
              <w:rPr>
                <w:rStyle w:val="IndexLink"/>
              </w:rPr>
              <w:t>93</w:t>
            </w:r>
          </w:hyperlink>
        </w:p>
        <w:p>
          <w:pPr>
            <w:pStyle w:val="Contents3"/>
            <w:tabs>
              <w:tab w:val="clear" w:pos="8459"/>
              <w:tab w:val="right" w:pos="9026" w:leader="dot"/>
            </w:tabs>
            <w:rPr/>
          </w:pPr>
          <w:hyperlink w:anchor="__RefHeading___Toc2158438_581953129">
            <w:r>
              <w:rPr>
                <w:webHidden/>
                <w:rStyle w:val="IndexLink"/>
                <w:rtl w:val="true"/>
              </w:rPr>
              <w:t>البحث فی رأی علماء الإمامیة حول الیتامی والمساکین وابن السبیل من المنظار القرآنی</w:t>
            </w:r>
            <w:r>
              <w:rPr>
                <w:rStyle w:val="IndexLink"/>
                <w:rtl w:val="true"/>
              </w:rPr>
              <w:t>:</w:t>
              <w:tab/>
            </w:r>
            <w:r>
              <w:rPr>
                <w:rStyle w:val="IndexLink"/>
              </w:rPr>
              <w:t>93</w:t>
            </w:r>
          </w:hyperlink>
        </w:p>
        <w:p>
          <w:pPr>
            <w:pStyle w:val="Contents3"/>
            <w:tabs>
              <w:tab w:val="clear" w:pos="8459"/>
              <w:tab w:val="right" w:pos="9026" w:leader="dot"/>
            </w:tabs>
            <w:rPr/>
          </w:pPr>
          <w:hyperlink w:anchor="__RefHeading___Toc2158440_581953129">
            <w:r>
              <w:rPr>
                <w:webHidden/>
                <w:rStyle w:val="IndexLink"/>
                <w:rtl w:val="true"/>
              </w:rPr>
              <w:t>الیتامی والمساکین وابن السبیل فی الروایات</w:t>
            </w:r>
            <w:r>
              <w:rPr>
                <w:rStyle w:val="IndexLink"/>
                <w:rtl w:val="true"/>
              </w:rPr>
              <w:t>:</w:t>
              <w:tab/>
            </w:r>
            <w:r>
              <w:rPr>
                <w:rStyle w:val="IndexLink"/>
              </w:rPr>
              <w:t>96</w:t>
            </w:r>
          </w:hyperlink>
        </w:p>
        <w:p>
          <w:pPr>
            <w:pStyle w:val="Contents3"/>
            <w:tabs>
              <w:tab w:val="clear" w:pos="8459"/>
              <w:tab w:val="right" w:pos="9026" w:leader="dot"/>
            </w:tabs>
            <w:rPr/>
          </w:pPr>
          <w:hyperlink w:anchor="__RefHeading___Toc2158442_581953129">
            <w:r>
              <w:rPr>
                <w:webHidden/>
                <w:rStyle w:val="IndexLink"/>
                <w:rtl w:val="true"/>
              </w:rPr>
              <w:t>لماذا تم التمییز بین آیة الخمس وآیة الأنفال ؟</w:t>
            </w:r>
            <w:r>
              <w:rPr>
                <w:rStyle w:val="IndexLink"/>
                <w:rtl w:val="true"/>
              </w:rPr>
              <w:tab/>
            </w:r>
            <w:r>
              <w:rPr>
                <w:rStyle w:val="IndexLink"/>
              </w:rPr>
              <w:t>102</w:t>
            </w:r>
          </w:hyperlink>
        </w:p>
        <w:p>
          <w:pPr>
            <w:pStyle w:val="Contents3"/>
            <w:tabs>
              <w:tab w:val="clear" w:pos="8459"/>
              <w:tab w:val="right" w:pos="9026" w:leader="dot"/>
            </w:tabs>
            <w:rPr/>
          </w:pPr>
          <w:hyperlink w:anchor="__RefHeading___Toc2158444_581953129">
            <w:r>
              <w:rPr>
                <w:webHidden/>
                <w:rStyle w:val="IndexLink"/>
                <w:rtl w:val="true"/>
              </w:rPr>
              <w:t>الفرق بین الزکاة والخمس</w:t>
            </w:r>
            <w:r>
              <w:rPr>
                <w:rStyle w:val="IndexLink"/>
                <w:rtl w:val="true"/>
              </w:rPr>
              <w:t>:</w:t>
              <w:tab/>
            </w:r>
            <w:r>
              <w:rPr>
                <w:rStyle w:val="IndexLink"/>
              </w:rPr>
              <w:t>111</w:t>
            </w:r>
          </w:hyperlink>
        </w:p>
        <w:p>
          <w:pPr>
            <w:pStyle w:val="Contents3"/>
            <w:tabs>
              <w:tab w:val="clear" w:pos="8459"/>
              <w:tab w:val="right" w:pos="9026" w:leader="dot"/>
            </w:tabs>
            <w:rPr/>
          </w:pPr>
          <w:hyperlink w:anchor="__RefHeading___Toc2158446_581953129">
            <w:r>
              <w:rPr>
                <w:webHidden/>
                <w:rStyle w:val="IndexLink"/>
                <w:rtl w:val="true"/>
              </w:rPr>
              <w:t xml:space="preserve">الروایات المتعلّقة بخمس الفوائد فی زمن رسول الله </w:t>
            </w:r>
            <w:r>
              <w:rPr>
                <w:rStyle w:val="IndexLink"/>
                <w:rtl w:val="true"/>
              </w:rPr>
              <w:t>(</w:t>
            </w:r>
            <w:r>
              <w:rPr>
                <w:rStyle w:val="IndexLink"/>
                <w:rtl w:val="true"/>
              </w:rPr>
              <w:t>صلی الله علیه و آله</w:t>
            </w:r>
            <w:r>
              <w:rPr>
                <w:rStyle w:val="IndexLink"/>
                <w:rtl w:val="true"/>
              </w:rPr>
              <w:t>):</w:t>
              <w:tab/>
            </w:r>
            <w:r>
              <w:rPr>
                <w:rStyle w:val="IndexLink"/>
              </w:rPr>
              <w:t>114</w:t>
            </w:r>
          </w:hyperlink>
        </w:p>
        <w:p>
          <w:pPr>
            <w:pStyle w:val="Contents4"/>
            <w:tabs>
              <w:tab w:val="clear" w:pos="8176"/>
              <w:tab w:val="right" w:pos="9026" w:leader="dot"/>
            </w:tabs>
            <w:rPr/>
          </w:pPr>
          <w:hyperlink w:anchor="__RefHeading___Toc2158448_581953129">
            <w:r>
              <w:rPr>
                <w:webHidden/>
                <w:rStyle w:val="IndexLink"/>
                <w:rtl w:val="true"/>
              </w:rPr>
              <w:t>اشارة</w:t>
            </w:r>
            <w:r>
              <w:rPr>
                <w:rStyle w:val="IndexLink"/>
                <w:rtl w:val="true"/>
              </w:rPr>
              <w:tab/>
            </w:r>
            <w:r>
              <w:rPr>
                <w:rStyle w:val="IndexLink"/>
              </w:rPr>
              <w:t>114</w:t>
            </w:r>
          </w:hyperlink>
        </w:p>
        <w:p>
          <w:pPr>
            <w:pStyle w:val="Contents4"/>
            <w:tabs>
              <w:tab w:val="clear" w:pos="8176"/>
              <w:tab w:val="right" w:pos="9026" w:leader="dot"/>
            </w:tabs>
            <w:rPr/>
          </w:pPr>
          <w:hyperlink w:anchor="__RefHeading___Toc2158450_581953129">
            <w:r>
              <w:rPr>
                <w:webHidden/>
                <w:rStyle w:val="IndexLink"/>
                <w:rtl w:val="true"/>
              </w:rPr>
              <w:t>روایات أهل السنة</w:t>
            </w:r>
            <w:r>
              <w:rPr>
                <w:rStyle w:val="IndexLink"/>
                <w:rtl w:val="true"/>
              </w:rPr>
              <w:t>:</w:t>
              <w:tab/>
            </w:r>
            <w:r>
              <w:rPr>
                <w:rStyle w:val="IndexLink"/>
              </w:rPr>
              <w:t>114</w:t>
            </w:r>
          </w:hyperlink>
        </w:p>
        <w:p>
          <w:pPr>
            <w:pStyle w:val="Contents4"/>
            <w:tabs>
              <w:tab w:val="clear" w:pos="8176"/>
              <w:tab w:val="right" w:pos="9026" w:leader="dot"/>
            </w:tabs>
            <w:rPr/>
          </w:pPr>
          <w:hyperlink w:anchor="__RefHeading___Toc2158452_581953129">
            <w:r>
              <w:rPr>
                <w:webHidden/>
                <w:rStyle w:val="IndexLink"/>
                <w:rtl w:val="true"/>
              </w:rPr>
              <w:t>روایات الشیعة</w:t>
            </w:r>
            <w:r>
              <w:rPr>
                <w:rStyle w:val="IndexLink"/>
                <w:rtl w:val="true"/>
              </w:rPr>
              <w:t>:</w:t>
              <w:tab/>
            </w:r>
            <w:r>
              <w:rPr>
                <w:rStyle w:val="IndexLink"/>
              </w:rPr>
              <w:t>119</w:t>
            </w:r>
          </w:hyperlink>
        </w:p>
        <w:p>
          <w:pPr>
            <w:pStyle w:val="Contents3"/>
            <w:tabs>
              <w:tab w:val="clear" w:pos="8459"/>
              <w:tab w:val="right" w:pos="9026" w:leader="dot"/>
            </w:tabs>
            <w:rPr/>
          </w:pPr>
          <w:hyperlink w:anchor="__RefHeading___Toc2158454_581953129">
            <w:r>
              <w:rPr>
                <w:webHidden/>
                <w:rStyle w:val="IndexLink"/>
                <w:rtl w:val="true"/>
              </w:rPr>
              <w:t>لماذا یجب دفع الخمس فی زمن الغیبة إلی الفقیه الجامع للشرائط؟</w:t>
            </w:r>
            <w:r>
              <w:rPr>
                <w:rStyle w:val="IndexLink"/>
                <w:rtl w:val="true"/>
              </w:rPr>
              <w:tab/>
            </w:r>
            <w:r>
              <w:rPr>
                <w:rStyle w:val="IndexLink"/>
              </w:rPr>
              <w:t>124</w:t>
            </w:r>
          </w:hyperlink>
        </w:p>
        <w:p>
          <w:pPr>
            <w:pStyle w:val="Contents3"/>
            <w:tabs>
              <w:tab w:val="clear" w:pos="8459"/>
              <w:tab w:val="right" w:pos="9026" w:leader="dot"/>
            </w:tabs>
            <w:rPr/>
          </w:pPr>
          <w:hyperlink w:anchor="__RefHeading___Toc2158456_581953129">
            <w:r>
              <w:rPr>
                <w:webHidden/>
                <w:rStyle w:val="IndexLink"/>
                <w:rtl w:val="true"/>
              </w:rPr>
              <w:t>هل یستطیع أی فقیه أن یقبض الخمس ؟</w:t>
            </w:r>
            <w:r>
              <w:rPr>
                <w:rStyle w:val="IndexLink"/>
                <w:rtl w:val="true"/>
              </w:rPr>
              <w:tab/>
            </w:r>
            <w:r>
              <w:rPr>
                <w:rStyle w:val="IndexLink"/>
              </w:rPr>
              <w:t>127</w:t>
            </w:r>
          </w:hyperlink>
        </w:p>
        <w:p>
          <w:pPr>
            <w:pStyle w:val="Contents3"/>
            <w:tabs>
              <w:tab w:val="clear" w:pos="8459"/>
              <w:tab w:val="right" w:pos="9026" w:leader="dot"/>
            </w:tabs>
            <w:rPr/>
          </w:pPr>
          <w:hyperlink w:anchor="__RefHeading___Toc2158458_581953129">
            <w:r>
              <w:rPr>
                <w:webHidden/>
                <w:rStyle w:val="IndexLink"/>
                <w:rtl w:val="true"/>
              </w:rPr>
              <w:t>هل یمکن صرف الخمس إلی مصارفه بدون إذن الفقیه وإجازته ؟</w:t>
            </w:r>
            <w:r>
              <w:rPr>
                <w:rStyle w:val="IndexLink"/>
                <w:rtl w:val="true"/>
              </w:rPr>
              <w:tab/>
            </w:r>
            <w:r>
              <w:rPr>
                <w:rStyle w:val="IndexLink"/>
              </w:rPr>
              <w:t>128</w:t>
            </w:r>
          </w:hyperlink>
        </w:p>
        <w:p>
          <w:pPr>
            <w:pStyle w:val="Contents3"/>
            <w:tabs>
              <w:tab w:val="clear" w:pos="8459"/>
              <w:tab w:val="right" w:pos="9026" w:leader="dot"/>
            </w:tabs>
            <w:rPr/>
          </w:pPr>
          <w:hyperlink w:anchor="__RefHeading___Toc2158460_581953129">
            <w:r>
              <w:rPr>
                <w:webHidden/>
                <w:rStyle w:val="IndexLink"/>
                <w:rtl w:val="true"/>
              </w:rPr>
              <w:t>هل یشترط فی الیتامی الفقر؟</w:t>
            </w:r>
            <w:r>
              <w:rPr>
                <w:rStyle w:val="IndexLink"/>
                <w:rtl w:val="true"/>
              </w:rPr>
              <w:tab/>
            </w:r>
            <w:r>
              <w:rPr>
                <w:rStyle w:val="IndexLink"/>
              </w:rPr>
              <w:t>129</w:t>
            </w:r>
          </w:hyperlink>
        </w:p>
        <w:p>
          <w:pPr>
            <w:pStyle w:val="Contents3"/>
            <w:tabs>
              <w:tab w:val="clear" w:pos="8459"/>
              <w:tab w:val="right" w:pos="9026" w:leader="dot"/>
            </w:tabs>
            <w:rPr/>
          </w:pPr>
          <w:hyperlink w:anchor="__RefHeading___Toc2158462_581953129">
            <w:r>
              <w:rPr>
                <w:webHidden/>
                <w:rStyle w:val="IndexLink"/>
                <w:rtl w:val="true"/>
              </w:rPr>
              <w:t>الروایات الدالة علی إطلاق الیتامی وعدم تخصیصهم بالفقراء منهم</w:t>
            </w:r>
            <w:r>
              <w:rPr>
                <w:rStyle w:val="IndexLink"/>
                <w:rtl w:val="true"/>
              </w:rPr>
              <w:t>:</w:t>
              <w:tab/>
            </w:r>
            <w:r>
              <w:rPr>
                <w:rStyle w:val="IndexLink"/>
              </w:rPr>
              <w:t>132</w:t>
            </w:r>
          </w:hyperlink>
        </w:p>
        <w:p>
          <w:pPr>
            <w:pStyle w:val="Contents3"/>
            <w:tabs>
              <w:tab w:val="clear" w:pos="8459"/>
              <w:tab w:val="right" w:pos="9026" w:leader="dot"/>
            </w:tabs>
            <w:rPr/>
          </w:pPr>
          <w:hyperlink w:anchor="__RefHeading___Toc2158464_581953129">
            <w:r>
              <w:rPr>
                <w:webHidden/>
                <w:rStyle w:val="IndexLink"/>
                <w:rtl w:val="true"/>
              </w:rPr>
              <w:t>هل تشترط العدالة فی الیتامی والمساکین وابن السبیل ؟</w:t>
            </w:r>
            <w:r>
              <w:rPr>
                <w:rStyle w:val="IndexLink"/>
                <w:rtl w:val="true"/>
              </w:rPr>
              <w:tab/>
            </w:r>
            <w:r>
              <w:rPr>
                <w:rStyle w:val="IndexLink"/>
              </w:rPr>
              <w:t>138</w:t>
            </w:r>
          </w:hyperlink>
        </w:p>
        <w:p>
          <w:pPr>
            <w:pStyle w:val="Contents3"/>
            <w:tabs>
              <w:tab w:val="clear" w:pos="8459"/>
              <w:tab w:val="right" w:pos="9026" w:leader="dot"/>
            </w:tabs>
            <w:rPr/>
          </w:pPr>
          <w:hyperlink w:anchor="__RefHeading___Toc2158466_581953129">
            <w:r>
              <w:rPr>
                <w:webHidden/>
                <w:rStyle w:val="IndexLink"/>
                <w:rtl w:val="true"/>
              </w:rPr>
              <w:t>هل یشترط فی الیتامی والمساکین وابن السبیل الإیمان ؟</w:t>
            </w:r>
            <w:r>
              <w:rPr>
                <w:rStyle w:val="IndexLink"/>
                <w:rtl w:val="true"/>
              </w:rPr>
              <w:tab/>
            </w:r>
            <w:r>
              <w:rPr>
                <w:rStyle w:val="IndexLink"/>
              </w:rPr>
              <w:t>140</w:t>
            </w:r>
          </w:hyperlink>
        </w:p>
        <w:p>
          <w:pPr>
            <w:pStyle w:val="Contents3"/>
            <w:tabs>
              <w:tab w:val="clear" w:pos="8459"/>
              <w:tab w:val="right" w:pos="9026" w:leader="dot"/>
            </w:tabs>
            <w:rPr/>
          </w:pPr>
          <w:hyperlink w:anchor="__RefHeading___Toc2158468_581953129">
            <w:r>
              <w:rPr>
                <w:webHidden/>
                <w:rStyle w:val="IndexLink"/>
                <w:rtl w:val="true"/>
              </w:rPr>
              <w:t>الأدلة الخمسة التی استند إلیها بعض الفقهاء فی اشتراطهم الإیمان فی مستحقی الخمس</w:t>
            </w:r>
            <w:r>
              <w:rPr>
                <w:rStyle w:val="IndexLink"/>
                <w:rtl w:val="true"/>
              </w:rPr>
              <w:t>:</w:t>
              <w:tab/>
            </w:r>
            <w:r>
              <w:rPr>
                <w:rStyle w:val="IndexLink"/>
              </w:rPr>
              <w:t>140</w:t>
            </w:r>
          </w:hyperlink>
        </w:p>
        <w:p>
          <w:pPr>
            <w:pStyle w:val="Contents3"/>
            <w:tabs>
              <w:tab w:val="clear" w:pos="8459"/>
              <w:tab w:val="right" w:pos="9026" w:leader="dot"/>
            </w:tabs>
            <w:rPr/>
          </w:pPr>
          <w:hyperlink w:anchor="__RefHeading___Toc2158470_581953129">
            <w:r>
              <w:rPr>
                <w:webHidden/>
                <w:rStyle w:val="IndexLink"/>
                <w:rtl w:val="true"/>
              </w:rPr>
              <w:t>هل یلزم فی صرف الخمس البسط والتسویة والاستیعاب فی الیتامی والمساکین وابن السبیل ؟</w:t>
            </w:r>
            <w:r>
              <w:rPr>
                <w:rStyle w:val="IndexLink"/>
                <w:rtl w:val="true"/>
              </w:rPr>
              <w:tab/>
            </w:r>
            <w:r>
              <w:rPr>
                <w:rStyle w:val="IndexLink"/>
              </w:rPr>
              <w:t>146</w:t>
            </w:r>
          </w:hyperlink>
        </w:p>
        <w:p>
          <w:pPr>
            <w:pStyle w:val="Contents3"/>
            <w:tabs>
              <w:tab w:val="clear" w:pos="8459"/>
              <w:tab w:val="right" w:pos="9026" w:leader="dot"/>
            </w:tabs>
            <w:rPr/>
          </w:pPr>
          <w:hyperlink w:anchor="__RefHeading___Toc2158472_581953129">
            <w:r>
              <w:rPr>
                <w:webHidden/>
                <w:rStyle w:val="IndexLink"/>
                <w:rtl w:val="true"/>
              </w:rPr>
              <w:t>وجوب البسط وعدمه فی الروایات</w:t>
            </w:r>
            <w:r>
              <w:rPr>
                <w:rStyle w:val="IndexLink"/>
                <w:rtl w:val="true"/>
              </w:rPr>
              <w:t>:</w:t>
              <w:tab/>
            </w:r>
            <w:r>
              <w:rPr>
                <w:rStyle w:val="IndexLink"/>
              </w:rPr>
              <w:t>148</w:t>
            </w:r>
          </w:hyperlink>
        </w:p>
        <w:p>
          <w:pPr>
            <w:pStyle w:val="Contents3"/>
            <w:tabs>
              <w:tab w:val="clear" w:pos="8459"/>
              <w:tab w:val="right" w:pos="9026" w:leader="dot"/>
            </w:tabs>
            <w:rPr/>
          </w:pPr>
          <w:hyperlink w:anchor="__RefHeading___Toc2158474_581953129">
            <w:r>
              <w:rPr>
                <w:webHidden/>
                <w:rStyle w:val="IndexLink"/>
                <w:rtl w:val="true"/>
              </w:rPr>
              <w:t>لا قرینة فی الآیة علی کون اللام للملکیة</w:t>
            </w:r>
            <w:r>
              <w:rPr>
                <w:rStyle w:val="IndexLink"/>
                <w:rtl w:val="true"/>
              </w:rPr>
              <w:t>:</w:t>
              <w:tab/>
            </w:r>
            <w:r>
              <w:rPr>
                <w:rStyle w:val="IndexLink"/>
              </w:rPr>
              <w:t>149</w:t>
            </w:r>
          </w:hyperlink>
        </w:p>
        <w:p>
          <w:pPr>
            <w:pStyle w:val="Contents3"/>
            <w:tabs>
              <w:tab w:val="clear" w:pos="8459"/>
              <w:tab w:val="right" w:pos="9026" w:leader="dot"/>
            </w:tabs>
            <w:rPr/>
          </w:pPr>
          <w:hyperlink w:anchor="__RefHeading___Toc2158476_581953129">
            <w:r>
              <w:rPr>
                <w:webHidden/>
                <w:rStyle w:val="IndexLink"/>
                <w:rtl w:val="true"/>
              </w:rPr>
              <w:t>هل یلزم الاستیعاب ؟</w:t>
            </w:r>
            <w:r>
              <w:rPr>
                <w:rStyle w:val="IndexLink"/>
                <w:rtl w:val="true"/>
              </w:rPr>
              <w:tab/>
            </w:r>
            <w:r>
              <w:rPr>
                <w:rStyle w:val="IndexLink"/>
              </w:rPr>
              <w:t>155</w:t>
            </w:r>
          </w:hyperlink>
        </w:p>
        <w:p>
          <w:pPr>
            <w:pStyle w:val="Contents3"/>
            <w:tabs>
              <w:tab w:val="clear" w:pos="8459"/>
              <w:tab w:val="right" w:pos="9026" w:leader="dot"/>
            </w:tabs>
            <w:rPr/>
          </w:pPr>
          <w:hyperlink w:anchor="__RefHeading___Toc2158478_581953129">
            <w:r>
              <w:rPr>
                <w:webHidden/>
                <w:rStyle w:val="IndexLink"/>
                <w:rtl w:val="true"/>
              </w:rPr>
              <w:t>هل ینحصر مصرف سهم السادات علی الیتامی والمساکین وابن السبیل منهم ؟</w:t>
            </w:r>
            <w:r>
              <w:rPr>
                <w:rStyle w:val="IndexLink"/>
                <w:rtl w:val="true"/>
              </w:rPr>
              <w:tab/>
            </w:r>
            <w:r>
              <w:rPr>
                <w:rStyle w:val="IndexLink"/>
              </w:rPr>
              <w:t>157</w:t>
            </w:r>
          </w:hyperlink>
        </w:p>
        <w:p>
          <w:pPr>
            <w:pStyle w:val="Contents3"/>
            <w:tabs>
              <w:tab w:val="clear" w:pos="8459"/>
              <w:tab w:val="right" w:pos="9026" w:leader="dot"/>
            </w:tabs>
            <w:rPr/>
          </w:pPr>
          <w:hyperlink w:anchor="__RefHeading___Toc2158480_581953129">
            <w:r>
              <w:rPr>
                <w:webHidden/>
                <w:rStyle w:val="IndexLink"/>
                <w:rtl w:val="true"/>
              </w:rPr>
              <w:t xml:space="preserve">هل تعتبر آیة الغنیمة </w:t>
            </w:r>
            <w:r>
              <w:rPr>
                <w:rStyle w:val="IndexLink"/>
                <w:rtl w:val="true"/>
              </w:rPr>
              <w:t>(</w:t>
            </w:r>
            <w:r>
              <w:rPr>
                <w:rStyle w:val="IndexLink"/>
                <w:rtl w:val="true"/>
              </w:rPr>
              <w:t xml:space="preserve">الآیة </w:t>
            </w:r>
            <w:r>
              <w:rPr>
                <w:rStyle w:val="IndexLink"/>
              </w:rPr>
              <w:t>41</w:t>
            </w:r>
            <w:r>
              <w:rPr>
                <w:rStyle w:val="IndexLink"/>
                <w:rtl w:val="true"/>
              </w:rPr>
              <w:t xml:space="preserve"> </w:t>
            </w:r>
            <w:r>
              <w:rPr>
                <w:rStyle w:val="IndexLink"/>
                <w:rtl w:val="true"/>
              </w:rPr>
              <w:t>من سورة الأنفال</w:t>
            </w:r>
            <w:r>
              <w:rPr>
                <w:rStyle w:val="IndexLink"/>
                <w:rtl w:val="true"/>
              </w:rPr>
              <w:t xml:space="preserve">) </w:t>
            </w:r>
            <w:r>
              <w:rPr>
                <w:rStyle w:val="IndexLink"/>
                <w:rtl w:val="true"/>
              </w:rPr>
              <w:t>ناسخة للآیة الأولی أو لا؟</w:t>
            </w:r>
            <w:r>
              <w:rPr>
                <w:rStyle w:val="IndexLink"/>
                <w:rtl w:val="true"/>
              </w:rPr>
              <w:tab/>
            </w:r>
            <w:r>
              <w:rPr>
                <w:rStyle w:val="IndexLink"/>
              </w:rPr>
              <w:t>158</w:t>
            </w:r>
          </w:hyperlink>
        </w:p>
        <w:p>
          <w:pPr>
            <w:pStyle w:val="Contents4"/>
            <w:tabs>
              <w:tab w:val="clear" w:pos="8176"/>
              <w:tab w:val="right" w:pos="9026" w:leader="dot"/>
            </w:tabs>
            <w:rPr/>
          </w:pPr>
          <w:hyperlink w:anchor="__RefHeading___Toc2158482_581953129">
            <w:r>
              <w:rPr>
                <w:webHidden/>
                <w:rStyle w:val="IndexLink"/>
                <w:rtl w:val="true"/>
              </w:rPr>
              <w:t>اشارة</w:t>
            </w:r>
            <w:r>
              <w:rPr>
                <w:rStyle w:val="IndexLink"/>
                <w:rtl w:val="true"/>
              </w:rPr>
              <w:tab/>
            </w:r>
            <w:r>
              <w:rPr>
                <w:rStyle w:val="IndexLink"/>
              </w:rPr>
              <w:t>158</w:t>
            </w:r>
          </w:hyperlink>
        </w:p>
        <w:p>
          <w:pPr>
            <w:pStyle w:val="Contents4"/>
            <w:tabs>
              <w:tab w:val="clear" w:pos="8176"/>
              <w:tab w:val="right" w:pos="9026" w:leader="dot"/>
            </w:tabs>
            <w:rPr/>
          </w:pPr>
          <w:hyperlink w:anchor="__RefHeading___Toc2158484_581953129">
            <w:r>
              <w:rPr>
                <w:webHidden/>
                <w:rStyle w:val="IndexLink"/>
                <w:rtl w:val="true"/>
              </w:rPr>
              <w:t>المطلب الأول</w:t>
            </w:r>
            <w:r>
              <w:rPr>
                <w:rStyle w:val="IndexLink"/>
                <w:rtl w:val="true"/>
              </w:rPr>
              <w:t xml:space="preserve">: </w:t>
            </w:r>
            <w:r>
              <w:rPr>
                <w:rStyle w:val="IndexLink"/>
                <w:rtl w:val="true"/>
              </w:rPr>
              <w:t>ما هی الأنفال</w:t>
            </w:r>
            <w:r>
              <w:rPr>
                <w:rStyle w:val="IndexLink"/>
                <w:rtl w:val="true"/>
              </w:rPr>
              <w:tab/>
            </w:r>
            <w:r>
              <w:rPr>
                <w:rStyle w:val="IndexLink"/>
              </w:rPr>
              <w:t>159</w:t>
            </w:r>
          </w:hyperlink>
        </w:p>
        <w:p>
          <w:pPr>
            <w:pStyle w:val="Contents4"/>
            <w:tabs>
              <w:tab w:val="clear" w:pos="8176"/>
              <w:tab w:val="right" w:pos="9026" w:leader="dot"/>
            </w:tabs>
            <w:rPr/>
          </w:pPr>
          <w:hyperlink w:anchor="__RefHeading___Toc2158486_581953129">
            <w:r>
              <w:rPr>
                <w:webHidden/>
                <w:rStyle w:val="IndexLink"/>
                <w:rtl w:val="true"/>
              </w:rPr>
              <w:t>المعنی اللغوی للأنفال</w:t>
            </w:r>
            <w:r>
              <w:rPr>
                <w:rStyle w:val="IndexLink"/>
                <w:rtl w:val="true"/>
              </w:rPr>
              <w:t>:</w:t>
              <w:tab/>
            </w:r>
            <w:r>
              <w:rPr>
                <w:rStyle w:val="IndexLink"/>
              </w:rPr>
              <w:t>159</w:t>
            </w:r>
          </w:hyperlink>
        </w:p>
        <w:p>
          <w:pPr>
            <w:pStyle w:val="Contents3"/>
            <w:tabs>
              <w:tab w:val="clear" w:pos="8459"/>
              <w:tab w:val="right" w:pos="9026" w:leader="dot"/>
            </w:tabs>
            <w:rPr/>
          </w:pPr>
          <w:hyperlink w:anchor="__RefHeading___Toc2158488_581953129">
            <w:r>
              <w:rPr>
                <w:webHidden/>
                <w:rStyle w:val="IndexLink"/>
                <w:rtl w:val="true"/>
              </w:rPr>
              <w:t>رأی المفسرین حول کلمة الأنفال</w:t>
            </w:r>
            <w:r>
              <w:rPr>
                <w:rStyle w:val="IndexLink"/>
                <w:rtl w:val="true"/>
              </w:rPr>
              <w:t>:</w:t>
              <w:tab/>
            </w:r>
            <w:r>
              <w:rPr>
                <w:rStyle w:val="IndexLink"/>
              </w:rPr>
              <w:t>160</w:t>
            </w:r>
          </w:hyperlink>
        </w:p>
        <w:p>
          <w:pPr>
            <w:pStyle w:val="Contents4"/>
            <w:tabs>
              <w:tab w:val="clear" w:pos="8176"/>
              <w:tab w:val="right" w:pos="9026" w:leader="dot"/>
            </w:tabs>
            <w:rPr/>
          </w:pPr>
          <w:hyperlink w:anchor="__RefHeading___Toc2158490_581953129">
            <w:r>
              <w:rPr>
                <w:webHidden/>
                <w:rStyle w:val="IndexLink"/>
                <w:rtl w:val="true"/>
              </w:rPr>
              <w:t>اشارة</w:t>
            </w:r>
            <w:r>
              <w:rPr>
                <w:rStyle w:val="IndexLink"/>
                <w:rtl w:val="true"/>
              </w:rPr>
              <w:tab/>
            </w:r>
            <w:r>
              <w:rPr>
                <w:rStyle w:val="IndexLink"/>
              </w:rPr>
              <w:t>160</w:t>
            </w:r>
          </w:hyperlink>
        </w:p>
        <w:p>
          <w:pPr>
            <w:pStyle w:val="Contents4"/>
            <w:tabs>
              <w:tab w:val="clear" w:pos="8176"/>
              <w:tab w:val="right" w:pos="9026" w:leader="dot"/>
            </w:tabs>
            <w:rPr/>
          </w:pPr>
          <w:hyperlink w:anchor="__RefHeading___Toc2158492_581953129">
            <w:r>
              <w:rPr>
                <w:webHidden/>
                <w:rStyle w:val="IndexLink"/>
                <w:rtl w:val="true"/>
              </w:rPr>
              <w:t>بحث تفسیری للأنفال</w:t>
            </w:r>
            <w:r>
              <w:rPr>
                <w:rStyle w:val="IndexLink"/>
                <w:rtl w:val="true"/>
              </w:rPr>
              <w:t>:</w:t>
              <w:tab/>
            </w:r>
            <w:r>
              <w:rPr>
                <w:rStyle w:val="IndexLink"/>
              </w:rPr>
              <w:t>161</w:t>
            </w:r>
          </w:hyperlink>
        </w:p>
        <w:p>
          <w:pPr>
            <w:pStyle w:val="Contents3"/>
            <w:tabs>
              <w:tab w:val="clear" w:pos="8459"/>
              <w:tab w:val="right" w:pos="9026" w:leader="dot"/>
            </w:tabs>
            <w:rPr/>
          </w:pPr>
          <w:hyperlink w:anchor="__RefHeading___Toc2158494_581953129">
            <w:r>
              <w:rPr>
                <w:webHidden/>
                <w:rStyle w:val="IndexLink"/>
                <w:rtl w:val="true"/>
              </w:rPr>
              <w:t>الوجه الآخر فی تسمیة الأنفال</w:t>
            </w:r>
            <w:r>
              <w:rPr>
                <w:rStyle w:val="IndexLink"/>
                <w:rtl w:val="true"/>
              </w:rPr>
              <w:t>:</w:t>
              <w:tab/>
            </w:r>
            <w:r>
              <w:rPr>
                <w:rStyle w:val="IndexLink"/>
              </w:rPr>
              <w:t>163</w:t>
            </w:r>
          </w:hyperlink>
        </w:p>
        <w:p>
          <w:pPr>
            <w:pStyle w:val="Contents3"/>
            <w:tabs>
              <w:tab w:val="clear" w:pos="8459"/>
              <w:tab w:val="right" w:pos="9026" w:leader="dot"/>
            </w:tabs>
            <w:rPr/>
          </w:pPr>
          <w:hyperlink w:anchor="__RefHeading___Toc2158496_581953129">
            <w:r>
              <w:rPr>
                <w:webHidden/>
                <w:rStyle w:val="IndexLink"/>
                <w:rtl w:val="true"/>
              </w:rPr>
              <w:t xml:space="preserve">العلاقة بین الآیة الأولی والآیة </w:t>
            </w:r>
            <w:r>
              <w:rPr>
                <w:rStyle w:val="IndexLink"/>
              </w:rPr>
              <w:t>41</w:t>
            </w:r>
            <w:r>
              <w:rPr>
                <w:rStyle w:val="IndexLink"/>
                <w:rtl w:val="true"/>
              </w:rPr>
              <w:t xml:space="preserve"> </w:t>
            </w:r>
            <w:r>
              <w:rPr>
                <w:rStyle w:val="IndexLink"/>
                <w:rtl w:val="true"/>
              </w:rPr>
              <w:t>من سورة الأنفال</w:t>
            </w:r>
            <w:r>
              <w:rPr>
                <w:rStyle w:val="IndexLink"/>
                <w:rtl w:val="true"/>
              </w:rPr>
              <w:t>:</w:t>
              <w:tab/>
            </w:r>
            <w:r>
              <w:rPr>
                <w:rStyle w:val="IndexLink"/>
              </w:rPr>
              <w:t>163</w:t>
            </w:r>
          </w:hyperlink>
        </w:p>
        <w:p>
          <w:pPr>
            <w:pStyle w:val="Contents3"/>
            <w:tabs>
              <w:tab w:val="clear" w:pos="8459"/>
              <w:tab w:val="right" w:pos="9026" w:leader="dot"/>
            </w:tabs>
            <w:rPr/>
          </w:pPr>
          <w:hyperlink w:anchor="__RefHeading___Toc2158498_581953129">
            <w:r>
              <w:rPr>
                <w:webHidden/>
                <w:rStyle w:val="IndexLink"/>
                <w:rtl w:val="true"/>
              </w:rPr>
              <w:t xml:space="preserve">هل الآیة </w:t>
            </w:r>
            <w:r>
              <w:rPr>
                <w:rStyle w:val="IndexLink"/>
              </w:rPr>
              <w:t>41</w:t>
            </w:r>
            <w:r>
              <w:rPr>
                <w:rStyle w:val="IndexLink"/>
                <w:rtl w:val="true"/>
              </w:rPr>
              <w:t xml:space="preserve"> </w:t>
            </w:r>
            <w:r>
              <w:rPr>
                <w:rStyle w:val="IndexLink"/>
                <w:rtl w:val="true"/>
              </w:rPr>
              <w:t>ناسخة للآیة الأولی ؟</w:t>
            </w:r>
            <w:r>
              <w:rPr>
                <w:rStyle w:val="IndexLink"/>
                <w:rtl w:val="true"/>
              </w:rPr>
              <w:tab/>
            </w:r>
            <w:r>
              <w:rPr>
                <w:rStyle w:val="IndexLink"/>
              </w:rPr>
              <w:t>164</w:t>
            </w:r>
          </w:hyperlink>
        </w:p>
        <w:p>
          <w:pPr>
            <w:pStyle w:val="Contents3"/>
            <w:tabs>
              <w:tab w:val="clear" w:pos="8459"/>
              <w:tab w:val="right" w:pos="9026" w:leader="dot"/>
            </w:tabs>
            <w:rPr/>
          </w:pPr>
          <w:hyperlink w:anchor="__RefHeading___Toc2158500_581953129">
            <w:r>
              <w:rPr>
                <w:webHidden/>
                <w:rStyle w:val="IndexLink"/>
                <w:rtl w:val="true"/>
              </w:rPr>
              <w:t>رأی القرطبی حول النسخ</w:t>
            </w:r>
            <w:r>
              <w:rPr>
                <w:rStyle w:val="IndexLink"/>
                <w:rtl w:val="true"/>
              </w:rPr>
              <w:t>:</w:t>
              <w:tab/>
            </w:r>
            <w:r>
              <w:rPr>
                <w:rStyle w:val="IndexLink"/>
              </w:rPr>
              <w:t>166</w:t>
            </w:r>
          </w:hyperlink>
        </w:p>
        <w:p>
          <w:pPr>
            <w:pStyle w:val="Contents3"/>
            <w:tabs>
              <w:tab w:val="clear" w:pos="8459"/>
              <w:tab w:val="right" w:pos="9026" w:leader="dot"/>
            </w:tabs>
            <w:rPr/>
          </w:pPr>
          <w:hyperlink w:anchor="__RefHeading___Toc2158502_581953129">
            <w:r>
              <w:rPr>
                <w:webHidden/>
                <w:rStyle w:val="IndexLink"/>
                <w:rtl w:val="true"/>
              </w:rPr>
              <w:t>سؤالان</w:t>
            </w:r>
            <w:r>
              <w:rPr>
                <w:rStyle w:val="IndexLink"/>
                <w:rtl w:val="true"/>
              </w:rPr>
              <w:t>:</w:t>
              <w:tab/>
            </w:r>
            <w:r>
              <w:rPr>
                <w:rStyle w:val="IndexLink"/>
              </w:rPr>
              <w:t>168</w:t>
            </w:r>
          </w:hyperlink>
        </w:p>
        <w:p>
          <w:pPr>
            <w:pStyle w:val="Contents3"/>
            <w:tabs>
              <w:tab w:val="clear" w:pos="8459"/>
              <w:tab w:val="right" w:pos="9026" w:leader="dot"/>
            </w:tabs>
            <w:rPr/>
          </w:pPr>
          <w:hyperlink w:anchor="__RefHeading___Toc2158504_581953129">
            <w:r>
              <w:rPr>
                <w:webHidden/>
                <w:rStyle w:val="IndexLink"/>
                <w:rtl w:val="true"/>
              </w:rPr>
              <w:t>بطلان نظریة النسخ</w:t>
            </w:r>
            <w:r>
              <w:rPr>
                <w:rStyle w:val="IndexLink"/>
                <w:rtl w:val="true"/>
              </w:rPr>
              <w:t>:</w:t>
              <w:tab/>
            </w:r>
            <w:r>
              <w:rPr>
                <w:rStyle w:val="IndexLink"/>
              </w:rPr>
              <w:t>168</w:t>
            </w:r>
          </w:hyperlink>
        </w:p>
        <w:p>
          <w:pPr>
            <w:pStyle w:val="Contents3"/>
            <w:tabs>
              <w:tab w:val="clear" w:pos="8459"/>
              <w:tab w:val="right" w:pos="9026" w:leader="dot"/>
            </w:tabs>
            <w:rPr/>
          </w:pPr>
          <w:hyperlink w:anchor="__RefHeading___Toc2158506_581953129">
            <w:r>
              <w:rPr>
                <w:webHidden/>
                <w:rStyle w:val="IndexLink"/>
                <w:rtl w:val="true"/>
              </w:rPr>
              <w:t>قرینتان علی بطلان النسخ</w:t>
            </w:r>
            <w:r>
              <w:rPr>
                <w:rStyle w:val="IndexLink"/>
                <w:rtl w:val="true"/>
              </w:rPr>
              <w:t>:</w:t>
              <w:tab/>
            </w:r>
            <w:r>
              <w:rPr>
                <w:rStyle w:val="IndexLink"/>
              </w:rPr>
              <w:t>169</w:t>
            </w:r>
          </w:hyperlink>
        </w:p>
        <w:p>
          <w:pPr>
            <w:pStyle w:val="Contents3"/>
            <w:tabs>
              <w:tab w:val="clear" w:pos="8459"/>
              <w:tab w:val="right" w:pos="9026" w:leader="dot"/>
            </w:tabs>
            <w:rPr/>
          </w:pPr>
          <w:hyperlink w:anchor="__RefHeading___Toc2158508_581953129">
            <w:r>
              <w:rPr>
                <w:webHidden/>
                <w:rStyle w:val="IndexLink"/>
                <w:rtl w:val="true"/>
              </w:rPr>
              <w:t xml:space="preserve">ما هو مدلول الآیة الأولی والآیة </w:t>
            </w:r>
            <w:r>
              <w:rPr>
                <w:rStyle w:val="IndexLink"/>
              </w:rPr>
              <w:t>41</w:t>
            </w:r>
            <w:r>
              <w:rPr>
                <w:rStyle w:val="IndexLink"/>
                <w:rtl w:val="true"/>
              </w:rPr>
              <w:t xml:space="preserve"> </w:t>
            </w:r>
            <w:r>
              <w:rPr>
                <w:rStyle w:val="IndexLink"/>
                <w:rtl w:val="true"/>
              </w:rPr>
              <w:t>من سورة الأنفال ؟</w:t>
            </w:r>
            <w:r>
              <w:rPr>
                <w:rStyle w:val="IndexLink"/>
                <w:rtl w:val="true"/>
              </w:rPr>
              <w:tab/>
            </w:r>
            <w:r>
              <w:rPr>
                <w:rStyle w:val="IndexLink"/>
              </w:rPr>
              <w:t>169</w:t>
            </w:r>
          </w:hyperlink>
        </w:p>
        <w:p>
          <w:pPr>
            <w:pStyle w:val="Contents3"/>
            <w:tabs>
              <w:tab w:val="clear" w:pos="8459"/>
              <w:tab w:val="right" w:pos="9026" w:leader="dot"/>
            </w:tabs>
            <w:rPr/>
          </w:pPr>
          <w:hyperlink w:anchor="__RefHeading___Toc2158510_581953129">
            <w:r>
              <w:rPr>
                <w:webHidden/>
                <w:rStyle w:val="IndexLink"/>
                <w:rtl w:val="true"/>
              </w:rPr>
              <w:t>الأنفال فی روایات الشیعة وفقههم</w:t>
            </w:r>
            <w:r>
              <w:rPr>
                <w:rStyle w:val="IndexLink"/>
                <w:rtl w:val="true"/>
              </w:rPr>
              <w:t>:</w:t>
              <w:tab/>
            </w:r>
            <w:r>
              <w:rPr>
                <w:rStyle w:val="IndexLink"/>
              </w:rPr>
              <w:t>171</w:t>
            </w:r>
          </w:hyperlink>
        </w:p>
        <w:p>
          <w:pPr>
            <w:pStyle w:val="Contents3"/>
            <w:tabs>
              <w:tab w:val="clear" w:pos="8459"/>
              <w:tab w:val="right" w:pos="9026" w:leader="dot"/>
            </w:tabs>
            <w:rPr/>
          </w:pPr>
          <w:hyperlink w:anchor="__RefHeading___Toc2158512_581953129">
            <w:r>
              <w:rPr>
                <w:webHidden/>
                <w:rStyle w:val="IndexLink"/>
                <w:rtl w:val="true"/>
              </w:rPr>
              <w:t>إکمال البحث</w:t>
            </w:r>
            <w:r>
              <w:rPr>
                <w:rStyle w:val="IndexLink"/>
                <w:rtl w:val="true"/>
              </w:rPr>
              <w:t>:</w:t>
              <w:tab/>
            </w:r>
            <w:r>
              <w:rPr>
                <w:rStyle w:val="IndexLink"/>
              </w:rPr>
              <w:t>173</w:t>
            </w:r>
          </w:hyperlink>
        </w:p>
        <w:p>
          <w:pPr>
            <w:pStyle w:val="Contents3"/>
            <w:tabs>
              <w:tab w:val="clear" w:pos="8459"/>
              <w:tab w:val="right" w:pos="9026" w:leader="dot"/>
            </w:tabs>
            <w:rPr/>
          </w:pPr>
          <w:hyperlink w:anchor="__RefHeading___Toc2158514_581953129">
            <w:r>
              <w:rPr>
                <w:webHidden/>
                <w:rStyle w:val="IndexLink"/>
                <w:rtl w:val="true"/>
              </w:rPr>
              <w:t>دراسة للآیات الثلاث فی سورة الأنفال</w:t>
            </w:r>
            <w:r>
              <w:rPr>
                <w:rStyle w:val="IndexLink"/>
                <w:rtl w:val="true"/>
              </w:rPr>
              <w:t>:</w:t>
              <w:tab/>
            </w:r>
            <w:r>
              <w:rPr>
                <w:rStyle w:val="IndexLink"/>
              </w:rPr>
              <w:t>173</w:t>
            </w:r>
          </w:hyperlink>
        </w:p>
        <w:p>
          <w:pPr>
            <w:pStyle w:val="Contents4"/>
            <w:tabs>
              <w:tab w:val="clear" w:pos="8176"/>
              <w:tab w:val="right" w:pos="9026" w:leader="dot"/>
            </w:tabs>
            <w:rPr/>
          </w:pPr>
          <w:hyperlink w:anchor="__RefHeading___Toc2158516_581953129">
            <w:r>
              <w:rPr>
                <w:webHidden/>
                <w:rStyle w:val="IndexLink"/>
                <w:rtl w:val="true"/>
              </w:rPr>
              <w:t>اشارة</w:t>
            </w:r>
            <w:r>
              <w:rPr>
                <w:rStyle w:val="IndexLink"/>
                <w:rtl w:val="true"/>
              </w:rPr>
              <w:tab/>
            </w:r>
            <w:r>
              <w:rPr>
                <w:rStyle w:val="IndexLink"/>
              </w:rPr>
              <w:t>173</w:t>
            </w:r>
          </w:hyperlink>
        </w:p>
        <w:p>
          <w:pPr>
            <w:pStyle w:val="Contents4"/>
            <w:tabs>
              <w:tab w:val="clear" w:pos="8176"/>
              <w:tab w:val="right" w:pos="9026" w:leader="dot"/>
            </w:tabs>
            <w:rPr/>
          </w:pPr>
          <w:hyperlink w:anchor="__RefHeading___Toc2158518_581953129">
            <w:r>
              <w:rPr>
                <w:webHidden/>
                <w:rStyle w:val="IndexLink"/>
                <w:rtl w:val="true"/>
              </w:rPr>
              <w:t xml:space="preserve">- </w:t>
            </w:r>
            <w:r>
              <w:rPr>
                <w:rStyle w:val="IndexLink"/>
                <w:rtl w:val="true"/>
              </w:rPr>
              <w:t>الآیة الأولی</w:t>
            </w:r>
            <w:r>
              <w:rPr>
                <w:rStyle w:val="IndexLink"/>
                <w:rtl w:val="true"/>
              </w:rPr>
              <w:t>:</w:t>
              <w:tab/>
            </w:r>
            <w:r>
              <w:rPr>
                <w:rStyle w:val="IndexLink"/>
              </w:rPr>
              <w:t>173</w:t>
            </w:r>
          </w:hyperlink>
        </w:p>
        <w:p>
          <w:pPr>
            <w:pStyle w:val="Contents4"/>
            <w:tabs>
              <w:tab w:val="clear" w:pos="8176"/>
              <w:tab w:val="right" w:pos="9026" w:leader="dot"/>
            </w:tabs>
            <w:rPr/>
          </w:pPr>
          <w:hyperlink w:anchor="__RefHeading___Toc2158520_581953129">
            <w:r>
              <w:rPr>
                <w:webHidden/>
                <w:rStyle w:val="IndexLink"/>
                <w:rtl w:val="true"/>
              </w:rPr>
              <w:t xml:space="preserve">- </w:t>
            </w:r>
            <w:r>
              <w:rPr>
                <w:rStyle w:val="IndexLink"/>
                <w:rtl w:val="true"/>
              </w:rPr>
              <w:t>الآیة الثانیة</w:t>
            </w:r>
            <w:r>
              <w:rPr>
                <w:rStyle w:val="IndexLink"/>
                <w:rtl w:val="true"/>
              </w:rPr>
              <w:t>:</w:t>
              <w:tab/>
            </w:r>
            <w:r>
              <w:rPr>
                <w:rStyle w:val="IndexLink"/>
              </w:rPr>
              <w:t>173</w:t>
            </w:r>
          </w:hyperlink>
        </w:p>
        <w:p>
          <w:pPr>
            <w:pStyle w:val="Contents4"/>
            <w:tabs>
              <w:tab w:val="clear" w:pos="8176"/>
              <w:tab w:val="right" w:pos="9026" w:leader="dot"/>
            </w:tabs>
            <w:rPr/>
          </w:pPr>
          <w:hyperlink w:anchor="__RefHeading___Toc2158522_581953129">
            <w:r>
              <w:rPr>
                <w:webHidden/>
                <w:rStyle w:val="IndexLink"/>
                <w:rtl w:val="true"/>
              </w:rPr>
              <w:t xml:space="preserve">- </w:t>
            </w:r>
            <w:r>
              <w:rPr>
                <w:rStyle w:val="IndexLink"/>
                <w:rtl w:val="true"/>
              </w:rPr>
              <w:t>الآیة الثالثة</w:t>
            </w:r>
            <w:r>
              <w:rPr>
                <w:rStyle w:val="IndexLink"/>
                <w:rtl w:val="true"/>
              </w:rPr>
              <w:t>:</w:t>
              <w:tab/>
            </w:r>
            <w:r>
              <w:rPr>
                <w:rStyle w:val="IndexLink"/>
              </w:rPr>
              <w:t>174</w:t>
            </w:r>
          </w:hyperlink>
        </w:p>
        <w:p>
          <w:pPr>
            <w:pStyle w:val="Contents3"/>
            <w:tabs>
              <w:tab w:val="clear" w:pos="8459"/>
              <w:tab w:val="right" w:pos="9026" w:leader="dot"/>
            </w:tabs>
            <w:rPr/>
          </w:pPr>
          <w:hyperlink w:anchor="__RefHeading___Toc2158524_581953129">
            <w:r>
              <w:rPr>
                <w:webHidden/>
                <w:rStyle w:val="IndexLink"/>
                <w:rtl w:val="true"/>
              </w:rPr>
              <w:t>هل الآیة الأولی ناسخة للآیة الثالثة أو لا؟</w:t>
            </w:r>
            <w:r>
              <w:rPr>
                <w:rStyle w:val="IndexLink"/>
                <w:rtl w:val="true"/>
              </w:rPr>
              <w:tab/>
            </w:r>
            <w:r>
              <w:rPr>
                <w:rStyle w:val="IndexLink"/>
              </w:rPr>
              <w:t>175</w:t>
            </w:r>
          </w:hyperlink>
        </w:p>
        <w:p>
          <w:pPr>
            <w:pStyle w:val="Contents3"/>
            <w:tabs>
              <w:tab w:val="clear" w:pos="8459"/>
              <w:tab w:val="right" w:pos="9026" w:leader="dot"/>
            </w:tabs>
            <w:rPr/>
          </w:pPr>
          <w:hyperlink w:anchor="__RefHeading___Toc2158526_581953129">
            <w:r>
              <w:rPr>
                <w:webHidden/>
                <w:rStyle w:val="IndexLink"/>
                <w:rtl w:val="true"/>
              </w:rPr>
              <w:t>رأی المرحوم العلاّمة الطباطبائی</w:t>
            </w:r>
            <w:r>
              <w:rPr>
                <w:rStyle w:val="IndexLink"/>
                <w:rtl w:val="true"/>
              </w:rPr>
              <w:t>:</w:t>
              <w:tab/>
            </w:r>
            <w:r>
              <w:rPr>
                <w:rStyle w:val="IndexLink"/>
              </w:rPr>
              <w:t>175</w:t>
            </w:r>
          </w:hyperlink>
        </w:p>
        <w:p>
          <w:pPr>
            <w:pStyle w:val="Contents3"/>
            <w:tabs>
              <w:tab w:val="clear" w:pos="8459"/>
              <w:tab w:val="right" w:pos="9026" w:leader="dot"/>
            </w:tabs>
            <w:rPr/>
          </w:pPr>
          <w:hyperlink w:anchor="__RefHeading___Toc2158528_581953129">
            <w:r>
              <w:rPr>
                <w:webHidden/>
                <w:rStyle w:val="IndexLink"/>
                <w:rtl w:val="true"/>
              </w:rPr>
              <w:t xml:space="preserve">إشکال علی کلام العلاّمة الطباطبائی </w:t>
            </w:r>
            <w:r>
              <w:rPr>
                <w:rStyle w:val="IndexLink"/>
                <w:rtl w:val="true"/>
              </w:rPr>
              <w:t>(</w:t>
            </w:r>
            <w:r>
              <w:rPr>
                <w:rStyle w:val="IndexLink"/>
                <w:rtl w:val="true"/>
              </w:rPr>
              <w:t>رضوان الله تعالی علیه</w:t>
            </w:r>
            <w:r>
              <w:rPr>
                <w:rStyle w:val="IndexLink"/>
                <w:rtl w:val="true"/>
              </w:rPr>
              <w:t>):</w:t>
              <w:tab/>
            </w:r>
            <w:r>
              <w:rPr>
                <w:rStyle w:val="IndexLink"/>
              </w:rPr>
              <w:t>176</w:t>
            </w:r>
          </w:hyperlink>
        </w:p>
        <w:p>
          <w:pPr>
            <w:pStyle w:val="Contents3"/>
            <w:tabs>
              <w:tab w:val="clear" w:pos="8459"/>
              <w:tab w:val="right" w:pos="9026" w:leader="dot"/>
            </w:tabs>
            <w:rPr/>
          </w:pPr>
          <w:hyperlink w:anchor="__RefHeading___Toc2158530_581953129">
            <w:r>
              <w:rPr>
                <w:webHidden/>
                <w:rStyle w:val="IndexLink"/>
                <w:rtl w:val="true"/>
              </w:rPr>
              <w:t>نتیجة بحثنا حول الارتباط بین الآیات الثلاث فی سورة الأنفال</w:t>
            </w:r>
            <w:r>
              <w:rPr>
                <w:rStyle w:val="IndexLink"/>
                <w:rtl w:val="true"/>
              </w:rPr>
              <w:t>:</w:t>
              <w:tab/>
            </w:r>
            <w:r>
              <w:rPr>
                <w:rStyle w:val="IndexLink"/>
              </w:rPr>
              <w:t>178</w:t>
            </w:r>
          </w:hyperlink>
        </w:p>
        <w:p>
          <w:pPr>
            <w:pStyle w:val="Contents2"/>
            <w:tabs>
              <w:tab w:val="clear" w:pos="8743"/>
              <w:tab w:val="right" w:pos="9026" w:leader="dot"/>
            </w:tabs>
            <w:rPr/>
          </w:pPr>
          <w:hyperlink w:anchor="__RefHeading___Toc2158532_581953129">
            <w:r>
              <w:rPr>
                <w:webHidden/>
                <w:rStyle w:val="IndexLink"/>
                <w:rtl w:val="true"/>
              </w:rPr>
              <w:t>آیة الخمس الثانیة</w:t>
            </w:r>
            <w:r>
              <w:rPr>
                <w:rStyle w:val="IndexLink"/>
                <w:rtl w:val="true"/>
              </w:rPr>
              <w:tab/>
            </w:r>
            <w:r>
              <w:rPr>
                <w:rStyle w:val="IndexLink"/>
              </w:rPr>
              <w:t>181</w:t>
            </w:r>
          </w:hyperlink>
        </w:p>
        <w:p>
          <w:pPr>
            <w:pStyle w:val="Contents3"/>
            <w:tabs>
              <w:tab w:val="clear" w:pos="8459"/>
              <w:tab w:val="right" w:pos="9026" w:leader="dot"/>
            </w:tabs>
            <w:rPr/>
          </w:pPr>
          <w:hyperlink w:anchor="__RefHeading___Toc2158534_581953129">
            <w:r>
              <w:rPr>
                <w:webHidden/>
                <w:rStyle w:val="IndexLink"/>
                <w:rtl w:val="true"/>
              </w:rPr>
              <w:t>اشارة</w:t>
            </w:r>
            <w:r>
              <w:rPr>
                <w:rStyle w:val="IndexLink"/>
                <w:rtl w:val="true"/>
              </w:rPr>
              <w:tab/>
            </w:r>
            <w:r>
              <w:rPr>
                <w:rStyle w:val="IndexLink"/>
              </w:rPr>
              <w:t>181</w:t>
            </w:r>
          </w:hyperlink>
        </w:p>
        <w:p>
          <w:pPr>
            <w:pStyle w:val="Contents3"/>
            <w:tabs>
              <w:tab w:val="clear" w:pos="8459"/>
              <w:tab w:val="right" w:pos="9026" w:leader="dot"/>
            </w:tabs>
            <w:rPr/>
          </w:pPr>
          <w:hyperlink w:anchor="__RefHeading___Toc2158536_581953129">
            <w:r>
              <w:rPr>
                <w:webHidden/>
                <w:rStyle w:val="IndexLink"/>
                <w:rtl w:val="true"/>
              </w:rPr>
              <w:t>هل یستفاد من هذه الآیة الشریفة وجوب الخمس أو لا؟</w:t>
            </w:r>
            <w:r>
              <w:rPr>
                <w:rStyle w:val="IndexLink"/>
                <w:rtl w:val="true"/>
              </w:rPr>
              <w:tab/>
            </w:r>
            <w:r>
              <w:rPr>
                <w:rStyle w:val="IndexLink"/>
              </w:rPr>
              <w:t>183</w:t>
            </w:r>
          </w:hyperlink>
        </w:p>
        <w:p>
          <w:pPr>
            <w:pStyle w:val="Contents3"/>
            <w:tabs>
              <w:tab w:val="clear" w:pos="8459"/>
              <w:tab w:val="right" w:pos="9026" w:leader="dot"/>
            </w:tabs>
            <w:rPr/>
          </w:pPr>
          <w:hyperlink w:anchor="__RefHeading___Toc2158538_581953129">
            <w:r>
              <w:rPr>
                <w:webHidden/>
                <w:rStyle w:val="IndexLink"/>
                <w:rtl w:val="true"/>
              </w:rPr>
              <w:t>دراسة عبارات المفسرین فی استفادة الوجوب وعدمه</w:t>
            </w:r>
            <w:r>
              <w:rPr>
                <w:rStyle w:val="IndexLink"/>
                <w:rtl w:val="true"/>
              </w:rPr>
              <w:t>:</w:t>
              <w:tab/>
            </w:r>
            <w:r>
              <w:rPr>
                <w:rStyle w:val="IndexLink"/>
              </w:rPr>
              <w:t>185</w:t>
            </w:r>
          </w:hyperlink>
        </w:p>
        <w:p>
          <w:pPr>
            <w:pStyle w:val="Contents3"/>
            <w:tabs>
              <w:tab w:val="clear" w:pos="8459"/>
              <w:tab w:val="right" w:pos="9026" w:leader="dot"/>
            </w:tabs>
            <w:rPr/>
          </w:pPr>
          <w:hyperlink w:anchor="__RefHeading___Toc2158540_581953129">
            <w:r>
              <w:rPr>
                <w:webHidden/>
                <w:rStyle w:val="IndexLink"/>
                <w:rtl w:val="true"/>
              </w:rPr>
              <w:t>البیان الأول</w:t>
            </w:r>
            <w:r>
              <w:rPr>
                <w:rStyle w:val="IndexLink"/>
                <w:rtl w:val="true"/>
              </w:rPr>
              <w:t>:</w:t>
              <w:tab/>
            </w:r>
            <w:r>
              <w:rPr>
                <w:rStyle w:val="IndexLink"/>
              </w:rPr>
              <w:t>186</w:t>
            </w:r>
          </w:hyperlink>
        </w:p>
        <w:p>
          <w:pPr>
            <w:pStyle w:val="Contents4"/>
            <w:tabs>
              <w:tab w:val="clear" w:pos="8176"/>
              <w:tab w:val="right" w:pos="9026" w:leader="dot"/>
            </w:tabs>
            <w:rPr/>
          </w:pPr>
          <w:hyperlink w:anchor="__RefHeading___Toc2158542_581953129">
            <w:r>
              <w:rPr>
                <w:webHidden/>
                <w:rStyle w:val="IndexLink"/>
                <w:rtl w:val="true"/>
              </w:rPr>
              <w:t>استدلال الفخر الرازی علی الوجوب</w:t>
            </w:r>
            <w:r>
              <w:rPr>
                <w:rStyle w:val="IndexLink"/>
                <w:rtl w:val="true"/>
              </w:rPr>
              <w:tab/>
            </w:r>
            <w:r>
              <w:rPr>
                <w:rStyle w:val="IndexLink"/>
              </w:rPr>
              <w:t>186</w:t>
            </w:r>
          </w:hyperlink>
        </w:p>
        <w:p>
          <w:pPr>
            <w:pStyle w:val="Contents4"/>
            <w:tabs>
              <w:tab w:val="clear" w:pos="8176"/>
              <w:tab w:val="right" w:pos="9026" w:leader="dot"/>
            </w:tabs>
            <w:rPr/>
          </w:pPr>
          <w:hyperlink w:anchor="__RefHeading___Toc2158544_581953129">
            <w:r>
              <w:rPr>
                <w:webHidden/>
                <w:rStyle w:val="IndexLink"/>
                <w:rtl w:val="true"/>
              </w:rPr>
              <w:t>رأی المرحوم الطبرسی فی الوجوب</w:t>
            </w:r>
            <w:r>
              <w:rPr>
                <w:rStyle w:val="IndexLink"/>
                <w:rtl w:val="true"/>
              </w:rPr>
              <w:t>:</w:t>
              <w:tab/>
            </w:r>
            <w:r>
              <w:rPr>
                <w:rStyle w:val="IndexLink"/>
              </w:rPr>
              <w:t>187</w:t>
            </w:r>
          </w:hyperlink>
        </w:p>
        <w:p>
          <w:pPr>
            <w:pStyle w:val="Contents4"/>
            <w:tabs>
              <w:tab w:val="clear" w:pos="8176"/>
              <w:tab w:val="right" w:pos="9026" w:leader="dot"/>
            </w:tabs>
            <w:rPr/>
          </w:pPr>
          <w:hyperlink w:anchor="__RefHeading___Toc2158546_581953129">
            <w:r>
              <w:rPr>
                <w:webHidden/>
                <w:rStyle w:val="IndexLink"/>
                <w:rtl w:val="true"/>
              </w:rPr>
              <w:t>ما ذکره المحقق المرحوم الأردبیلی حول عدم الوجوب</w:t>
            </w:r>
            <w:r>
              <w:rPr>
                <w:rStyle w:val="IndexLink"/>
                <w:rtl w:val="true"/>
              </w:rPr>
              <w:t>:</w:t>
              <w:tab/>
            </w:r>
            <w:r>
              <w:rPr>
                <w:rStyle w:val="IndexLink"/>
              </w:rPr>
              <w:t>187</w:t>
            </w:r>
          </w:hyperlink>
        </w:p>
        <w:p>
          <w:pPr>
            <w:pStyle w:val="Contents4"/>
            <w:tabs>
              <w:tab w:val="clear" w:pos="8176"/>
              <w:tab w:val="right" w:pos="9026" w:leader="dot"/>
            </w:tabs>
            <w:rPr/>
          </w:pPr>
          <w:hyperlink w:anchor="__RefHeading___Toc2158548_581953129">
            <w:r>
              <w:rPr>
                <w:webHidden/>
                <w:rStyle w:val="IndexLink"/>
                <w:rtl w:val="true"/>
              </w:rPr>
              <w:t>إشکال علی المحقق الأردبیلی</w:t>
            </w:r>
            <w:r>
              <w:rPr>
                <w:rStyle w:val="IndexLink"/>
                <w:rtl w:val="true"/>
              </w:rPr>
              <w:tab/>
            </w:r>
            <w:r>
              <w:rPr>
                <w:rStyle w:val="IndexLink"/>
              </w:rPr>
              <w:t>188</w:t>
            </w:r>
          </w:hyperlink>
        </w:p>
        <w:p>
          <w:pPr>
            <w:pStyle w:val="Contents4"/>
            <w:tabs>
              <w:tab w:val="clear" w:pos="8176"/>
              <w:tab w:val="right" w:pos="9026" w:leader="dot"/>
            </w:tabs>
            <w:rPr/>
          </w:pPr>
          <w:hyperlink w:anchor="__RefHeading___Toc2158550_581953129">
            <w:r>
              <w:rPr>
                <w:webHidden/>
                <w:rStyle w:val="IndexLink"/>
                <w:rtl w:val="true"/>
              </w:rPr>
              <w:t>الدقة فی شأن نزول الآیة الشریفة</w:t>
            </w:r>
            <w:r>
              <w:rPr>
                <w:rStyle w:val="IndexLink"/>
                <w:rtl w:val="true"/>
              </w:rPr>
              <w:t>:</w:t>
              <w:tab/>
            </w:r>
            <w:r>
              <w:rPr>
                <w:rStyle w:val="IndexLink"/>
              </w:rPr>
              <w:t>188</w:t>
            </w:r>
          </w:hyperlink>
        </w:p>
        <w:p>
          <w:pPr>
            <w:pStyle w:val="Contents4"/>
            <w:tabs>
              <w:tab w:val="clear" w:pos="8176"/>
              <w:tab w:val="right" w:pos="9026" w:leader="dot"/>
            </w:tabs>
            <w:rPr/>
          </w:pPr>
          <w:hyperlink w:anchor="__RefHeading___Toc2158552_581953129">
            <w:r>
              <w:rPr>
                <w:webHidden/>
                <w:rStyle w:val="IndexLink"/>
                <w:rtl w:val="true"/>
              </w:rPr>
              <w:t>الاستنتاجات الثلاثة للوجوب</w:t>
            </w:r>
            <w:r>
              <w:rPr>
                <w:rStyle w:val="IndexLink"/>
                <w:rtl w:val="true"/>
              </w:rPr>
              <w:tab/>
            </w:r>
            <w:r>
              <w:rPr>
                <w:rStyle w:val="IndexLink"/>
              </w:rPr>
              <w:t>192</w:t>
            </w:r>
          </w:hyperlink>
        </w:p>
        <w:p>
          <w:pPr>
            <w:pStyle w:val="Contents4"/>
            <w:tabs>
              <w:tab w:val="clear" w:pos="8176"/>
              <w:tab w:val="right" w:pos="9026" w:leader="dot"/>
            </w:tabs>
            <w:rPr/>
          </w:pPr>
          <w:hyperlink w:anchor="__RefHeading___Toc2158554_581953129">
            <w:r>
              <w:rPr>
                <w:webHidden/>
                <w:rStyle w:val="IndexLink"/>
                <w:rtl w:val="true"/>
              </w:rPr>
              <w:t>المراد من ذوی القربی فی هذه الآیة الشریفة</w:t>
            </w:r>
            <w:r>
              <w:rPr>
                <w:rStyle w:val="IndexLink"/>
                <w:rtl w:val="true"/>
              </w:rPr>
              <w:tab/>
            </w:r>
            <w:r>
              <w:rPr>
                <w:rStyle w:val="IndexLink"/>
              </w:rPr>
              <w:t>193</w:t>
            </w:r>
          </w:hyperlink>
        </w:p>
        <w:p>
          <w:pPr>
            <w:pStyle w:val="Contents2"/>
            <w:tabs>
              <w:tab w:val="clear" w:pos="8743"/>
              <w:tab w:val="right" w:pos="9026" w:leader="dot"/>
            </w:tabs>
            <w:rPr/>
          </w:pPr>
          <w:hyperlink w:anchor="__RefHeading___Toc2158556_581953129">
            <w:r>
              <w:rPr>
                <w:webHidden/>
                <w:rStyle w:val="IndexLink"/>
                <w:rtl w:val="true"/>
              </w:rPr>
              <w:t>آیة الخمس الثالثة</w:t>
            </w:r>
            <w:r>
              <w:rPr>
                <w:rStyle w:val="IndexLink"/>
                <w:rtl w:val="true"/>
              </w:rPr>
              <w:tab/>
            </w:r>
            <w:r>
              <w:rPr>
                <w:rStyle w:val="IndexLink"/>
              </w:rPr>
              <w:t>196</w:t>
            </w:r>
          </w:hyperlink>
        </w:p>
        <w:p>
          <w:pPr>
            <w:pStyle w:val="Contents3"/>
            <w:tabs>
              <w:tab w:val="clear" w:pos="8459"/>
              <w:tab w:val="right" w:pos="9026" w:leader="dot"/>
            </w:tabs>
            <w:rPr/>
          </w:pPr>
          <w:hyperlink w:anchor="__RefHeading___Toc2158558_581953129">
            <w:r>
              <w:rPr>
                <w:webHidden/>
                <w:rStyle w:val="IndexLink"/>
                <w:rtl w:val="true"/>
              </w:rPr>
              <w:t>اشارة</w:t>
            </w:r>
            <w:r>
              <w:rPr>
                <w:rStyle w:val="IndexLink"/>
                <w:rtl w:val="true"/>
              </w:rPr>
              <w:tab/>
            </w:r>
            <w:r>
              <w:rPr>
                <w:rStyle w:val="IndexLink"/>
              </w:rPr>
              <w:t>196</w:t>
            </w:r>
          </w:hyperlink>
        </w:p>
        <w:p>
          <w:pPr>
            <w:pStyle w:val="Contents3"/>
            <w:tabs>
              <w:tab w:val="clear" w:pos="8459"/>
              <w:tab w:val="right" w:pos="9026" w:leader="dot"/>
            </w:tabs>
            <w:rPr/>
          </w:pPr>
          <w:hyperlink w:anchor="__RefHeading___Toc2158560_581953129">
            <w:r>
              <w:rPr>
                <w:webHidden/>
                <w:rStyle w:val="IndexLink"/>
                <w:rtl w:val="true"/>
              </w:rPr>
              <w:t>النقطة الأولی</w:t>
            </w:r>
            <w:r>
              <w:rPr>
                <w:rStyle w:val="IndexLink"/>
                <w:rtl w:val="true"/>
              </w:rPr>
              <w:t xml:space="preserve">: </w:t>
            </w:r>
            <w:r>
              <w:rPr>
                <w:rStyle w:val="IndexLink"/>
                <w:rtl w:val="true"/>
              </w:rPr>
              <w:t>هل یفهم الوجوب من هذه الآیة ؟</w:t>
            </w:r>
            <w:r>
              <w:rPr>
                <w:rStyle w:val="IndexLink"/>
                <w:rtl w:val="true"/>
              </w:rPr>
              <w:tab/>
            </w:r>
            <w:r>
              <w:rPr>
                <w:rStyle w:val="IndexLink"/>
              </w:rPr>
              <w:t>197</w:t>
            </w:r>
          </w:hyperlink>
        </w:p>
        <w:p>
          <w:pPr>
            <w:pStyle w:val="Contents3"/>
            <w:tabs>
              <w:tab w:val="clear" w:pos="8459"/>
              <w:tab w:val="right" w:pos="9026" w:leader="dot"/>
            </w:tabs>
            <w:rPr/>
          </w:pPr>
          <w:hyperlink w:anchor="__RefHeading___Toc2158562_581953129">
            <w:r>
              <w:rPr>
                <w:webHidden/>
                <w:rStyle w:val="IndexLink"/>
                <w:rtl w:val="true"/>
              </w:rPr>
              <w:t>النقطة الثانیة</w:t>
            </w:r>
            <w:r>
              <w:rPr>
                <w:rStyle w:val="IndexLink"/>
                <w:rtl w:val="true"/>
              </w:rPr>
              <w:t xml:space="preserve">: </w:t>
            </w:r>
            <w:r>
              <w:rPr>
                <w:rStyle w:val="IndexLink"/>
                <w:rtl w:val="true"/>
              </w:rPr>
              <w:t>هل الآیة الشریفة متعلقة بالزکاة ؟</w:t>
            </w:r>
            <w:r>
              <w:rPr>
                <w:rStyle w:val="IndexLink"/>
                <w:rtl w:val="true"/>
              </w:rPr>
              <w:tab/>
            </w:r>
            <w:r>
              <w:rPr>
                <w:rStyle w:val="IndexLink"/>
              </w:rPr>
              <w:t>197</w:t>
            </w:r>
          </w:hyperlink>
        </w:p>
        <w:p>
          <w:pPr>
            <w:pStyle w:val="Contents4"/>
            <w:tabs>
              <w:tab w:val="clear" w:pos="8176"/>
              <w:tab w:val="right" w:pos="9026" w:leader="dot"/>
            </w:tabs>
            <w:rPr/>
          </w:pPr>
          <w:hyperlink w:anchor="__RefHeading___Toc2158564_581953129">
            <w:r>
              <w:rPr>
                <w:webHidden/>
                <w:rStyle w:val="IndexLink"/>
                <w:rtl w:val="true"/>
              </w:rPr>
              <w:t>اشارة</w:t>
            </w:r>
            <w:r>
              <w:rPr>
                <w:rStyle w:val="IndexLink"/>
                <w:rtl w:val="true"/>
              </w:rPr>
              <w:tab/>
            </w:r>
            <w:r>
              <w:rPr>
                <w:rStyle w:val="IndexLink"/>
              </w:rPr>
              <w:t>197</w:t>
            </w:r>
          </w:hyperlink>
        </w:p>
        <w:p>
          <w:pPr>
            <w:pStyle w:val="Contents4"/>
            <w:tabs>
              <w:tab w:val="clear" w:pos="8176"/>
              <w:tab w:val="right" w:pos="9026" w:leader="dot"/>
            </w:tabs>
            <w:rPr/>
          </w:pPr>
          <w:hyperlink w:anchor="__RefHeading___Toc2158566_581953129">
            <w:r>
              <w:rPr>
                <w:webHidden/>
                <w:rStyle w:val="IndexLink"/>
                <w:rtl w:val="true"/>
              </w:rPr>
              <w:t>معنی کلمة الإنفاق فی اللغة</w:t>
            </w:r>
            <w:r>
              <w:rPr>
                <w:rStyle w:val="IndexLink"/>
                <w:rtl w:val="true"/>
              </w:rPr>
              <w:tab/>
            </w:r>
            <w:r>
              <w:rPr>
                <w:rStyle w:val="IndexLink"/>
              </w:rPr>
              <w:t>198</w:t>
            </w:r>
          </w:hyperlink>
        </w:p>
        <w:p>
          <w:pPr>
            <w:pStyle w:val="Contents4"/>
            <w:tabs>
              <w:tab w:val="clear" w:pos="8176"/>
              <w:tab w:val="right" w:pos="9026" w:leader="dot"/>
            </w:tabs>
            <w:rPr/>
          </w:pPr>
          <w:hyperlink w:anchor="__RefHeading___Toc2158568_581953129">
            <w:r>
              <w:rPr>
                <w:webHidden/>
                <w:rStyle w:val="IndexLink"/>
                <w:rtl w:val="true"/>
              </w:rPr>
              <w:t xml:space="preserve">معنی کلمة </w:t>
            </w:r>
            <w:r>
              <w:rPr>
                <w:rStyle w:val="IndexLink"/>
                <w:rtl w:val="true"/>
              </w:rPr>
              <w:t>(</w:t>
            </w:r>
            <w:r>
              <w:rPr>
                <w:rStyle w:val="IndexLink"/>
                <w:rtl w:val="true"/>
              </w:rPr>
              <w:t>الإنفاق</w:t>
            </w:r>
            <w:r>
              <w:rPr>
                <w:rStyle w:val="IndexLink"/>
                <w:rtl w:val="true"/>
              </w:rPr>
              <w:t xml:space="preserve">) </w:t>
            </w:r>
            <w:r>
              <w:rPr>
                <w:rStyle w:val="IndexLink"/>
                <w:rtl w:val="true"/>
              </w:rPr>
              <w:t>فی القرآن</w:t>
            </w:r>
            <w:r>
              <w:rPr>
                <w:rStyle w:val="IndexLink"/>
                <w:rtl w:val="true"/>
              </w:rPr>
              <w:tab/>
            </w:r>
            <w:r>
              <w:rPr>
                <w:rStyle w:val="IndexLink"/>
              </w:rPr>
              <w:t>198</w:t>
            </w:r>
          </w:hyperlink>
        </w:p>
        <w:p>
          <w:pPr>
            <w:pStyle w:val="Contents5"/>
            <w:tabs>
              <w:tab w:val="clear" w:pos="7892"/>
              <w:tab w:val="right" w:pos="9026" w:leader="dot"/>
            </w:tabs>
            <w:rPr/>
          </w:pPr>
          <w:hyperlink w:anchor="__RefHeading___Toc2158570_581953129">
            <w:r>
              <w:rPr>
                <w:webHidden/>
                <w:rStyle w:val="IndexLink"/>
                <w:rtl w:val="true"/>
              </w:rPr>
              <w:t>اشارة</w:t>
            </w:r>
            <w:r>
              <w:rPr>
                <w:rStyle w:val="IndexLink"/>
                <w:rtl w:val="true"/>
              </w:rPr>
              <w:tab/>
            </w:r>
            <w:r>
              <w:rPr>
                <w:rStyle w:val="IndexLink"/>
              </w:rPr>
              <w:t>198</w:t>
            </w:r>
          </w:hyperlink>
        </w:p>
        <w:p>
          <w:pPr>
            <w:pStyle w:val="Contents5"/>
            <w:tabs>
              <w:tab w:val="clear" w:pos="7892"/>
              <w:tab w:val="right" w:pos="9026" w:leader="dot"/>
            </w:tabs>
            <w:rPr/>
          </w:pPr>
          <w:hyperlink w:anchor="__RefHeading___Toc2158572_581953129">
            <w:r>
              <w:rPr>
                <w:webHidden/>
                <w:rStyle w:val="IndexLink"/>
                <w:rtl w:val="true"/>
              </w:rPr>
              <w:t>أقوال المفسرین فی معنی الإنفاق فی هذه الآیة الشریفة</w:t>
            </w:r>
            <w:r>
              <w:rPr>
                <w:rStyle w:val="IndexLink"/>
                <w:rtl w:val="true"/>
              </w:rPr>
              <w:tab/>
            </w:r>
            <w:r>
              <w:rPr>
                <w:rStyle w:val="IndexLink"/>
              </w:rPr>
              <w:t>200</w:t>
            </w:r>
          </w:hyperlink>
        </w:p>
        <w:p>
          <w:pPr>
            <w:pStyle w:val="Contents6"/>
            <w:tabs>
              <w:tab w:val="clear" w:pos="7609"/>
              <w:tab w:val="right" w:pos="9026" w:leader="dot"/>
            </w:tabs>
            <w:rPr/>
          </w:pPr>
          <w:hyperlink w:anchor="__RefHeading___Toc2158574_581953129">
            <w:r>
              <w:rPr>
                <w:webHidden/>
                <w:rStyle w:val="IndexLink"/>
                <w:rtl w:val="true"/>
              </w:rPr>
              <w:t xml:space="preserve">- </w:t>
            </w:r>
            <w:r>
              <w:rPr>
                <w:rStyle w:val="IndexLink"/>
                <w:rtl w:val="true"/>
              </w:rPr>
              <w:t>رأی الفاضل الجواد</w:t>
            </w:r>
            <w:r>
              <w:rPr>
                <w:rStyle w:val="IndexLink"/>
                <w:rtl w:val="true"/>
              </w:rPr>
              <w:tab/>
            </w:r>
            <w:r>
              <w:rPr>
                <w:rStyle w:val="IndexLink"/>
              </w:rPr>
              <w:t>200</w:t>
            </w:r>
          </w:hyperlink>
        </w:p>
        <w:p>
          <w:pPr>
            <w:pStyle w:val="Contents6"/>
            <w:tabs>
              <w:tab w:val="clear" w:pos="7609"/>
              <w:tab w:val="right" w:pos="9026" w:leader="dot"/>
            </w:tabs>
            <w:rPr/>
          </w:pPr>
          <w:hyperlink w:anchor="__RefHeading___Toc2158576_581953129">
            <w:r>
              <w:rPr>
                <w:webHidden/>
                <w:rStyle w:val="IndexLink"/>
                <w:rtl w:val="true"/>
              </w:rPr>
              <w:t xml:space="preserve">- </w:t>
            </w:r>
            <w:r>
              <w:rPr>
                <w:rStyle w:val="IndexLink"/>
                <w:rtl w:val="true"/>
              </w:rPr>
              <w:t>رأی المحقق الأردبیلی</w:t>
            </w:r>
            <w:r>
              <w:rPr>
                <w:rStyle w:val="IndexLink"/>
                <w:rtl w:val="true"/>
              </w:rPr>
              <w:tab/>
            </w:r>
            <w:r>
              <w:rPr>
                <w:rStyle w:val="IndexLink"/>
              </w:rPr>
              <w:t>201</w:t>
            </w:r>
          </w:hyperlink>
        </w:p>
        <w:p>
          <w:pPr>
            <w:pStyle w:val="Contents5"/>
            <w:tabs>
              <w:tab w:val="clear" w:pos="7892"/>
              <w:tab w:val="right" w:pos="9026" w:leader="dot"/>
            </w:tabs>
            <w:rPr/>
          </w:pPr>
          <w:hyperlink w:anchor="__RefHeading___Toc2158578_581953129">
            <w:r>
              <w:rPr>
                <w:webHidden/>
                <w:rStyle w:val="IndexLink"/>
                <w:rtl w:val="true"/>
              </w:rPr>
              <w:t>دراسة نظریة أهل السنة حول خمس المعادن</w:t>
            </w:r>
            <w:r>
              <w:rPr>
                <w:rStyle w:val="IndexLink"/>
                <w:rtl w:val="true"/>
              </w:rPr>
              <w:tab/>
            </w:r>
            <w:r>
              <w:rPr>
                <w:rStyle w:val="IndexLink"/>
              </w:rPr>
              <w:t>202</w:t>
            </w:r>
          </w:hyperlink>
        </w:p>
        <w:p>
          <w:pPr>
            <w:pStyle w:val="Contents6"/>
            <w:tabs>
              <w:tab w:val="clear" w:pos="7609"/>
              <w:tab w:val="right" w:pos="9026" w:leader="dot"/>
            </w:tabs>
            <w:rPr/>
          </w:pPr>
          <w:hyperlink w:anchor="__RefHeading___Toc2158580_581953129">
            <w:r>
              <w:rPr>
                <w:webHidden/>
                <w:rStyle w:val="IndexLink"/>
                <w:rtl w:val="true"/>
              </w:rPr>
              <w:t>اشارة</w:t>
            </w:r>
            <w:r>
              <w:rPr>
                <w:rStyle w:val="IndexLink"/>
                <w:rtl w:val="true"/>
              </w:rPr>
              <w:tab/>
            </w:r>
            <w:r>
              <w:rPr>
                <w:rStyle w:val="IndexLink"/>
              </w:rPr>
              <w:t>202</w:t>
            </w:r>
          </w:hyperlink>
        </w:p>
        <w:p>
          <w:pPr>
            <w:pStyle w:val="Contents6"/>
            <w:tabs>
              <w:tab w:val="clear" w:pos="7609"/>
              <w:tab w:val="right" w:pos="9026" w:leader="dot"/>
            </w:tabs>
            <w:rPr/>
          </w:pPr>
          <w:hyperlink w:anchor="__RefHeading___Toc2158582_581953129">
            <w:r>
              <w:rPr>
                <w:webHidden/>
                <w:rStyle w:val="IndexLink"/>
                <w:rtl w:val="true"/>
              </w:rPr>
              <w:t>استنتاج</w:t>
            </w:r>
            <w:r>
              <w:rPr>
                <w:rStyle w:val="IndexLink"/>
                <w:rtl w:val="true"/>
              </w:rPr>
              <w:t>:</w:t>
              <w:tab/>
            </w:r>
            <w:r>
              <w:rPr>
                <w:rStyle w:val="IndexLink"/>
              </w:rPr>
              <w:t>202</w:t>
            </w:r>
          </w:hyperlink>
        </w:p>
        <w:p>
          <w:pPr>
            <w:pStyle w:val="Contents6"/>
            <w:tabs>
              <w:tab w:val="clear" w:pos="7609"/>
              <w:tab w:val="right" w:pos="9026" w:leader="dot"/>
            </w:tabs>
            <w:rPr/>
          </w:pPr>
          <w:hyperlink w:anchor="__RefHeading___Toc2158584_581953129">
            <w:r>
              <w:rPr>
                <w:webHidden/>
                <w:rStyle w:val="IndexLink"/>
                <w:rtl w:val="true"/>
              </w:rPr>
              <w:t>احتمالات خمسة</w:t>
            </w:r>
            <w:r>
              <w:rPr>
                <w:rStyle w:val="IndexLink"/>
                <w:rtl w:val="true"/>
              </w:rPr>
              <w:t>:</w:t>
              <w:tab/>
            </w:r>
            <w:r>
              <w:rPr>
                <w:rStyle w:val="IndexLink"/>
              </w:rPr>
              <w:t>203</w:t>
            </w:r>
          </w:hyperlink>
        </w:p>
        <w:p>
          <w:pPr>
            <w:pStyle w:val="Contents5"/>
            <w:tabs>
              <w:tab w:val="clear" w:pos="7892"/>
              <w:tab w:val="right" w:pos="9026" w:leader="dot"/>
            </w:tabs>
            <w:rPr/>
          </w:pPr>
          <w:hyperlink w:anchor="__RefHeading___Toc2158586_581953129">
            <w:r>
              <w:rPr>
                <w:webHidden/>
                <w:rStyle w:val="IndexLink"/>
                <w:rtl w:val="true"/>
              </w:rPr>
              <w:t>دراسة احتمال الاستحباب</w:t>
            </w:r>
            <w:r>
              <w:rPr>
                <w:rStyle w:val="IndexLink"/>
                <w:rtl w:val="true"/>
              </w:rPr>
              <w:t>:</w:t>
              <w:tab/>
            </w:r>
            <w:r>
              <w:rPr>
                <w:rStyle w:val="IndexLink"/>
              </w:rPr>
              <w:t>204</w:t>
            </w:r>
          </w:hyperlink>
        </w:p>
        <w:p>
          <w:pPr>
            <w:pStyle w:val="Contents5"/>
            <w:tabs>
              <w:tab w:val="clear" w:pos="7892"/>
              <w:tab w:val="right" w:pos="9026" w:leader="dot"/>
            </w:tabs>
            <w:rPr/>
          </w:pPr>
          <w:hyperlink w:anchor="__RefHeading___Toc2158588_581953129">
            <w:r>
              <w:rPr>
                <w:webHidden/>
                <w:rStyle w:val="IndexLink"/>
                <w:rtl w:val="true"/>
              </w:rPr>
              <w:t>رأی الاسترآبادی</w:t>
            </w:r>
            <w:r>
              <w:rPr>
                <w:rStyle w:val="IndexLink"/>
                <w:rtl w:val="true"/>
              </w:rPr>
              <w:t>:</w:t>
              <w:tab/>
            </w:r>
            <w:r>
              <w:rPr>
                <w:rStyle w:val="IndexLink"/>
              </w:rPr>
              <w:t>208</w:t>
            </w:r>
          </w:hyperlink>
        </w:p>
        <w:p>
          <w:pPr>
            <w:pStyle w:val="Contents5"/>
            <w:tabs>
              <w:tab w:val="clear" w:pos="7892"/>
              <w:tab w:val="right" w:pos="9026" w:leader="dot"/>
            </w:tabs>
            <w:rPr/>
          </w:pPr>
          <w:hyperlink w:anchor="__RefHeading___Toc2158590_581953129">
            <w:r>
              <w:rPr>
                <w:webHidden/>
                <w:rStyle w:val="IndexLink"/>
                <w:rtl w:val="true"/>
              </w:rPr>
              <w:t>دراسة إحدی النظریات</w:t>
            </w:r>
            <w:r>
              <w:rPr>
                <w:rStyle w:val="IndexLink"/>
                <w:rtl w:val="true"/>
              </w:rPr>
              <w:t>:</w:t>
              <w:tab/>
            </w:r>
            <w:r>
              <w:rPr>
                <w:rStyle w:val="IndexLink"/>
              </w:rPr>
              <w:t>208</w:t>
            </w:r>
          </w:hyperlink>
        </w:p>
        <w:p>
          <w:pPr>
            <w:pStyle w:val="Contents5"/>
            <w:tabs>
              <w:tab w:val="clear" w:pos="7892"/>
              <w:tab w:val="right" w:pos="9026" w:leader="dot"/>
            </w:tabs>
            <w:rPr/>
          </w:pPr>
          <w:hyperlink w:anchor="__RefHeading___Toc2158592_581953129">
            <w:r>
              <w:rPr>
                <w:webHidden/>
                <w:rStyle w:val="IndexLink"/>
                <w:rtl w:val="true"/>
              </w:rPr>
              <w:t>رأی القرطبی</w:t>
            </w:r>
            <w:r>
              <w:rPr>
                <w:rStyle w:val="IndexLink"/>
                <w:rtl w:val="true"/>
              </w:rPr>
              <w:t>:</w:t>
              <w:tab/>
            </w:r>
            <w:r>
              <w:rPr>
                <w:rStyle w:val="IndexLink"/>
              </w:rPr>
              <w:t>210</w:t>
            </w:r>
          </w:hyperlink>
        </w:p>
        <w:p>
          <w:pPr>
            <w:pStyle w:val="Contents2"/>
            <w:tabs>
              <w:tab w:val="clear" w:pos="8743"/>
              <w:tab w:val="right" w:pos="9026" w:leader="dot"/>
            </w:tabs>
            <w:rPr/>
          </w:pPr>
          <w:hyperlink w:anchor="__RefHeading___Toc2158594_581953129">
            <w:r>
              <w:rPr>
                <w:webHidden/>
                <w:rStyle w:val="IndexLink"/>
                <w:rtl w:val="true"/>
              </w:rPr>
              <w:t>آیتا الخمس الثالثة والرابعة</w:t>
            </w:r>
            <w:r>
              <w:rPr>
                <w:rStyle w:val="IndexLink"/>
                <w:rtl w:val="true"/>
              </w:rPr>
              <w:tab/>
            </w:r>
            <w:r>
              <w:rPr>
                <w:rStyle w:val="IndexLink"/>
              </w:rPr>
              <w:t>212</w:t>
            </w:r>
          </w:hyperlink>
        </w:p>
        <w:p>
          <w:pPr>
            <w:pStyle w:val="Contents3"/>
            <w:tabs>
              <w:tab w:val="clear" w:pos="8459"/>
              <w:tab w:val="right" w:pos="9026" w:leader="dot"/>
            </w:tabs>
            <w:rPr/>
          </w:pPr>
          <w:hyperlink w:anchor="__RefHeading___Toc2158596_581953129">
            <w:r>
              <w:rPr>
                <w:webHidden/>
                <w:rStyle w:val="IndexLink"/>
                <w:rtl w:val="true"/>
              </w:rPr>
              <w:t>اشارة</w:t>
            </w:r>
            <w:r>
              <w:rPr>
                <w:rStyle w:val="IndexLink"/>
                <w:rtl w:val="true"/>
              </w:rPr>
              <w:tab/>
            </w:r>
            <w:r>
              <w:rPr>
                <w:rStyle w:val="IndexLink"/>
              </w:rPr>
              <w:t>212</w:t>
            </w:r>
          </w:hyperlink>
        </w:p>
        <w:p>
          <w:pPr>
            <w:pStyle w:val="Contents3"/>
            <w:tabs>
              <w:tab w:val="clear" w:pos="8459"/>
              <w:tab w:val="right" w:pos="9026" w:leader="dot"/>
            </w:tabs>
            <w:rPr/>
          </w:pPr>
          <w:hyperlink w:anchor="__RefHeading___Toc2158598_581953129">
            <w:r>
              <w:rPr>
                <w:webHidden/>
                <w:rStyle w:val="IndexLink"/>
                <w:rtl w:val="true"/>
              </w:rPr>
              <w:t xml:space="preserve">- </w:t>
            </w:r>
            <w:r>
              <w:rPr>
                <w:rStyle w:val="IndexLink"/>
                <w:rtl w:val="true"/>
              </w:rPr>
              <w:t>دراسة ألفاظ الآیة الشریفة</w:t>
            </w:r>
            <w:r>
              <w:rPr>
                <w:rStyle w:val="IndexLink"/>
                <w:rtl w:val="true"/>
              </w:rPr>
              <w:t>:</w:t>
              <w:tab/>
            </w:r>
            <w:r>
              <w:rPr>
                <w:rStyle w:val="IndexLink"/>
              </w:rPr>
              <w:t>212</w:t>
            </w:r>
          </w:hyperlink>
        </w:p>
        <w:p>
          <w:pPr>
            <w:pStyle w:val="Contents3"/>
            <w:tabs>
              <w:tab w:val="clear" w:pos="8459"/>
              <w:tab w:val="right" w:pos="9026" w:leader="dot"/>
            </w:tabs>
            <w:rPr/>
          </w:pPr>
          <w:hyperlink w:anchor="__RefHeading___Toc2158600_581953129">
            <w:r>
              <w:rPr>
                <w:webHidden/>
                <w:rStyle w:val="IndexLink"/>
                <w:rtl w:val="true"/>
              </w:rPr>
              <w:t>کیفیة العلاقة بین الآیة الأولی والآیة الثانیة</w:t>
            </w:r>
            <w:r>
              <w:rPr>
                <w:rStyle w:val="IndexLink"/>
                <w:rtl w:val="true"/>
              </w:rPr>
              <w:tab/>
            </w:r>
            <w:r>
              <w:rPr>
                <w:rStyle w:val="IndexLink"/>
              </w:rPr>
              <w:t>215</w:t>
            </w:r>
          </w:hyperlink>
        </w:p>
        <w:p>
          <w:pPr>
            <w:pStyle w:val="Contents3"/>
            <w:tabs>
              <w:tab w:val="clear" w:pos="8459"/>
              <w:tab w:val="right" w:pos="9026" w:leader="dot"/>
            </w:tabs>
            <w:rPr/>
          </w:pPr>
          <w:hyperlink w:anchor="__RefHeading___Toc2158602_581953129">
            <w:r>
              <w:rPr>
                <w:webHidden/>
                <w:rStyle w:val="IndexLink"/>
                <w:rtl w:val="true"/>
              </w:rPr>
              <w:t>هل الآیة الثانیة مفسرة للأولی ؟</w:t>
            </w:r>
            <w:r>
              <w:rPr>
                <w:rStyle w:val="IndexLink"/>
                <w:rtl w:val="true"/>
              </w:rPr>
              <w:tab/>
            </w:r>
            <w:r>
              <w:rPr>
                <w:rStyle w:val="IndexLink"/>
              </w:rPr>
              <w:t>215</w:t>
            </w:r>
          </w:hyperlink>
        </w:p>
        <w:p>
          <w:pPr>
            <w:pStyle w:val="Contents4"/>
            <w:tabs>
              <w:tab w:val="clear" w:pos="8176"/>
              <w:tab w:val="right" w:pos="9026" w:leader="dot"/>
            </w:tabs>
            <w:rPr/>
          </w:pPr>
          <w:hyperlink w:anchor="__RefHeading___Toc2158604_581953129">
            <w:r>
              <w:rPr>
                <w:webHidden/>
                <w:rStyle w:val="IndexLink"/>
                <w:rtl w:val="true"/>
              </w:rPr>
              <w:t>اشارة</w:t>
            </w:r>
            <w:r>
              <w:rPr>
                <w:rStyle w:val="IndexLink"/>
                <w:rtl w:val="true"/>
              </w:rPr>
              <w:tab/>
            </w:r>
            <w:r>
              <w:rPr>
                <w:rStyle w:val="IndexLink"/>
              </w:rPr>
              <w:t>215</w:t>
            </w:r>
          </w:hyperlink>
        </w:p>
        <w:p>
          <w:pPr>
            <w:pStyle w:val="Contents4"/>
            <w:tabs>
              <w:tab w:val="clear" w:pos="8176"/>
              <w:tab w:val="right" w:pos="9026" w:leader="dot"/>
            </w:tabs>
            <w:rPr/>
          </w:pPr>
          <w:hyperlink w:anchor="__RefHeading___Toc2158606_581953129">
            <w:r>
              <w:rPr>
                <w:webHidden/>
                <w:rStyle w:val="IndexLink"/>
                <w:rtl w:val="true"/>
              </w:rPr>
              <w:t>کلام الزمخشری</w:t>
            </w:r>
            <w:r>
              <w:rPr>
                <w:rStyle w:val="IndexLink"/>
                <w:rtl w:val="true"/>
              </w:rPr>
              <w:t>:</w:t>
              <w:tab/>
            </w:r>
            <w:r>
              <w:rPr>
                <w:rStyle w:val="IndexLink"/>
              </w:rPr>
              <w:t>215</w:t>
            </w:r>
          </w:hyperlink>
        </w:p>
        <w:p>
          <w:pPr>
            <w:pStyle w:val="Contents4"/>
            <w:tabs>
              <w:tab w:val="clear" w:pos="8176"/>
              <w:tab w:val="right" w:pos="9026" w:leader="dot"/>
            </w:tabs>
            <w:rPr/>
          </w:pPr>
          <w:hyperlink w:anchor="__RefHeading___Toc2158608_581953129">
            <w:r>
              <w:rPr>
                <w:webHidden/>
                <w:rStyle w:val="IndexLink"/>
                <w:rtl w:val="true"/>
              </w:rPr>
              <w:t>کلام العلاّمة الطباطبائی</w:t>
            </w:r>
            <w:r>
              <w:rPr>
                <w:rStyle w:val="IndexLink"/>
                <w:rtl w:val="true"/>
              </w:rPr>
              <w:t>:</w:t>
              <w:tab/>
            </w:r>
            <w:r>
              <w:rPr>
                <w:rStyle w:val="IndexLink"/>
              </w:rPr>
              <w:t>215</w:t>
            </w:r>
          </w:hyperlink>
        </w:p>
        <w:p>
          <w:pPr>
            <w:pStyle w:val="Contents5"/>
            <w:tabs>
              <w:tab w:val="clear" w:pos="7892"/>
              <w:tab w:val="right" w:pos="9026" w:leader="dot"/>
            </w:tabs>
            <w:rPr/>
          </w:pPr>
          <w:hyperlink w:anchor="__RefHeading___Toc2158610_581953129">
            <w:r>
              <w:rPr>
                <w:webHidden/>
                <w:rStyle w:val="IndexLink"/>
                <w:rtl w:val="true"/>
              </w:rPr>
              <w:t>اشارة</w:t>
            </w:r>
            <w:r>
              <w:rPr>
                <w:rStyle w:val="IndexLink"/>
                <w:rtl w:val="true"/>
              </w:rPr>
              <w:tab/>
            </w:r>
            <w:r>
              <w:rPr>
                <w:rStyle w:val="IndexLink"/>
              </w:rPr>
              <w:t>215</w:t>
            </w:r>
          </w:hyperlink>
        </w:p>
        <w:p>
          <w:pPr>
            <w:pStyle w:val="Contents5"/>
            <w:tabs>
              <w:tab w:val="clear" w:pos="7892"/>
              <w:tab w:val="right" w:pos="9026" w:leader="dot"/>
            </w:tabs>
            <w:rPr/>
          </w:pPr>
          <w:hyperlink w:anchor="__RefHeading___Toc2158612_581953129">
            <w:r>
              <w:rPr>
                <w:webHidden/>
                <w:rStyle w:val="IndexLink"/>
                <w:rtl w:val="true"/>
              </w:rPr>
              <w:t>الإشکال فی کلام العلاّمة الطباطبائی</w:t>
            </w:r>
            <w:r>
              <w:rPr>
                <w:rStyle w:val="IndexLink"/>
                <w:rtl w:val="true"/>
              </w:rPr>
              <w:t>:</w:t>
              <w:tab/>
            </w:r>
            <w:r>
              <w:rPr>
                <w:rStyle w:val="IndexLink"/>
              </w:rPr>
              <w:t>216</w:t>
            </w:r>
          </w:hyperlink>
        </w:p>
        <w:p>
          <w:pPr>
            <w:pStyle w:val="Contents4"/>
            <w:tabs>
              <w:tab w:val="clear" w:pos="8176"/>
              <w:tab w:val="right" w:pos="9026" w:leader="dot"/>
            </w:tabs>
            <w:rPr/>
          </w:pPr>
          <w:hyperlink w:anchor="__RefHeading___Toc2158614_581953129">
            <w:r>
              <w:rPr>
                <w:webHidden/>
                <w:rStyle w:val="IndexLink"/>
                <w:rtl w:val="true"/>
              </w:rPr>
              <w:t xml:space="preserve">کلام الوالد </w:t>
            </w:r>
            <w:r>
              <w:rPr>
                <w:rStyle w:val="IndexLink"/>
                <w:rtl w:val="true"/>
              </w:rPr>
              <w:t>(</w:t>
            </w:r>
            <w:r>
              <w:rPr>
                <w:rStyle w:val="IndexLink"/>
                <w:rtl w:val="true"/>
              </w:rPr>
              <w:t>رضوان الله تعالی علیه</w:t>
            </w:r>
            <w:r>
              <w:rPr>
                <w:rStyle w:val="IndexLink"/>
                <w:rtl w:val="true"/>
              </w:rPr>
              <w:t>):</w:t>
              <w:tab/>
            </w:r>
            <w:r>
              <w:rPr>
                <w:rStyle w:val="IndexLink"/>
              </w:rPr>
              <w:t>216</w:t>
            </w:r>
          </w:hyperlink>
        </w:p>
        <w:p>
          <w:pPr>
            <w:pStyle w:val="Contents4"/>
            <w:tabs>
              <w:tab w:val="clear" w:pos="8176"/>
              <w:tab w:val="right" w:pos="9026" w:leader="dot"/>
            </w:tabs>
            <w:rPr/>
          </w:pPr>
          <w:hyperlink w:anchor="__RefHeading___Toc2158616_581953129">
            <w:r>
              <w:rPr>
                <w:webHidden/>
                <w:rStyle w:val="IndexLink"/>
                <w:rtl w:val="true"/>
              </w:rPr>
              <w:t>کلام الشیخ الطوسی</w:t>
            </w:r>
            <w:r>
              <w:rPr>
                <w:rStyle w:val="IndexLink"/>
                <w:rtl w:val="true"/>
              </w:rPr>
              <w:t>:</w:t>
              <w:tab/>
            </w:r>
            <w:r>
              <w:rPr>
                <w:rStyle w:val="IndexLink"/>
              </w:rPr>
              <w:t>217</w:t>
            </w:r>
          </w:hyperlink>
        </w:p>
        <w:p>
          <w:pPr>
            <w:pStyle w:val="Contents4"/>
            <w:tabs>
              <w:tab w:val="clear" w:pos="8176"/>
              <w:tab w:val="right" w:pos="9026" w:leader="dot"/>
            </w:tabs>
            <w:rPr/>
          </w:pPr>
          <w:hyperlink w:anchor="__RefHeading___Toc2158618_581953129">
            <w:r>
              <w:rPr>
                <w:webHidden/>
                <w:rStyle w:val="IndexLink"/>
                <w:rtl w:val="true"/>
              </w:rPr>
              <w:t>کلام المحقق الأردبیلی</w:t>
            </w:r>
            <w:r>
              <w:rPr>
                <w:rStyle w:val="IndexLink"/>
                <w:rtl w:val="true"/>
              </w:rPr>
              <w:t>:</w:t>
              <w:tab/>
            </w:r>
            <w:r>
              <w:rPr>
                <w:rStyle w:val="IndexLink"/>
              </w:rPr>
              <w:t>217</w:t>
            </w:r>
          </w:hyperlink>
        </w:p>
        <w:p>
          <w:pPr>
            <w:pStyle w:val="Contents4"/>
            <w:tabs>
              <w:tab w:val="clear" w:pos="8176"/>
              <w:tab w:val="right" w:pos="9026" w:leader="dot"/>
            </w:tabs>
            <w:rPr/>
          </w:pPr>
          <w:hyperlink w:anchor="__RefHeading___Toc2158620_581953129">
            <w:r>
              <w:rPr>
                <w:webHidden/>
                <w:rStyle w:val="IndexLink"/>
                <w:rtl w:val="true"/>
              </w:rPr>
              <w:t>ما ذکره المحقق الخوئی</w:t>
            </w:r>
            <w:r>
              <w:rPr>
                <w:rStyle w:val="IndexLink"/>
                <w:rtl w:val="true"/>
              </w:rPr>
              <w:t>:</w:t>
              <w:tab/>
            </w:r>
            <w:r>
              <w:rPr>
                <w:rStyle w:val="IndexLink"/>
              </w:rPr>
              <w:t>219</w:t>
            </w:r>
          </w:hyperlink>
        </w:p>
        <w:p>
          <w:pPr>
            <w:pStyle w:val="Contents4"/>
            <w:tabs>
              <w:tab w:val="clear" w:pos="8176"/>
              <w:tab w:val="right" w:pos="9026" w:leader="dot"/>
            </w:tabs>
            <w:rPr/>
          </w:pPr>
          <w:hyperlink w:anchor="__RefHeading___Toc2158622_581953129">
            <w:r>
              <w:rPr>
                <w:webHidden/>
                <w:rStyle w:val="IndexLink"/>
                <w:rtl w:val="true"/>
              </w:rPr>
              <w:t>وإن شواهد السید الخوئی علی ذلک عبارة عن</w:t>
            </w:r>
            <w:r>
              <w:rPr>
                <w:rStyle w:val="IndexLink"/>
                <w:rtl w:val="true"/>
              </w:rPr>
              <w:t>:</w:t>
              <w:tab/>
            </w:r>
            <w:r>
              <w:rPr>
                <w:rStyle w:val="IndexLink"/>
              </w:rPr>
              <w:t>220</w:t>
            </w:r>
          </w:hyperlink>
        </w:p>
        <w:p>
          <w:pPr>
            <w:pStyle w:val="Contents4"/>
            <w:tabs>
              <w:tab w:val="clear" w:pos="8176"/>
              <w:tab w:val="right" w:pos="9026" w:leader="dot"/>
            </w:tabs>
            <w:rPr/>
          </w:pPr>
          <w:hyperlink w:anchor="__RefHeading___Toc2158624_581953129">
            <w:r>
              <w:rPr>
                <w:webHidden/>
                <w:rStyle w:val="IndexLink"/>
                <w:rtl w:val="true"/>
              </w:rPr>
              <w:t xml:space="preserve">صحیحة محمد بن مسلم عن أبی جعفر </w:t>
            </w:r>
            <w:r>
              <w:rPr>
                <w:rStyle w:val="IndexLink"/>
                <w:rtl w:val="true"/>
              </w:rPr>
              <w:t>(</w:t>
            </w:r>
            <w:r>
              <w:rPr>
                <w:rStyle w:val="IndexLink"/>
                <w:rtl w:val="true"/>
              </w:rPr>
              <w:t>علیه السلام</w:t>
            </w:r>
            <w:r>
              <w:rPr>
                <w:rStyle w:val="IndexLink"/>
                <w:rtl w:val="true"/>
              </w:rPr>
              <w:t>).</w:t>
              <w:tab/>
            </w:r>
            <w:r>
              <w:rPr>
                <w:rStyle w:val="IndexLink"/>
              </w:rPr>
              <w:t>221</w:t>
            </w:r>
          </w:hyperlink>
        </w:p>
        <w:p>
          <w:pPr>
            <w:pStyle w:val="Contents4"/>
            <w:tabs>
              <w:tab w:val="clear" w:pos="8176"/>
              <w:tab w:val="right" w:pos="9026" w:leader="dot"/>
            </w:tabs>
            <w:rPr/>
          </w:pPr>
          <w:hyperlink w:anchor="__RefHeading___Toc2158626_581953129">
            <w:r>
              <w:rPr>
                <w:webHidden/>
                <w:rStyle w:val="IndexLink"/>
                <w:rtl w:val="true"/>
              </w:rPr>
              <w:t>ما ذکره الوالد المعظم والمحقق</w:t>
            </w:r>
            <w:r>
              <w:rPr>
                <w:rStyle w:val="IndexLink"/>
                <w:rtl w:val="true"/>
              </w:rPr>
              <w:t>:</w:t>
              <w:tab/>
            </w:r>
            <w:r>
              <w:rPr>
                <w:rStyle w:val="IndexLink"/>
              </w:rPr>
              <w:t>222</w:t>
            </w:r>
          </w:hyperlink>
        </w:p>
        <w:p>
          <w:pPr>
            <w:pStyle w:val="Contents5"/>
            <w:tabs>
              <w:tab w:val="clear" w:pos="7892"/>
              <w:tab w:val="right" w:pos="9026" w:leader="dot"/>
            </w:tabs>
            <w:rPr/>
          </w:pPr>
          <w:hyperlink w:anchor="__RefHeading___Toc2158628_581953129">
            <w:r>
              <w:rPr>
                <w:webHidden/>
                <w:rStyle w:val="IndexLink"/>
                <w:rtl w:val="true"/>
              </w:rPr>
              <w:t>اشارة</w:t>
            </w:r>
            <w:r>
              <w:rPr>
                <w:rStyle w:val="IndexLink"/>
                <w:rtl w:val="true"/>
              </w:rPr>
              <w:tab/>
            </w:r>
            <w:r>
              <w:rPr>
                <w:rStyle w:val="IndexLink"/>
              </w:rPr>
              <w:t>222</w:t>
            </w:r>
          </w:hyperlink>
        </w:p>
        <w:p>
          <w:pPr>
            <w:pStyle w:val="Contents5"/>
            <w:tabs>
              <w:tab w:val="clear" w:pos="7892"/>
              <w:tab w:val="right" w:pos="9026" w:leader="dot"/>
            </w:tabs>
            <w:rPr/>
          </w:pPr>
          <w:hyperlink w:anchor="__RefHeading___Toc2158630_581953129">
            <w:r>
              <w:rPr>
                <w:webHidden/>
                <w:rStyle w:val="IndexLink"/>
                <w:rtl w:val="true"/>
              </w:rPr>
              <w:t>خمسة إشکالات علی المحقق الخوئی</w:t>
            </w:r>
            <w:r>
              <w:rPr>
                <w:rStyle w:val="IndexLink"/>
                <w:rtl w:val="true"/>
              </w:rPr>
              <w:t>:</w:t>
              <w:tab/>
            </w:r>
            <w:r>
              <w:rPr>
                <w:rStyle w:val="IndexLink"/>
              </w:rPr>
              <w:t>223</w:t>
            </w:r>
          </w:hyperlink>
        </w:p>
        <w:p>
          <w:pPr>
            <w:pStyle w:val="Contents4"/>
            <w:tabs>
              <w:tab w:val="clear" w:pos="8176"/>
              <w:tab w:val="right" w:pos="9026" w:leader="dot"/>
            </w:tabs>
            <w:rPr/>
          </w:pPr>
          <w:hyperlink w:anchor="__RefHeading___Toc2158632_581953129">
            <w:r>
              <w:rPr>
                <w:webHidden/>
                <w:rStyle w:val="IndexLink"/>
                <w:rtl w:val="true"/>
              </w:rPr>
              <w:t>الشاهد علی وحدة الموضوع فی الآیتین الکریمتین</w:t>
            </w:r>
            <w:r>
              <w:rPr>
                <w:rStyle w:val="IndexLink"/>
                <w:rtl w:val="true"/>
              </w:rPr>
              <w:t>:</w:t>
              <w:tab/>
            </w:r>
            <w:r>
              <w:rPr>
                <w:rStyle w:val="IndexLink"/>
              </w:rPr>
              <w:t>226</w:t>
            </w:r>
          </w:hyperlink>
        </w:p>
        <w:p>
          <w:pPr>
            <w:pStyle w:val="Contents4"/>
            <w:tabs>
              <w:tab w:val="clear" w:pos="8176"/>
              <w:tab w:val="right" w:pos="9026" w:leader="dot"/>
            </w:tabs>
            <w:rPr/>
          </w:pPr>
          <w:hyperlink w:anchor="__RefHeading___Toc2158634_581953129">
            <w:r>
              <w:rPr>
                <w:webHidden/>
                <w:rStyle w:val="IndexLink"/>
                <w:rtl w:val="true"/>
              </w:rPr>
              <w:t>خلاصة الإشکالات فی التمسک بروایة محمد بن مسلم</w:t>
            </w:r>
            <w:r>
              <w:rPr>
                <w:rStyle w:val="IndexLink"/>
                <w:rtl w:val="true"/>
              </w:rPr>
              <w:t>:</w:t>
              <w:tab/>
            </w:r>
            <w:r>
              <w:rPr>
                <w:rStyle w:val="IndexLink"/>
              </w:rPr>
              <w:t>226</w:t>
            </w:r>
          </w:hyperlink>
        </w:p>
        <w:p>
          <w:pPr>
            <w:pStyle w:val="Contents5"/>
            <w:tabs>
              <w:tab w:val="clear" w:pos="7892"/>
              <w:tab w:val="right" w:pos="9026" w:leader="dot"/>
            </w:tabs>
            <w:rPr/>
          </w:pPr>
          <w:hyperlink w:anchor="__RefHeading___Toc2158636_581953129">
            <w:r>
              <w:rPr>
                <w:webHidden/>
                <w:rStyle w:val="IndexLink"/>
                <w:rtl w:val="true"/>
              </w:rPr>
              <w:t>اشارة</w:t>
            </w:r>
            <w:r>
              <w:rPr>
                <w:rStyle w:val="IndexLink"/>
                <w:rtl w:val="true"/>
              </w:rPr>
              <w:tab/>
            </w:r>
            <w:r>
              <w:rPr>
                <w:rStyle w:val="IndexLink"/>
              </w:rPr>
              <w:t>226</w:t>
            </w:r>
          </w:hyperlink>
        </w:p>
        <w:p>
          <w:pPr>
            <w:pStyle w:val="Contents5"/>
            <w:tabs>
              <w:tab w:val="clear" w:pos="7892"/>
              <w:tab w:val="right" w:pos="9026" w:leader="dot"/>
            </w:tabs>
            <w:rPr/>
          </w:pPr>
          <w:hyperlink w:anchor="__RefHeading___Toc2158638_581953129">
            <w:r>
              <w:rPr>
                <w:webHidden/>
                <w:rStyle w:val="IndexLink"/>
                <w:rtl w:val="true"/>
              </w:rPr>
              <w:t>النتیجة والرأی المختار</w:t>
            </w:r>
            <w:r>
              <w:rPr>
                <w:rStyle w:val="IndexLink"/>
                <w:rtl w:val="true"/>
              </w:rPr>
              <w:t>:</w:t>
              <w:tab/>
            </w:r>
            <w:r>
              <w:rPr>
                <w:rStyle w:val="IndexLink"/>
              </w:rPr>
              <w:t>227</w:t>
            </w:r>
          </w:hyperlink>
        </w:p>
        <w:p>
          <w:pPr>
            <w:pStyle w:val="Contents4"/>
            <w:tabs>
              <w:tab w:val="clear" w:pos="8176"/>
              <w:tab w:val="right" w:pos="9026" w:leader="dot"/>
            </w:tabs>
            <w:rPr/>
          </w:pPr>
          <w:hyperlink w:anchor="__RefHeading___Toc2158640_581953129">
            <w:r>
              <w:rPr>
                <w:webHidden/>
                <w:rStyle w:val="IndexLink"/>
                <w:rtl w:val="true"/>
              </w:rPr>
              <w:t>دراسة روایة</w:t>
            </w:r>
            <w:r>
              <w:rPr>
                <w:rStyle w:val="IndexLink"/>
                <w:rtl w:val="true"/>
              </w:rPr>
              <w:t>:</w:t>
              <w:tab/>
            </w:r>
            <w:r>
              <w:rPr>
                <w:rStyle w:val="IndexLink"/>
              </w:rPr>
              <w:t>228</w:t>
            </w:r>
          </w:hyperlink>
        </w:p>
        <w:p>
          <w:pPr>
            <w:pStyle w:val="Contents5"/>
            <w:tabs>
              <w:tab w:val="clear" w:pos="7892"/>
              <w:tab w:val="right" w:pos="9026" w:leader="dot"/>
            </w:tabs>
            <w:rPr/>
          </w:pPr>
          <w:hyperlink w:anchor="__RefHeading___Toc2158642_581953129">
            <w:r>
              <w:rPr>
                <w:webHidden/>
                <w:rStyle w:val="IndexLink"/>
                <w:rtl w:val="true"/>
              </w:rPr>
              <w:t>اشارة</w:t>
            </w:r>
            <w:r>
              <w:rPr>
                <w:rStyle w:val="IndexLink"/>
                <w:rtl w:val="true"/>
              </w:rPr>
              <w:tab/>
            </w:r>
            <w:r>
              <w:rPr>
                <w:rStyle w:val="IndexLink"/>
              </w:rPr>
              <w:t>228</w:t>
            </w:r>
          </w:hyperlink>
        </w:p>
        <w:p>
          <w:pPr>
            <w:pStyle w:val="Contents5"/>
            <w:tabs>
              <w:tab w:val="clear" w:pos="7892"/>
              <w:tab w:val="right" w:pos="9026" w:leader="dot"/>
            </w:tabs>
            <w:rPr/>
          </w:pPr>
          <w:hyperlink w:anchor="__RefHeading___Toc2158644_581953129">
            <w:r>
              <w:rPr>
                <w:webHidden/>
                <w:rStyle w:val="IndexLink"/>
                <w:rtl w:val="true"/>
              </w:rPr>
              <w:t>شاهد المطلب فی تتمة الروایة</w:t>
            </w:r>
            <w:r>
              <w:rPr>
                <w:rStyle w:val="IndexLink"/>
                <w:rtl w:val="true"/>
              </w:rPr>
              <w:t>:</w:t>
              <w:tab/>
            </w:r>
            <w:r>
              <w:rPr>
                <w:rStyle w:val="IndexLink"/>
              </w:rPr>
              <w:t>230</w:t>
            </w:r>
          </w:hyperlink>
        </w:p>
        <w:p>
          <w:pPr>
            <w:pStyle w:val="Contents4"/>
            <w:tabs>
              <w:tab w:val="clear" w:pos="8176"/>
              <w:tab w:val="right" w:pos="9026" w:leader="dot"/>
            </w:tabs>
            <w:rPr/>
          </w:pPr>
          <w:hyperlink w:anchor="__RefHeading___Toc2158646_581953129">
            <w:r>
              <w:rPr>
                <w:webHidden/>
                <w:rStyle w:val="IndexLink"/>
                <w:rtl w:val="true"/>
              </w:rPr>
              <w:t xml:space="preserve">کلام </w:t>
            </w:r>
            <w:r>
              <w:rPr>
                <w:rStyle w:val="IndexLink"/>
                <w:rtl w:val="true"/>
              </w:rPr>
              <w:t>(</w:t>
            </w:r>
            <w:r>
              <w:rPr>
                <w:rStyle w:val="IndexLink"/>
                <w:rtl w:val="true"/>
              </w:rPr>
              <w:t>الفاضل الجواد</w:t>
            </w:r>
            <w:r>
              <w:rPr>
                <w:rStyle w:val="IndexLink"/>
                <w:rtl w:val="true"/>
              </w:rPr>
              <w:t>):</w:t>
              <w:tab/>
            </w:r>
            <w:r>
              <w:rPr>
                <w:rStyle w:val="IndexLink"/>
              </w:rPr>
              <w:t>230</w:t>
            </w:r>
          </w:hyperlink>
        </w:p>
        <w:p>
          <w:pPr>
            <w:pStyle w:val="Contents4"/>
            <w:tabs>
              <w:tab w:val="clear" w:pos="8176"/>
              <w:tab w:val="right" w:pos="9026" w:leader="dot"/>
            </w:tabs>
            <w:rPr/>
          </w:pPr>
          <w:hyperlink w:anchor="__RefHeading___Toc2158648_581953129">
            <w:r>
              <w:rPr>
                <w:webHidden/>
                <w:rStyle w:val="IndexLink"/>
                <w:rtl w:val="true"/>
              </w:rPr>
              <w:t>دراسة کلام الفخر الرازی</w:t>
            </w:r>
            <w:r>
              <w:rPr>
                <w:rStyle w:val="IndexLink"/>
                <w:rtl w:val="true"/>
              </w:rPr>
              <w:t>:</w:t>
              <w:tab/>
            </w:r>
            <w:r>
              <w:rPr>
                <w:rStyle w:val="IndexLink"/>
              </w:rPr>
              <w:t>231</w:t>
            </w:r>
          </w:hyperlink>
        </w:p>
        <w:p>
          <w:pPr>
            <w:pStyle w:val="Contents4"/>
            <w:tabs>
              <w:tab w:val="clear" w:pos="8176"/>
              <w:tab w:val="right" w:pos="9026" w:leader="dot"/>
            </w:tabs>
            <w:rPr/>
          </w:pPr>
          <w:hyperlink w:anchor="__RefHeading___Toc2158650_581953129">
            <w:r>
              <w:rPr>
                <w:webHidden/>
                <w:rStyle w:val="IndexLink"/>
                <w:rtl w:val="true"/>
              </w:rPr>
              <w:t>العلاقة بین آیات سورة الحشر مع الآیة الأولی من سورة الأنفال</w:t>
            </w:r>
            <w:r>
              <w:rPr>
                <w:rStyle w:val="IndexLink"/>
                <w:rtl w:val="true"/>
              </w:rPr>
              <w:t>:</w:t>
              <w:tab/>
            </w:r>
            <w:r>
              <w:rPr>
                <w:rStyle w:val="IndexLink"/>
              </w:rPr>
              <w:t>232</w:t>
            </w:r>
          </w:hyperlink>
        </w:p>
        <w:p>
          <w:pPr>
            <w:pStyle w:val="Contents4"/>
            <w:tabs>
              <w:tab w:val="clear" w:pos="8176"/>
              <w:tab w:val="right" w:pos="9026" w:leader="dot"/>
            </w:tabs>
            <w:rPr/>
          </w:pPr>
          <w:hyperlink w:anchor="__RefHeading___Toc2158652_581953129">
            <w:r>
              <w:rPr>
                <w:webHidden/>
                <w:rStyle w:val="IndexLink"/>
                <w:rtl w:val="true"/>
              </w:rPr>
              <w:t>مقارنة بین آیة الأنفال وآیة الفیء</w:t>
            </w:r>
            <w:r>
              <w:rPr>
                <w:rStyle w:val="IndexLink"/>
                <w:rtl w:val="true"/>
              </w:rPr>
              <w:t>:</w:t>
              <w:tab/>
            </w:r>
            <w:r>
              <w:rPr>
                <w:rStyle w:val="IndexLink"/>
              </w:rPr>
              <w:t>232</w:t>
            </w:r>
          </w:hyperlink>
        </w:p>
        <w:p>
          <w:pPr>
            <w:pStyle w:val="Contents4"/>
            <w:tabs>
              <w:tab w:val="clear" w:pos="8176"/>
              <w:tab w:val="right" w:pos="9026" w:leader="dot"/>
            </w:tabs>
            <w:rPr/>
          </w:pPr>
          <w:hyperlink w:anchor="__RefHeading___Toc2158654_581953129">
            <w:r>
              <w:rPr>
                <w:webHidden/>
                <w:rStyle w:val="IndexLink"/>
                <w:rtl w:val="true"/>
              </w:rPr>
              <w:t>العلاقة بین الآیة الثامنة من سورة الحشر مع الآیة السابقة لها</w:t>
            </w:r>
            <w:r>
              <w:rPr>
                <w:rStyle w:val="IndexLink"/>
                <w:rtl w:val="true"/>
              </w:rPr>
              <w:t>:</w:t>
              <w:tab/>
            </w:r>
            <w:r>
              <w:rPr>
                <w:rStyle w:val="IndexLink"/>
              </w:rPr>
              <w:t>233</w:t>
            </w:r>
          </w:hyperlink>
        </w:p>
        <w:p>
          <w:pPr>
            <w:pStyle w:val="Contents5"/>
            <w:tabs>
              <w:tab w:val="clear" w:pos="7892"/>
              <w:tab w:val="right" w:pos="9026" w:leader="dot"/>
            </w:tabs>
            <w:rPr/>
          </w:pPr>
          <w:hyperlink w:anchor="__RefHeading___Toc2158656_581953129">
            <w:r>
              <w:rPr>
                <w:webHidden/>
                <w:rStyle w:val="IndexLink"/>
                <w:rtl w:val="true"/>
              </w:rPr>
              <w:t>اشارة</w:t>
            </w:r>
            <w:r>
              <w:rPr>
                <w:rStyle w:val="IndexLink"/>
                <w:rtl w:val="true"/>
              </w:rPr>
              <w:tab/>
            </w:r>
            <w:r>
              <w:rPr>
                <w:rStyle w:val="IndexLink"/>
              </w:rPr>
              <w:t>233</w:t>
            </w:r>
          </w:hyperlink>
        </w:p>
        <w:p>
          <w:pPr>
            <w:pStyle w:val="Contents5"/>
            <w:tabs>
              <w:tab w:val="clear" w:pos="7892"/>
              <w:tab w:val="right" w:pos="9026" w:leader="dot"/>
            </w:tabs>
            <w:rPr/>
          </w:pPr>
          <w:hyperlink w:anchor="__RefHeading___Toc2158658_581953129">
            <w:r>
              <w:rPr>
                <w:webHidden/>
                <w:rStyle w:val="IndexLink"/>
                <w:rtl w:val="true"/>
              </w:rPr>
              <w:t xml:space="preserve">- </w:t>
            </w:r>
            <w:r>
              <w:rPr>
                <w:rStyle w:val="IndexLink"/>
                <w:rtl w:val="true"/>
              </w:rPr>
              <w:t>إشکالات علی هذین الاحتمالین</w:t>
            </w:r>
            <w:r>
              <w:rPr>
                <w:rStyle w:val="IndexLink"/>
                <w:rtl w:val="true"/>
              </w:rPr>
              <w:t>:</w:t>
              <w:tab/>
            </w:r>
            <w:r>
              <w:rPr>
                <w:rStyle w:val="IndexLink"/>
              </w:rPr>
              <w:t>234</w:t>
            </w:r>
          </w:hyperlink>
        </w:p>
        <w:p>
          <w:pPr>
            <w:pStyle w:val="Contents4"/>
            <w:tabs>
              <w:tab w:val="clear" w:pos="8176"/>
              <w:tab w:val="right" w:pos="9026" w:leader="dot"/>
            </w:tabs>
            <w:rPr/>
          </w:pPr>
          <w:hyperlink w:anchor="__RefHeading___Toc2158660_581953129">
            <w:r>
              <w:rPr>
                <w:webHidden/>
                <w:rStyle w:val="IndexLink"/>
                <w:rtl w:val="true"/>
              </w:rPr>
              <w:t>ما ذکره العلاّمة الطباطبائی</w:t>
            </w:r>
            <w:r>
              <w:rPr>
                <w:rStyle w:val="IndexLink"/>
                <w:rtl w:val="true"/>
              </w:rPr>
              <w:t>:</w:t>
              <w:tab/>
            </w:r>
            <w:r>
              <w:rPr>
                <w:rStyle w:val="IndexLink"/>
              </w:rPr>
              <w:t>235</w:t>
            </w:r>
          </w:hyperlink>
        </w:p>
        <w:p>
          <w:pPr>
            <w:pStyle w:val="Contents4"/>
            <w:tabs>
              <w:tab w:val="clear" w:pos="8176"/>
              <w:tab w:val="right" w:pos="9026" w:leader="dot"/>
            </w:tabs>
            <w:rPr/>
          </w:pPr>
          <w:hyperlink w:anchor="__RefHeading___Toc2158662_581953129">
            <w:r>
              <w:rPr>
                <w:webHidden/>
                <w:rStyle w:val="IndexLink"/>
                <w:rtl w:val="true"/>
              </w:rPr>
              <w:t>إیراد علی ما ذکره العلاّمة</w:t>
            </w:r>
            <w:r>
              <w:rPr>
                <w:rStyle w:val="IndexLink"/>
                <w:rtl w:val="true"/>
              </w:rPr>
              <w:t>:</w:t>
              <w:tab/>
            </w:r>
            <w:r>
              <w:rPr>
                <w:rStyle w:val="IndexLink"/>
              </w:rPr>
              <w:t>236</w:t>
            </w:r>
          </w:hyperlink>
        </w:p>
        <w:p>
          <w:pPr>
            <w:pStyle w:val="Contents4"/>
            <w:tabs>
              <w:tab w:val="clear" w:pos="8176"/>
              <w:tab w:val="right" w:pos="9026" w:leader="dot"/>
            </w:tabs>
            <w:rPr/>
          </w:pPr>
          <w:hyperlink w:anchor="__RefHeading___Toc2158664_581953129">
            <w:r>
              <w:rPr>
                <w:webHidden/>
                <w:rStyle w:val="IndexLink"/>
                <w:rtl w:val="true"/>
              </w:rPr>
              <w:t>رأی القرطبی</w:t>
            </w:r>
            <w:r>
              <w:rPr>
                <w:rStyle w:val="IndexLink"/>
                <w:rtl w:val="true"/>
              </w:rPr>
              <w:t>:</w:t>
              <w:tab/>
            </w:r>
            <w:r>
              <w:rPr>
                <w:rStyle w:val="IndexLink"/>
              </w:rPr>
              <w:t>237</w:t>
            </w:r>
          </w:hyperlink>
        </w:p>
        <w:p>
          <w:pPr>
            <w:pStyle w:val="Contents4"/>
            <w:tabs>
              <w:tab w:val="clear" w:pos="8176"/>
              <w:tab w:val="right" w:pos="9026" w:leader="dot"/>
            </w:tabs>
            <w:rPr/>
          </w:pPr>
          <w:hyperlink w:anchor="__RefHeading___Toc2158666_581953129">
            <w:r>
              <w:rPr>
                <w:webHidden/>
                <w:rStyle w:val="IndexLink"/>
                <w:rtl w:val="true"/>
              </w:rPr>
              <w:t>کیفیة الجمع بین آیات سورة الحشر والآیة الأولی من سورة الأنفال</w:t>
            </w:r>
            <w:r>
              <w:rPr>
                <w:rStyle w:val="IndexLink"/>
                <w:rtl w:val="true"/>
              </w:rPr>
              <w:t>:</w:t>
              <w:tab/>
            </w:r>
            <w:r>
              <w:rPr>
                <w:rStyle w:val="IndexLink"/>
              </w:rPr>
              <w:t>241</w:t>
            </w:r>
          </w:hyperlink>
        </w:p>
        <w:p>
          <w:pPr>
            <w:pStyle w:val="Contents4"/>
            <w:tabs>
              <w:tab w:val="clear" w:pos="8176"/>
              <w:tab w:val="right" w:pos="9026" w:leader="dot"/>
            </w:tabs>
            <w:rPr/>
          </w:pPr>
          <w:hyperlink w:anchor="__RefHeading___Toc2158668_581953129">
            <w:r>
              <w:rPr>
                <w:webHidden/>
                <w:rStyle w:val="IndexLink"/>
                <w:rtl w:val="true"/>
              </w:rPr>
              <w:t xml:space="preserve">العلاقة بین الآیة السابعة من سورة الحشر والآیة </w:t>
            </w:r>
            <w:r>
              <w:rPr>
                <w:rStyle w:val="IndexLink"/>
              </w:rPr>
              <w:t>41</w:t>
            </w:r>
            <w:r>
              <w:rPr>
                <w:rStyle w:val="IndexLink"/>
                <w:rtl w:val="true"/>
              </w:rPr>
              <w:t xml:space="preserve"> </w:t>
            </w:r>
            <w:r>
              <w:rPr>
                <w:rStyle w:val="IndexLink"/>
                <w:rtl w:val="true"/>
              </w:rPr>
              <w:t>من سورة الأنفال</w:t>
            </w:r>
            <w:r>
              <w:rPr>
                <w:rStyle w:val="IndexLink"/>
                <w:rtl w:val="true"/>
              </w:rPr>
              <w:t>:</w:t>
              <w:tab/>
            </w:r>
            <w:r>
              <w:rPr>
                <w:rStyle w:val="IndexLink"/>
              </w:rPr>
              <w:t>242</w:t>
            </w:r>
          </w:hyperlink>
        </w:p>
        <w:p>
          <w:pPr>
            <w:pStyle w:val="Contents2"/>
            <w:tabs>
              <w:tab w:val="clear" w:pos="8743"/>
              <w:tab w:val="right" w:pos="9026" w:leader="dot"/>
            </w:tabs>
            <w:rPr/>
          </w:pPr>
          <w:hyperlink w:anchor="__RefHeading___Toc2158670_581953129">
            <w:r>
              <w:rPr>
                <w:webHidden/>
                <w:rStyle w:val="IndexLink"/>
                <w:rtl w:val="true"/>
              </w:rPr>
              <w:t>خاتمة</w:t>
            </w:r>
            <w:r>
              <w:rPr>
                <w:rStyle w:val="IndexLink"/>
                <w:rtl w:val="true"/>
              </w:rPr>
              <w:t xml:space="preserve">: </w:t>
            </w:r>
            <w:r>
              <w:rPr>
                <w:rStyle w:val="IndexLink"/>
                <w:rtl w:val="true"/>
              </w:rPr>
              <w:t>مأساة فدک</w:t>
            </w:r>
            <w:r>
              <w:rPr>
                <w:rStyle w:val="IndexLink"/>
                <w:rtl w:val="true"/>
              </w:rPr>
              <w:tab/>
            </w:r>
            <w:r>
              <w:rPr>
                <w:rStyle w:val="IndexLink"/>
              </w:rPr>
              <w:t>245</w:t>
            </w:r>
          </w:hyperlink>
        </w:p>
        <w:p>
          <w:pPr>
            <w:pStyle w:val="Contents3"/>
            <w:tabs>
              <w:tab w:val="clear" w:pos="8459"/>
              <w:tab w:val="right" w:pos="9026" w:leader="dot"/>
            </w:tabs>
            <w:rPr/>
          </w:pPr>
          <w:hyperlink w:anchor="__RefHeading___Toc2158672_581953129">
            <w:r>
              <w:rPr>
                <w:webHidden/>
                <w:rStyle w:val="IndexLink"/>
                <w:rtl w:val="true"/>
              </w:rPr>
              <w:t>اشارة</w:t>
            </w:r>
            <w:r>
              <w:rPr>
                <w:rStyle w:val="IndexLink"/>
                <w:rtl w:val="true"/>
              </w:rPr>
              <w:tab/>
            </w:r>
            <w:r>
              <w:rPr>
                <w:rStyle w:val="IndexLink"/>
              </w:rPr>
              <w:t>245</w:t>
            </w:r>
          </w:hyperlink>
        </w:p>
        <w:p>
          <w:pPr>
            <w:pStyle w:val="Contents3"/>
            <w:tabs>
              <w:tab w:val="clear" w:pos="8459"/>
              <w:tab w:val="right" w:pos="9026" w:leader="dot"/>
            </w:tabs>
            <w:rPr/>
          </w:pPr>
          <w:hyperlink w:anchor="__RefHeading___Toc2158674_581953129">
            <w:r>
              <w:rPr>
                <w:webHidden/>
                <w:rStyle w:val="IndexLink"/>
                <w:rtl w:val="true"/>
              </w:rPr>
              <w:t>إشارة موجزة إلی قصة فدک</w:t>
            </w:r>
            <w:r>
              <w:rPr>
                <w:rStyle w:val="IndexLink"/>
                <w:rtl w:val="true"/>
              </w:rPr>
              <w:tab/>
            </w:r>
            <w:r>
              <w:rPr>
                <w:rStyle w:val="IndexLink"/>
              </w:rPr>
              <w:t>246</w:t>
            </w:r>
          </w:hyperlink>
        </w:p>
        <w:p>
          <w:pPr>
            <w:pStyle w:val="Contents3"/>
            <w:tabs>
              <w:tab w:val="clear" w:pos="8459"/>
              <w:tab w:val="right" w:pos="9026" w:leader="dot"/>
            </w:tabs>
            <w:rPr/>
          </w:pPr>
          <w:hyperlink w:anchor="__RefHeading___Toc2158676_581953129">
            <w:r>
              <w:rPr>
                <w:webHidden/>
                <w:rStyle w:val="IndexLink"/>
                <w:rtl w:val="true"/>
              </w:rPr>
              <w:t>تعصب وإنکار حقائق</w:t>
            </w:r>
            <w:r>
              <w:rPr>
                <w:rStyle w:val="IndexLink"/>
                <w:rtl w:val="true"/>
              </w:rPr>
              <w:t>:</w:t>
              <w:tab/>
            </w:r>
            <w:r>
              <w:rPr>
                <w:rStyle w:val="IndexLink"/>
              </w:rPr>
              <w:t>247</w:t>
            </w:r>
          </w:hyperlink>
        </w:p>
        <w:p>
          <w:pPr>
            <w:pStyle w:val="Contents3"/>
            <w:tabs>
              <w:tab w:val="clear" w:pos="8459"/>
              <w:tab w:val="right" w:pos="9026" w:leader="dot"/>
            </w:tabs>
            <w:rPr/>
          </w:pPr>
          <w:hyperlink w:anchor="__RefHeading___Toc2158678_581953129">
            <w:r>
              <w:rPr>
                <w:webHidden/>
                <w:rStyle w:val="IndexLink"/>
                <w:rtl w:val="true"/>
              </w:rPr>
              <w:t>روایة حول فدک</w:t>
            </w:r>
            <w:r>
              <w:rPr>
                <w:rStyle w:val="IndexLink"/>
                <w:rtl w:val="true"/>
              </w:rPr>
              <w:t>:</w:t>
              <w:tab/>
            </w:r>
            <w:r>
              <w:rPr>
                <w:rStyle w:val="IndexLink"/>
              </w:rPr>
              <w:t>249</w:t>
            </w:r>
          </w:hyperlink>
        </w:p>
        <w:p>
          <w:pPr>
            <w:pStyle w:val="Contents3"/>
            <w:tabs>
              <w:tab w:val="clear" w:pos="8459"/>
              <w:tab w:val="right" w:pos="9026" w:leader="dot"/>
            </w:tabs>
            <w:rPr/>
          </w:pPr>
          <w:hyperlink w:anchor="__RefHeading___Toc2158680_581953129">
            <w:r>
              <w:rPr>
                <w:webHidden/>
                <w:rStyle w:val="IndexLink"/>
                <w:rtl w:val="true"/>
              </w:rPr>
              <w:t>دراسة سند الروایة</w:t>
            </w:r>
            <w:r>
              <w:rPr>
                <w:rStyle w:val="IndexLink"/>
                <w:rtl w:val="true"/>
              </w:rPr>
              <w:t>:</w:t>
              <w:tab/>
            </w:r>
            <w:r>
              <w:rPr>
                <w:rStyle w:val="IndexLink"/>
              </w:rPr>
              <w:t>252</w:t>
            </w:r>
          </w:hyperlink>
        </w:p>
        <w:p>
          <w:pPr>
            <w:pStyle w:val="Contents3"/>
            <w:tabs>
              <w:tab w:val="clear" w:pos="8459"/>
              <w:tab w:val="right" w:pos="9026" w:leader="dot"/>
            </w:tabs>
            <w:rPr/>
          </w:pPr>
          <w:hyperlink w:anchor="__RefHeading___Toc2158682_581953129">
            <w:r>
              <w:rPr>
                <w:webHidden/>
                <w:rStyle w:val="IndexLink"/>
                <w:rtl w:val="true"/>
              </w:rPr>
              <w:t>دراسة مضمون الروایة</w:t>
            </w:r>
            <w:r>
              <w:rPr>
                <w:rStyle w:val="IndexLink"/>
                <w:rtl w:val="true"/>
              </w:rPr>
              <w:t>:</w:t>
              <w:tab/>
            </w:r>
            <w:r>
              <w:rPr>
                <w:rStyle w:val="IndexLink"/>
              </w:rPr>
              <w:t>253</w:t>
            </w:r>
          </w:hyperlink>
        </w:p>
        <w:p>
          <w:pPr>
            <w:pStyle w:val="Contents3"/>
            <w:tabs>
              <w:tab w:val="clear" w:pos="8459"/>
              <w:tab w:val="right" w:pos="9026" w:leader="dot"/>
            </w:tabs>
            <w:rPr/>
          </w:pPr>
          <w:hyperlink w:anchor="__RefHeading___Toc2158684_581953129">
            <w:r>
              <w:rPr>
                <w:webHidden/>
                <w:rStyle w:val="IndexLink"/>
                <w:rtl w:val="true"/>
              </w:rPr>
              <w:t>شاهد من أهل الجنة علی فدک</w:t>
            </w:r>
            <w:r>
              <w:rPr>
                <w:rStyle w:val="IndexLink"/>
                <w:rtl w:val="true"/>
              </w:rPr>
              <w:t>:</w:t>
              <w:tab/>
            </w:r>
            <w:r>
              <w:rPr>
                <w:rStyle w:val="IndexLink"/>
              </w:rPr>
              <w:t>255</w:t>
            </w:r>
          </w:hyperlink>
        </w:p>
        <w:p>
          <w:pPr>
            <w:pStyle w:val="Contents2"/>
            <w:tabs>
              <w:tab w:val="clear" w:pos="8743"/>
              <w:tab w:val="right" w:pos="9026" w:leader="dot"/>
            </w:tabs>
            <w:rPr/>
          </w:pPr>
          <w:hyperlink w:anchor="__RefHeading___Toc2158686_581953129">
            <w:r>
              <w:rPr>
                <w:webHidden/>
                <w:rStyle w:val="IndexLink"/>
                <w:rtl w:val="true"/>
              </w:rPr>
              <w:t>فهرس المصادر</w:t>
            </w:r>
            <w:r>
              <w:rPr>
                <w:rStyle w:val="IndexLink"/>
                <w:rtl w:val="true"/>
              </w:rPr>
              <w:tab/>
            </w:r>
            <w:r>
              <w:rPr>
                <w:rStyle w:val="IndexLink"/>
              </w:rPr>
              <w:t>273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472_36246"/>
      <w:bookmarkStart w:id="1" w:name="pg5472_36246"/>
      <w:bookmarkEnd w:id="1"/>
    </w:p>
    <w:p>
      <w:pPr>
        <w:pStyle w:val="Heading2"/>
        <w:numPr>
          <w:ilvl w:val="1"/>
          <w:numId w:val="1"/>
        </w:numPr>
        <w:rPr/>
      </w:pPr>
      <w:bookmarkStart w:id="2" w:name="pg5472_36246"/>
      <w:bookmarkStart w:id="3" w:name="__RefHeading___Toc2158334_581953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 فی آیات الأحکام، الخمس</w:t>
      </w:r>
    </w:p>
    <w:p>
      <w:pPr>
        <w:pStyle w:val="BookText"/>
        <w:rPr/>
      </w:pPr>
      <w:r>
        <w:rPr>
          <w:rFonts w:ascii="IRNazanin" w:hAnsi="IRNazanin" w:eastAsia="IRNazanin"/>
          <w:color w:val="111111"/>
          <w:sz w:val="28"/>
          <w:sz w:val="28"/>
          <w:szCs w:val="28"/>
          <w:rtl w:val="true"/>
          <w:lang w:bidi="fa-IR"/>
        </w:rPr>
        <w:t>پدیدآوران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لنکرانی، محمدجواد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فخرالاسلام،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طبسی، محمدجعفر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حوزه فقه الائمة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58336_58195312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بحوث فی آیات الأحکام، الخمس</w:t>
      </w:r>
    </w:p>
    <w:p>
      <w:pPr>
        <w:pStyle w:val="BookText"/>
        <w:rPr/>
      </w:pPr>
      <w:r>
        <w:rPr>
          <w:rFonts w:ascii="IRNazanin" w:hAnsi="IRNazanin" w:eastAsia="IRNazanin"/>
          <w:color w:val="111111"/>
          <w:sz w:val="28"/>
          <w:sz w:val="28"/>
          <w:szCs w:val="28"/>
          <w:rtl w:val="true"/>
          <w:lang w:bidi="fa-IR"/>
        </w:rPr>
        <w:t xml:space="preserve">فاضل لنکرانی، محمدجواد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فخرالاسلام،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معرب</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طبسی، محمدجعفر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معرب</w:t>
      </w:r>
      <w:r>
        <w:rPr>
          <w:rFonts w:eastAsia="IRNazanin" w:cs="IRNazanin"/>
          <w:color w:val="111111"/>
          <w:sz w:val="28"/>
          <w:szCs w:val="28"/>
          <w:rtl w:val="true"/>
          <w:lang w:bidi="fa-IR"/>
        </w:rPr>
        <w:t>)</w:t>
      </w:r>
      <w:bookmarkStart w:id="7" w:name="pg5472_36250"/>
    </w:p>
    <w:p>
      <w:pPr>
        <w:pStyle w:val="Heading2"/>
        <w:numPr>
          <w:ilvl w:val="1"/>
          <w:numId w:val="1"/>
        </w:numPr>
        <w:rPr/>
      </w:pPr>
      <w:bookmarkStart w:id="8" w:name="__RefHeading___Toc2158338_581953129"/>
      <w:bookmarkStart w:id="9" w:name="_Toc3"/>
      <w:bookmarkEnd w:id="7"/>
      <w:bookmarkEnd w:id="8"/>
      <w:r>
        <w:rPr>
          <w:rtl w:val="true"/>
        </w:rPr>
        <w:t>کلمة المؤلّف</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والصلاة والسلام علی سیدنا ونبینا أبی القاسم محمد وعلی آله الطیبین الطاهرین المعصومین ولعنة الله علی أعدائهم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فهذا الکتاب الذی بین یدیک من بحوثنا القرآنیة حول آیات الأحکام فی خصوص آیات الخمس من القرآن الکریم، ومن الواضح أن وجوب الخمس من الأحکام التی مصدرها الرئیسی القرآن الکریم، واختلفت المذاهب الإسلامیة فی حدوده وموارده، فی حین نعتقد نحن المفتخرین بمذهب الإمامیة استناداً إلی کتاب الله العزیز بسعة دائرة الخمس وعدم اختصاصه بالغنائم الحربیة، وقد ذکرنا فی هذا الکتاب مجموعة من الشبهات التی أوردت من قبل البعض وهی ناشئة عن عدم وصولهم إلی حقیقة الفکر الشیعی حول هذا الموضوع، بالإضافة إلی عدم قصدهم منها الوصول إلی تلک الحقیقة وسائر الحقائق والمعارف المسلَّمة عندنا المبنیّة علی المنابع القرآنیة والسنة المسلَّمة القطعیة</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ینبغی الالتفات إلیه أن هذا المنبع المالی الدینی هو أساس الإبداع الحر فی الحوزات الشیعیة فصار هذا السبیل الشرعی الطیب ینبوعاً ثراً لدعم المراکز العلمیة عند الشیعة منذ الصدر الأول لتاریخ التشیع حتی الآن، ساهم فی تقدیمها ثمرات علمیة وآثاراً عالمیة، بالإضافة إلی فوائد عظیمة لا تعد ولا تحصی، ولذا کان من</w:t>
      </w:r>
    </w:p>
    <w:p>
      <w:pPr>
        <w:pStyle w:val="BookText"/>
        <w:rPr/>
      </w:pPr>
      <w:r>
        <w:rPr>
          <w:rFonts w:ascii="IRNazanin" w:hAnsi="IRNazanin" w:eastAsia="IRNazanin"/>
          <w:color w:val="111111"/>
          <w:sz w:val="28"/>
          <w:sz w:val="28"/>
          <w:szCs w:val="28"/>
          <w:rtl w:val="true"/>
          <w:lang w:bidi="fa-IR"/>
        </w:rPr>
        <w:t>الضروری البحث عن أصل مشروعیة الخمس ودائرته وموارده ومصارفه طبقاً للقرآن الکریم، نعم البحث الفنی الکامل الجامع لا یتیسر إلا بعد ملاحظة جمیع الأدلة الشرعیة لاستنباط الأحکام الفرعیة من القرآن والسنة والإجماع والعقل</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ألقینا هذه البحوث لجمع کثیر من الفضلاء فی الحوزة العلمیة بقم، حیث اهتم المرکز الفقهی للأئمة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سوریة تحت رعایة المحقق النحریر والمفسّر العظیم العلامة الشیخ محمد جعفر الطبسی دامت برکاته العالیة بترجمته، نظراً لأنه کُتب بالفارسیة، واللازم علیَّ أن أشکره کما أشکر المترجم المحترم الفاضل علی فخر الإسلام، وأشکر من ساعده فی إتمام هذا المشروع المهم ونسأل الله تبارک وتعالی أن یقبله ویجعله نافعاً لنا یوم لا ینفع مالٌ ولا بنون إلا من أتی الله بقلبٍ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الفاضل اللنکرانی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الثانیه </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bookmarkStart w:id="10" w:name="pg5472_36252"/>
    </w:p>
    <w:p>
      <w:pPr>
        <w:pStyle w:val="Heading2"/>
        <w:numPr>
          <w:ilvl w:val="1"/>
          <w:numId w:val="1"/>
        </w:numPr>
        <w:rPr/>
      </w:pPr>
      <w:bookmarkStart w:id="11" w:name="__RefHeading___Toc2158340_581953129"/>
      <w:bookmarkStart w:id="12" w:name="_Toc4"/>
      <w:bookmarkEnd w:id="10"/>
      <w:bookmarkEnd w:id="11"/>
      <w:r>
        <w:rPr>
          <w:rtl w:val="true"/>
        </w:rPr>
        <w:t>تقدیم</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الحمد لله الذی أنزل علی عبده الکتاب، ولم یجعل له عوجاً، والصلاة والسلام علی من أنزل علی قلبه الشریف هذا السفر القیّم رسول الإسلام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 أهل بیته الطیبین الطاهرین الذین أذهب الله عنهم الرجس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البحث عن الآیات التی تتعلق بالأحکام الشرعیة تکون ضروریة من ناحیة أنها حکم الله عز وجل المنزل علی قلب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جهة ثانیة فإن البحث عن هذه الآیات یهتم بها الفقیه لأنه یرجع إلیها فی الاستنباط، فلا شک بأن الفقیه فی مقام الاستنباط یهتم أول الأمر بالقرآن الکریم ثم السنة النبویة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فی الواقع کما عن بعض المعاصرین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بحاجة ماسّة إلی تألیف کتاب ککتاب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للمرحوم الحر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یختص بالآیات التی تتعلق بالأحکام الشرعیة وتُسجّل فیه الأبواب علی غرار أبواب وسائل الشیعة، ولو بشکل مصغّر، وتذکر تحت کل باب الآیات الکریمة المرتبطة به</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عدد آیات الأحکام</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المعروف بین الفقهاء بأن عدد آیات الأحکام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وقد ألّف المرحوم الشیخ عبد الله بن المتوّج البحرانی أو ولده فخر الدین کتاباً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 فی تفسیر</w:t>
      </w:r>
    </w:p>
    <w:p>
      <w:pPr>
        <w:pStyle w:val="BookText"/>
        <w:rPr/>
      </w:pPr>
      <w:r>
        <w:rPr>
          <w:rFonts w:ascii="IRNazanin" w:hAnsi="IRNazanin" w:eastAsia="IRNazanin"/>
          <w:color w:val="111111"/>
          <w:sz w:val="28"/>
          <w:sz w:val="28"/>
          <w:szCs w:val="28"/>
          <w:rtl w:val="true"/>
          <w:lang w:bidi="fa-IR"/>
        </w:rPr>
        <w:t>الخمسمائة آیة</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ولکن یبدو فی بادئ الرأی بأن تحدیده بهذا المقدار مشکل، وذلک یرجع لفهم الفقیه من الآیة، فالبعض یستدل علی حکم شرعی بآیة والآخر لا یری وجهاً لذلک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فعلی سبیل المثال، استدلّ البعض علی حجیة قضاء الحاکم بعلمه بقوله عز وجل وَمِمَّنْ خَلَقْنا أُمَّةٌ یَهْدُونَ بِالْحَقِّ وَبِهِ یَعْدِلُونَ‌</w:t>
      </w:r>
      <w:r>
        <w:rPr>
          <w:rStyle w:val="FootnoteAnchor"/>
          <w:rtl w:val="true"/>
        </w:rPr>
        <w:footnoteReference w:id="4"/>
      </w:r>
      <w:r>
        <w:rPr>
          <w:rFonts w:ascii="IRNazanin" w:hAnsi="IRNazanin" w:eastAsia="IRNazanin"/>
          <w:color w:val="111111"/>
          <w:sz w:val="28"/>
          <w:sz w:val="28"/>
          <w:szCs w:val="28"/>
          <w:rtl w:val="true"/>
          <w:lang w:bidi="fa-IR"/>
        </w:rPr>
        <w:t>، بینما الآخر لا یستدل بها ویراها أجنبیة فی المقام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المؤلفون فی آیات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السائب الکلبی، قال عنه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الأخباری النسّابة الأوحد أبو المنذر هشام بن الأخباری الباهر محمد بن السائب بن بشر الکلبی الکوفی الشیعی</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الندیم فی فهرسته عند ذکره للکتب المؤلفة فی علم أحکام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أحکام القرآن للکلبی</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المرحوم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أول من صنّف فی هذا الفن، کما یظهر من تاریخه، لا الإمام الشافعی محمد بن إدریس المتوفی سنة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العلاّمة 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ولد الإمام الشافعی بعد وفاة الکلبی بتسع سنین</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أحکام القرآن لأبی الحسن عباد بن العباس ت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القرآن لقطب الدین الراوندی ت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النهایة فی تفسیر خمسمائة آیة لابن المتوّج ت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العرفان فی فقه القرآن للفاضل المقداد ت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معارج السؤول ومدارج المأمول لحسن بن محمد بن الحسن الاسترابادی من أواخر القرن التاسع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آیات الأحکام لشرف الدین علی الشیفتکی ت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آیات الأحکام للمیرزا محمد بن علی الاسترابادی ت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آیات الأحکام الفقهیة للمولی علی التونی من أعلام القرن الحادی عشر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مسالک الأفهام إلی آیات الأحکام للفاضل الجواد الکاظمی ت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أحکام القرآن لآقا حسین الخونساری ت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المرام فی تفسیر آیات الأحکام للمولی محمد جعفر الاسترابادی الطهرانی ت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الأحکام للشیخ محمد باقر البیرجندی ت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الأحکام للسید محمد حسین الطباطبائی الیزدی ت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زبدة البیان فی براهین أحکام القرآن، للمحقق الأردبیلی المتوفی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الکتاب الذی بین یدیک</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الکتاب سلسلة دراسات ألقاها سماحة الأستاذ العلاّمة البحّاثة حجة الإسلام والمسلمین الشیخ محمد جواد الفاضل اللنکرانی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عمره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نجل المرجع الدینی آیة الله العظمی شیخنا الأستاذ الشیخ محمد الفاضل اللنکرانی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والدروس أُلقیت باللغة الفارسیة، فقد طلب منّی سماحته ترجمة ذلک إلی اللغة العربیة، وبدوری طرحت فکرة التعریب علی صدیقنا المبجل الشیخ الفاضل والمحترم علی فخر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قام بهذه المهمة بالشکل المطلوب</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نسأل الله تبارک وتعالی أن یتغمد فقیدنا الراحل بواسع رحمته ویحشره مع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ویوفّق ولده البارّ لنشر علوم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سمیع مجیب</w:t>
      </w:r>
      <w:r>
        <w:rPr>
          <w:rFonts w:eastAsia="IRNazanin" w:cs="IRNazanin"/>
          <w:color w:val="111111"/>
          <w:sz w:val="28"/>
          <w:szCs w:val="28"/>
          <w:rtl w:val="true"/>
          <w:lang w:bidi="fa-IR"/>
        </w:rPr>
        <w:t>.</w:t>
      </w:r>
      <w:bookmarkStart w:id="13" w:name="pg5472_36256"/>
    </w:p>
    <w:p>
      <w:pPr>
        <w:pStyle w:val="Heading2"/>
        <w:numPr>
          <w:ilvl w:val="1"/>
          <w:numId w:val="1"/>
        </w:numPr>
        <w:rPr/>
      </w:pPr>
      <w:bookmarkStart w:id="14" w:name="__RefHeading___Toc2158342_581953129"/>
      <w:bookmarkStart w:id="15" w:name="_Toc5"/>
      <w:bookmarkEnd w:id="13"/>
      <w:bookmarkEnd w:id="14"/>
      <w:r>
        <w:rPr>
          <w:rtl w:val="true"/>
        </w:rPr>
        <w:t>تمهید</w:t>
      </w:r>
      <w:bookmarkEnd w:id="1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وصلی الله علی محمد وآله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وفّقنا فی ظلّ عنایات الباری عز وجل فی الشروع ببحث مهم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ونسأل الله أن نستطیع فی هذا السبیل الأنس أکثر بالقرآن الکریم، وأن نزید کذلک فی إغناء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لآیات الأحکام والبحث فیها تأثیراً مهماً جداً فی الفقه، إذ بنظرة واحدة یمکن أن نلاحظ أن الفقهاء الذی یهتمون أکثر فی البحث بآیات الأحکام ضمن بحوثهم الفقهیة، تتمیز بحوثهم تلک بدقة وعمق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بالإضافة إلی ذلک فإن مصدرنا الرئیسی والأصلی فی کافة الأمور هو القرآن الکریم، لذا فإن طرح مثل هذا البحث یعدّ لازماً وضروریاً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أنسی أن إحدی النقاط التی کان والدنا الراحل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یتأسف منها، عدم اهتمام الحوزات العلمیة بالبحث فی آیات الأحکام بالشکل المناسب واللائق واللازم الذی یستحقه، 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یُخضع للبحث الوفیر والتحقیق الکثیر کل آیة یمر بها أثناء بحوثه الفقهیة فی موضعها، مستنبطاً منها نقاطاً ومسائل لم نکن رأیناها فی کلمات غیره من العلماء من قبل، وعلیه سوف نشرع إن شاء الله هذا البحث</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بدّ لنا من طرح بعض النقاط کمقدمات لبحوثنا فی آیات الأحکام</w:t>
      </w:r>
      <w:r>
        <w:rPr>
          <w:rFonts w:eastAsia="IRNazanin" w:cs="IRNazanin"/>
          <w:color w:val="111111"/>
          <w:sz w:val="28"/>
          <w:szCs w:val="28"/>
          <w:rtl w:val="true"/>
          <w:lang w:bidi="fa-IR"/>
        </w:rPr>
        <w:t>.</w:t>
      </w:r>
      <w:bookmarkStart w:id="16" w:name="pg5472_36258"/>
    </w:p>
    <w:p>
      <w:pPr>
        <w:pStyle w:val="Heading2"/>
        <w:numPr>
          <w:ilvl w:val="1"/>
          <w:numId w:val="1"/>
        </w:numPr>
        <w:rPr/>
      </w:pPr>
      <w:bookmarkStart w:id="17" w:name="__RefHeading___Toc2158344_581953129"/>
      <w:bookmarkStart w:id="18" w:name="_Toc6"/>
      <w:bookmarkEnd w:id="16"/>
      <w:bookmarkEnd w:id="17"/>
      <w:r>
        <w:rPr>
          <w:rtl w:val="true"/>
        </w:rPr>
        <w:t>النقطة الأولی</w:t>
      </w:r>
      <w:r>
        <w:rPr>
          <w:rtl w:val="true"/>
        </w:rPr>
        <w:t xml:space="preserve">: </w:t>
      </w:r>
      <w:r>
        <w:rPr>
          <w:rtl w:val="true"/>
        </w:rPr>
        <w:t>المِلاک فی آیات الأحکام</w:t>
      </w:r>
      <w:bookmarkEnd w:id="18"/>
    </w:p>
    <w:p>
      <w:pPr>
        <w:pStyle w:val="Heading3"/>
        <w:numPr>
          <w:ilvl w:val="2"/>
          <w:numId w:val="1"/>
        </w:numPr>
        <w:rPr/>
      </w:pPr>
      <w:bookmarkStart w:id="19" w:name="__RefHeading___Toc2158346_581953129"/>
      <w:bookmarkStart w:id="20" w:name="_Toc7"/>
      <w:bookmarkEnd w:id="19"/>
      <w:r>
        <w:rPr>
          <w:rtl w:val="true"/>
        </w:rPr>
        <w:t>اشارة</w:t>
      </w:r>
      <w:bookmarkEnd w:id="20"/>
    </w:p>
    <w:p>
      <w:pPr>
        <w:pStyle w:val="BookText"/>
        <w:rPr/>
      </w:pPr>
      <w:r>
        <w:rPr>
          <w:rFonts w:ascii="IRNazanin" w:hAnsi="IRNazanin" w:eastAsia="IRNazanin"/>
          <w:color w:val="111111"/>
          <w:sz w:val="28"/>
          <w:sz w:val="28"/>
          <w:szCs w:val="28"/>
          <w:rtl w:val="true"/>
          <w:lang w:bidi="fa-IR"/>
        </w:rPr>
        <w:t>إن أولی هذه النقاط أن الآیات القرآنیة لم تأتِ مقسَّمةً تحت عناوین موضوعیة معینة، بل قام العلماء والمفسرون بأنفسهم بتقسیم تلک الآیات فی مناسبات مختلفة، فمثلاً کانوا یجعلون بعض الآیات تحت عنوان المعارف والعقائد، وأخری یعتبرونها متعلقة بالتاریخ، ویعدّون أخری تحت عنوان تهذیب النفس، أو یشیرون إلی مجموعة منها بأنها آیات الإمامة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الأساس اعتبروا عدة آیات ممّا یستفاد منها استنباط أحکام فقهیة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وأُلِّفت فی هذا الموضوع کتب عدیدة تحمل العناوین التالیة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السؤال الذی یطرح فی هذا السیاق هو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هو المِلاک فی کون آیةٍ ما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هناک ضابطة لذلک؟</w:t>
      </w:r>
    </w:p>
    <w:p>
      <w:pPr>
        <w:pStyle w:val="BookText"/>
        <w:rPr/>
      </w:pPr>
      <w:r>
        <w:rPr>
          <w:rFonts w:ascii="IRNazanin" w:hAnsi="IRNazanin" w:eastAsia="IRNazanin"/>
          <w:color w:val="111111"/>
          <w:sz w:val="28"/>
          <w:sz w:val="28"/>
          <w:szCs w:val="28"/>
          <w:rtl w:val="true"/>
          <w:lang w:bidi="fa-IR"/>
        </w:rPr>
        <w:t>یمکن ملاحظة اختلاف آراء الفقهاء فی الاستفادة من آیة قرآنیة لاستنباط حکم شرعی، وهنا نشیر إلی نموذجین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النموذج الأول</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 إِلَیْکَ الْکِتابَ بِالْحَقِّ لِتَحْکُمَ بَیْنَ النَّاسِ بِما أَراکَ اللهُ وَلا تَکُنْ لِلْخائِنِینَ خَصِیماً</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هل یمکن الاستفادة من هذه الآیة حجیة قول القاضی؟</w:t>
      </w:r>
    </w:p>
    <w:p>
      <w:pPr>
        <w:pStyle w:val="BookText"/>
        <w:rPr/>
      </w:pPr>
      <w:r>
        <w:rPr>
          <w:rFonts w:ascii="IRNazanin" w:hAnsi="IRNazanin" w:eastAsia="IRNazanin"/>
          <w:color w:val="111111"/>
          <w:sz w:val="28"/>
          <w:sz w:val="28"/>
          <w:szCs w:val="28"/>
          <w:rtl w:val="true"/>
          <w:lang w:bidi="fa-IR"/>
        </w:rPr>
        <w:t xml:space="preserve">وهل یستفاد مثل ذلک الأمر من الجملة التالیة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لتحکم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w:t>
      </w:r>
    </w:p>
    <w:p>
      <w:pPr>
        <w:pStyle w:val="BookText"/>
        <w:rPr/>
      </w:pPr>
      <w:r>
        <w:rPr>
          <w:rFonts w:ascii="IRNazanin" w:hAnsi="IRNazanin" w:eastAsia="IRNazanin"/>
          <w:color w:val="111111"/>
          <w:sz w:val="28"/>
          <w:sz w:val="28"/>
          <w:szCs w:val="28"/>
          <w:rtl w:val="true"/>
          <w:lang w:bidi="fa-IR"/>
        </w:rPr>
        <w:t>للإجابة علی ذلک اختلف الفقهاء فی طائفتین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یستفاد من هذه الآیة أن حکم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الناس حجّة، استناداً إلی القرآن الکریم، کما أن من یخلفونه یحملون هذا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المقابل هناک طائفة ثانیة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المقصود من الحکم فی هذه الآیة الکریمة هو القضاء، أو علی الأقل، فإنه لیست هناک دلالة واضحة علی هذا المعنی، وبالتالی فلا یمکن أن نستفید منها حجیة قول 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النموذج 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یَمَسُّهُ إِلاَّ الْمُطَهَّرُونَ‌</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عندما یتم البحث فی هذه الآیة الکریمة والاستدلال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یطرح السؤال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تعتبر الطهارة الظاهریة حتی الطهارة من الحدث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 القرآن الکریم استناداً إلی هذه الآیة أو لا؟</w:t>
      </w:r>
    </w:p>
    <w:p>
      <w:pPr>
        <w:pStyle w:val="BookText"/>
        <w:rPr/>
      </w:pPr>
      <w:r>
        <w:rPr>
          <w:rFonts w:ascii="IRNazanin" w:hAnsi="IRNazanin" w:eastAsia="IRNazanin"/>
          <w:color w:val="111111"/>
          <w:sz w:val="28"/>
          <w:sz w:val="28"/>
          <w:szCs w:val="28"/>
          <w:rtl w:val="true"/>
          <w:lang w:bidi="fa-IR"/>
        </w:rPr>
        <w:t>یقول عدة حسب ظاهر هذه الآیة الکریمة ما یلی</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الطهارة من الحدث شرط لجواز مسِّ القرآن الکریم، أما البعض الآخر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الآیة فی مقام بیان لزوم الطهارة للمسِّ الظاهری للقرآن، بل فی مقام توضیح أن المسّ الحقیقی الواقعی للقرآن الکریم والوصول إلی باطنه وحقائقه لا یتمّ بدون طهارة باطنیة، لذا فإن أهل الفسق والریاء والمعاصی والظلم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w:t>
      </w:r>
    </w:p>
    <w:p>
      <w:pPr>
        <w:pStyle w:val="BookText"/>
        <w:rPr/>
      </w:pPr>
      <w:r>
        <w:rPr>
          <w:rFonts w:ascii="IRNazanin" w:hAnsi="IRNazanin" w:eastAsia="IRNazanin"/>
          <w:color w:val="111111"/>
          <w:sz w:val="28"/>
          <w:sz w:val="28"/>
          <w:szCs w:val="28"/>
          <w:rtl w:val="true"/>
          <w:lang w:bidi="fa-IR"/>
        </w:rPr>
        <w:t>یصلوا إلی حقیقة القرآن، فالإنسان یجب أن یتمتع بطهارة باطنیة حتی یستطیع الوصول إلی تلک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یقول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استفادة المعنیین الأول والثانی کلیهما من هذه الآیة، ولعلّ السرَّ فی اختلاف بعض الفقهاء والمفسرین فی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یعود إلی استنباط بعضهم حکماً فقهیاً من آیة لم یستنبطه فقیه آخر منها، لذا عدّ بعضهم تلک الآیات خمسمائة، وآخرون ألفاً، بل إن بعضهم بلغ بها ألفی آیة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هی الضابطة والملاک فی کون آیة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فقهیة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الملاک یتمثّل بالقدرة علی استفادة حکم فقهی منها بالدلالة المطابقیة أو الالتزامیة، وأنّه تعالی فی مقام بیان حکم فقهی بأحدهما، بحیث یمکن نسبة ذلک الحکم الفقهی إلیه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أخری، فإن الفقیه یحتاج فی الفقه إلی حجة ودلیل، والحجّیّة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استناد الحکم إلی الله عز وجل، هو ما ذکره الشیخ الأعظم الأنصاری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فسّرنا الحجّیّة، حسب ما قاله المرحوم الآخوند، بأنها هی المنجزیّة والمعذریة، عندئذ یتضح کذلک أن هذا العنوان یتحقق فی المورد الذی یکون الشارع فی مقام بیان الحکم، حتی یمکن أن یکون هذا الکلام منجّزاً لذلک الحکم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الواضح أن الآیات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أَقِیمُوا الصَّلاةَ و کُتِبَ عَلَیْکُمُ الصِّیامُ‌</w:t>
      </w:r>
      <w:r>
        <w:rPr>
          <w:rStyle w:val="FootnoteAnchor"/>
          <w:rtl w:val="true"/>
        </w:rPr>
        <w:footnoteReference w:id="10"/>
      </w:r>
      <w:r>
        <w:rPr>
          <w:rFonts w:ascii="IRNazanin" w:hAnsi="IRNazanin" w:eastAsia="IRNazanin"/>
          <w:color w:val="111111"/>
          <w:sz w:val="28"/>
          <w:sz w:val="28"/>
          <w:szCs w:val="28"/>
          <w:rtl w:val="true"/>
          <w:lang w:bidi="fa-IR"/>
        </w:rPr>
        <w:t>تصرّح بالدلالة المطابقیة علی أنه تعالی فی مقام بیان حکم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إن لم نستطع الحصول علی نتیجة واضحة فی أنّ الله تعالی فی مقام بیان حکم فقهی أصلاً أو لا فی آیة ما، فإنه لا یمکن أن نتعامل معها کآیة 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أن نأخذ بعین الاعتبار أنه توجد فی القرآن الکریم آیات فی مقام بیان ملاکات الأحکام أو فی مقام بیان الحِکَم منها، ولا یمکن أن نستفید من مثل هذه الآیات أنها تندرج تحت عنوان حکم فقهی، وهنا نشیر إلی موردین، المورد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نلاحظ فی أبواب الإرث، الشهادات، الدیات وجود فروق بین الرجل والمرأة، أو بین المسلم وغیره فی الأحکام، التی تم تثبیتها فی الفقه بأدلة متقنة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عندها لیس من الصحیح أن یقول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تبیین تلک الأحکام مع مراعاة الآیة الکریمة اعْدِلُوا هُوَ أَقْرَبُ لِلتَّقْوی</w:t>
      </w:r>
      <w:r>
        <w:rPr>
          <w:rStyle w:val="FootnoteAnchor"/>
          <w:rtl w:val="true"/>
        </w:rPr>
        <w:footnoteReference w:id="11"/>
      </w:r>
      <w:r>
        <w:rPr>
          <w:rFonts w:ascii="IRNazanin" w:hAnsi="IRNazanin" w:eastAsia="IRNazanin"/>
          <w:color w:val="111111"/>
          <w:sz w:val="28"/>
          <w:sz w:val="28"/>
          <w:szCs w:val="28"/>
          <w:rtl w:val="true"/>
          <w:lang w:bidi="fa-IR"/>
        </w:rPr>
        <w:t>، ویجب أن تکون کل آیة وحکم مطابقاً للعدالة طبقاً لما ورد فی القرآن الکریم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الکریمة اعْدِلُوا هُوَ أَقْرَبُ لِلتَّقْوی</w:t>
      </w:r>
      <w:r>
        <w:rPr>
          <w:rStyle w:val="FootnoteAnchor"/>
          <w:rtl w:val="true"/>
        </w:rPr>
        <w:footnoteReference w:id="12"/>
      </w:r>
      <w:r>
        <w:rPr>
          <w:rFonts w:ascii="IRNazanin" w:hAnsi="IRNazanin" w:eastAsia="IRNazanin"/>
          <w:color w:val="111111"/>
          <w:sz w:val="28"/>
          <w:sz w:val="28"/>
          <w:szCs w:val="28"/>
          <w:rtl w:val="true"/>
          <w:lang w:bidi="fa-IR"/>
        </w:rPr>
        <w:t>لیست فی مقام بیان حکم شرعی، بل فی مقام بیان ملاک عام کلی، بمعنی أنه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یمکن من هذه الآیة الکریمة استفادة أن کافة الأحکام الشرعیة علی أساس العدالة فحسب، إذ هل یمکن القول بأن العبادات مثل تشریع صلاة الصبح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علی أساس هذا الملاک؟ وهناک الکثیر من الأمور العبادیة ینطبق علیها مثل هذا الأمر، وبالتالی لا یمکن الاستفادة من هذه الآیة أن کافة الأحکام الشرعیة فی کافة الأبواب الفقهیة مبتنیة علی أساس العدالة، بل إن الآیة فی مقام الخطاب لعموم الناس وتذکیرهم وتوجیههم بأنه یجب أن یکون سلوککم مع بعضکم فی علاقاتکم</w:t>
      </w:r>
    </w:p>
    <w:p>
      <w:pPr>
        <w:pStyle w:val="BookText"/>
        <w:rPr/>
      </w:pPr>
      <w:r>
        <w:rPr>
          <w:rFonts w:ascii="IRNazanin" w:hAnsi="IRNazanin" w:eastAsia="IRNazanin"/>
          <w:color w:val="111111"/>
          <w:sz w:val="28"/>
          <w:sz w:val="28"/>
          <w:szCs w:val="28"/>
          <w:rtl w:val="true"/>
          <w:lang w:bidi="fa-IR"/>
        </w:rPr>
        <w:t>ومعاملاتکم علی أساس العدالة، وبعبارة أخری فإن الآیة الشریفة ناظرة إلی الأعمال والموضوعات الخارجیة والتعبیر عن العدالة فیها متداول فی استعمالات العرب وفی الآیات والروایات، فمثلاً فی روایات القرعة قد عبّر عنها بأنه أی قضیة أعدل من قضیة یجال علیها</w:t>
      </w:r>
      <w:r>
        <w:rPr>
          <w:rStyle w:val="FootnoteAnchor"/>
          <w:rtl w:val="true"/>
        </w:rPr>
        <w:footnoteReference w:id="13"/>
      </w:r>
      <w:r>
        <w:rPr>
          <w:rFonts w:ascii="IRNazanin" w:hAnsi="IRNazanin" w:eastAsia="IRNazanin"/>
          <w:color w:val="111111"/>
          <w:sz w:val="28"/>
          <w:sz w:val="28"/>
          <w:szCs w:val="28"/>
          <w:rtl w:val="true"/>
          <w:lang w:bidi="fa-IR"/>
        </w:rPr>
        <w:t>، وقد ثبت فی محله أن القرعة حجة فی الموضوعات فقط دون الأحکام فبالنتیجة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الآیة الشریفة لا ترتبط بالأحکام أصلاً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 قبلنا فرضاً أن هذه الآیة من آیات الأحکام، عندئذٍ تدلّ علی أن أصل وأساس الأحکام مبنیة علی هذا الرکن الراسخ فحسب، دون أن تکون فیها أیة دلالة علی أنکم أیها الناس تستطیعون تحدید وجود العدالة أو عدمها فی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أخری، هل 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الشارع المقدس قد جعل المِلاک وهو العدالة فی هذا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تصرُّف البشر واختیارهم، بأن کل حکم صدر عن الشارع هو علی أساس العدالة، أما تشخیص مصداق ذلک فیعود إلی البشر؟</w:t>
      </w:r>
    </w:p>
    <w:p>
      <w:pPr>
        <w:pStyle w:val="BookText"/>
        <w:rPr/>
      </w:pPr>
      <w:r>
        <w:rPr>
          <w:rFonts w:ascii="IRNazanin" w:hAnsi="IRNazanin" w:eastAsia="IRNazanin"/>
          <w:color w:val="111111"/>
          <w:sz w:val="28"/>
          <w:sz w:val="28"/>
          <w:szCs w:val="28"/>
          <w:rtl w:val="true"/>
          <w:lang w:bidi="fa-IR"/>
        </w:rPr>
        <w:t>إن تشخیص العدالة یحتاج إلی إحاطة شاملة بمجموعة المصالح والمفاسد طوال تاریخ البشر منذ الأزل وحتی الأبد، ولا یستطیع الإنسان الذی یعیش مقطعاً معیناً من الزمان أن یشخّص بشکل صحیح أبداً العدالة، ولو النسبیة، فی القوانین التی یقوم بسنّها بنفسه، فکیف یقدر علی ذلک فی مجال مجموع النظام البشری لیحدِّد حقیقة العدالة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القبول بأساس الحسن والقبح العقلیین، کما لا یمکن إنکار بعض من مصادیقه، ویستطیع الانسان أن یشخّص بشکل واضح بعضاً من موارد</w:t>
      </w:r>
      <w:bookmarkStart w:id="21" w:name="pg5472_36263"/>
    </w:p>
    <w:p>
      <w:pPr>
        <w:pStyle w:val="BookText"/>
        <w:rPr/>
      </w:pPr>
      <w:bookmarkEnd w:id="21"/>
      <w:r>
        <w:rPr>
          <w:rFonts w:ascii="IRNazanin" w:hAnsi="IRNazanin" w:eastAsia="IRNazanin"/>
          <w:color w:val="111111"/>
          <w:sz w:val="28"/>
          <w:sz w:val="28"/>
          <w:szCs w:val="28"/>
          <w:rtl w:val="true"/>
          <w:lang w:bidi="fa-IR"/>
        </w:rPr>
        <w:t>العدالة، ولکن الکلام یقع فی تشخیص ذلک بالنسبة إلی کافة القوانین التی یحتاج إلیها البشر لدنیاهم وآخرتهم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فالنتیجة من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الآیة الکریمة لیست فی مقام بیان حکم فقهی، ولا تکون دالّة علی أن الملاک فی جمیع الأحکام الشرعیة هی العدالة، نعم یمکن أن یقال أنه لا یبعد أن نستفید منها بعض الموارد الجزئیة الخارجیة، کأن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الأب أن یقسم حبه بین أولاده رعایة للعدالة، ولکن هذا أیضاً لیس علی حد اللزوم والوجوب بل إنما هو علی حد الرجحان فقط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ونموذج آخر علی ذلک، هی الآیة الشریفة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یمکن للفقیه بما هو فقیه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 الآیة أمرت بالتقوی، لذا یجب أن تنطبق جمیع الأحکام الشرعیة مع التقوی؟</w:t>
      </w:r>
    </w:p>
    <w:p>
      <w:pPr>
        <w:pStyle w:val="BookText"/>
        <w:rPr/>
      </w:pPr>
      <w:r>
        <w:rPr>
          <w:rFonts w:ascii="IRNazanin" w:hAnsi="IRNazanin" w:eastAsia="IRNazanin"/>
          <w:color w:val="111111"/>
          <w:sz w:val="28"/>
          <w:sz w:val="28"/>
          <w:szCs w:val="28"/>
          <w:rtl w:val="true"/>
          <w:lang w:bidi="fa-IR"/>
        </w:rPr>
        <w:t>إن تأملاً قلیلاً یوضِّح لنا أن الآیة الکریمة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لیست فی مقام بیان حکم فقهی، بل فی مقام بیان أصل کلّی عامّ فی کافة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یتضح أن آیة ما یمکن أن تکون من الآیات الفقهیة إذا کان الله عز وجل فی مقام بیان حکم فقهی فیها</w:t>
      </w:r>
      <w:r>
        <w:rPr>
          <w:rFonts w:eastAsia="IRNazanin" w:cs="IRNazanin"/>
          <w:color w:val="111111"/>
          <w:sz w:val="28"/>
          <w:szCs w:val="28"/>
          <w:rtl w:val="true"/>
          <w:lang w:bidi="fa-IR"/>
        </w:rPr>
        <w:t>.</w:t>
      </w:r>
    </w:p>
    <w:p>
      <w:pPr>
        <w:pStyle w:val="Heading3"/>
        <w:numPr>
          <w:ilvl w:val="2"/>
          <w:numId w:val="1"/>
        </w:numPr>
        <w:rPr/>
      </w:pPr>
      <w:bookmarkStart w:id="22" w:name="__RefHeading___Toc2158348_581953129"/>
      <w:bookmarkStart w:id="23" w:name="_Toc8"/>
      <w:bookmarkEnd w:id="22"/>
      <w:r>
        <w:rPr>
          <w:rtl w:val="true"/>
        </w:rPr>
        <w:t>لزوم وجود متعلّق خاصّ ومعیّن لکل حکم فقهی</w:t>
      </w:r>
      <w:bookmarkEnd w:id="23"/>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توجد ناحیة أخری یمکن أن تکون مؤثرة فی تحدید الآیات الفقهیة، وهی أنه یجب وجود متعلّق خاص لکلّ حکم من الأحکام الفقهیة، فإن قال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ولم یبیّن متعلّق الوجوب، عندها لا معنی لهذا الواجب، أما إذا قال الشارع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تجب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عندها نلاحظ أن متعلق ذلک الحکم محدّد ومعین، فی حین إنه لم یذکر متعلقاً فی النماذج السابقة من الآیات التی ذکرناها، فإن العدالة</w:t>
      </w:r>
    </w:p>
    <w:p>
      <w:pPr>
        <w:pStyle w:val="BookText"/>
        <w:rPr/>
      </w:pPr>
      <w:r>
        <w:rPr>
          <w:rFonts w:ascii="IRNazanin" w:hAnsi="IRNazanin" w:eastAsia="IRNazanin"/>
          <w:color w:val="111111"/>
          <w:sz w:val="28"/>
          <w:sz w:val="28"/>
          <w:szCs w:val="28"/>
          <w:rtl w:val="true"/>
          <w:lang w:bidi="fa-IR"/>
        </w:rPr>
        <w:t>والتقوی من العناوین العامة التی لا تکون قابلة للامتثال إلاّ بعد بیان المصادیق، بمعنی أنه حینما لا نفهم مصداق العدالة فلا یمکن الامتثال، کما أنه حینما لا نفهم مصداق التقوی فلا یمکن الامتثال، فوِزان اتقوا الله وِزان أقیموا الواجبات واترکوا المحرمات، فإذا تکلم الشارع المقدس بهذا التعبیر فمن الواضح أن نسأل أنه ما هو مصداق الواجب وما هو مصداق الحرام؟</w:t>
      </w:r>
    </w:p>
    <w:p>
      <w:pPr>
        <w:pStyle w:val="BookText"/>
        <w:rPr/>
      </w:pPr>
      <w:r>
        <w:rPr>
          <w:rFonts w:ascii="IRNazanin" w:hAnsi="IRNazanin" w:eastAsia="IRNazanin"/>
          <w:color w:val="111111"/>
          <w:sz w:val="28"/>
          <w:sz w:val="28"/>
          <w:szCs w:val="28"/>
          <w:rtl w:val="true"/>
          <w:lang w:bidi="fa-IR"/>
        </w:rPr>
        <w:t>لذا نقول فی جواب السؤال التالی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هو الملاک لآیات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الحکم الفقهی سواء کان عاماً أو خاصاً، یجب أن یکون له متعلق محدّد ومعیّن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نلاحظ فی الآیة الشریفة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عَلَیْکُمْ فِی الدِّینِ مِنْ حَرَجٍ‌</w:t>
      </w:r>
      <w:r>
        <w:rPr>
          <w:rStyle w:val="FootnoteAnchor"/>
          <w:rtl w:val="true"/>
        </w:rPr>
        <w:footnoteReference w:id="14"/>
      </w:r>
      <w:r>
        <w:rPr>
          <w:rFonts w:ascii="Amiri" w:hAnsi="Amiri" w:eastAsia="Amiri" w:cs="Amiri"/>
          <w:color w:val="111111"/>
          <w:sz w:val="28"/>
          <w:sz w:val="28"/>
          <w:szCs w:val="28"/>
          <w:rtl w:val="true"/>
          <w:lang w:bidi="ar-SA"/>
        </w:rPr>
        <w:t xml:space="preserve">وجود قاعدة کلیة تشیر إلیها الآیة، وهی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جعل حکم حرجی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حیث یتضح أن متعلق قوله ما جَعَلَ هو الحکم الحرجی، وفی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اللهُ بِکُمُ الْیُسْرَ</w:t>
      </w:r>
      <w:r>
        <w:rPr>
          <w:rStyle w:val="FootnoteAnchor"/>
          <w:rtl w:val="true"/>
        </w:rPr>
        <w:footnoteReference w:id="15"/>
      </w:r>
      <w:r>
        <w:rPr>
          <w:rFonts w:ascii="IRNazanin" w:hAnsi="IRNazanin" w:eastAsia="IRNazanin"/>
          <w:color w:val="111111"/>
          <w:sz w:val="28"/>
          <w:sz w:val="28"/>
          <w:szCs w:val="28"/>
          <w:rtl w:val="true"/>
          <w:lang w:bidi="fa-IR"/>
        </w:rPr>
        <w:t xml:space="preserve">فإن متعلق ذلک الفعل معیّن ومحدّد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 المیسور والمقدور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الآیات التی یقول فیها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اعْدِلُوا و اتَّقُوا اللهَ فلم یُذکَر متعلق محدد لها، ولا یوجد حکم شرعی عندما لا یکون هناک متعلق معین</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بناء علی هذا، فإن الملاک فی انتماء آیة من الآیات الکریمة إلی مجموعة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ذکرناه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تفید حکماً فقهیاً بالدلالة المطابقیة أو بالدلالة الإلتزامیة أو بإحدی أنحاء الدلالات، ولو بالدلالة الاقتضائیة مثلاً، 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متعلّق الحکم الفقهی حیث یکون متعلقه معیناً ومحدداً</w:t>
      </w:r>
      <w:r>
        <w:rPr>
          <w:rFonts w:eastAsia="IRNazanin" w:cs="IRNazanin"/>
          <w:color w:val="111111"/>
          <w:sz w:val="28"/>
          <w:szCs w:val="28"/>
          <w:rtl w:val="true"/>
          <w:lang w:bidi="fa-IR"/>
        </w:rPr>
        <w:t>.</w:t>
      </w:r>
      <w:bookmarkStart w:id="24" w:name="pg5472_36265"/>
    </w:p>
    <w:p>
      <w:pPr>
        <w:pStyle w:val="BookText"/>
        <w:rPr/>
      </w:pPr>
      <w:bookmarkEnd w:id="24"/>
      <w:r>
        <w:rPr>
          <w:rFonts w:ascii="Amiri" w:hAnsi="Amiri" w:eastAsia="Amiri" w:cs="Amiri"/>
          <w:color w:val="111111"/>
          <w:sz w:val="28"/>
          <w:sz w:val="28"/>
          <w:szCs w:val="28"/>
          <w:rtl w:val="true"/>
          <w:lang w:bidi="ar-SA"/>
        </w:rPr>
        <w:t xml:space="preserve">لذا نلاحظ أنه لم یوجد فقیه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صدر الإسلام حتی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یتمسک بالآیة الکریمة اعْدِلُوا هُوَ أَقْرَبُ لِلتَّقْوی</w:t>
      </w:r>
      <w:r>
        <w:rPr>
          <w:rStyle w:val="FootnoteAnchor"/>
          <w:rtl w:val="true"/>
        </w:rPr>
        <w:footnoteReference w:id="16"/>
      </w:r>
      <w:r>
        <w:rPr>
          <w:rFonts w:ascii="IRNazanin" w:hAnsi="IRNazanin" w:eastAsia="IRNazanin"/>
          <w:color w:val="111111"/>
          <w:sz w:val="28"/>
          <w:sz w:val="28"/>
          <w:szCs w:val="28"/>
          <w:rtl w:val="true"/>
          <w:lang w:bidi="fa-IR"/>
        </w:rPr>
        <w:t>لبیان حکم فقهی، لأنها لیست فی مقام بیان حکم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هذا البیان یتضح، من ناحیة، ضابطة لانتماء آیة إلی مجموعة آیات الأحکام، وکذلک یتبین سبب الاختلاف فی مقدار تلک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جمع البعض عدد آیات الأحکام وألّفوا لذلک کتباً، بل إن البعض سمّی کتابه بهذا العنوان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 فی تفسیر الخمسمائة 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القرآن خمسمائة آیة 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لم یحصره آخرون، باعتبار الملاک الذی ذکر سابقاً، بتلک الآیات، بل عدّ آیات أخری إضافیة ضمنها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سبیل المثال، فیما یتعلق بالآیتین اللتین ذکرناهما من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القضاء، والآیة الواردة حول مسّ القرآن الکریم، فإن البعض استفاد منهما بعنوان فقهی، والآخر لم یستفد ذلک منهما</w:t>
      </w:r>
      <w:r>
        <w:rPr>
          <w:rFonts w:eastAsia="IRNazanin" w:cs="IRNazanin"/>
          <w:color w:val="111111"/>
          <w:sz w:val="28"/>
          <w:szCs w:val="28"/>
          <w:rtl w:val="true"/>
          <w:lang w:bidi="fa-IR"/>
        </w:rPr>
        <w:t>.</w:t>
      </w:r>
    </w:p>
    <w:p>
      <w:pPr>
        <w:pStyle w:val="Heading2"/>
        <w:numPr>
          <w:ilvl w:val="1"/>
          <w:numId w:val="1"/>
        </w:numPr>
        <w:rPr/>
      </w:pPr>
      <w:bookmarkStart w:id="25" w:name="__RefHeading___Toc2158350_581953129"/>
      <w:bookmarkStart w:id="26" w:name="_Toc9"/>
      <w:bookmarkEnd w:id="25"/>
      <w:r>
        <w:rPr>
          <w:rtl w:val="true"/>
        </w:rPr>
        <w:t>النقطة الثانیة</w:t>
      </w:r>
      <w:r>
        <w:rPr>
          <w:rtl w:val="true"/>
        </w:rPr>
        <w:t xml:space="preserve">: </w:t>
      </w:r>
      <w:r>
        <w:rPr>
          <w:rtl w:val="true"/>
        </w:rPr>
        <w:t>تاریخ التألیف فی آیات الأحکام</w:t>
      </w:r>
      <w:bookmarkEnd w:id="26"/>
    </w:p>
    <w:p>
      <w:pPr>
        <w:pStyle w:val="BookText"/>
        <w:rPr/>
      </w:pPr>
      <w:r>
        <w:rPr>
          <w:rFonts w:ascii="IRNazanin" w:hAnsi="IRNazanin" w:eastAsia="IRNazanin"/>
          <w:color w:val="111111"/>
          <w:sz w:val="28"/>
          <w:sz w:val="28"/>
          <w:szCs w:val="28"/>
          <w:rtl w:val="true"/>
          <w:lang w:bidi="fa-IR"/>
        </w:rPr>
        <w:t xml:space="preserve">تدور النقطة الثانیة حول الاهتمام الخاص الذی أولاه الفقهاء منذ صدر الإسلام بالتألیف حول آیات الأحکام، وحسب ما ذکر ابن الندیم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 من کتب من الشیعة فی آیات الأحکام هو النسّابة الکلبی الذی ألّف کتاباً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المرحوم الحاج آغا بزرگ الطهرانی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أول من صنف فی هذا الفن</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وثانی من ألّف فی هذا المجال هو محمد بن إدریس الشافعی المتوفی سنة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حیث ولد بعد تسع سنوات من وفاة النسابة الکلبی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عدّ المرحوم آغا بزرگ الطهرانی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الآثار والکتب التی ألّفها علماء الشیعة فی آیات الأحکام فبلغت حوالی ثلاثین أثراً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 المذاهب الأخری کالشافعیة والحنابلة ظهرت مؤلفات فی آیات الأحکام، بل دخل هذا المجال من غیر أهل السنة، إذ ألّف الزیدیة مثلاً حوالی خمسة عشر أثراً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الآثار المؤلفة فی آیات الأحکام عند الشیعة توجد مجموعة حظیت باهتمام، کبیر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للمرحوم القطب الراوندی المتوفی سنة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للفاضل المقداد، 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للمرحوم المقدس الأردبیلی، 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الأفهام إلی آیات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للفاضل الجواد شمس الدین الکاظمی الذی عاش فی القرن الحادی عشر وکان من تلامیذ الشیخ البهائی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تلک الکتب التی کان والدنا المحقّق الراحل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یهتم به اهتماماً خاصاً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قلائد الدرر فی بیان آیات الأحکام بالأثر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لمؤلفه المرحوم الشیخ أحمد الجزائری المتوفی سنة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حیث کان الوالد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وجدت فی هذا الکتاب من النقاط التی لم أجدها فی سائر الکتب الأخری من آیات الأحکام</w:t>
      </w:r>
      <w:r>
        <w:rPr>
          <w:rFonts w:eastAsia="IRNazanin" w:cs="IRNazanin"/>
          <w:color w:val="111111"/>
          <w:sz w:val="28"/>
          <w:szCs w:val="28"/>
          <w:rtl w:val="true"/>
          <w:lang w:bidi="fa-IR"/>
        </w:rPr>
        <w:t>).</w:t>
      </w:r>
      <w:bookmarkStart w:id="27" w:name="pg5472_36267"/>
    </w:p>
    <w:p>
      <w:pPr>
        <w:pStyle w:val="BookText"/>
        <w:rPr/>
      </w:pPr>
      <w:bookmarkEnd w:id="27"/>
      <w:r>
        <w:rPr>
          <w:rFonts w:ascii="IRNazanin" w:hAnsi="IRNazanin" w:eastAsia="IRNazanin"/>
          <w:color w:val="111111"/>
          <w:sz w:val="28"/>
          <w:sz w:val="28"/>
          <w:szCs w:val="28"/>
          <w:rtl w:val="true"/>
          <w:lang w:bidi="fa-IR"/>
        </w:rPr>
        <w:t xml:space="preserve">أما عند أهل السنة فما هو معروف لدیهم ومشهور،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للجصّاص المتوفی سنة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ویعدّ هذا الکتاب من أهم التفاسیر الفقهیة عند الأحناف، والثانی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للطبری من فقهاء الشافعیة المعروفین، 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العربی الذی کان مالکی المذهب، وهو غیر محیی الدین بن عربی صاحب کتاب الفتوحات</w:t>
      </w:r>
      <w:r>
        <w:rPr>
          <w:rFonts w:eastAsia="IRNazanin" w:cs="IRNazanin"/>
          <w:color w:val="111111"/>
          <w:sz w:val="28"/>
          <w:szCs w:val="28"/>
          <w:rtl w:val="true"/>
          <w:lang w:bidi="fa-IR"/>
        </w:rPr>
        <w:t>.</w:t>
      </w:r>
    </w:p>
    <w:p>
      <w:pPr>
        <w:pStyle w:val="Heading2"/>
        <w:numPr>
          <w:ilvl w:val="1"/>
          <w:numId w:val="1"/>
        </w:numPr>
        <w:rPr/>
      </w:pPr>
      <w:bookmarkStart w:id="28" w:name="__RefHeading___Toc2158352_581953129"/>
      <w:bookmarkStart w:id="29" w:name="_Toc10"/>
      <w:bookmarkEnd w:id="28"/>
      <w:r>
        <w:rPr>
          <w:rtl w:val="true"/>
        </w:rPr>
        <w:t>النقطة الثالثة</w:t>
      </w:r>
      <w:r>
        <w:rPr>
          <w:rtl w:val="true"/>
        </w:rPr>
        <w:t xml:space="preserve">: </w:t>
      </w:r>
      <w:r>
        <w:rPr>
          <w:rtl w:val="true"/>
        </w:rPr>
        <w:t>أسلوب تألیف آیات الأحکام</w:t>
      </w:r>
      <w:bookmarkEnd w:id="29"/>
    </w:p>
    <w:p>
      <w:pPr>
        <w:pStyle w:val="Heading3"/>
        <w:numPr>
          <w:ilvl w:val="2"/>
          <w:numId w:val="1"/>
        </w:numPr>
        <w:rPr/>
      </w:pPr>
      <w:bookmarkStart w:id="30" w:name="__RefHeading___Toc2158354_581953129"/>
      <w:bookmarkStart w:id="31" w:name="_Toc11"/>
      <w:bookmarkEnd w:id="30"/>
      <w:r>
        <w:rPr>
          <w:rtl w:val="true"/>
        </w:rPr>
        <w:t>الأسلوب الترتیبی علی أساس سور القرآن</w:t>
      </w:r>
      <w:bookmarkEnd w:id="31"/>
    </w:p>
    <w:p>
      <w:pPr>
        <w:pStyle w:val="BookText"/>
        <w:rPr/>
      </w:pPr>
      <w:r>
        <w:rPr>
          <w:rFonts w:ascii="IRNazanin" w:hAnsi="IRNazanin" w:eastAsia="IRNazanin"/>
          <w:color w:val="111111"/>
          <w:sz w:val="28"/>
          <w:sz w:val="28"/>
          <w:szCs w:val="28"/>
          <w:rtl w:val="true"/>
          <w:lang w:bidi="fa-IR"/>
        </w:rPr>
        <w:t>إن الفرق الذی نلاحظه فی أسلوب التألیف بین الشیعة وأهل السنة فی آیات الأحکام، أن أهل السنة غالباً ما یکتبون فی آیات الأحکام علی أساس ترتیب سور القرآن الکریم، فعلی سبیل المثال، یبدؤون فی البحث بأول سورة فی القرآن وهی فاتحة الکتاب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تجب البسملة فی القراءة أثناء الصلاة أو لا؟ ومن ثم یذکرون الآیات الفقهیة الواردة فی سورة البقرة، وبهذا الأسلوب فی ترتیب الآیات الفقهیة یذکرون سائر السور ویخضعونها للبحث والدراسة</w:t>
      </w:r>
      <w:r>
        <w:rPr>
          <w:rFonts w:eastAsia="IRNazanin" w:cs="IRNazanin"/>
          <w:color w:val="111111"/>
          <w:sz w:val="28"/>
          <w:szCs w:val="28"/>
          <w:rtl w:val="true"/>
          <w:lang w:bidi="fa-IR"/>
        </w:rPr>
        <w:t>.</w:t>
      </w:r>
    </w:p>
    <w:p>
      <w:pPr>
        <w:pStyle w:val="Heading3"/>
        <w:numPr>
          <w:ilvl w:val="2"/>
          <w:numId w:val="1"/>
        </w:numPr>
        <w:rPr/>
      </w:pPr>
      <w:bookmarkStart w:id="32" w:name="__RefHeading___Toc2158356_581953129"/>
      <w:bookmarkStart w:id="33" w:name="_Toc12"/>
      <w:bookmarkEnd w:id="32"/>
      <w:r>
        <w:rPr>
          <w:rtl w:val="true"/>
        </w:rPr>
        <w:t>الأسلوب الترتیبی وفق الأبواب الفقهیة</w:t>
      </w:r>
      <w:bookmarkEnd w:id="33"/>
    </w:p>
    <w:p>
      <w:pPr>
        <w:pStyle w:val="BookText"/>
        <w:rPr/>
      </w:pPr>
      <w:r>
        <w:rPr>
          <w:rFonts w:ascii="IRNazanin" w:hAnsi="IRNazanin" w:eastAsia="IRNazanin"/>
          <w:color w:val="111111"/>
          <w:sz w:val="28"/>
          <w:sz w:val="28"/>
          <w:szCs w:val="28"/>
          <w:rtl w:val="true"/>
          <w:lang w:bidi="fa-IR"/>
        </w:rPr>
        <w:t xml:space="preserve">أما أسلوب علماء الشیعة فی البحث فی آیات الأحکام فقام علی أساس ترتیب الأبواب الفقهیة، إذ کان أسلوب القطب الراوندی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الآیات الفقهیة بحسب ترتیب أبواب الکتب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الطهارة، کتاب الصلاة، کتاب</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فیورد الآیات المتعلقة بکل باب، وکذلک جری فی ذلک کل من</w:t>
      </w:r>
      <w:bookmarkStart w:id="34" w:name="pg5472_36268"/>
    </w:p>
    <w:p>
      <w:pPr>
        <w:pStyle w:val="BookText"/>
        <w:rPr/>
      </w:pPr>
      <w:bookmarkEnd w:id="34"/>
      <w:r>
        <w:rPr>
          <w:rFonts w:ascii="IRNazanin" w:hAnsi="IRNazanin" w:eastAsia="IRNazanin"/>
          <w:color w:val="111111"/>
          <w:sz w:val="28"/>
          <w:sz w:val="28"/>
          <w:szCs w:val="28"/>
          <w:rtl w:val="true"/>
          <w:lang w:bidi="fa-IR"/>
        </w:rPr>
        <w:t>الفاضل المقداد فی کنز العرفان والمرحوم الأردبیلی فی زبدة البیان والمرحوم الفاضل الجواد الکاظمی فی مسالک الأفهام</w:t>
      </w:r>
      <w:r>
        <w:rPr>
          <w:rFonts w:eastAsia="IRNazanin" w:cs="IRNazanin"/>
          <w:color w:val="111111"/>
          <w:sz w:val="28"/>
          <w:szCs w:val="28"/>
          <w:rtl w:val="true"/>
          <w:lang w:bidi="fa-IR"/>
        </w:rPr>
        <w:t>.</w:t>
      </w:r>
    </w:p>
    <w:p>
      <w:pPr>
        <w:pStyle w:val="Heading3"/>
        <w:numPr>
          <w:ilvl w:val="2"/>
          <w:numId w:val="1"/>
        </w:numPr>
        <w:rPr/>
      </w:pPr>
      <w:bookmarkStart w:id="35" w:name="__RefHeading___Toc2158358_581953129"/>
      <w:bookmarkStart w:id="36" w:name="_Toc13"/>
      <w:bookmarkEnd w:id="35"/>
      <w:r>
        <w:rPr>
          <w:rtl w:val="true"/>
        </w:rPr>
        <w:t>الأسلوب الموضوعی</w:t>
      </w:r>
      <w:bookmarkEnd w:id="36"/>
    </w:p>
    <w:p>
      <w:pPr>
        <w:pStyle w:val="BookText"/>
        <w:rPr/>
      </w:pPr>
      <w:r>
        <w:rPr>
          <w:rFonts w:ascii="IRNazanin" w:hAnsi="IRNazanin" w:eastAsia="IRNazanin"/>
          <w:color w:val="111111"/>
          <w:sz w:val="28"/>
          <w:sz w:val="28"/>
          <w:szCs w:val="28"/>
          <w:rtl w:val="true"/>
          <w:lang w:bidi="fa-IR"/>
        </w:rPr>
        <w:t>یمکن أیضاً أن نلاحظ أسلوباً ثلاثاً فی التألیف حول آیات الأحکام وهو تقسیم تلک الآیات الکریمة وفق مواضیعها، وذلک بجمع الآیات المتعلقة بأحکام الحجاب، وکذلک الآیات المتعلقة بأحکام الصدقات، وکذلک الآیات المتعلقة بأحکام القتال، وکذلک الآیات المتعلقة بأحکام المسجد، والآیات المتعلقة بأحکام الأسرة وهکذا، وهو ما یدعی بالأسلوب الموضوعی للبحث فی آیات الأحکام، إذ ربما یؤدی طرح موضوع وإدراج الآیات المتعلقة به إلی استخراج نقاط أخری من ضمّ الآیات إلی بعضها، ولولا هذا الضم لم نکن لنستفید مثل ذلک</w:t>
      </w:r>
      <w:r>
        <w:rPr>
          <w:rFonts w:eastAsia="IRNazanin" w:cs="IRNazanin"/>
          <w:color w:val="111111"/>
          <w:sz w:val="28"/>
          <w:szCs w:val="28"/>
          <w:rtl w:val="true"/>
          <w:lang w:bidi="fa-IR"/>
        </w:rPr>
        <w:t>.</w:t>
      </w:r>
    </w:p>
    <w:p>
      <w:pPr>
        <w:pStyle w:val="Heading3"/>
        <w:numPr>
          <w:ilvl w:val="2"/>
          <w:numId w:val="1"/>
        </w:numPr>
        <w:rPr/>
      </w:pPr>
      <w:bookmarkStart w:id="37" w:name="__RefHeading___Toc2158360_581953129"/>
      <w:bookmarkStart w:id="38" w:name="_Toc14"/>
      <w:bookmarkEnd w:id="37"/>
      <w:r>
        <w:rPr>
          <w:rtl w:val="true"/>
        </w:rPr>
        <w:t>أسلوبنا فی البحث حول آیات الأحکام</w:t>
      </w:r>
      <w:bookmarkEnd w:id="38"/>
    </w:p>
    <w:p>
      <w:pPr>
        <w:pStyle w:val="BookText"/>
        <w:rPr/>
      </w:pPr>
      <w:r>
        <w:rPr>
          <w:rFonts w:ascii="IRNazanin" w:hAnsi="IRNazanin" w:eastAsia="IRNazanin"/>
          <w:color w:val="111111"/>
          <w:sz w:val="28"/>
          <w:sz w:val="28"/>
          <w:szCs w:val="28"/>
          <w:rtl w:val="true"/>
          <w:lang w:bidi="fa-IR"/>
        </w:rPr>
        <w:t xml:space="preserve">لقد اخترنا فی هذا الکتاب الأسلوب الموضوعی، ونرید أن نطرح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المتعلقة بالخمس فما یعد من المسائل التی یبتلی بها، لا سیما فی ظل الحملة الشدیدة التی تشنّ علی الشیعة هذه الأیام طارحة الکثیر من الشبهات التی لا أساس لها حوله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أعدّ الوهابیون أخیراً کتیّبات حول الخمس، وقاموا بتوزیعها فی موسم الحج والعمرة بین الزوار الإیرانیین وسائر الشیعة، طارحین فیها السؤال التالی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أین لکم الدلیل من القرآن الکریم بوجوب دفع خمس أرباح التجارات؟ إذ من وجهة نظرهم بأنه لا یوجد مثل هذا فی القرآن الکریم، لذا سوف نقوم بطرح بعض من هذه الشبهات فی هذا الکتاب ونردّ علیها رداً محکماً من القرآن الکریم</w:t>
      </w:r>
      <w:r>
        <w:rPr>
          <w:rFonts w:eastAsia="IRNazanin" w:cs="IRNazanin"/>
          <w:color w:val="111111"/>
          <w:sz w:val="28"/>
          <w:szCs w:val="28"/>
          <w:rtl w:val="true"/>
          <w:lang w:bidi="fa-IR"/>
        </w:rPr>
        <w:t>.</w:t>
      </w:r>
      <w:bookmarkStart w:id="39" w:name="pg5472_36269"/>
    </w:p>
    <w:p>
      <w:pPr>
        <w:pStyle w:val="Heading2"/>
        <w:numPr>
          <w:ilvl w:val="1"/>
          <w:numId w:val="1"/>
        </w:numPr>
        <w:rPr/>
      </w:pPr>
      <w:bookmarkStart w:id="40" w:name="__RefHeading___Toc2158362_581953129"/>
      <w:bookmarkStart w:id="41" w:name="_Toc15"/>
      <w:bookmarkEnd w:id="39"/>
      <w:bookmarkEnd w:id="40"/>
      <w:r>
        <w:rPr>
          <w:rtl w:val="true"/>
        </w:rPr>
        <w:t>النقطة الرابعة</w:t>
      </w:r>
      <w:r>
        <w:rPr>
          <w:rtl w:val="true"/>
        </w:rPr>
        <w:t xml:space="preserve">: </w:t>
      </w:r>
      <w:r>
        <w:rPr>
          <w:rtl w:val="true"/>
        </w:rPr>
        <w:t>ما الفائدة من دراسة آیات الأحکام</w:t>
      </w:r>
      <w:bookmarkEnd w:id="41"/>
    </w:p>
    <w:p>
      <w:pPr>
        <w:pStyle w:val="BookText"/>
        <w:rPr/>
      </w:pPr>
      <w:r>
        <w:rPr>
          <w:rFonts w:ascii="IRNazanin" w:hAnsi="IRNazanin" w:eastAsia="IRNazanin"/>
          <w:color w:val="111111"/>
          <w:sz w:val="28"/>
          <w:sz w:val="28"/>
          <w:szCs w:val="28"/>
          <w:rtl w:val="true"/>
          <w:lang w:bidi="fa-IR"/>
        </w:rPr>
        <w:t>قبل أن نبدأ بالبحث والدراسة فی آیات الخمس من القرآن الکریم، وجدنا من المناسب أن نهتم بطرح هذا السؤال والرد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لم یتم ضمّ الروایات الشریفة إلی الآیات الکریمة من القرآن الکریم، ولم توجد أدلة أخری لفهم الآیات الکریمة، فما الفائدة من البحث فی آیات الأحکام فی حدِّ ذاته؟ إذ فی مقام استنباط الأحکام الشرعیة لا یمکن الاستناد إلی آیة واحدة أو عدة آیات للوصول إلی الحکم الشرعی، ما لم یتمّ ضم أدلة أخری إلیها، وبالتالی لا یمکن الوصول إلی نتیجة سلیمة من الاستناد إلی الآیات الکریمة فحسب، لا سیما إذا لاحظنا الروایة المعروفة المنقولة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ونصها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 قتادة بن دعامة علی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قتادة، أنت فقیه أهل البصرة،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یزعمون، 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أنک تفسر القرآن، فقال له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فقال له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کنت تفسره بعلم فأنت أنت، وأنا أسألک إلی أن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إنما فسّرت القرآن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تلقاء نفسک فقد هلکت وأهلکت، وإن کنت قد فسرته من الرجال فقد هلکت وأهلکت، ویحک یا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یعرف القرآن من خوطب به</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بناء علی هذا، فإن بعض الفقهاء لا یبحثون فی آیات الأحکام بشکل مستقل، متمسکین بإحدی الأدلة التی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الاستفادة والوصول إلی حکم شرعی استناداً إلی آیات القرآن الکریم فحسب، بل یجب ملاحظة الروایات المقیِّدة والمخصِّصة لها، بالبحث فی وجود أو عدم وجود قرینة علی خلاف ظاهر الآیة من الروایات، بناء علی هذا، إذا لم یتم ضمّ الروایات إلی الآیات القرآنیة، فلا یمکن الوصول إلی حکم شرعی، وإن تمّ ضمّ الروایات إلی تلک الآیات فإنه یتحول إلی بحث متعارف فی علم الفقه، ولا حاجة عندئذٍ إلی البحث فی آیات الأحکام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السؤال أجوبة متعددة نذکرها فیما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الأول</w:t>
      </w:r>
    </w:p>
    <w:p>
      <w:pPr>
        <w:pStyle w:val="BookText"/>
        <w:rPr/>
      </w:pPr>
      <w:r>
        <w:rPr>
          <w:rFonts w:ascii="IRNazanin" w:hAnsi="IRNazanin" w:eastAsia="IRNazanin"/>
          <w:color w:val="111111"/>
          <w:sz w:val="28"/>
          <w:sz w:val="28"/>
          <w:szCs w:val="28"/>
          <w:rtl w:val="true"/>
          <w:lang w:bidi="fa-IR"/>
        </w:rPr>
        <w:t>إن البحث فی آیات الأحکام نظیر البحث عن القواعد الفقهیة والأصولیة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تطرح فی هذه العلوم جهتان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الفقیه فی بحثه المستقل عن قاعدة فقهیة أو أصولیة یسعی إلی تأسیس کبری کلیة کدلیل عام، یطرحه لیستطیع من هذه الضابطة الکلیة أن یصل إلی حکم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البحث عن الآیات الفقهیة أو آیات الأحکام، فإن الفقیه کذلک یسعی إلی البحث فی إمکانیة استخراج ضابطة کلیة من آیة ما وطرحها بعنوان دلیل عام له مصادیق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الأصولی بمجرَّد استنباطه قاعدة أصولیة لا یمکنه أن یصدر حکماً شرعیاً مباشرة علی أساسه، کما أن الفقیه الذی یبحث فی قاعدة فقهیة کقاعدة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w:t>
      </w:r>
    </w:p>
    <w:p>
      <w:pPr>
        <w:pStyle w:val="BookText"/>
        <w:rPr/>
      </w:pPr>
      <w:r>
        <w:rPr>
          <w:rFonts w:ascii="Amiri" w:hAnsi="Amiri" w:eastAsia="Amiri" w:cs="Amiri"/>
          <w:color w:val="111111"/>
          <w:sz w:val="28"/>
          <w:sz w:val="28"/>
          <w:szCs w:val="28"/>
          <w:rtl w:val="true"/>
          <w:lang w:bidi="ar-SA"/>
        </w:rPr>
        <w:t>العسر والحرج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عَلَیْکُمْ فِی الدِّینِ مِنْ حَرَجٍ‌</w:t>
      </w:r>
      <w:r>
        <w:rPr>
          <w:rStyle w:val="FootnoteAnchor"/>
          <w:rtl w:val="true"/>
        </w:rPr>
        <w:footnoteReference w:id="19"/>
      </w:r>
      <w:r>
        <w:rPr>
          <w:rFonts w:ascii="IRNazanin" w:hAnsi="IRNazanin" w:eastAsia="IRNazanin"/>
          <w:color w:val="111111"/>
          <w:sz w:val="28"/>
          <w:sz w:val="28"/>
          <w:szCs w:val="28"/>
          <w:rtl w:val="true"/>
          <w:lang w:bidi="fa-IR"/>
        </w:rPr>
        <w:t>، قد یصل إلی قاعدة نفی الحرج، ولکنه لا یستطیع أن یستنبط حکماً فقهیاً استناداً إلی ذلک، نعم لا منافاة أن یجد فیما بعد دلیلاً أو روایة معتبرة توجب التخصیص، وفی النتیجة یؤدی ذلک إلی استثناء موارد من هذه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البحث عن آیات الأحکام کذلک توجد هاتان الجهتان، إذ فی الآیات الفقهیة القرآنیة یجب ملاحظة کیفیة الوصول إلی حکم من هذه الآیات والعمل طبقاً لها، وإن لاحظنا أثناء الرجوع إلی الفقه بأن الاعتماد علی الروایات یؤدی إلی عدم الاهتمام بخصوص الآیة وقرائنها أو الآیات والقرائن التی تسبقها أو تلیها، وثمرة هذا الأسلوب یتمثل فی أنه إذا لم توجد روایة مخالفة أو معارضة عندها یجب العمل طبق تلک الآیة، وإن وجدت روایة معتبرة فیجب العمل بناء علی ملاحظة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ویجب الالتفات إلی هذه النقطة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الفقهاء أثناء انشغالهم بالمسائل الفقهیة لا یجدون مجالاً لدراسة خصوصیات کلِّ الآیات المتعلقة بموضوع مسألة البحث، إذ کما تطرح القواعد الفقهیة والقواعد الأصولیة ویشار إلیها بالمناسبة أثناء البحث الفقهی، فکذلک تشار إشارات مختصرة وإجمالیة إلی الآیات الکریمة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السابق لم یکن البحث فی الأصول مستقلاً ومنفصلاً عن البحث فی الفقه، وکان کبار العلماء أثناء طرحهم للمسائل الفقهیة، عندما یمرّون مثلاً بصیغة الأمر،</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فإنهم کانوا یصرِّحون علی نحو الإجمال بأن صیغة الأمر ظاهرة فی الوجوب، حتی استقلّت المباحث الأصولیة مع مرور الزمان وبشکل تدریجی بسبب ظهور شبهات وأسئلة متعددة حول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ذلک، یجب البحث فی القواعد الفقهیة والأصولیة بشکل مستقل، وکما أن الفقیه لا یمکنه أن یفتی بمجرد اعتماده علی قاعدة فقهیة، لأنه من الممکن أن تکون لتلک القاعدة روایات معارضة، وینطبق هذا الأمر کذلک علی القاعدة الأصولیة التی لا یمکن الفتوی علی أساسها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فی بحث اجتماع الأمر والنهی من الممکن الوصول إلی النتیجة التالیة بجواز اجتماع الأمر والنهی، وثمرة هذه القاعدة والنتیجة تظهر فی الحکم الفقهی التالی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الصلاة فی الدار الغصبیة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الفقیه لا یستطیع له الإفتاء بمجرد الاعتماد علی هذه القاعدة، بل یعود إلی الروایات المتعلقة بباب الصلاة وملاحظتها بعد إتمام بحثه فی هذه القاعدة، والتأمل فیها وکیفیة الاستفادة منها ونتیجتها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المرحوم السید الیزدی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کتب رسالة فی بحث اجتماع الأمر والنهی، ووصل إلی نتیجة مفادها بجواز اجتماع الأمر والنهی، لکنه مع ذلک یفتی ببطلان الصلاة فی الدار الغصبیة</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وکذلک کبار العلماء الآخرون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المرحوم البروجردی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xml:space="preserve">، والمرحوم الوالد الراحل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القائلین بالجواز فی باب</w:t>
      </w:r>
    </w:p>
    <w:p>
      <w:pPr>
        <w:pStyle w:val="BookText"/>
        <w:rPr/>
      </w:pPr>
      <w:r>
        <w:rPr>
          <w:rFonts w:ascii="IRNazanin" w:hAnsi="IRNazanin" w:eastAsia="IRNazanin"/>
          <w:color w:val="111111"/>
          <w:sz w:val="28"/>
          <w:sz w:val="28"/>
          <w:szCs w:val="28"/>
          <w:rtl w:val="true"/>
          <w:lang w:bidi="fa-IR"/>
        </w:rPr>
        <w:t>اجتماع الأمر والنهی، لکنهم فی مقام الفتوی، واستناداً إلی أدلة أخری وروایات خاصة موجودة فی هذا السیاق، یقولون ببطلان الصلاة فی الدار الغصبیة</w:t>
      </w:r>
      <w:r>
        <w:rPr>
          <w:rFonts w:eastAsia="IRNazanin" w:cs="IRNazanin"/>
          <w:color w:val="111111"/>
          <w:sz w:val="28"/>
          <w:szCs w:val="28"/>
          <w:rtl w:val="true"/>
          <w:lang w:bidi="fa-IR"/>
        </w:rPr>
        <w:t>.</w:t>
      </w:r>
      <w:r>
        <w:rPr>
          <w:rStyle w:val="FootnoteAnchor"/>
          <w:rtl w:val="true"/>
        </w:rPr>
        <w:footnoteReference w:id="22"/>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هذا، کما أن الفقیه لا یمکنه الفتوی بمجرد البحث فی القواعد الفقهیة والأصولیة، یتضح أن مجرد البحث عن آیات الأحکام لا یمکن أن یوصلنا إلی</w:t>
      </w:r>
    </w:p>
    <w:p>
      <w:pPr>
        <w:pStyle w:val="BookText"/>
        <w:rPr/>
      </w:pPr>
      <w:r>
        <w:rPr>
          <w:rFonts w:ascii="IRNazanin" w:hAnsi="IRNazanin" w:eastAsia="IRNazanin"/>
          <w:color w:val="111111"/>
          <w:sz w:val="28"/>
          <w:sz w:val="28"/>
          <w:szCs w:val="28"/>
          <w:rtl w:val="true"/>
          <w:lang w:bidi="fa-IR"/>
        </w:rPr>
        <w:t>نتیجة قطعیة ونهائیة حول حکم شرعی ما، ولکن ذلک لا یعنی عدم طرح البحث فی آیات الأحکام بشکل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الثانی</w:t>
      </w:r>
    </w:p>
    <w:p>
      <w:pPr>
        <w:pStyle w:val="BookText"/>
        <w:rPr/>
      </w:pPr>
      <w:r>
        <w:rPr>
          <w:rFonts w:ascii="IRNazanin" w:hAnsi="IRNazanin" w:eastAsia="IRNazanin"/>
          <w:color w:val="111111"/>
          <w:sz w:val="28"/>
          <w:sz w:val="28"/>
          <w:szCs w:val="28"/>
          <w:rtl w:val="true"/>
          <w:lang w:bidi="fa-IR"/>
        </w:rPr>
        <w:t>إن ما ورد فی روایة قتادة، لا یعنی أن یمتنع الإنسان عن الرجوع إلی آیات الأحکام بشکل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الأخباریین الذین یعتقدون بعدم حجیة ظواهر القرآن، لم یستطیعوا أن یطبقوا ادعاءهم ذلک فی مورد آیات الأحکام فاستثنوا هذه الآیات من تلک القاعدة المعروفة عندهم،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لآیات الأحکام ظهوراً، وهذا الظهور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بغضِّ النظر عن ذلک، فإن روایة زید الشحام</w:t>
      </w:r>
      <w:r>
        <w:rPr>
          <w:rStyle w:val="FootnoteAnchor"/>
          <w:rtl w:val="true"/>
        </w:rPr>
        <w:footnoteReference w:id="23"/>
      </w:r>
      <w:r>
        <w:rPr>
          <w:rFonts w:ascii="IRNazanin" w:hAnsi="IRNazanin" w:eastAsia="IRNazanin"/>
          <w:color w:val="111111"/>
          <w:sz w:val="28"/>
          <w:sz w:val="28"/>
          <w:szCs w:val="28"/>
          <w:rtl w:val="true"/>
          <w:lang w:bidi="fa-IR"/>
        </w:rPr>
        <w:t xml:space="preserve">التی یبیِّن فیها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یحق لک أن تفتی طبقاً للقرآن، بدلیل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یعرف القرآن من خوطب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والقول فی حد ذاته لا یمکنه أن یردع الأشخاص عن الرجوع إلی آیات الأحکام بشکل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السؤال الأساسی الذی یطرح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یمکن الاستفادة من القرآن دون الرجوع إلی الروایات؟ وهل یمکن فهم القرآن بدون الروایات؟ فعلی سبیل المثال، فی روایة زید الشحام التی یقول فیها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لقتادة 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یعرف القرآن من خوطب به أو فی بعض</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الموارد التی یقسم فیها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فقهاء أهل السنة ویقولون 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ورثک من کتاب الله من حرف فهل یجب بناء علی ذلک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فهم القرآن منحصر بأفراد معینین مثل الأئمة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هل 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لفهم کل آیة أو آیة ما من القرآن الکریم، سواء کانت من المحکمات أو المتشابهات یجب أن نستعین بالروایات المنقولة عن الأئمة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وإذا لم توجد</w:t>
      </w:r>
    </w:p>
    <w:p>
      <w:pPr>
        <w:pStyle w:val="BookText"/>
        <w:rPr/>
      </w:pPr>
      <w:r>
        <w:rPr>
          <w:rFonts w:ascii="IRNazanin" w:hAnsi="IRNazanin" w:eastAsia="IRNazanin"/>
          <w:color w:val="111111"/>
          <w:sz w:val="28"/>
          <w:sz w:val="28"/>
          <w:szCs w:val="28"/>
          <w:rtl w:val="true"/>
          <w:lang w:bidi="fa-IR"/>
        </w:rPr>
        <w:t>روایة فی هذا السیاق، عندها نحکم بعدم إمکانیة فهم هذه الآیة، وفی النتیجة لا یمکن استظهار أی شیء منها؟ إن تلک الأسئلة هی ما أوردها الإخباریون لإثبات عدم حجیة ظواهر القرآن الکریم، ویمکن الرد علیها بعدة أجوبة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قبلنا جدلاً أن 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یعرف القرآن من خوطب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یستفاد منه لزوم الرجوع إلی الروایات الواردة عن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لفهم کل آیة والعمل علی أساسها، وإن لم یوجد تفسیر منهم لتلک الآیة یجب اعتبارها مجملة وغیر قابلة للفهم، فإن لازم ذلک المعنی والکلام أن کافة آیات القرآن متشابهة، وواضح أن هذا الأمر خلاف صریح القرآن الکریم بأن القرآن قسّم آیاته إلی مجموعتین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محکمة ومتشابهة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الإشکال المذکور یعارض وینافی الآیات القرآنیة التی تأمر الناس بالتدبر فی القرآن الکریم أو التی تذمّ عدم التدبّر فیه،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یَتَدَبَّرُونَ الْقُرْآنَ‌</w:t>
      </w:r>
      <w:r>
        <w:rPr>
          <w:rStyle w:val="FootnoteAnchor"/>
          <w:rtl w:val="true"/>
        </w:rPr>
        <w:footnoteReference w:id="24"/>
      </w:r>
      <w:r>
        <w:rPr>
          <w:rFonts w:ascii="IRNazanin" w:hAnsi="IRNazanin" w:eastAsia="IRNazanin"/>
          <w:color w:val="111111"/>
          <w:sz w:val="28"/>
          <w:sz w:val="28"/>
          <w:szCs w:val="28"/>
          <w:rtl w:val="true"/>
          <w:lang w:bidi="fa-IR"/>
        </w:rPr>
        <w:t>إذ یذمّ الله عز وجل وینکر علی عموم الناس عدم تدبّرهم للقرآن الکریم ولا خصوصیة للعلماء فی ذلک، بل إن الذم موجّه إلی عامة الناس لعدم</w:t>
      </w:r>
    </w:p>
    <w:p>
      <w:pPr>
        <w:pStyle w:val="BookText"/>
        <w:rPr/>
      </w:pPr>
      <w:r>
        <w:rPr>
          <w:rFonts w:ascii="IRNazanin" w:hAnsi="IRNazanin" w:eastAsia="IRNazanin"/>
          <w:color w:val="111111"/>
          <w:sz w:val="28"/>
          <w:sz w:val="28"/>
          <w:szCs w:val="28"/>
          <w:rtl w:val="true"/>
          <w:lang w:bidi="fa-IR"/>
        </w:rPr>
        <w:t>تدبّرهم، لذا یتضح أن القرآن کتاب یمکن للناس العادیین أن یستفیدوا منه فی حدود أفکارهم وعقولهم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الثالث</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بأنفسهم لزوم عرض الروایات التی تصل الناس علی القرآن الکریم وردّ ما یخالف القرآن منها، وهذا الأمر فرع علی إمکانیة فهم معانی</w:t>
      </w:r>
    </w:p>
    <w:p>
      <w:pPr>
        <w:pStyle w:val="BookText"/>
        <w:rPr/>
      </w:pPr>
      <w:r>
        <w:rPr>
          <w:rFonts w:ascii="IRNazanin" w:hAnsi="IRNazanin" w:eastAsia="IRNazanin"/>
          <w:color w:val="111111"/>
          <w:sz w:val="28"/>
          <w:sz w:val="28"/>
          <w:szCs w:val="28"/>
          <w:rtl w:val="true"/>
          <w:lang w:bidi="fa-IR"/>
        </w:rPr>
        <w:t>القرآن الکریم، ومن ثم عرض تلک المعانی المتوصَّل إلیها علی الروایات وملاحظة مواضع المعارضة والموافقة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إمکانیة فهم الآیات القرآنیة بدون الرجوع إلی الروایات، عندئذ تصبح تلک الروایات التی تحث علی عرض الروایات علی القرآن الکریم بلا مصداق ولیست أمراً قابلاً للإمکان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بحثنا حول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قمنا بالبحث التفصیلی حول روایة عبد الأعلی مولی آل سام حیث سئل فیها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حکم شخص وقع وجرحت إصبع رجله فما حکم وضوئه؟ فأجاب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بالجبیرة، ومن ثم یقول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هذه الروایة 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یُعرف هذا وأشباهه من کتاب الله</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یستفاد من هذه الروایة إمکانیة الاستفادة من القرآن الکریم فی بعض الموارد، ووجود قواعد کلیة فی القرآن الکریم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عَلَیْکُمْ فِی الدِّینِ مِنْ حَرَجٍ‌</w:t>
      </w:r>
      <w:r>
        <w:rPr>
          <w:rStyle w:val="FootnoteAnchor"/>
          <w:rtl w:val="true"/>
        </w:rPr>
        <w:footnoteReference w:id="26"/>
      </w:r>
      <w:r>
        <w:rPr>
          <w:rFonts w:ascii="IRNazanin" w:hAnsi="IRNazanin" w:eastAsia="IRNazanin"/>
          <w:color w:val="111111"/>
          <w:sz w:val="28"/>
          <w:sz w:val="28"/>
          <w:szCs w:val="28"/>
          <w:rtl w:val="true"/>
          <w:lang w:bidi="fa-IR"/>
        </w:rPr>
        <w:t xml:space="preserve">، وفی مثل هذه الموارد لا حاجة للرجوع إلی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والروایات الواردة عنهم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بناء علی هذا، عندما نقوم بدراسة الروایات، نلاحظ أن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فی صدد إرجاع أصحابهم إلی کتاب الله، وکانوا یبینون لأصحابهم بوجود آیات مثل ما جَعَلَ عَلَیْکُمْ فِی الدِّینِ مِنْ حَرَجٍ فی القرآن الکریم یمکن الاستفادة منها فی خصوص المسائل الفقهیة، کما ورد فی روایة مولی آل سام حول الوضوء، وذلک بالاستفادة منها کقاعدة کلیة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فی الروایة التی یسأل فیها زرارة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عرفت المسح ببعض الرأس فأجابه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لمکان الباء</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جمیع ما سبق قرائن واضحة علی إمکانیة الاستفادة بشکل مباشر من ظواهر القرآن الکریم والوصول إلی نتائج من تلک الآیات التی تعدّ آیات الأحکام جزءاً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بناء علی ذلک کیف یمکن تفسیر روایة زید الشحام التی یقول فیها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یعرف القرآن من خوطب 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وذلک استناداً إلی قرینة العبارة التی سبقتها حیث یقول فیها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بلغنی أنک تفسر القرآن، ولیس معنی ذلک 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یفهمون ظاهر القرآن لوحدهم، لأن ظاهر القرآن مفهوم من قبل الجمیع، فعلی سبیل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الآیة الشریفة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عَلَیْکُمُ الصِّیامُ کَما کُتِبَ عَلَی الَّذِینَ مِنْ قَبْلِکُمْ‌</w:t>
      </w:r>
      <w:r>
        <w:rPr>
          <w:rStyle w:val="FootnoteAnchor"/>
          <w:rtl w:val="true"/>
        </w:rPr>
        <w:footnoteReference w:id="28"/>
      </w:r>
      <w:r>
        <w:rPr>
          <w:rFonts w:ascii="IRNazanin" w:hAnsi="IRNazanin" w:eastAsia="IRNazanin"/>
          <w:color w:val="111111"/>
          <w:sz w:val="28"/>
          <w:sz w:val="28"/>
          <w:szCs w:val="28"/>
          <w:rtl w:val="true"/>
          <w:lang w:bidi="fa-IR"/>
        </w:rPr>
        <w:t>واضحة یفهمها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قرأ آیة الصوم علی الناس لم یفهم منه أحد شیئاً؟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المسلّم أنهم قد فهموا، وکذلک الأمر بالنسبة إلی ظاهر الآیة الکریمة وَللهِ عَلَی النَّاسِ حِجُّ الْبَیْتِ </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أن الجمیع قد فهموا مراد ظاهر هذه الآیة، وفی تأیید هذا المطلب الذی طرحناه یمکننا أن نشیر إلی نموذج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عدداً من</w:t>
      </w:r>
    </w:p>
    <w:p>
      <w:pPr>
        <w:pStyle w:val="BookText"/>
        <w:rPr/>
      </w:pPr>
      <w:r>
        <w:rPr>
          <w:rFonts w:ascii="Amiri" w:hAnsi="Amiri" w:eastAsia="Amiri" w:cs="Amiri"/>
          <w:color w:val="111111"/>
          <w:sz w:val="28"/>
          <w:sz w:val="28"/>
          <w:szCs w:val="28"/>
          <w:rtl w:val="true"/>
          <w:lang w:bidi="ar-SA"/>
        </w:rPr>
        <w:t>الیهود الذین کانوا قد أسلموا ارتدوا عن الإسلام، حینما نزلت الآیة الکریمة وَللهِ عَلَی النَّاسِ حِجُّ الْبَیْتِ لأنهم لم یکونوا یریدون الذهاب إلی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یُعلَم، أن الناس کانوا یفهمون آیات القرآن، وأن ظواهرها کانت واضحة بشکل کامل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بناء علی هذا یتضح أن عبارة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إنما یعرف کان بمعنی إنما یفسر، وإن تفسیر المعانی فیه غیر ظاهر الآیة، لأن التفسیر بمعنی کشف باطن الآیة لا ظاهرها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إن تفسیر القرآن بمعنی کشف الحجاب عن الآیة ومعرفة بطون القرآن وحقائقه وتأویلاته مختصّ بالأئمة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الآخرون فلا یمکنهم الاستفادة والوصول إلی ذلک دون الاستعانة بالروایات والأحادیث، إذ بدون ذلک یصدق علیه التفسیر بالرأی، أما الظواهر فإنها مفهومة للجمیع سواء کانوا مجتهدین أو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وهدفنا من البحث فی آیات الأحکام هو ملاحظة ما یمکن الاستفادة من ظواهر الآیات الکریمة</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الإشارة العابرة إلی النقاط المذکورة سنشرع بحوثنا حول الآیات المتعلقة بالخمس مستعینین بالله عز وجل</w:t>
      </w:r>
      <w:r>
        <w:rPr>
          <w:rFonts w:eastAsia="IRNazanin" w:cs="IRNazanin"/>
          <w:color w:val="111111"/>
          <w:sz w:val="28"/>
          <w:szCs w:val="28"/>
          <w:rtl w:val="true"/>
          <w:lang w:bidi="fa-IR"/>
        </w:rPr>
        <w:t>.</w:t>
      </w:r>
      <w:bookmarkStart w:id="42" w:name="pg5472_36278"/>
    </w:p>
    <w:p>
      <w:pPr>
        <w:pStyle w:val="Heading2"/>
        <w:numPr>
          <w:ilvl w:val="1"/>
          <w:numId w:val="1"/>
        </w:numPr>
        <w:rPr/>
      </w:pPr>
      <w:bookmarkStart w:id="43" w:name="__RefHeading___Toc2158364_581953129"/>
      <w:bookmarkStart w:id="44" w:name="_Toc16"/>
      <w:bookmarkEnd w:id="42"/>
      <w:bookmarkEnd w:id="43"/>
      <w:r>
        <w:rPr>
          <w:rtl w:val="true"/>
        </w:rPr>
        <w:t>الآیات السّت المتعلقة بالخمس</w:t>
      </w:r>
      <w:bookmarkEnd w:id="44"/>
    </w:p>
    <w:p>
      <w:pPr>
        <w:pStyle w:val="BookText"/>
        <w:rPr/>
      </w:pPr>
      <w:r>
        <w:rPr>
          <w:rFonts w:ascii="IRNazanin" w:hAnsi="IRNazanin" w:eastAsia="IRNazanin"/>
          <w:color w:val="111111"/>
          <w:sz w:val="28"/>
          <w:sz w:val="28"/>
          <w:szCs w:val="28"/>
          <w:rtl w:val="true"/>
          <w:lang w:bidi="fa-IR"/>
        </w:rPr>
        <w:t>إن الآیات المتعلقة بالخمس التی تدل علیه ووجوبه بصورة قطعیة، أو بصورة احتمالیة هی ستّ فی 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الأنفال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بنی اسرائیل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النحل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الأنفال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الحشر</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بعض هذه الآیات تتحدث عن الأنفال والفیء، ولها ارتباط ومناسبة مع بحث الخمس کذلک، وسوف نشیر إلی ذلک فی البحوث القادمة</w:t>
      </w:r>
      <w:r>
        <w:rPr>
          <w:rFonts w:eastAsia="IRNazanin" w:cs="IRNazanin"/>
          <w:color w:val="111111"/>
          <w:sz w:val="28"/>
          <w:szCs w:val="28"/>
          <w:rtl w:val="true"/>
          <w:lang w:bidi="fa-IR"/>
        </w:rPr>
        <w:t>.</w:t>
      </w:r>
      <w:bookmarkStart w:id="45" w:name="pg5472_36280"/>
    </w:p>
    <w:p>
      <w:pPr>
        <w:pStyle w:val="Heading2"/>
        <w:numPr>
          <w:ilvl w:val="1"/>
          <w:numId w:val="1"/>
        </w:numPr>
        <w:rPr/>
      </w:pPr>
      <w:bookmarkStart w:id="46" w:name="__RefHeading___Toc2158366_581953129"/>
      <w:bookmarkStart w:id="47" w:name="_Toc17"/>
      <w:bookmarkEnd w:id="45"/>
      <w:bookmarkEnd w:id="46"/>
      <w:r>
        <w:rPr>
          <w:rtl w:val="true"/>
        </w:rPr>
        <w:t>الآیة الأولی المتعلقة بالخمس</w:t>
      </w:r>
      <w:bookmarkEnd w:id="47"/>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وَاعْلَمُوا أَنَّما غَنِمْتُمْ مِنْ شَیْ‌ءٍ فَأَنَّ للهِ خُمُسَهُ وَلِلرَّسُولِ وَلِذِی الْقُرْبی وَالْیَتامی وَالْمَساکِینِ وَابْنِ السَّبِیلِ إِنْ کُنْتُمْ آمَنْتُمْ بِاللهِ وَما أَنْزَلْنا عَلی عَبْدِنا یَوْمَ الْفُرْقانِ یَوْمَ الْتَقَی الْجَمْعانِ وَاللهُ عَلی کُلِّ شَیْ‌ءٍ قَدِیرٌ</w:t>
      </w:r>
      <w:r>
        <w:rPr>
          <w:rStyle w:val="FootnoteAnchor"/>
          <w:rtl w:val="true"/>
        </w:rPr>
        <w:footnoteReference w:id="30"/>
      </w:r>
      <w:bookmarkStart w:id="48" w:name="pg5472_36282"/>
    </w:p>
    <w:p>
      <w:pPr>
        <w:pStyle w:val="Heading2"/>
        <w:numPr>
          <w:ilvl w:val="1"/>
          <w:numId w:val="1"/>
        </w:numPr>
        <w:rPr/>
      </w:pPr>
      <w:bookmarkStart w:id="49" w:name="__RefHeading___Toc2158368_581953129"/>
      <w:bookmarkStart w:id="50" w:name="_Toc18"/>
      <w:bookmarkEnd w:id="48"/>
      <w:bookmarkEnd w:id="49"/>
      <w:r>
        <w:rPr>
          <w:rtl w:val="true"/>
        </w:rPr>
        <w:t>الآیة الأولی المتعلقة بالخمس</w:t>
      </w:r>
      <w:bookmarkEnd w:id="50"/>
    </w:p>
    <w:p>
      <w:pPr>
        <w:pStyle w:val="Heading3"/>
        <w:numPr>
          <w:ilvl w:val="2"/>
          <w:numId w:val="1"/>
        </w:numPr>
        <w:rPr/>
      </w:pPr>
      <w:bookmarkStart w:id="51" w:name="__RefHeading___Toc2158370_581953129"/>
      <w:bookmarkStart w:id="52" w:name="_Toc19"/>
      <w:bookmarkEnd w:id="51"/>
      <w:r>
        <w:rPr>
          <w:rtl w:val="true"/>
        </w:rPr>
        <w:t>اشارة</w:t>
      </w:r>
      <w:bookmarkEnd w:id="52"/>
    </w:p>
    <w:p>
      <w:pPr>
        <w:pStyle w:val="BookText"/>
        <w:rPr/>
      </w:pPr>
      <w:r>
        <w:rPr>
          <w:rFonts w:ascii="Amiri" w:hAnsi="Amiri" w:eastAsia="Amiri" w:cs="Amiri"/>
          <w:color w:val="111111"/>
          <w:sz w:val="28"/>
          <w:sz w:val="28"/>
          <w:szCs w:val="28"/>
          <w:rtl w:val="true"/>
          <w:lang w:bidi="ar-SA"/>
        </w:rPr>
        <w:t>وَاعْلَمُوا أَنَّما غَنِمْتُمْ مِنْ شَیْ‌ءٍ فَأَنَّ للهِ خُمُسَهُ وَلِلرَّسُولِ وَلِذِی الْقُرْبی وَالْیَتامی وَالْمَساکِینِ وَابْنِ السَّبِیلِ إِنْ کُنْتُمْ آمَنْتُمْ بِاللهِ وَما أَنْزَلْنا عَلی عَبْدِنا یَوْمَ الْفُرْقانِ یَوْمَ الْتَقَی الْجَمْعانِ وَاللهُ عَلی کُلِّ شَیْ‌ءٍ قَدِیرٌ</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ویجب البحث فی هذه الآیة ضمن عدّة محاور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المراد من الغنیمة؟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هی مصارف الخمس؟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کیفیة تقسیم الخمس من حیث الکم؟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کیفیة تقسیم الخمس من حیث الکیف؟</w:t>
      </w:r>
    </w:p>
    <w:p>
      <w:pPr>
        <w:pStyle w:val="Heading3"/>
        <w:numPr>
          <w:ilvl w:val="2"/>
          <w:numId w:val="1"/>
        </w:numPr>
        <w:rPr/>
      </w:pPr>
      <w:bookmarkStart w:id="53" w:name="__RefHeading___Toc2158372_581953129"/>
      <w:bookmarkStart w:id="54" w:name="_Toc20"/>
      <w:bookmarkEnd w:id="53"/>
      <w:r>
        <w:rPr>
          <w:rtl w:val="true"/>
        </w:rPr>
        <w:t>ما المراد من الغنیمة ؟</w:t>
      </w:r>
      <w:bookmarkEnd w:id="54"/>
    </w:p>
    <w:p>
      <w:pPr>
        <w:pStyle w:val="BookText"/>
        <w:rPr/>
      </w:pPr>
      <w:r>
        <w:rPr>
          <w:rFonts w:ascii="IRNazanin" w:hAnsi="IRNazanin" w:eastAsia="IRNazanin"/>
          <w:color w:val="111111"/>
          <w:sz w:val="28"/>
          <w:sz w:val="28"/>
          <w:szCs w:val="28"/>
          <w:rtl w:val="true"/>
          <w:lang w:bidi="fa-IR"/>
        </w:rPr>
        <w:t>بالرجوع إلی اللغة، نلاحظ إطلاق الغنیمة علی مطلق الفائدة، والربح، وتطلق الغنیمة علی کل فائدة وربح یحصل علیها الإنسان، ولا یوجد أی اختلاف فی هذا المعنی اللغوی بین الشیعة والسنة</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حمل الشیعة الإمامیة هذه الآیة علی ذلک المعنی اللغوی، واستفادوا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الخمس فی کل غنیمة وربح، وإن الخمس واجب فی المعادن، والغنائم الحربیة، وما یستخرج بالغوص من البحار، والکنز، وفی أرباح التجارات والصناعات والزراعات، ویستفاد هذا العموم من عموم الآیة الشریفة، طبعاً هناک موارد لا تندرج هذه الآیة فی عمومها، مثل الأرض التی یشتریها الذمی من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صرّح أهل السنة أیضاً بالقول بأن المعنی اللغوی للغنیمة عام، حیث یذکر صاحب المنار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الغنیمة فی اللغة الفائدة والربح المتحصل بدون مشقة</w:t>
      </w:r>
      <w:r>
        <w:rPr>
          <w:rStyle w:val="FootnoteAnchor"/>
          <w:rtl w:val="true"/>
        </w:rPr>
        <w:footnoteReference w:id="32"/>
      </w:r>
      <w:r>
        <w:rPr>
          <w:rFonts w:ascii="IRNazanin" w:hAnsi="IRNazanin" w:eastAsia="IRNazanin"/>
          <w:color w:val="111111"/>
          <w:sz w:val="28"/>
          <w:sz w:val="28"/>
          <w:szCs w:val="28"/>
          <w:rtl w:val="true"/>
          <w:lang w:bidi="fa-IR"/>
        </w:rPr>
        <w:t xml:space="preserve">وقد ذکر القرطبی فی تفسیره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لأحکام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یعدّ من أهم تفاسیر أهل السنة، المعنی اللغوی للغنیمة عاماً وبشکل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 یذکر ما 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بما أن هذه الآیة الشریفة وردت فی سیاق آیات الجهاد، لذا نحمل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بقرینة السیاق علی خصوص غنائم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وأضاف کذلک مشیراً إلی نقطة أخری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وتستعمل کلمة الغنیمة فی العرف الشرعی والمتشرعی فی الغنائم الحربیة</w:t>
      </w:r>
      <w:r>
        <w:rPr>
          <w:rStyle w:val="FootnoteAnchor"/>
          <w:rtl w:val="true"/>
        </w:rPr>
        <w:footnoteReference w:id="33"/>
      </w:r>
      <w:r>
        <w:rPr>
          <w:rFonts w:ascii="IRNazanin" w:hAnsi="IRNazanin" w:eastAsia="IRNazanin"/>
          <w:color w:val="111111"/>
          <w:sz w:val="28"/>
          <w:sz w:val="28"/>
          <w:szCs w:val="28"/>
          <w:rtl w:val="true"/>
          <w:lang w:bidi="fa-IR"/>
        </w:rPr>
        <w:t>ولذا نلاحظ أن بعض أهل السنة أرادوا أن یتمسکوا بقرینة السیاق، وآخرون أرادوا التمسک بالعرف الشرعی والمتشرعی، والذی سیأتی التحقیق فیه ضمن المباحث القادمة، ولکنهم جمیعاً یقولون بأن لفظ الغنیمة من وجهة النظر اللغوی عام وکلی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النقطة المهمة هنا أنه، لو کان اختلافنا مع أهل السنة فی أصل المعنی اللغوی لکانت المسألة من الصعوبة بمکان، لکن اتضح أنه لا اختلاف فی المعنی اللغوی بیننا وبینهم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الخلیل بن أحمد الفراهیدی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یعدّ من الکتب اللغویة القدیمة، ونال اهتمام علماء العامة والخاصة 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الغُنُم أو الغَنُم الفوز بالشیء من غیر مشقة</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لذا یقول بعض الفقهاء ممن یوجبون الخمس فی الهدیة والجائزة ما یلی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لصدق الغنیمة علیها لغویاً، ولذا بناء علی هذه الآیة یمکن استفادة وجوب الخمس فیها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لا یوجد أی اختلاف فی معنی الغنیمة، فی کل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 المحیط</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إذ وردت بهذا المعنی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لمؤلفه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الغنم بالغرم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الغنم فی مقابل الغرامة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نفس الشیء الذی یذکر فی القاعدة المعروفة من کان له الغنم فعلیه الغرم</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وردت فی هذا الکتاب عبارة إضافة علی ما ورد فی الکتب الأربعة المذکورة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فکأنما أن المالک یختص به ولا یشارک فیه أحد، وبناء علی هذا التعریف، فإن الغنیمة هو الربح والفائدة المختصة بالإنسان نفسه، ولا یصدق علی شیء عنوان الغنیمة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اشترک فی الاختصاص به مجموعة من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ابن الفارس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المقاییس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إفادة شیء لم یملک من قبله</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یلاحظ أن ما ذکر فی المصباح المنیر والمقاییس فی الغنیمة عدم إرادتهم ذکر قید أو خصوصیة إضافیة للغنیمة، لیحترزوا عن أمور، بل المقصود من کلامهم أنه الشیء الذی لم یکن ماله قبلاً وأصبح ماله حالیاً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جاء فی تعابیر بعض الفقهاء ما 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الغنیمة هو الشیء الذی یحصل علیه الإنسان بدون انتظار أو توقع</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عدم انطباق هذا التفسیر للغنیمة مع أی من المعانی التی وردت فی کتب اللغة، لأن ما ذکر فی کتب اللغة ما 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الفوز بالشیء بلا مشقة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ترد قیود أخری من قبیل عدم الانتظار والتوقع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وهنا یلزم علینا أن نجیب علی مجموعة من الأسئلة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السؤال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أن اتضح لدینا أن الغنیمة من جهة، تطلق لغةً علی الشیء الذی یحصل علیه بدون مشقة، ومن جهة أخری یوجد اختلاف فی صدق عنوان الغنیمة علی الغنائم الحربیة، وعندها یطرح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صدق عنوان الغنیمة بذلک المعنی اللغوی، الذی یدل علی الحصول علی الشیء بدون مشقة علی الغنائم الحربیة التی لا یمکن الحصول علیها إلا بمشقة وجهد؟</w:t>
      </w:r>
    </w:p>
    <w:p>
      <w:pPr>
        <w:pStyle w:val="BookText"/>
        <w:rPr/>
      </w:pPr>
      <w:r>
        <w:rPr>
          <w:rFonts w:ascii="IRNazanin" w:hAnsi="IRNazanin" w:eastAsia="IRNazanin"/>
          <w:color w:val="111111"/>
          <w:sz w:val="28"/>
          <w:sz w:val="28"/>
          <w:szCs w:val="28"/>
          <w:rtl w:val="true"/>
          <w:lang w:bidi="fa-IR"/>
        </w:rPr>
        <w:t>یقول الفخر الرازی فی تفسیر الغنیمة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دخلت فی أیدی المسلمین من أموال المشرکین علی سبیل القهر بالخیل والرکاب </w:t>
      </w:r>
      <w:r>
        <w:rPr>
          <w:rStyle w:val="FootnoteAnchor"/>
          <w:rtl w:val="true"/>
        </w:rPr>
        <w:footnoteReference w:id="40"/>
      </w:r>
      <w:r>
        <w:rPr>
          <w:rFonts w:ascii="IRNazanin" w:hAnsi="IRNazanin" w:eastAsia="IRNazanin"/>
          <w:color w:val="111111"/>
          <w:sz w:val="28"/>
          <w:sz w:val="28"/>
          <w:szCs w:val="28"/>
          <w:rtl w:val="true"/>
          <w:lang w:bidi="fa-IR"/>
        </w:rPr>
        <w:t>لذا یتضح أن الغنیمة تطلق فی مورد القتال والمشقة، فکیف یمکن الجمع بین هذا المعنی والمعنی اللغوی الذی ورد فی کتب اللغة؟</w:t>
      </w:r>
    </w:p>
    <w:p>
      <w:pPr>
        <w:pStyle w:val="BookText"/>
        <w:rPr/>
      </w:pPr>
      <w:r>
        <w:rPr>
          <w:rFonts w:ascii="IRNazanin" w:hAnsi="IRNazanin" w:eastAsia="IRNazanin"/>
          <w:color w:val="111111"/>
          <w:sz w:val="28"/>
          <w:sz w:val="28"/>
          <w:szCs w:val="28"/>
          <w:rtl w:val="true"/>
          <w:lang w:bidi="fa-IR"/>
        </w:rPr>
        <w:t>للإجابة علی هذا السؤال نذکر جوابین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یتضح من مراجعة کتب اللغة ذکر معنیً مطلق لکلمة الغنیمة ومفاده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الغنیمة بمعنی الحصول علی الشیء بدون تحمل جهد أو مشقة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عامة الناس یطلقون عنوان الغنیمة علی الشیء الذی یحصل بدون مشقة وجهد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فیما یتعلق بالقتال فإن تحمل المشقة یکون بالنسبة إلی أصل القتال والمعرکة والغلبة علی العدو، ولکن لا توجد أیة مشقة فی خصوص الأموال والأدوات التی یحصل علیها بعد الانتصار علی 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خلط المفسرون فی هذا المورد، کما فی غیره من الموارد بین المعنی الفقهی لمصطلح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والمعنی اللغوی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 الغنیمة فی الاصطلاح الفقهی، تطلق علی ما یکسب بالحرب والقتال، ومقابله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یطلق علی ما یکسب من أموال بدون حرب وقتال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فی بعض کتب اللغة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نیل من أهل الشرک غلبة وقهراً والحرب قائمة، والفیء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نیل منهم بعد أن تضع الحرب أوزارها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المعنی اللغوی للغنیمة فهو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الفوز بالشیء بلا مشقة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السؤال الثانی</w:t>
      </w:r>
    </w:p>
    <w:p>
      <w:pPr>
        <w:pStyle w:val="BookText"/>
        <w:rPr/>
      </w:pPr>
      <w:r>
        <w:rPr>
          <w:rFonts w:ascii="IRNazanin" w:hAnsi="IRNazanin" w:eastAsia="IRNazanin"/>
          <w:color w:val="111111"/>
          <w:sz w:val="28"/>
          <w:sz w:val="28"/>
          <w:szCs w:val="28"/>
          <w:rtl w:val="true"/>
          <w:lang w:bidi="fa-IR"/>
        </w:rPr>
        <w:t>کیف ذکر بعض الفقهاء فی مباحث الخمس للغنیمة قیداً وخصوصیة، مع العلم بأنّ معناها هو الفوز بالشیء بلا مشقة، وقالوا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الغنیمة ما یکسبه الإنسان بدون توقع وانتظار، وبعبارة أخری فإن الغنیمة نعمة غیر مترقبة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توقع وانتظار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أشرب فی معنی الغنیمة؟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 بالرجوع إلی کتب اللغة یعلم عدم وجود مثل هذا القید والخصوصیة فی معنی الغنیمة، ثانیاً، إذا کان هدف شخص ما من المشارکة فی القتال والحرب هو الحصول علی الغنائم الحربیة، وقاتل علی هذا الأمل وحصل علی شیء ما نتیجة لذلک، ألا یطلق علی ما حصل علیه غنیمة؟</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أنّ إطلاق الغنیمة علی هذا المکسب لا یطلق إلا مشروطاً بعدم الترقب؟</w:t>
      </w:r>
      <w:bookmarkStart w:id="55" w:name="pg5472_36287"/>
    </w:p>
    <w:p>
      <w:pPr>
        <w:pStyle w:val="BookText"/>
        <w:rPr/>
      </w:pPr>
      <w:bookmarkEnd w:id="55"/>
      <w:r>
        <w:rPr>
          <w:rFonts w:ascii="IRNazanin" w:hAnsi="IRNazanin" w:eastAsia="IRNazanin"/>
          <w:color w:val="111111"/>
          <w:sz w:val="28"/>
          <w:sz w:val="28"/>
          <w:szCs w:val="28"/>
          <w:rtl w:val="true"/>
          <w:lang w:bidi="fa-IR"/>
        </w:rPr>
        <w:t>لا شک أننا لا نستطیع الالتزام بهذا المعنی، إذ لو کان الأمر کذلک لما أطلق عنوان الغنیمة علی أیة معاملة أو صفقة یقوم بها الناس بأمل الربح، لذا فإن هذا الأمر غیر صحیح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السؤال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یوجد تعبیر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لتعریف الغنیمة، حیث یذکر صاحبه ما 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فاز به ونال بلا بدل</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xml:space="preserve">فهل مثل هذا القید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مشترط فی معنی الغنیمة؟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توجد فی کتب المتقدمین من أهل اللغة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تعریف الغنیمة، ولا یُعلم من أین أتی صاحب المنجد به،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العوض والمعوض فی کافة المبادلات التجاریة متکافئان من حیث الواقع والحقیقة، وما یحصل من ربح من ذلک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توجیه غیر صحیح، لأن المعاملة تقع مجموع الثمن فی مقابل مجموع المثمن، والعقلاء لا یجردون الربح والعوض</w:t>
      </w:r>
      <w:r>
        <w:rPr>
          <w:rFonts w:eastAsia="IRNazanin" w:cs="IRNazanin"/>
          <w:color w:val="111111"/>
          <w:sz w:val="28"/>
          <w:szCs w:val="28"/>
          <w:rtl w:val="true"/>
          <w:lang w:bidi="fa-IR"/>
        </w:rPr>
        <w:t>.</w:t>
      </w:r>
    </w:p>
    <w:p>
      <w:pPr>
        <w:pStyle w:val="Heading3"/>
        <w:numPr>
          <w:ilvl w:val="2"/>
          <w:numId w:val="1"/>
        </w:numPr>
        <w:rPr/>
      </w:pPr>
      <w:bookmarkStart w:id="56" w:name="__RefHeading___Toc2158374_581953129"/>
      <w:bookmarkStart w:id="57" w:name="_Toc21"/>
      <w:bookmarkEnd w:id="56"/>
      <w:r>
        <w:rPr>
          <w:rtl w:val="true"/>
        </w:rPr>
        <w:t>رأیُنا فی معنی الغنیمة</w:t>
      </w:r>
      <w:r>
        <w:rPr>
          <w:rtl w:val="true"/>
        </w:rPr>
        <w:t>:</w:t>
      </w:r>
      <w:bookmarkEnd w:id="57"/>
    </w:p>
    <w:p>
      <w:pPr>
        <w:pStyle w:val="BookText"/>
        <w:rPr/>
      </w:pPr>
      <w:r>
        <w:rPr>
          <w:rFonts w:ascii="IRNazanin" w:hAnsi="IRNazanin" w:eastAsia="IRNazanin"/>
          <w:color w:val="111111"/>
          <w:sz w:val="28"/>
          <w:sz w:val="28"/>
          <w:szCs w:val="28"/>
          <w:rtl w:val="true"/>
          <w:lang w:bidi="fa-IR"/>
        </w:rPr>
        <w:t xml:space="preserve">بناء لما یستفاد من اللغة، فإن الغنیمة تطلق علی کل ربح وفائدة ونفع یحصل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أی طریق کان وبأیة وسیلة، سواء عن طریق القتال والحرب أو بغیرهما، سواء کان متوقعاً ومنتظراً أو لا، وهذا المعنی یشمل الجائزة والإرث والهدیة کذلک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مقابل هذا التعریف، یوجد تعریف آخر للغنیمة ورد فی کتاب التحقیق فی کلمات القرآن الکریم کما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الغنیمة تطلق علی ما یتحصل فی نتیجة عمل</w:t>
      </w:r>
      <w:bookmarkStart w:id="58" w:name="pg5472_36288"/>
    </w:p>
    <w:p>
      <w:pPr>
        <w:pStyle w:val="BookText"/>
        <w:rPr/>
      </w:pPr>
      <w:bookmarkEnd w:id="58"/>
      <w:r>
        <w:rPr>
          <w:rFonts w:ascii="IRNazanin" w:hAnsi="IRNazanin" w:eastAsia="IRNazanin"/>
          <w:color w:val="111111"/>
          <w:sz w:val="28"/>
          <w:sz w:val="28"/>
          <w:szCs w:val="28"/>
          <w:rtl w:val="true"/>
          <w:lang w:bidi="fa-IR"/>
        </w:rPr>
        <w:t xml:space="preserve">ومجاهدة، وأما ما یصل إلی شخص من دون العمل فلا یصدق علیه غنم، کما فی الهبة والعطیة والإرث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الرغم من أنه بذلت جهود کبیرة فی هذا الکتاب، وورود أقوال اللغویین فی معنی الغنیمة فیه، ولکن النتیجة المتحصلة من ذلک مخالف لقول اللغویین</w:t>
      </w:r>
      <w:r>
        <w:rPr>
          <w:rFonts w:eastAsia="IRNazanin" w:cs="IRNazanin"/>
          <w:color w:val="111111"/>
          <w:sz w:val="28"/>
          <w:szCs w:val="28"/>
          <w:rtl w:val="true"/>
          <w:lang w:bidi="fa-IR"/>
        </w:rPr>
        <w:t>.</w:t>
      </w:r>
    </w:p>
    <w:p>
      <w:pPr>
        <w:pStyle w:val="Heading3"/>
        <w:numPr>
          <w:ilvl w:val="2"/>
          <w:numId w:val="1"/>
        </w:numPr>
        <w:rPr/>
      </w:pPr>
      <w:bookmarkStart w:id="59" w:name="__RefHeading___Toc2158376_581953129"/>
      <w:bookmarkStart w:id="60" w:name="_Toc22"/>
      <w:bookmarkEnd w:id="59"/>
      <w:r>
        <w:rPr>
          <w:rtl w:val="true"/>
        </w:rPr>
        <w:t>أدلة أهل السنة علی أنّ المراد من الغنیمة هو الغنیمة الحربیة</w:t>
      </w:r>
      <w:r>
        <w:rPr>
          <w:rtl w:val="true"/>
        </w:rPr>
        <w:t>:</w:t>
      </w:r>
      <w:bookmarkEnd w:id="60"/>
    </w:p>
    <w:p>
      <w:pPr>
        <w:pStyle w:val="BookText"/>
        <w:rPr/>
      </w:pPr>
      <w:r>
        <w:rPr>
          <w:rFonts w:ascii="IRNazanin" w:hAnsi="IRNazanin" w:eastAsia="IRNazanin"/>
          <w:color w:val="111111"/>
          <w:sz w:val="28"/>
          <w:sz w:val="28"/>
          <w:szCs w:val="28"/>
          <w:rtl w:val="true"/>
          <w:lang w:bidi="fa-IR"/>
        </w:rPr>
        <w:t>لقد حصر أهل السنة معنی الغنیمة بالغنائم الحربیة، وذکروا أدلة لذلک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نقبل بأن لفظ الغنیمة لغةً مطلق وعام، ولکن دلیلنا علی أن المراد من الغنیمة هو الغنائم الحربیة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قرینة السیاق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تتوضع الآیة الکریمة وَاعْلَمُوا أَنَّما غَنِمْتُمْ مِنْ شَیْ‌ءٍ فی موضع تسبقها وتتلوها آیات تتحدث عن الجهاد، لذا فإن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غَنِمْتُمْ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یشمل الغنائم الحربیة فحسب بقرینة السیاق، وبالتالی فالخمس مختص بهذا المورد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الرد علی الدلیل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لنعلم صحة هذا الاستدلال أو عدمه، تجب الإشارة إلی کیفیة قرینیة السیاق، وهل السیاق هو ذلک المورد، أو أوسع منه، أو أن المراد هو وحدة 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ترجع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قرینیة السیاق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قرینیة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قرینیة السیاق؟ وهل تعود تلک القرینیة إلی قرینیة المورد؟ وإذا ورد سؤال فی روایة حول مورد ما، فهل هذا هو السیاق؟ وهل السیاق بمنزلة المورد؟</w:t>
      </w:r>
      <w:bookmarkStart w:id="61" w:name="pg5472_36289"/>
    </w:p>
    <w:p>
      <w:pPr>
        <w:pStyle w:val="BookText"/>
        <w:rPr/>
      </w:pPr>
      <w:bookmarkEnd w:id="61"/>
      <w:r>
        <w:rPr>
          <w:rFonts w:ascii="IRNazanin" w:hAnsi="IRNazanin" w:eastAsia="IRNazanin"/>
          <w:color w:val="111111"/>
          <w:sz w:val="28"/>
          <w:sz w:val="28"/>
          <w:szCs w:val="28"/>
          <w:rtl w:val="true"/>
          <w:lang w:bidi="fa-IR"/>
        </w:rPr>
        <w:t>من المسلّم أنه إذا رجعت قرینیة السیاق إلی قرینیة المورد، فإنّ جمیع العلماء یقبلون أن المورد لا یمکن أن یکون مخصِّصاً، ولا اختلاف فی هذا الأمر</w:t>
      </w:r>
      <w:r>
        <w:rPr>
          <w:rFonts w:eastAsia="IRNazanin" w:cs="IRNazanin"/>
          <w:color w:val="111111"/>
          <w:sz w:val="28"/>
          <w:szCs w:val="28"/>
          <w:rtl w:val="true"/>
          <w:lang w:bidi="fa-IR"/>
        </w:rPr>
        <w:t>.</w:t>
      </w:r>
    </w:p>
    <w:p>
      <w:pPr>
        <w:pStyle w:val="Heading3"/>
        <w:numPr>
          <w:ilvl w:val="2"/>
          <w:numId w:val="1"/>
        </w:numPr>
        <w:rPr/>
      </w:pPr>
      <w:bookmarkStart w:id="62" w:name="__RefHeading___Toc2158378_581953129"/>
      <w:bookmarkStart w:id="63" w:name="_Toc23"/>
      <w:bookmarkEnd w:id="62"/>
      <w:r>
        <w:rPr>
          <w:rtl w:val="true"/>
        </w:rPr>
        <w:t>هل قرینیة السیاق أوسع من قرینیة المورد؟</w:t>
      </w:r>
      <w:bookmarkEnd w:id="63"/>
    </w:p>
    <w:p>
      <w:pPr>
        <w:pStyle w:val="BookText"/>
        <w:rPr/>
      </w:pPr>
      <w:r>
        <w:rPr>
          <w:rFonts w:ascii="IRNazanin" w:hAnsi="IRNazanin" w:eastAsia="IRNazanin"/>
          <w:color w:val="111111"/>
          <w:sz w:val="28"/>
          <w:sz w:val="28"/>
          <w:szCs w:val="28"/>
          <w:rtl w:val="true"/>
          <w:lang w:bidi="fa-IR"/>
        </w:rPr>
        <w:t>هل المقصود من السیاق أمر أوسع من المورد؟ وهل قرینیة السیاق عند العرف وعامة الناس والعقلاء أعلی وأبعد من قرینیة المورد؟ وهل 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المورد لیس مخصصاً ولکن قرینة السیاق مخصصة؟</w:t>
      </w:r>
    </w:p>
    <w:p>
      <w:pPr>
        <w:pStyle w:val="BookText"/>
        <w:rPr/>
      </w:pPr>
      <w:r>
        <w:rPr>
          <w:rFonts w:ascii="IRNazanin" w:hAnsi="IRNazanin" w:eastAsia="IRNazanin"/>
          <w:color w:val="111111"/>
          <w:sz w:val="28"/>
          <w:sz w:val="28"/>
          <w:szCs w:val="28"/>
          <w:rtl w:val="true"/>
          <w:lang w:bidi="fa-IR"/>
        </w:rPr>
        <w:t>فی الأصول نقول، مثلاً، حول القرینة المتصلة والمنفصلة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القرینة المتصلة تمنع الظهور من الانعقاد منذ البدایة، أما فی القرینة المنفصلة، فإن الظهور ینعقد فی البدایة، ولکن حجیته تزول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موردنا، هل تعتبر قرینة السیاق مثل القرینة المتصلة بحیث تمنع ظهور لفظ أَنَّما غَنِمْتُمْ عن الظهور فی العموم؟</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 إنّ ما ذکر أعلاه غیر مقبول، وهو واضح البطلان، إذ إنّ قبوله یؤدی إلی لزوم القول بعدم الظهور فی العموم لکافة الآیات الکریمة فی حال قبول ما ذکر، فإنه یجب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توجد فی القرآن أیة قاعدة عامة أو حکم کلی، لأنه توجد فی أغلب عمومات القرآن قرینة سیاق قبلها أو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آیة الصوم مثلاً یقول تعالی</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کانَ مَرِیضاً أَوْ عَلی سَفَرٍ فَعِدَّةٌ مِنْ أَیَّامٍ أُخَرَ یُرِیدُ اللهُ بِکُمُ الْیُسْرَ وَلا یُرِیدُ بِکُمُ الْعُسْرَ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إذ لا یمکن القول بأن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اللهُ بِکُمُ الْیُسْرَ وَلا یُرِیدُ بِکُمُ الْعُسْرَ متعلق بالصوم والسفر والمرض فحسب، وأن هذه الجملة لا عموم لها، ولا تشمل سائر الموارد الأخری، ولا 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العسر هو المرض فحسب، لأن المرض کما ورد فی کتب اللغة من مصادیق العسر، لا أن العسر منحصر بالمرض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أن الألفاظ العامة القرآنیة، بل إن بقاء القرآن وعظمته مرهون بهذه القوانین العامة الدائمة حتی یوم القیامة، وإلا فیجب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کثیراً من أحکام القرآن متعلّقة بتلک الأزمنة التی نزل فیها القرآن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هذا، فإن قرینة السیاق لیست کالقرینة المتصلة تمنع الظهور فی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کان مأنوساً بالقرآن الکریم یعلم أن أسلوب القرآن یرتکز علی أساس ذکر مسألة جزئیة، ثم ذکر قاعدتها العامة بعدها مباشرة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حیث یلاحظ فی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عَلَیْکُمْ فِی الدِّینِ مِنْ حَرَجٍ‌</w:t>
      </w:r>
      <w:r>
        <w:rPr>
          <w:rStyle w:val="FootnoteAnchor"/>
          <w:rtl w:val="true"/>
        </w:rPr>
        <w:footnoteReference w:id="44"/>
      </w:r>
      <w:r>
        <w:rPr>
          <w:rFonts w:ascii="Amiri" w:hAnsi="Amiri" w:eastAsia="Amiri" w:cs="Amiri"/>
          <w:color w:val="111111"/>
          <w:sz w:val="28"/>
          <w:sz w:val="28"/>
          <w:szCs w:val="28"/>
          <w:rtl w:val="true"/>
          <w:lang w:bidi="ar-SA"/>
        </w:rPr>
        <w:t>أن الله تعالی یذکر فی البدایة بعض تفصیلات وجزئیات متعلقة ببعض الواجبات، ومن ثم یذکر ضابطة کلیة لها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عَلَیْکُمْ فِی الدِّینِ مِنْ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کما أنه تعالی ذکر ضابطة کلیة فی آیة الصوم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اللهُ بِکُمُ الْیُسْرَ وَلا یُرِیدُ بِکُمُ الْعُسْرَ</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إنّ من جعل السیاق قرینة، وحصر الغنیمة بالحربیة منها فقط، لا یستطیعون طبقاً لرأیهم اعتبار الغنیمة مطلقة فی الغنائم الحربیة، إذ بناءً علی قرینة السیاق، التی یجب أن یلحظ فیها جمیع خصوصیاتها، یلزم أن یکون المراد من</w:t>
      </w:r>
    </w:p>
    <w:p>
      <w:pPr>
        <w:pStyle w:val="BookText"/>
        <w:rPr/>
      </w:pPr>
      <w:r>
        <w:rPr>
          <w:rFonts w:ascii="IRNazanin" w:hAnsi="IRNazanin" w:eastAsia="IRNazanin"/>
          <w:color w:val="111111"/>
          <w:sz w:val="28"/>
          <w:sz w:val="28"/>
          <w:szCs w:val="28"/>
          <w:rtl w:val="true"/>
          <w:lang w:bidi="fa-IR"/>
        </w:rPr>
        <w:t>الغنیمة فیها هی الغنیمة الحربیة المختصة بغزوة بدر فحسب، مع أننا نلاحظ تعدّی أهل السنة أنفسهم عن هذا المورد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هو مطلق الغنائم الحربیة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واستناداً إلی ما ذکر، یجب التخلّی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یمکننا التعامل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وحدة السیاق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الموارد کقرینة توجد ظهوراً عرفیاً، نعم، لا ننکر أنه یمکن أن یوجد ظهوراً فی بعض الموارد، ولکن بنحو الموجبة الجزئیة، أما فی مقام الاستدلال فلا یمکن الاستفادة منها، ویجب أن نلاحظ نقطة هامة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عوملت وحدة السیاق کقرینة فی سائر الأقوال والکتب من ناحیة العرف، فإنه لا یمکن ادّعاء مثل ذلک فی القرآن الکریم، لأنه علاوة علی وجود شواهد کثیرة علی عدم الاهتمام بالسیاق فی القرآن الکریم، فإنها توجد روایات تدل علی أن هناک آیات قرآنیة تتحدث صدرها فی موضوع، ووسطها فی موضوع آخر، وذیلها فی موضوع ثالث، وبالتالی فإن مثل هذا الأمر ینفی اعتبار وحدة السیاق فی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هذه اللفظة فی القرآن الکریم فی الغنائم الحربیة</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ما تمسک به أهل السنة بقوة، والذی یؤدی إلی عکس مطلوبهم، هو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وردت کلمة الغنیمة وسائر مشتقاتها فی القرآن الکریم، والذی یصل إلی ستة موارد فی القرآن الکریم، فإنها تستعمل فی الغنائم الحربیة فحسب، لذا لا یمکن استثناء مورد واحد مثل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أَنَّما غَنِمْتُمْ عن ذلک، بل یجب تفسیر هذه الآیة کذلک بالغنائم الحربیة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الرد علی الدلیل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 لا دلیل لدینا علی أنه إذا تکرر لفظ فی القرآن الکریم، فإنّه یستعمل فی معنی واحد فی کافة الموارد المتکررة، وفی هذا شواهد ونماذج کثیرة فی القرآن الکریم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النموذج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تعالی فی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أَنَّما أَمْوالُکُمْ وَأَوْلادُکُمْ فِتْنَةٌ‌</w:t>
      </w:r>
      <w:r>
        <w:rPr>
          <w:rStyle w:val="FootnoteAnchor"/>
          <w:rtl w:val="true"/>
        </w:rPr>
        <w:footnoteReference w:id="46"/>
      </w:r>
      <w:r>
        <w:rPr>
          <w:rFonts w:ascii="Amiri" w:hAnsi="Amiri" w:eastAsia="Amiri" w:cs="Amiri"/>
          <w:color w:val="111111"/>
          <w:sz w:val="28"/>
          <w:sz w:val="28"/>
          <w:szCs w:val="28"/>
          <w:rtl w:val="true"/>
          <w:lang w:bidi="ar-SA"/>
        </w:rPr>
        <w:t>، وفی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الْفِتْنَةُ أَشَدُّ مِنَ الْقَتْلِ‌</w:t>
      </w:r>
      <w:r>
        <w:rPr>
          <w:rStyle w:val="FootnoteAnchor"/>
          <w:rtl w:val="true"/>
        </w:rPr>
        <w:footnoteReference w:id="47"/>
      </w:r>
      <w:r>
        <w:rPr>
          <w:rFonts w:ascii="IRNazanin" w:hAnsi="IRNazanin" w:eastAsia="IRNazanin"/>
          <w:color w:val="111111"/>
          <w:sz w:val="28"/>
          <w:sz w:val="28"/>
          <w:szCs w:val="28"/>
          <w:rtl w:val="true"/>
          <w:lang w:bidi="fa-IR"/>
        </w:rPr>
        <w:t>، من المؤکد أن لفظ الفتنة فی الآیة الأولی ورد بمعنی غیر المعنی المستعمل فی الآیة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النموذج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 فی بحثنا لقاعدة لا حرج، فإن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القرآن الکریم استعمل فی ثلاثة معان، ولم تستعمل تلک اللفظة فی کافة موارد القرآن بمعنیً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وعلی فرض أن المراد من الغنیمة فی سائر الآیات هو الغنیمة الحربیة، فلا ملازمة أن تکون لفظة غنمتم فی الآیة الکریمة أَنَّما غَنِمْتُمْ فی معنی الغنیمة الحربیة کذلک</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بدراسة الآیات الست التی استعمل فیها لفظ الغنیمة أو إحدی مشتقاتها،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واحدة فی سورة النساء، وآیتان فی سورة الأنفال، وثلاث آیات فی سورة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أن المراد من الغنیمة فی بعض منها هو الغنیمة الحربیة، أما فی البعض الآخر فلیس کذلک</w:t>
      </w:r>
      <w:r>
        <w:rPr>
          <w:rFonts w:eastAsia="IRNazanin" w:cs="IRNazanin"/>
          <w:color w:val="111111"/>
          <w:sz w:val="28"/>
          <w:szCs w:val="28"/>
          <w:rtl w:val="true"/>
          <w:lang w:bidi="fa-IR"/>
        </w:rPr>
        <w:t>.</w:t>
      </w:r>
      <w:bookmarkStart w:id="64" w:name="pg5472_36293"/>
    </w:p>
    <w:p>
      <w:pPr>
        <w:pStyle w:val="Heading3"/>
        <w:numPr>
          <w:ilvl w:val="2"/>
          <w:numId w:val="1"/>
        </w:numPr>
        <w:rPr/>
      </w:pPr>
      <w:bookmarkStart w:id="65" w:name="__RefHeading___Toc2158380_581953129"/>
      <w:bookmarkStart w:id="66" w:name="_Toc24"/>
      <w:bookmarkEnd w:id="64"/>
      <w:bookmarkEnd w:id="65"/>
      <w:r>
        <w:rPr>
          <w:rtl w:val="true"/>
        </w:rPr>
        <w:t xml:space="preserve">دراسة الآیات التی استعمل فیها لفظ </w:t>
      </w:r>
      <w:r>
        <w:rPr>
          <w:rtl w:val="true"/>
        </w:rPr>
        <w:t>(</w:t>
      </w:r>
      <w:r>
        <w:rPr>
          <w:rtl w:val="true"/>
        </w:rPr>
        <w:t>الغنیمة</w:t>
      </w:r>
      <w:r>
        <w:rPr>
          <w:rtl w:val="true"/>
        </w:rPr>
        <w:t xml:space="preserve">) </w:t>
      </w:r>
      <w:r>
        <w:rPr>
          <w:rtl w:val="true"/>
        </w:rPr>
        <w:t>أو إحدی مشتقاتها</w:t>
      </w:r>
      <w:r>
        <w:rPr>
          <w:rtl w:val="true"/>
        </w:rPr>
        <w:t>:</w:t>
      </w:r>
      <w:bookmarkEnd w:id="66"/>
    </w:p>
    <w:p>
      <w:pPr>
        <w:pStyle w:val="BookText"/>
        <w:rPr/>
      </w:pPr>
      <w:r>
        <w:rPr>
          <w:rFonts w:ascii="IRNazanin" w:hAnsi="IRNazanin" w:eastAsia="IRNazanin"/>
          <w:color w:val="111111"/>
          <w:sz w:val="28"/>
          <w:sz w:val="28"/>
          <w:szCs w:val="28"/>
          <w:rtl w:val="true"/>
          <w:lang w:bidi="fa-IR"/>
        </w:rPr>
        <w:t>ونبدأ بدراسة آیات سورة 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الأولی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سَیَقُولُ الْمُخَلَّفُونَ إِذَا انْطَلَقْتُمْ إِلی مَغانِمَ لِتَأْخُذُوها ذَرُونا نَتَّبِعْکُمْ‌</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الآیة الثانیة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وَمَغانِمَ کَثِیرَةً یَأْخُذُونَها</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إن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هاتین الآیتین هو الغنائم الحربیة، حیث ربطها بعض المفسرین بمغانم خیبر، وربطها آخرون بمغانم هوازن، حیث وردت فی کلتا الحالتین بمعنی الغنائم الحربیة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الثالثة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وَعَدَکُمُ اللهُ مَغانِمَ کَثِیرَةً تَأْخُذُونَها فَعَجَّلَ لَکُمْ هذِهِ‌</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بناء علی ما ورد فی التفاسیر، فإن لفظ هذه فی الآیة تشیر إلی مغانم خیبر، فهل تلک المغانم الکثیرة التی وعد الله المسلمین بها، مختصة بالحروب التی تلیها، أو أنها واسعة تشمل جمیع النعم والعطایا الإلهیة حتی یوم القیامة؟</w:t>
      </w:r>
    </w:p>
    <w:p>
      <w:pPr>
        <w:pStyle w:val="BookText"/>
        <w:rPr/>
      </w:pPr>
      <w:r>
        <w:rPr>
          <w:rFonts w:ascii="IRNazanin" w:hAnsi="IRNazanin" w:eastAsia="IRNazanin"/>
          <w:color w:val="111111"/>
          <w:sz w:val="28"/>
          <w:sz w:val="28"/>
          <w:szCs w:val="28"/>
          <w:rtl w:val="true"/>
          <w:lang w:bidi="fa-IR"/>
        </w:rPr>
        <w:t xml:space="preserve">ذکر الآلوسی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ما یلی</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 علی ما قال ابن عباس ومجاهد وجمهور المفسرین ما وعد الله تعالی المؤمنین من المغانم إلی یوم القیامة</w:t>
      </w:r>
    </w:p>
    <w:p>
      <w:pPr>
        <w:pStyle w:val="BookText"/>
        <w:rPr/>
      </w:pPr>
      <w:r>
        <w:rPr>
          <w:rFonts w:ascii="IRNazanin" w:hAnsi="IRNazanin" w:eastAsia="IRNazanin"/>
          <w:color w:val="111111"/>
          <w:sz w:val="28"/>
          <w:sz w:val="28"/>
          <w:szCs w:val="28"/>
          <w:rtl w:val="true"/>
          <w:lang w:bidi="fa-IR"/>
        </w:rPr>
        <w:t>من المؤکد أن المغانم التی وعد الله تعالی إلی یوم القیامة لیست محصورة بالمغانم الحربیة فحسب، بل تشمل جمیع النعم والعطایا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هذه الآیة، یلزم ملاحظة نقطتین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وعد بالمغانم فی هذه الآیة لمن شارک فی غزوة خیبر، وبالتالی یجب أن تکون من غیر الغنائم التی تم الحصول علیها فی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عندما یعد تعالی بالخیر الوفیر والرزق الکثیر والثواب العظیم، فإن المراد من ألفاظ وصفات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یعدّ ولا یحصی، بل إن أغلبها متعلق بیوم القیامة، وفی هذه الحالة لا یمکن حصر ذلک بالمغانم الحربیة فحسب، وإن کانت من مصادیقها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نستنتج من ذلک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الکریمة استعملت کذلک فی غیر المغانم الحربیة أیضاً، وبالتالی فإن عمومها تشمل غیر المغانم الحربیة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الرابعة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إِذا ضَرَبْتُمْ فِی سَبِیلِ اللهِ فَتَبَیَّنُوا وَلا تَقُولُوا لِمَنْ أَلْقی إِلَیْکُمُ السَّلامَ لَسْتَ مُؤْمِناً تَبْتَغُونَ عَرَضَ الْحَیاةِ الدُّنْیا فَعِنْدَ اللهِ مَغانِمُ کَثِیرَةٌ‌</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علی الرغم من أن بدایة الآیة حول الجهاد، ولکن هذه الآیة أوضح من سابقتها فی أن المراد من المغانم لیس المغانم الحربیة، لأن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الله لیس مختصاً بالدنیا والحرب فحسب، بل فی مقابل متاع الدنیا الزائلة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ویستفاد من هذه الآیة أن کل ما یحمل عنوان الثواب الأخروی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وبالتالی، یمکن اعتبار الثواب الأخروی غنیمة فی الواقع، لأن الإنسان یحصل علیها بلا مشقة تتناسب مع ما یکسبه من ثواب عظیم</w:t>
      </w:r>
      <w:r>
        <w:rPr>
          <w:rFonts w:eastAsia="IRNazanin" w:cs="IRNazanin"/>
          <w:color w:val="111111"/>
          <w:sz w:val="28"/>
          <w:szCs w:val="28"/>
          <w:rtl w:val="true"/>
          <w:lang w:bidi="fa-IR"/>
        </w:rPr>
        <w:t>.</w:t>
      </w:r>
      <w:bookmarkStart w:id="67" w:name="pg5472_36295"/>
    </w:p>
    <w:p>
      <w:pPr>
        <w:pStyle w:val="BookText"/>
        <w:rPr/>
      </w:pPr>
      <w:bookmarkEnd w:id="67"/>
      <w:r>
        <w:rPr>
          <w:rFonts w:ascii="IRNazanin" w:hAnsi="IRNazanin" w:eastAsia="IRNazanin"/>
          <w:color w:val="111111"/>
          <w:sz w:val="28"/>
          <w:sz w:val="28"/>
          <w:szCs w:val="28"/>
          <w:rtl w:val="true"/>
          <w:lang w:bidi="fa-IR"/>
        </w:rPr>
        <w:t>إذ عندما یقال للإنسان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جزاء رکعة صلاة أو یوم صوم کجزاء ألف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ریب بأن هذه غنیمة، لأن مثل هذا العمل، فی الواقع، لا یستحق مثل هذا القدر من الجزاء والمکافأة، بل إن الله تعالی یمنح هذا الثواب تفضلاً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فإن الدلیل الثانی لأهل السنة، بأن المراد من الغنیمة فی الآیات القرآنیة هو الغنائم الحربیة فقط، مردود، بل إن الآیة الأخیرة تثبت عکس مطلوبهم</w:t>
      </w:r>
      <w:r>
        <w:rPr>
          <w:rFonts w:eastAsia="IRNazanin" w:cs="IRNazanin"/>
          <w:color w:val="111111"/>
          <w:sz w:val="28"/>
          <w:szCs w:val="28"/>
          <w:rtl w:val="true"/>
          <w:lang w:bidi="fa-IR"/>
        </w:rPr>
        <w:t>.</w:t>
      </w:r>
    </w:p>
    <w:p>
      <w:pPr>
        <w:pStyle w:val="Heading3"/>
        <w:numPr>
          <w:ilvl w:val="2"/>
          <w:numId w:val="1"/>
        </w:numPr>
        <w:rPr/>
      </w:pPr>
      <w:bookmarkStart w:id="68" w:name="__RefHeading___Toc2158382_581953129"/>
      <w:bookmarkStart w:id="69" w:name="_Toc25"/>
      <w:bookmarkEnd w:id="68"/>
      <w:r>
        <w:rPr>
          <w:rtl w:val="true"/>
        </w:rPr>
        <w:t xml:space="preserve">معنی </w:t>
      </w:r>
      <w:r>
        <w:rPr>
          <w:rtl w:val="true"/>
        </w:rPr>
        <w:t>(</w:t>
      </w:r>
      <w:r>
        <w:rPr>
          <w:rtl w:val="true"/>
        </w:rPr>
        <w:t>الغنیمة</w:t>
      </w:r>
      <w:r>
        <w:rPr>
          <w:rtl w:val="true"/>
        </w:rPr>
        <w:t xml:space="preserve">) </w:t>
      </w:r>
      <w:r>
        <w:rPr>
          <w:rtl w:val="true"/>
        </w:rPr>
        <w:t>فی سائر استعمالات العرب</w:t>
      </w:r>
      <w:r>
        <w:rPr>
          <w:rtl w:val="true"/>
        </w:rPr>
        <w:t>:</w:t>
      </w:r>
      <w:bookmarkEnd w:id="69"/>
    </w:p>
    <w:p>
      <w:pPr>
        <w:pStyle w:val="BookText"/>
        <w:rPr/>
      </w:pPr>
      <w:r>
        <w:rPr>
          <w:rFonts w:ascii="IRNazanin" w:hAnsi="IRNazanin" w:eastAsia="IRNazanin"/>
          <w:color w:val="111111"/>
          <w:sz w:val="28"/>
          <w:sz w:val="28"/>
          <w:szCs w:val="28"/>
          <w:rtl w:val="true"/>
          <w:lang w:bidi="fa-IR"/>
        </w:rPr>
        <w:t xml:space="preserve">بعد أن عُلِم بأن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القرآن، یستعمل فی مطلق الفائدة ومطلق الغنائم، فإننا عندما نرجع إلی سائر استعمالات العرب، لا سیما الاستعمالات التی تتداول فی کلمات أهل اللغة، نلاحظ،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مطلق الفائدة</w:t>
      </w:r>
      <w:r>
        <w:rPr>
          <w:rFonts w:eastAsia="IRNazanin" w:cs="IRNazanin"/>
          <w:color w:val="111111"/>
          <w:sz w:val="28"/>
          <w:szCs w:val="28"/>
          <w:rtl w:val="true"/>
          <w:lang w:bidi="fa-IR"/>
        </w:rPr>
        <w:t>.</w:t>
      </w:r>
    </w:p>
    <w:p>
      <w:pPr>
        <w:pStyle w:val="Heading3"/>
        <w:numPr>
          <w:ilvl w:val="2"/>
          <w:numId w:val="1"/>
        </w:numPr>
        <w:rPr/>
      </w:pPr>
      <w:bookmarkStart w:id="70" w:name="__RefHeading___Toc2158384_581953129"/>
      <w:bookmarkStart w:id="71" w:name="_Toc26"/>
      <w:bookmarkEnd w:id="70"/>
      <w:r>
        <w:rPr>
          <w:rtl w:val="true"/>
        </w:rPr>
        <w:t xml:space="preserve">معنی الغنیمة فی </w:t>
      </w:r>
      <w:r>
        <w:rPr>
          <w:rtl w:val="true"/>
        </w:rPr>
        <w:t>(</w:t>
      </w:r>
      <w:r>
        <w:rPr>
          <w:rtl w:val="true"/>
        </w:rPr>
        <w:t>نهج البلاغة</w:t>
      </w:r>
      <w:r>
        <w:rPr>
          <w:rtl w:val="true"/>
        </w:rPr>
        <w:t>):</w:t>
      </w:r>
      <w:bookmarkEnd w:id="71"/>
    </w:p>
    <w:p>
      <w:pPr>
        <w:pStyle w:val="BookText"/>
        <w:rPr/>
      </w:pPr>
      <w:r>
        <w:rPr>
          <w:rFonts w:ascii="IRNazanin" w:hAnsi="IRNazanin" w:eastAsia="IRNazanin"/>
          <w:color w:val="111111"/>
          <w:sz w:val="28"/>
          <w:sz w:val="28"/>
          <w:szCs w:val="28"/>
          <w:rtl w:val="true"/>
          <w:lang w:bidi="fa-IR"/>
        </w:rPr>
        <w:t xml:space="preserve">فی نهج البلاغة، الذی یعدّ من النصوص المرجعیة من حیث الألفاظ والکلمات العربیة المستعملة، نلاحظ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الموارد التی یکون المراد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الغنیمة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خصوص الغنائم الحربیة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فوالله، ما کنزت من دنیاکم تبراً ولا ادّخرت من غنائمها وفراً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فالمراد من الغنیمة، مطلق أموال الدنیا، ولیست مختصّة بالمغانم الحربیة فحسب</w:t>
      </w:r>
      <w:r>
        <w:rPr>
          <w:rFonts w:eastAsia="IRNazanin" w:cs="IRNazanin"/>
          <w:color w:val="111111"/>
          <w:sz w:val="28"/>
          <w:szCs w:val="28"/>
          <w:rtl w:val="true"/>
          <w:lang w:bidi="fa-IR"/>
        </w:rPr>
        <w:t>.</w:t>
      </w:r>
      <w:bookmarkStart w:id="72" w:name="pg5472_36296"/>
    </w:p>
    <w:p>
      <w:pPr>
        <w:pStyle w:val="Heading3"/>
        <w:numPr>
          <w:ilvl w:val="2"/>
          <w:numId w:val="1"/>
        </w:numPr>
        <w:rPr/>
      </w:pPr>
      <w:bookmarkStart w:id="73" w:name="__RefHeading___Toc2158386_581953129"/>
      <w:bookmarkStart w:id="74" w:name="_Toc27"/>
      <w:bookmarkEnd w:id="72"/>
      <w:bookmarkEnd w:id="73"/>
      <w:r>
        <w:rPr>
          <w:rtl w:val="true"/>
        </w:rPr>
        <w:t xml:space="preserve">معنی </w:t>
      </w:r>
      <w:r>
        <w:rPr>
          <w:rtl w:val="true"/>
        </w:rPr>
        <w:t>((</w:t>
      </w:r>
      <w:r>
        <w:rPr>
          <w:rtl w:val="true"/>
        </w:rPr>
        <w:t>غنمتم</w:t>
      </w:r>
      <w:r>
        <w:rPr>
          <w:rtl w:val="true"/>
        </w:rPr>
        <w:t xml:space="preserve">) </w:t>
      </w:r>
      <w:r>
        <w:rPr>
          <w:rtl w:val="true"/>
        </w:rPr>
        <w:t>فی الروایات</w:t>
      </w:r>
      <w:r>
        <w:rPr>
          <w:rtl w:val="true"/>
        </w:rPr>
        <w:t>:</w:t>
      </w:r>
      <w:bookmarkEnd w:id="74"/>
    </w:p>
    <w:p>
      <w:pPr>
        <w:pStyle w:val="BookText"/>
        <w:rPr/>
      </w:pPr>
      <w:r>
        <w:rPr>
          <w:rFonts w:ascii="IRNazanin" w:hAnsi="IRNazanin" w:eastAsia="IRNazanin"/>
          <w:color w:val="111111"/>
          <w:sz w:val="28"/>
          <w:sz w:val="28"/>
          <w:szCs w:val="28"/>
          <w:rtl w:val="true"/>
          <w:lang w:bidi="fa-IR"/>
        </w:rPr>
        <w:t xml:space="preserve">بعد أن اتضح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لغویاً، ینبغی علینا أن نبحث عن معناها فی الروایات التی ذکرت فی تفسیر هذه الآیة الشریفة، وفی البدایة یجب علینا أن نعلم أن للأئمة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بیانهم للأحکام، عدة أسالیب 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أحیاناً یذکرون نفس الحکم مستقلاً، ولا یستدلّون بآیة من آیات القرآن الکریم، فعندما یسأل سائل مثلاً إذا صلی أحدهم صلاته بهذه الکیفیة فما حکمه؟ فیجیب علیه ذلک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یجب علیه الإعادة أو القضاء مکتفیاً بهذا المقدار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أحیاناً لیستدلّ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بآیة من آیات القرآن الکریم بعد ذکر الحکم وبیانه، فمثلاً ورد فی روایة عبد الأعلی مولی آل سام 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شخص عاجز قد جرح إصبع قدمه فما تکلیفه للوضوء؟ فأجاب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هذه الروایة حکماً کلیاً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یعرف هذا وأشباهه من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مقام الاستدلال بآیة من القرآن الکریم وهی ما جَعَلَ عَلَیْکُمْ فِی الدِّینِ مِنْ حَرَجٍ‌</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وأحیاناً یبیّنون ویفسرون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فمثلاً، عندما یُسأل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زرارة من أین علمت أن المسح ببعض الرأس؟ فأجاب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لمکان الباء</w:t>
      </w:r>
      <w:r>
        <w:rPr>
          <w:rFonts w:eastAsia="IRNazanin" w:cs="IRNazanin"/>
          <w:color w:val="111111"/>
          <w:sz w:val="28"/>
          <w:szCs w:val="28"/>
          <w:rtl w:val="true"/>
          <w:lang w:bidi="fa-IR"/>
        </w:rPr>
        <w:t>.</w:t>
      </w:r>
      <w:r>
        <w:rPr>
          <w:rStyle w:val="FootnoteAnchor"/>
          <w:rtl w:val="true"/>
        </w:rPr>
        <w:footnoteReference w:id="56"/>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وردت روایات فی ذیل الآیة الشریفة حول الغنیمة یستفاد منها أنهم بینوا معنی هذا اللفظ بعنوان معرفتهم کأهل للّغة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ففی روایة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الآیة الکریمة حیث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أَنَّما غَنِمْتُمْ مِنْ شَیْ‌ءٍ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ذلک،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هی والله الإفادة یوماً بیوم</w:t>
      </w:r>
      <w:r>
        <w:rPr>
          <w:rFonts w:eastAsia="Amiri" w:cs="Amiri" w:ascii="Amiri" w:hAnsi="Amiri"/>
          <w:color w:val="111111"/>
          <w:sz w:val="28"/>
          <w:szCs w:val="28"/>
          <w:rtl w:val="true"/>
          <w:lang w:bidi="ar-SA"/>
        </w:rPr>
        <w:t>)</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بمعنی أنه مطلق الفائدة ولا یختص بفائدة معینة خاصة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ورد فی روایة عن الإمام الثامن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أفاده الناس فهو غنیمة</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وما هو مسلّم أن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بأنفسهم أهل للّغة، وإن اللغویین کذلک یستفیدون من مثل هذه الموارد التی تستعمل بین أهل اللغة ویستخرجون معانی الکلمات منها وینقلونها، وفی هاتین الروایتین المذکورتین لا نستطیع بأی وجه من الوجوه أن نقول بأن الأئمة الطاهرین قد فسّروا هذه الآیة حجة الله وبیّنوا أحکامه من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بعد الرجوع إلی نهج البلاغة والروایات یتضح أن الغنیمة لیست مختصة بالغنیمة الحربیة بل بمطلق الفائدة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الغنیمة حقیقة شرعیة فی الغنائم الحربیة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طرح أهل السنة سؤالاً کما یلی</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لم تفسروا کلمة الصلاة التی معناها فی اللغة الدعاء فی القرآن الکریم کذلک؟ بل فسّرتموها فی القرآن الکریم وفی کل مکان ورد فیه مثل أَقِیمُوا</w:t>
      </w:r>
    </w:p>
    <w:p>
      <w:pPr>
        <w:pStyle w:val="BookText"/>
        <w:rPr/>
      </w:pPr>
      <w:r>
        <w:rPr>
          <w:rFonts w:ascii="IRNazanin" w:hAnsi="IRNazanin" w:eastAsia="IRNazanin"/>
          <w:color w:val="111111"/>
          <w:sz w:val="28"/>
          <w:sz w:val="28"/>
          <w:szCs w:val="28"/>
          <w:rtl w:val="true"/>
          <w:lang w:bidi="fa-IR"/>
        </w:rPr>
        <w:t>الصَّلاةَ و الَّذِینَ یُقِیمُونَ الصَّلاةَ بذلک المعنی للواجب المعهود، ولذا فکما أنکم قد جعلتم للصلاة فی القرآن حقیقة شرعیة وفسّرتموه بهذه الحقیقة ولم تأخذوا المعنی اللغوی له فی ذلک بمعنی الدعاء، فإن الأمر ینطبق علی الغنیمة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الجواب؟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فرضنا جدلاً أن الغنیمة حقیقة شرعیة فی الغنائم الحربیة، ولکن لیس هذا بمعنی أن کل لفظ مشتق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 ن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شرعیة فی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المراد من کلمة الصلاة فی القرآن ذلک الواجب المعهود، ولکن هذا لیس دلیلاً بأنه کلما ورد لفظ مشتق من هذه المادة فیجب أن یأخذ نفس المعنی ویفسّر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یقول تعالی فی الآیة الشریفة إِنَّ اللهَ وَمَلائِکَتَهُ یُصَلُّونَ عَلَی النَّبِیِّ‌</w:t>
      </w:r>
      <w:r>
        <w:rPr>
          <w:rStyle w:val="FootnoteAnchor"/>
          <w:rtl w:val="true"/>
        </w:rPr>
        <w:footnoteReference w:id="59"/>
      </w:r>
      <w:r>
        <w:rPr>
          <w:rFonts w:ascii="Amiri" w:hAnsi="Amiri" w:eastAsia="Amiri" w:cs="Amiri"/>
          <w:color w:val="111111"/>
          <w:sz w:val="28"/>
          <w:sz w:val="28"/>
          <w:szCs w:val="28"/>
          <w:rtl w:val="true"/>
          <w:lang w:bidi="ar-SA"/>
        </w:rPr>
        <w:t xml:space="preserve">، فهل یحمل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نفس ذلک المعنی الشرعی؟</w:t>
      </w:r>
    </w:p>
    <w:p>
      <w:pPr>
        <w:pStyle w:val="BookText"/>
        <w:rPr/>
      </w:pPr>
      <w:r>
        <w:rPr>
          <w:rFonts w:ascii="IRNazanin" w:hAnsi="IRNazanin" w:eastAsia="IRNazanin"/>
          <w:color w:val="111111"/>
          <w:sz w:val="28"/>
          <w:sz w:val="28"/>
          <w:szCs w:val="28"/>
          <w:rtl w:val="true"/>
          <w:lang w:bidi="fa-IR"/>
        </w:rPr>
        <w:t>لا ریب أنه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هذا البحث ینبغی أن نلاحظ هذه النقطة أیضاً، بمعنی أنه لو فرضنا جدلاً بأن الغنیمة حقیقة شرعیة فی الغنائم الحربیة، ولکن فی هذه الآیة الشریفة ورد فیها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الآیة الأخری ورد فیها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إنها مشتقات من تلک المادة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 ن 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کلما استخدم لفظ الغنیمة فی الفقه،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الغنیمة والفیء اصطلاحان فقهیان شرعیان، ولکل منهما معنیً واضح، ولکن فی هذه الآیة</w:t>
      </w:r>
    </w:p>
    <w:p>
      <w:pPr>
        <w:pStyle w:val="BookText"/>
        <w:rPr/>
      </w:pPr>
      <w:r>
        <w:rPr>
          <w:rFonts w:ascii="IRNazanin" w:hAnsi="IRNazanin" w:eastAsia="IRNazanin"/>
          <w:color w:val="111111"/>
          <w:sz w:val="28"/>
          <w:sz w:val="28"/>
          <w:szCs w:val="28"/>
          <w:rtl w:val="true"/>
          <w:lang w:bidi="fa-IR"/>
        </w:rPr>
        <w:t xml:space="preserve">یتمحور البحث حول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ولذ لا نستطیع أن نحمل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الغنیمة الحربیة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الشریفة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جعل بعض من أهل السنة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الآیة الکریمة وَاعْلَمُوا أَنَّما غَنِمْتُمْ مِنْ شَیْ‌ءٍ </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مؤیداً لنظریتهم وذلک بالتوضیح التالی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أن المراد من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رأی أهل السنة هو الغنیمة الحربیة، فربما یتوهم أن الغنیمة منحصرة بأدوات الحرب والقتال کالدرع والخیل والسلاح الذی یغنم من العدو، لذا إن لم یوجد فی الآیة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لتوهم أن هذا الأمر فقط من موارد الخمس، فذکر بعض مفسری أهل السنة ما یلی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ولذا ذکر الله عز وجل فی مقام دفع هذا التوهم ما 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أَنَّما غَنِمْتُمْ مِنْ شَیْ‌ءٍ</w:t>
      </w:r>
      <w:r>
        <w:rPr>
          <w:rStyle w:val="FootnoteAnchor"/>
          <w:rtl w:val="true"/>
        </w:rPr>
        <w:footnoteReference w:id="61"/>
      </w:r>
      <w:r>
        <w:rPr>
          <w:rFonts w:ascii="Amiri" w:hAnsi="Amiri" w:eastAsia="Amiri" w:cs="Amiri"/>
          <w:color w:val="111111"/>
          <w:sz w:val="28"/>
          <w:sz w:val="28"/>
          <w:szCs w:val="28"/>
          <w:rtl w:val="true"/>
          <w:lang w:bidi="ar-SA"/>
        </w:rPr>
        <w:t>حتی الخیط والمخیط فَأَنَّ للهِ خُمُسَهُ‌</w:t>
      </w:r>
      <w:r>
        <w:rPr>
          <w:rStyle w:val="FootnoteAnchor"/>
          <w:rtl w:val="true"/>
        </w:rPr>
        <w:footnoteReference w:id="62"/>
      </w:r>
      <w:r>
        <w:rPr>
          <w:rFonts w:ascii="IRNazanin" w:hAnsi="IRNazanin" w:eastAsia="IRNazanin"/>
          <w:color w:val="111111"/>
          <w:sz w:val="28"/>
          <w:sz w:val="28"/>
          <w:szCs w:val="28"/>
          <w:rtl w:val="true"/>
          <w:lang w:bidi="fa-IR"/>
        </w:rPr>
        <w:t>ولا یختص بأدوات القتال</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کان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مطلق الفائدة عندها فإن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تفقد أی أثر أو معنی فی نفسه لأن نفس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معنیً عام وواسع، وبعبارة أخری وبناء علی تفسیر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لها عنواناً احترازیاً، أما بناء علی تفسیر الشیعة فإن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عنواناً تأکیدیاً، والأصل الأولی فی القیود احترازیتها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الدلیل 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یلاحظ أن الحقیقة تکمن فی عکس ما قیل، بما أن الله عز وجل فی مقام بیان ضابطة کلیة لئلا یظنّ أو یعتقد أحد بوجوب الخمس فی بعض الفوائد وعدم وجوبها فی البعض الآخر، فقد قال تعالی وَاعْلَمُوا أَنَّما غَنِمْتُمْ مِنْ شَیْ‌ءٍ</w:t>
      </w:r>
      <w:r>
        <w:rPr>
          <w:rStyle w:val="FootnoteAnchor"/>
          <w:rtl w:val="true"/>
        </w:rPr>
        <w:footnoteReference w:id="63"/>
      </w:r>
      <w:r>
        <w:rPr>
          <w:rFonts w:ascii="Amiri" w:hAnsi="Amiri" w:eastAsia="Amiri" w:cs="Amiri"/>
          <w:color w:val="111111"/>
          <w:sz w:val="28"/>
          <w:sz w:val="28"/>
          <w:szCs w:val="28"/>
          <w:rtl w:val="true"/>
          <w:lang w:bidi="ar-SA"/>
        </w:rPr>
        <w:t xml:space="preserve">ذاکراً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 فی العادة فإن ما یقع غنیمة فی القتال یکون عادة محصوراً بأدوات القتال أو مقدار من المواد الغذائیة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فمثلاً، عندما یتم التدقیق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الآیة الشریفة ما جَعَلَ عَلَیْکُمْ فِی الدِّینِ مِنْ حَرَجٍ فإن إحدی النقاط الهامة الموجودة فیها تتمثل بأن الشارع المقدس فی مقام بیان هذا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حکم حرجیاً فی الدین ولا یوجد حرج فی أی حکم من أحکام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هذه الآیة محل البحث فإن الله عز وجل فی مقام بیان قاعدة کلیة، وجاء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لإثبات تلک الکلیة، بمعنی کل فائدة یتم الحصول علیها سواء کانت من قتال أو تجارة أو زراعة أو إرث أو هدیة أو جائزة، وبشکل عام، کل ما یصدق علیه عرفاً لفظ الفائدة، طبعاً لا منافاة بین هذا ومع ما استثنی من بعض الموارد مثل الإرث</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 فی رأینا فإن الصحیح هو عکس مدَّعاهم، وبناء علی نظریة الإمامیة فإن هذا القید احترازی أیضاً لا تأکیدی، بمعنی الاحتراز من اختصاص الخمس ببعض من الفوائد، ولا یتوهمنَّ أحد أن الخمس واجب فی بعض الفوائد</w:t>
      </w:r>
      <w:r>
        <w:rPr>
          <w:rFonts w:eastAsia="IRNazanin" w:cs="IRNazanin"/>
          <w:color w:val="111111"/>
          <w:sz w:val="28"/>
          <w:szCs w:val="28"/>
          <w:rtl w:val="true"/>
          <w:lang w:bidi="fa-IR"/>
        </w:rPr>
        <w:t>.</w:t>
      </w:r>
      <w:bookmarkStart w:id="75" w:name="pg5472_36301"/>
    </w:p>
    <w:p>
      <w:pPr>
        <w:pStyle w:val="BookText"/>
        <w:rPr/>
      </w:pPr>
      <w:bookmarkEnd w:id="7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إثبات أن الآیة فی مقام قاعدة وضابطة کلیة؟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ملاحظة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والتأکید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والنقاط الأخری الموجودة فی ذیل هذه الآیة لا تبقی أی مجال للشک فی أن الآیة فی مقام بیان ضابطة 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نقبل بأن الآیة فی مقام بیان إبلاغ قاعدة وضابطة کلیة، لکن القواعد من حیث السعة والضیق مختلفة فیما بینها، إذ إن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ضابطة وقاعدة تطرح فی جمیع أبواب الفقه تقریباً، ولکن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محصورة فی باب الطهارة فحسب، وقاعدة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تستخدم فی بحث الحیض فقط، بناء علی هذا فمن الممکن أن یقول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الآیة فی مقام بیان قاعدة، ولکن هذه القاعدة متعلقة بالقتال فحسب، ولکنها لا تشمل أدوات القتال فحسب، بل تشمل کل ما یغنم فی القتال فهو مشمول بالخمس، فنقول فی 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التعبیر الوارد فی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فی معنیً عام وواسع جداً، وحصرها بالغنائم الحربیة التی قد تحدد بعدة عناوین محدودة لا ینسجم مع ذلک، لذا فإن مناسبة هذه العبارة تکون معنیً أوسع کلی أکثر بمعنی جمیع الفوائد وجمیع أقسام الغنائم</w:t>
      </w:r>
      <w:r>
        <w:rPr>
          <w:rFonts w:eastAsia="IRNazanin" w:cs="IRNazanin"/>
          <w:color w:val="111111"/>
          <w:sz w:val="28"/>
          <w:szCs w:val="28"/>
          <w:rtl w:val="true"/>
          <w:lang w:bidi="fa-IR"/>
        </w:rPr>
        <w:t>).</w:t>
      </w:r>
    </w:p>
    <w:p>
      <w:pPr>
        <w:pStyle w:val="Heading3"/>
        <w:numPr>
          <w:ilvl w:val="2"/>
          <w:numId w:val="1"/>
        </w:numPr>
        <w:rPr/>
      </w:pPr>
      <w:bookmarkStart w:id="76" w:name="__RefHeading___Toc2158388_581953129"/>
      <w:bookmarkStart w:id="77" w:name="_Toc28"/>
      <w:bookmarkEnd w:id="76"/>
      <w:r>
        <w:rPr>
          <w:rtl w:val="true"/>
        </w:rPr>
        <w:t>لأی دلیل اعتبر أهل السنة الخمس فی موارد أخری غیر الغنائم الحربیة ؟</w:t>
      </w:r>
      <w:bookmarkEnd w:id="77"/>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الرغم من أن أهل السنة یعتبرون الآیة الشریفة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أَنَّما غَنِمْتُمْ مِنْ شَیْ‌ءٍ</w:t>
      </w:r>
      <w:r>
        <w:rPr>
          <w:rStyle w:val="FootnoteAnchor"/>
          <w:rtl w:val="true"/>
        </w:rPr>
        <w:footnoteReference w:id="64"/>
      </w:r>
      <w:r>
        <w:rPr>
          <w:rFonts w:ascii="IRNazanin" w:hAnsi="IRNazanin" w:eastAsia="IRNazanin"/>
          <w:color w:val="111111"/>
          <w:sz w:val="28"/>
          <w:sz w:val="28"/>
          <w:szCs w:val="28"/>
          <w:rtl w:val="true"/>
          <w:lang w:bidi="fa-IR"/>
        </w:rPr>
        <w:t>محصورة بالغنائم الحربیة، فإنهم لا یحصرون الخمس فی کتبهم الفقهیة بالغنائم القتالیة والحربیة فحسب، بل یوجبون الخمس فی بعض الموارد الأخری مثل المعادن حیث أفتوا بوجوبه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الشیخ الطوسی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المعادن کلها یجب فیها الخمس من الذهب والفضة والحدید، ومن ثم یقول، وقال الشافعی لا یجب فی المعادن شیء إلا الذهب والفضة فإن فیهما الزکاة، وقال أبو حنیفة کل ما ینتبع مثل الحدید والرصاص والفضة ففیه الخمس وما لا ینتبع فلیس فیه شیء</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ففی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المعادن من وجهة نظر الشافعی وأبی حنیفة قسمان أحدهما یجب فیه الخمس والآخر لا یجب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نقل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علی المذاهب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حنیفة أنه قسم المعادن ثلاثة أقسام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المعادن غیر السائلة والمائعة مثل الحدید والرصاص والقصدیر والذهب والفضة وأمثال ذلک التی تصنع بالنار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المعادن السائلة مثل النفط والقیر والرکاز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المعادن التی لیست بمائعة ولکنها تحتاج إلی النار مثل الیاقوت والملح والرمل وأمثالها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شخص ذهباً أو معدناً فی أرضه ومنزله فهو مالک له ولیس فیه خمس، وأما إن وجد کنزاً أو معدناً فی أرض ترتفع علیه علامة الکفر فیجب علیه أن یدفع خمسه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وجدها فی أرض ترتفع علیها علامة المسلمین، فلا خمس فیه وإن کان مالکه هو</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صرّح أبو حنیفة بأنه یوجد خمس فی الزئبق</w:t>
      </w:r>
      <w:r>
        <w:rPr>
          <w:rFonts w:eastAsia="IRNazanin" w:cs="IRNazanin"/>
          <w:color w:val="111111"/>
          <w:sz w:val="28"/>
          <w:szCs w:val="28"/>
          <w:rtl w:val="true"/>
          <w:lang w:bidi="fa-IR"/>
        </w:rPr>
        <w:t>.</w:t>
      </w:r>
      <w:bookmarkStart w:id="78" w:name="pg5472_36303"/>
    </w:p>
    <w:p>
      <w:pPr>
        <w:pStyle w:val="BookText"/>
        <w:rPr/>
      </w:pPr>
      <w:bookmarkEnd w:id="78"/>
      <w:r>
        <w:rPr>
          <w:rFonts w:ascii="IRNazanin" w:hAnsi="IRNazanin" w:eastAsia="IRNazanin"/>
          <w:color w:val="111111"/>
          <w:sz w:val="28"/>
          <w:sz w:val="28"/>
          <w:szCs w:val="28"/>
          <w:rtl w:val="true"/>
          <w:lang w:bidi="fa-IR"/>
        </w:rPr>
        <w:t>وقد فرّق المالکیة بین المعدن والرکاز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أقرّه الله عز وجل فی باطن الأرض هو معدن مثل الذهب والفضة والنحاس، وأما ما یدفنه الناس فی قعر الأرض فهو رکاز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اعتبر المالکیة تعلق الزکاة بالمعدن وتعلق الخمس بالرکاز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والحنابلة کذلک مثل المالکیة فرقوا بین المعدن والرکاز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والشافعیة کذلک خصّوا المعدن بالذهب والفضة وقالوا بالخمس فی الرکاز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یعلم أن أهل السنة تجاوزوا ما ذکروه فی الآیة الشریفة وَاعْلَمُوا أَنَّما غَنِمْتُمْ مِنْ شَیْ‌ءٍ بأنها محصورة بالغنیمة القتالیة، وقالوا بالخمس إجمالاً فی المعدن والرکاز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کان مستندهم فی ذلک روایة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مستندنا کذلک فی بحث الخمس روایات المعصومین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حدیثنا حدیث جدنا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 بلا ریب ینطبق علیهم عنوان المخبر العادل والناقل العادل الذی یقبل به الجمیع، بالإضافة إلی اعتقادنا بإمامتهم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هذا، فإن المراد من الغنیمة لیس محصوراً بالغنائم الحربیة بل بمطلق الغنائم</w:t>
      </w:r>
      <w:r>
        <w:rPr>
          <w:rFonts w:eastAsia="IRNazanin" w:cs="IRNazanin"/>
          <w:color w:val="111111"/>
          <w:sz w:val="28"/>
          <w:szCs w:val="28"/>
          <w:rtl w:val="true"/>
          <w:lang w:bidi="fa-IR"/>
        </w:rPr>
        <w:t>.</w:t>
      </w:r>
    </w:p>
    <w:p>
      <w:pPr>
        <w:pStyle w:val="Heading3"/>
        <w:numPr>
          <w:ilvl w:val="2"/>
          <w:numId w:val="1"/>
        </w:numPr>
        <w:rPr/>
      </w:pPr>
      <w:bookmarkStart w:id="79" w:name="__RefHeading___Toc2158390_581953129"/>
      <w:bookmarkStart w:id="80" w:name="_Toc29"/>
      <w:bookmarkEnd w:id="79"/>
      <w:r>
        <w:rPr>
          <w:rtl w:val="true"/>
        </w:rPr>
        <w:t>رأی المحقق الأردبیلی حول الغنیمة</w:t>
      </w:r>
      <w:r>
        <w:rPr>
          <w:rtl w:val="true"/>
        </w:rPr>
        <w:t>:</w:t>
      </w:r>
      <w:bookmarkEnd w:id="80"/>
    </w:p>
    <w:p>
      <w:pPr>
        <w:pStyle w:val="BookText"/>
        <w:rPr/>
      </w:pPr>
      <w:r>
        <w:rPr>
          <w:rFonts w:ascii="IRNazanin" w:hAnsi="IRNazanin" w:eastAsia="IRNazanin"/>
          <w:color w:val="111111"/>
          <w:sz w:val="28"/>
          <w:sz w:val="28"/>
          <w:szCs w:val="28"/>
          <w:rtl w:val="true"/>
          <w:lang w:bidi="fa-IR"/>
        </w:rPr>
        <w:t xml:space="preserve">للمحقق الأردبیلی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الصعید نقاط عدیدة قابلة فی رأینا للنقاش</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یذکر فی البدایة ما 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إنه یفهم من ظاهر الآیة وجوب الخمس فی کل الغنیمة وهی فی اللغة بل العرف أیضاً الفائدة</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ثم یذکر فی ردّ هذا القول ما 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الرغم من أنه یفهم ابتداء من الآیة الشریفة بوجوب الخمس فی کل فائدة، ولکن توجد ثلاث نقاط تمنع عن القول بذلک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الظاهر أن لا قائل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ثم یوضّح قائلاً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أهل السنة الذین حصروا الخمس بغنائم دار الحرب، فإن بعضهم قد أوجبه فی المعادن والکنوز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والإمامیة کذلک قالوا بالخمس فی سبعة موارد وهی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غنیمة دار الحرب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أرباح التجارات والصناعات والزراعات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المعادن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الکنوز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یخرج بالغوص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الحلال المختلط بالحرام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أراضی أهل الذمة التی اشتریت من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قال الحلبی بالخمس فی المیراث والهدیة والهبة والصدقة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وأضاف الشیخ الطوسی علیها موردین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وأضاف الفاضلان العلاّمة والشهید کذلک مورداً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یقول المرحوم الأردبیلی ما یلی</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ولذا لیس لدینا بین الفقهاء من یقول بوجوب الخمس فی جمیع الفوائد، وبما أن الأمر کذلک فلهذا ینبغی ألا نفسر الآیة بهذا المعنی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إشکال علی النقطة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أن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قائل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الفتوی تعتبر من العناوین التی ینبغی أن یهتم بها الفقیه، ولکن عندما یفسرون الآیة الکریمة بحسب الظهورات اللفظیة وظواهر اللغة لا وجه للقول بأن هذا المعنی لا قائل له بین المفسرین أو الفقهاء أو یوجد قائل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بناء علی هذا فإن ما ذکره الأردبیلی لا مجال لاستخدامه هنا أساساً، لأننا فی مقام تفسیر الآیة لا فی مقام الفتوی، وعنوان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قائل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عن الفتوی لا عن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یوجد إجمال فی الآیة الشریفة وَاعْلَمُوا أَنَّما غَنِمْتُمْ مِنْ شَیْ‌ءٍ</w:t>
      </w:r>
      <w:r>
        <w:rPr>
          <w:rStyle w:val="FootnoteAnchor"/>
          <w:rtl w:val="true"/>
        </w:rPr>
        <w:footnoteReference w:id="67"/>
      </w:r>
      <w:r>
        <w:rPr>
          <w:rFonts w:ascii="IRNazanin" w:hAnsi="IRNazanin" w:eastAsia="IRNazanin"/>
          <w:color w:val="111111"/>
          <w:sz w:val="28"/>
          <w:sz w:val="28"/>
          <w:szCs w:val="28"/>
          <w:rtl w:val="true"/>
          <w:lang w:bidi="fa-IR"/>
        </w:rPr>
        <w:t>من حیث أنها فی مطلق الفوائد أو فی فائدة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یذکر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والإجمال فی القرآن العزیز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ویأتی بشواهد من ذلک من آیات الصلاة والزکاة والحج والصوم حیث یوجد فیها إجمال کذلک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الإشکال علی النقطة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العجیب أن الأردبیلی لم یفرّق بین الإطلاق والإجمال أو العموم والإجمال، فی حین أن من الواضح أنه یوجد بینهما فرق</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یوجد فرق بین أن تکون آیة مجملة حسب المعنی اللغوی أو عامة حسب المعنی اللغوی، ولا ینبغی الخلط بینهما، وآیة الخمس لا إجمال فیها من حیث المعنی اللغوی، ومعنی الغنیمة هو نفس مطلق الفائدة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بالإضافة إلی ذلک یوجد إشکال آخر فی التشبیهات التی ذکرها، لأنه لم یقل أی مفسر أو فقیه بأنه یوجد إجمال من ناحیة اللغة فی قوله تعالی أَقِیمُوا الصَّلاةَ أو فی قوله تعالی وَللهِ عَلَی النَّاسِ حِجُّ الْبَیْتِ مَنِ اسْتَطاعَ إِلَیْهِ سَبِیلاً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لتلک عنوان کلیات وضوابط فی مقام أصل تشریع وجوب الحج ووجوب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لقد قبل بعض الفقهاء إطلاق هذه الآیة من حیث مدخلیة أو عدم مدخلیة بعض من القیود، وبالتالی فإنه لا یوجد فیها إجمال کذلک من حیث هذه الجهات، وبعض آخر لم یقبل بذلک بأنه یوجد إجمال من حیث هذه الجهة، ولکن هذا الإجمال لیس بمعنی الإجمال اللغوی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الآیة الکریمة وَاعْلَمُوا أَنَّما غَنِمْتُمْ مِنْ شَیْ‌ءٍ لیست أصلاً فی مقام تبیین أنه فی أی مورد یجب الخمس وفی أی مورد لا یجب، بل تدل علی أنه یوجد خمس بشکل عام فی کل فائدة علی نحو الإجمال، ولکن لا یعلم المراد من الفائدة ما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المسلم أن الآیة لا ترید أن تبیّن ذلک، لأنه خلاف لظاهر الآیة، إذ ظاهرها أنها فی مقام بیان أنه یوجد خمس فی کل ما یصدق علیه أنه 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ذکرنا سابقاً، فإن الله عز وجل فی هذه الآیة الکریمة فی مقام بیان ضابطة، وقد فهمنا من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الخمس فی کل فائدة متحصَّلة، فکیف یمکن أن یکون المتکلم فی مقام ضابطة کلیة وفی نفس الوقت یکون فی بیانه إجمال؟</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فی مقام بیان ضابطة یقتضی طرح الموضوع بشکل واضح</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رددنا قول من ادّعی أن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غنیمة تغنم فی القتال لا کل فائدة، وقلنا بأن الآیة ناظرة إلی تشریع الخمس فی جمیع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 لدینا مقیِّدات ومخصِّصات، إذ من الممکن أن یقول فقیه بأن لا خمس فی الإرث أو فائدة خاصة أخری أو لا یوجد خمس فی الهبة، ولکن هذا تقیید وتخصیص لا بمعنی 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 أن الآیة عامة ومطلقة ولا إجمال فیها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هذا القسم یلزم علینا أن نشیر إلی أن الإمام الخمینی رضوان الله تعالی علیه فی الأصول مبنی تبعه الوالد المحقق الراحل رضوان الله تعالی علیه وهو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الخطابات القانونیة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والمقصود من هذا المبنی أنه فی الموارد التی قام الشارع بتشریعها فی القرآن والسنة بعنوان خطاب قانونی، وهو فی مقابل الخطابات الشخصیة، حیث لا یأخذ فی الاعتبار ضمن الخطاب القانونی تفاصیل المکلفین وخصوصیاتهم، بل إن الشارع فی مقام تبیین أن الخمس فی الشریعة أحد القوانین، وهذا الخمس موجود فی الفوائد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فیما یتعلق بتفصیل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هل الخمس واجب علی البالغین أو علی الأطفال أو لا؟، فإنه بناء علی مبنی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الاستدلال فی هذه الآیة للإجابة علی هذه الأسئلة، والقول بأن الآیة تبین مطلقاً وجوب الخمس علی الجمیع سواء البالغ وغیر البالغ، لأن هذه الآیة بعنوان خطاب قانونی ولم یلحظ فیه خصوصیات المکلفین</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الرغم من وجود مناقشات فی هذا المبنی، طرحناها فی مباحث الأصول، ولکن مع ذلک یوجد فرق بین هذا المطلب والإجمال، فإن قلنا بأن هذه الآیة من قبیل الخطابات القانونیة فهی لیست بمعنی الإجمال، وتصبح مطلقة بنفس دائرة المعنی الکلی وذلک الخطاب القانونی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یذکر المرحوم الأردبیلی ما 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أردنا القول بأن الآیة الشریفة دالة علی الخمس فی جمیع الفوائد، فهذا تکلیف شاق علی المکلفین، وإن شککنا فی مثل هذا التکلیف فالأصل هو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علاوة علی هذا فإن أساس دیننا وشریعتنا أنها شریعة سمحة وسهلة ولا تکلیف شاقاً فی الشریعة السمحة والسهلة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إشکال علی النقطة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العجیب أن یُذکر مثل هذا المطلب من أشخاص مثل الأردبیلی، إذ علی الرغم من أن مسألة المشقة منتفیة أصلاً فی الشریعة، ولکن بعنوان ثانوی لا بعنوان أولی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یمکن لمسألة الحرج ومسألة المشقة أن تأخذ طریقها فی الأحکام بعنوان أولی، نعم أفتی الفقهاء بعنوان ثانوی بأنه إذا أصبح تکلیف ما حرجیاً فإنه یسقط، فمثلاً فی باب المال إذا أراد شخص دفع خمس ماله وأدی هذا العمل إلی الحرج، حیث ذکروا أن الخمس لیس واجباً، ولکن بعنوان ثانوی لا عنوان أولی، ولا یمکن القول استناداً إلی حکم صدر بعنوان ثانوی أن یستفاد منه بعنوان أولی</w:t>
      </w:r>
      <w:r>
        <w:rPr>
          <w:rFonts w:eastAsia="IRNazanin" w:cs="IRNazanin"/>
          <w:color w:val="111111"/>
          <w:sz w:val="28"/>
          <w:szCs w:val="28"/>
          <w:rtl w:val="true"/>
          <w:lang w:bidi="fa-IR"/>
        </w:rPr>
        <w:t>.</w:t>
      </w:r>
      <w:bookmarkStart w:id="81" w:name="pg5472_36309"/>
    </w:p>
    <w:p>
      <w:pPr>
        <w:pStyle w:val="Heading3"/>
        <w:numPr>
          <w:ilvl w:val="2"/>
          <w:numId w:val="1"/>
        </w:numPr>
        <w:rPr/>
      </w:pPr>
      <w:bookmarkStart w:id="82" w:name="__RefHeading___Toc2158392_581953129"/>
      <w:bookmarkStart w:id="83" w:name="_Toc30"/>
      <w:bookmarkEnd w:id="81"/>
      <w:bookmarkEnd w:id="82"/>
      <w:r>
        <w:rPr>
          <w:rtl w:val="true"/>
        </w:rPr>
        <w:t>نتیجة البحث</w:t>
      </w:r>
      <w:r>
        <w:rPr>
          <w:rtl w:val="true"/>
        </w:rPr>
        <w:t>:</w:t>
      </w:r>
      <w:bookmarkEnd w:id="83"/>
    </w:p>
    <w:p>
      <w:pPr>
        <w:pStyle w:val="BookText"/>
        <w:rPr/>
      </w:pPr>
      <w:r>
        <w:rPr>
          <w:rFonts w:ascii="IRNazanin" w:hAnsi="IRNazanin" w:eastAsia="IRNazanin"/>
          <w:color w:val="111111"/>
          <w:sz w:val="28"/>
          <w:sz w:val="28"/>
          <w:szCs w:val="28"/>
          <w:rtl w:val="true"/>
          <w:lang w:bidi="fa-IR"/>
        </w:rPr>
        <w:t xml:space="preserve">إن ما ذکره وأشار إلیه الأردبیلی من نقاط کانت غیر صحیحة، حیث ذکر الأردبیلی بدایة کما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انه لا قائل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ذکر الشیخ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ویمکن الاستدلال علی ذلک بهذه الآیة لأن جمیع ذلک یسمی غنیمة</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 ولذا فإن ما ذکر فی کلام الطبرسی فی مجمع البیان، وما ذکر فی توجیهه مما لا یتطابق مع کلامهم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هذا فإن الآیة تذکر بعنوان الحکم الأولی ما 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یوجد خمس فی جمیع الفوائد والغنائم، ولا منافاة فی ذلک مع الموارد التی استثنیت بعنوان الحرج أو بالدلائل الأخری مثل السیرة، حیث درجت العادة عند المتشرعة ألا یدفعوا الخمس فی مطلق الهدایا أو فی خصوص الهدایا الصغیرة</w:t>
      </w:r>
      <w:r>
        <w:rPr>
          <w:rFonts w:eastAsia="IRNazanin" w:cs="IRNazanin"/>
          <w:color w:val="111111"/>
          <w:sz w:val="28"/>
          <w:szCs w:val="28"/>
          <w:rtl w:val="true"/>
          <w:lang w:bidi="fa-IR"/>
        </w:rPr>
        <w:t>).</w:t>
      </w:r>
      <w:bookmarkStart w:id="84" w:name="pg5472_36310"/>
    </w:p>
    <w:p>
      <w:pPr>
        <w:pStyle w:val="Heading2"/>
        <w:numPr>
          <w:ilvl w:val="1"/>
          <w:numId w:val="1"/>
        </w:numPr>
        <w:rPr/>
      </w:pPr>
      <w:bookmarkStart w:id="85" w:name="__RefHeading___Toc2158394_581953129"/>
      <w:bookmarkStart w:id="86" w:name="_Toc31"/>
      <w:bookmarkEnd w:id="84"/>
      <w:bookmarkEnd w:id="85"/>
      <w:r>
        <w:rPr>
          <w:rtl w:val="true"/>
        </w:rPr>
        <w:t>مصارف الخمس</w:t>
      </w:r>
      <w:bookmarkEnd w:id="86"/>
    </w:p>
    <w:p>
      <w:pPr>
        <w:pStyle w:val="Heading3"/>
        <w:numPr>
          <w:ilvl w:val="2"/>
          <w:numId w:val="1"/>
        </w:numPr>
        <w:rPr/>
      </w:pPr>
      <w:bookmarkStart w:id="87" w:name="__RefHeading___Toc2158396_581953129"/>
      <w:bookmarkStart w:id="88" w:name="_Toc32"/>
      <w:bookmarkEnd w:id="87"/>
      <w:r>
        <w:rPr>
          <w:rtl w:val="true"/>
        </w:rPr>
        <w:t>اشارة</w:t>
      </w:r>
      <w:bookmarkEnd w:id="88"/>
    </w:p>
    <w:p>
      <w:pPr>
        <w:pStyle w:val="BookText"/>
        <w:rPr/>
      </w:pP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أَنَّما غَنِمْتُمْ مِنْ شَیْ‌ءٍ فَأَنَّ للهِ خُمُسَهُ وَلِلرَّسُولِ وَلِذِی الْقُرْبی وَالْیَتامی وَالْمَساکِینِ وَابْنِ السَّبِیلِ إِنْ کُنْتُمْ آمَنْتُمْ بِاللهِ وَما أَنْزَلْنا عَلی عَبْدِنا یَوْمَ الْفُرْقانِ یَوْمَ الْتَقَی الْجَمْعانِ وَاللهُ عَلی کُلِّ شَیْ‌ءٍ قَدِیرٌ</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ذکر الله عز وجل فی هذه الآیة الکریمة ستة موارد لصرف الخمس، بالإضافة إلی أصل وجوب الخمس، إذ یجب أن یُجعلَ سهم منه لله عز وجل، وسهم آخر لرسوله، وسهم آخر للأئمة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بعده، وسهم کذلک للیتامی وسهم للمساکین وسهم آخر لابن السبیل، وهذا ما ذکر بشکل مجمل، لذا ینبغی أن نقوم بالبحث فی جهات متعددة حول هذه الآیة</w:t>
      </w:r>
      <w:r>
        <w:rPr>
          <w:rFonts w:eastAsia="IRNazanin" w:cs="IRNazanin"/>
          <w:color w:val="111111"/>
          <w:sz w:val="28"/>
          <w:szCs w:val="28"/>
          <w:rtl w:val="true"/>
          <w:lang w:bidi="fa-IR"/>
        </w:rPr>
        <w:t>:</w:t>
      </w:r>
    </w:p>
    <w:p>
      <w:pPr>
        <w:pStyle w:val="Heading3"/>
        <w:numPr>
          <w:ilvl w:val="2"/>
          <w:numId w:val="1"/>
        </w:numPr>
        <w:rPr/>
      </w:pPr>
      <w:bookmarkStart w:id="89" w:name="__RefHeading___Toc2158398_581953129"/>
      <w:bookmarkStart w:id="90" w:name="_Toc33"/>
      <w:bookmarkEnd w:id="89"/>
      <w:r>
        <w:rPr>
          <w:rtl w:val="true"/>
        </w:rPr>
        <w:t>الجهة الأولی</w:t>
      </w:r>
      <w:r>
        <w:rPr>
          <w:rtl w:val="true"/>
        </w:rPr>
        <w:t xml:space="preserve">: </w:t>
      </w:r>
      <w:r>
        <w:rPr>
          <w:rtl w:val="true"/>
        </w:rPr>
        <w:t>هل الآیة الکریمة فی مقام التقسیم أم فی مقام الترتیب ؟</w:t>
      </w:r>
      <w:bookmarkEnd w:id="90"/>
    </w:p>
    <w:p>
      <w:pPr>
        <w:pStyle w:val="BookText"/>
        <w:rPr/>
      </w:pPr>
      <w:r>
        <w:rPr>
          <w:rFonts w:ascii="IRNazanin" w:hAnsi="IRNazanin" w:eastAsia="IRNazanin"/>
          <w:color w:val="111111"/>
          <w:sz w:val="28"/>
          <w:sz w:val="28"/>
          <w:szCs w:val="28"/>
          <w:rtl w:val="true"/>
          <w:lang w:bidi="fa-IR"/>
        </w:rPr>
        <w:t>وسوف نأخذ الاحتمال الأول بأن الآیة فی مقام التقسیم، ویصبح معناها أنه ینبغی تقسیم الخمس إلی ستة أقسام کما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سهم 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سهم لرسوله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سهم لذوی القربی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سهم للیتامی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سهم للمساکین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سهم لابن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علی ذلک یجب تقسیم الخمس إلی ستة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الاحتمال الثانی فیقوم علی أن الآیة الشریفة لیست فی مقام التقسیم أصلاً ولا یستفاد منها ذلک، بل إنها دالة علی الترتیب، لأن الله عز وجل فیها لم یقل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 خمسه لله وللرسول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 لله خمسه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 قبیل تقدیم ما حقه التأخیر، حیث أخّر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وقدّم خبره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التقدیم یفید الحصر، ومعنی ذلک أن الخمس بتمامه مختصّ بالله عز وجل، ومن ثم تأتی النوبة إلی رسوله لأن له ولایة من قبل الله عز وجل طولاً، لذا فیعود الخمس بتمامه إلیه ویصبح له، ومن ثم یأتی الدور من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ذی القربی الذین یقومون مقامه، لأن ذا القربی باعتبارهم الأئمة المعصومین، وسیأتی الدلیل علی ذلک، لهم ولایة من قبل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فیرجع الخمس بتمامه إلی ذی القربی، ومن ثم یأتی الدور بالترتیب إلی المجموعات الثلاث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علیه، لو قبلنا أن الآیة تفید الترتیب، عندها لا دلالة علی تقسیم الخمس إلی ستة أقسام، بل إن الخمس کلّه متعلق بالله عز وجل، وهو کذلک متعلق برسوله طولاً، وکذلک الأمر إلی الأئمة المعصومین من بعده إن لم یکن موجوداً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وقبل الإجابة علی هذا السؤال یلزم علینا البحث فی عدة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دخلت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کانت للاختصاص أو للملکیة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کلمات بعینها من الآیة الکریمة 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تدخل علی کلمات أخری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الیتامی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المسلّم أنه لا یمکن الردّ بما قاله الأدباء فی هذه الآیة مستفیدین من موضوع العطف، بالقول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الیتامی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واللام التی دخلت علیها تشمل الکلمات التی بعدها کذلک من هذا الطریق، إذ لو کان الأمر کذلک لوجب القول بعدم دخول اللام علی الکلمات التی تلت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حین إننا نری أنها دخلت علیهما فی هذه الآیة، وعلیه ینبغی البحث عن سبب عدم دخول اللام علی المجموعات الثلاث الأخیرة فی هذه الآیة، ویمکن أن نذکر جوابین علی هذا السؤال 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اختلف الفقهاء حول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ملکیة غیر الأشخاص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وباتضاح هذا الاختلاف یتبین لنا سبب عدم دخول اللام علی الأقسام الثلاثة الأخیرة من 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عدة من الفقهاء مثل المرحوم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من تلامذته بوجوب تعلّق الملکیة بالأشخاص الحقیقیین فقط، الذین یمکنهم أن یملکوا،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نلاحظ فی هذه الآیة الکریمة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فی الدرجة الأولی ومن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الدرجة الثانیة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الدرجة الثالثة، أما الطوائف الثلاث الأخری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الیتامی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باعتبارهم عناوین لا أشخاصاً حقیقیین فلا یملکون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عدة آخرون من الفقهاء کالمرحوم 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والوالد الراحل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 کثیر غیرهما أنه یمکن للعناوین أن تحرز صلاحیة الملکیة کالأشخاص، إذ یمکن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الحوزة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والعناوین الأخری من أمثالها أن تملک</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والفقهاء الذین لا یعتبرون العنوان مالکاً، یستطیعون أن یقولوا فی محل الکلام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سبب عدم دخول اللام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الیتامی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لأنهم لا یملکون الخمس، بل هم مصارف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الفقهاء الذین یقولون بمالکیة العناوین، فإنهم یعتبرون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الیتامی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مالکین للخمس أیضاً، ولا یمکنهم أن یذکروا هذا الکلام فی هذا المحل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سواء کانت الآیة فی مقام التقسیم أو فی مقام الترتیب، فإن التحقیق یقتضی أن یوجد شخص یتحمل مسؤولیة تقسیم الخمس وصرفه علی المجموعات الثلاث الأخیرة، والرأی الصحیح أن من له صلاحیة هذا الأمر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یتولّون ذلک بین المجموعات الثلاث،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الیتامی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ویلاحظ أن المراد من ذی القربی هو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الادعاء واضح وجلی بناء علی الاحتمال الثانی فی کون الآیة فی مقام الترتیب، حیث توضح طریقة القول بأن المراد من ذی القربی هو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وتوضیح ذلک یتم بما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للهِ خُمُسَهُ یعنی أن جمیع الخمس لله عز وجل الذی له الولایة الأولی والأصلیة علی الخمس فهو حاکم مطلق، والخمس یعود لمن له الحکم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بعده یأتی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باعتباره ممثلاً أولاً له وخلیفة له، وبالتالی فیعود أمر الخمس بتمامه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ثم یأتی الإمام المعصوم کخلیفة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فله حق الحکومة الذی لله عز وجل ولرسوله کذلک، فالإمام المعصوم یحمل ذلک العنوان أیضاً</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دور الفقهاء الذین هم خلفاء أولئک العظماء، حیث لهم نفس ذلک الحق الذی للمعصوم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للفقیه بما هو فقیه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یتضح بناء علی المعنی الترتیبی للآیة أن صلاحیة صرف الخمس علی المجموعات الثلاثة الأخیرة الواردة فی الآیة الکریمة تقع بید ذی القربی، أی إن أصل الخمس حق بعنوان الإمامة، والإمام باعتباره من ذی القربی یصرف ذلک الخمس بذلک العنوان فی الیتامی والمساکین وابن السبیل، وهذه المجموعات الثلاث الأخیرة لیسوا مالکین للخمس بأنفسهم، ولا حق ابتدائیاً لهم فی التصرف به وصرفه، بل بناء علی ذلک المعنی المستفاد من الآیة یجب أن یتم ذلک تحت إشراف الإمام ورأیه، وبناء علیه یتضح لدینا سبب عدم دخول اللام علی المجموعات الثلاث الأخیرة فی الآیة الکریمة، لأنهم لیسوا مالکین بل یجب تقسیم الخمس بینهم عبر ذی القربی، وبناء علی الاحتمال الأول الذی یقوم علی أن الآیة فی مقام التقسیم، بأن یقسم الخمس إلی ستة أقسام متساویة نقول</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الرغم من عدم دخول اللام علی تلک المجموعات الثلاث أی الیتامی والمساکین وابن السبیل، ولکن هذه المجموعات الثلاث مالکة، ولکن لیس لها حق التصرف فی الخمس وصرفه إلا بعد إذن ذی القربی، ومع عدم وجود هذا الإذن فلا یحق لهم ذلک مع کونهم مالکین، ولذا سواء کانت الآیة فی مقام التقسیم أو فی مقام الترتیب، فإنها تدل دلالة واضحة علی وجوب صرف الخمس بین المجموعات الثلاث الأخیرة من قبل ذی القربی وهذا الأمر هو سبب عدم ذکر اللام فی هذه المجموعات الثلاث</w:t>
      </w:r>
      <w:r>
        <w:rPr>
          <w:rFonts w:eastAsia="IRNazanin" w:cs="IRNazanin"/>
          <w:color w:val="111111"/>
          <w:sz w:val="28"/>
          <w:szCs w:val="28"/>
          <w:rtl w:val="true"/>
          <w:lang w:bidi="fa-IR"/>
        </w:rPr>
        <w:t>.</w:t>
      </w:r>
      <w:bookmarkStart w:id="91" w:name="pg5472_36315"/>
    </w:p>
    <w:p>
      <w:pPr>
        <w:pStyle w:val="Heading3"/>
        <w:numPr>
          <w:ilvl w:val="2"/>
          <w:numId w:val="1"/>
        </w:numPr>
        <w:rPr/>
      </w:pPr>
      <w:bookmarkStart w:id="92" w:name="__RefHeading___Toc2158400_581953129"/>
      <w:bookmarkStart w:id="93" w:name="_Toc34"/>
      <w:bookmarkEnd w:id="91"/>
      <w:bookmarkEnd w:id="92"/>
      <w:r>
        <w:rPr>
          <w:rtl w:val="true"/>
        </w:rPr>
        <w:t>إشکالان علی ترتیبیة الآیة</w:t>
      </w:r>
      <w:r>
        <w:rPr>
          <w:rtl w:val="true"/>
        </w:rPr>
        <w:t>:</w:t>
      </w:r>
      <w:bookmarkEnd w:id="93"/>
    </w:p>
    <w:p>
      <w:pPr>
        <w:pStyle w:val="BookText"/>
        <w:rPr/>
      </w:pPr>
      <w:r>
        <w:rPr>
          <w:rFonts w:ascii="IRNazanin" w:hAnsi="IRNazanin" w:eastAsia="IRNazanin"/>
          <w:color w:val="111111"/>
          <w:sz w:val="28"/>
          <w:sz w:val="28"/>
          <w:szCs w:val="28"/>
          <w:rtl w:val="true"/>
          <w:lang w:bidi="fa-IR"/>
        </w:rPr>
        <w:t>برأینا فإن الاحتمال الثانی المذکور حول الآیة بأنها فی مقام الترتیب فیه إشکالان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هذا الاحتمال یحتاج إلی تقدیر، بمعنی أن تدل الآیة علی أنه فی حال عدم وجود رسول الله فإن الخمس لذی القربی، وفی حال عدم وجود ذی القربی فهو متعلق بالیتامی، وفی حال عدم وجود الیتامی فهو للمساکین، وفی حال عدم وجودهم فهو لابن السبیل، ولا یخفی أنه قد ثبت فی محله أن التقدیر یحتاج إلی قرینة، فإن قیل أن تقدیم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قرینة علی الترتیب فنقول</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الأمر کذلک، لأنه إذا کان تقدیم ما حقه التأخیر یفید الحصر فهو مقبول فی الکلام الواحد، أما فی محل کلامنا حیث یقول تعالی بعد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 لله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للرسول ولذی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بشکل مباشر، وکذلک ذکره تعالی الآخرین فی نفس الآیة وبشکل مباشر؟ وفوری، أی إن الخمس لیس منحصراً بالله عز وجل، فلو کنا أمام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 لله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آیة مستقلة واحدة، وانتهی الکلام عند هذا المقدار، لاستطعنا أن نستفید الحصر من هذا الکلام المستقل، ولکن عندما یتلو هذا الکلام مباشرة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وللرسول ولذی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نستطیع القول إن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تقدیم ما حقه التأخیر یفید الحصر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بالإضافة إلی ذلک فإن هذه القاعدة الأدبیة صحیحة عندما لا یوجد ملاک آخر للتقدیم، أما فی هذه الآیة الکریمة فإنه یوجد مثل هذا الاحتمال بأن یکون 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من باب التعظیم والإکرام</w:t>
      </w:r>
    </w:p>
    <w:p>
      <w:pPr>
        <w:pStyle w:val="BookText"/>
        <w:rPr/>
      </w:pPr>
      <w:r>
        <w:rPr>
          <w:rFonts w:ascii="IRNazanin" w:hAnsi="IRNazanin" w:eastAsia="IRNazanin"/>
          <w:color w:val="111111"/>
          <w:sz w:val="28"/>
          <w:sz w:val="28"/>
          <w:szCs w:val="28"/>
          <w:rtl w:val="true"/>
          <w:lang w:bidi="fa-IR"/>
        </w:rPr>
        <w:t xml:space="preserve">بالنسبة للذات الإلهیة المقدسة، وفی هذه الحالة لا نستطیع إجراء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ما حقه التأخیر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المحل من الکلام، وبالتالی فإنه لا توجد لدینا قرینة علی مسألة الترتیب فی 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الإشکال الآخر علی احتمال ترتیبیة هذه الآیة یتمثل بما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الترتیب خلاف ظاهر الآیة، إذ ظاهرها کون تلک الأقسام واقعة فی عرض بعضها، لا فی الطول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ظاهر الآیة الشریفة، وکذلک استناداً إلی آراء وأقوال فقهاء الشیعة ومفسری وعلماء العامة بذکرهم موضوع التقسیم فی الآیة الکریمة، بالإضافة إلی الروایات الواردة فی ذیل هذه الآیة، فإنها جمیعاً مؤیدة لموضوع التقسیم فی هذه الآیة، وبالتالی فإن احتمال الترتیب فیها مستبعد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یستفاد من هذه الآیة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تقسیم الخمس إلی ستة أقسام، ولا یستفاد من هذه الآیة الطولیة الترتیبیة، ولا انحصار الخمس بالله عز وجل باعتباره حاکماً مطلقاً، ولا کون الخمس حق الحکومة أو حق الإمارة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 أثناء البحث فی آیات الأحکام لا یمکن التصریح بالنتیجة النهائیة، نعم لو خلِّینا والآیة الشریفة لاستفدنا منها التقسیم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والموضوع الذی ینبغی ملاحظته أنه بعد استفادتنا أصل التقسیم من هذه الآیة الکریمة، یجب أن نبحث فی أنه هل یلزم التقسیم بین هذه المجموعات الست بشکل متساوٍ؟ أو إن الآیة الکریمة تنفی الترتیب فحسب، وتؤکد أصل جواز التقسیم، ولا دلالة أخری علی التقسیم بشکل متساوٍ؟</w:t>
      </w:r>
      <w:bookmarkStart w:id="94" w:name="pg5472_36317"/>
    </w:p>
    <w:p>
      <w:pPr>
        <w:pStyle w:val="BookText"/>
        <w:rPr/>
      </w:pPr>
      <w:bookmarkEnd w:id="94"/>
      <w:r>
        <w:rPr>
          <w:rFonts w:ascii="IRNazanin" w:hAnsi="IRNazanin" w:eastAsia="IRNazanin"/>
          <w:color w:val="111111"/>
          <w:sz w:val="28"/>
          <w:sz w:val="28"/>
          <w:szCs w:val="28"/>
          <w:rtl w:val="true"/>
          <w:lang w:bidi="fa-IR"/>
        </w:rPr>
        <w:t>نعم، بناء علی ما ذکرناه فی سبب عدم دخول اللام فی المجموعات الثلاث الأخیرة، تتضح استفادة أصل التقسیم المتساوی بین قسمین فی هذه الآیة، أی إن التقسیم یتم بشکل متساوٍ بین قسمین أحدهما لله وللرسول ولذی القربی، والقسم الثانی متعلق بالمجموعات الثلاث الأخری، ویمکن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 المجموعات الثلاث الأخیرة تحمل عنوان المصرف، عندها لا یلزم التقسیم بین جمیع المجموعات الثلاث الأخیرة، وسوف نذکر فی المباحث الآتیة أنه لا یوجد حصر بهذه المجموعات الثلاث کذلک</w:t>
      </w:r>
      <w:r>
        <w:rPr>
          <w:rFonts w:eastAsia="IRNazanin" w:cs="IRNazanin"/>
          <w:color w:val="111111"/>
          <w:sz w:val="28"/>
          <w:szCs w:val="28"/>
          <w:rtl w:val="true"/>
          <w:lang w:bidi="fa-IR"/>
        </w:rPr>
        <w:t>.</w:t>
      </w:r>
    </w:p>
    <w:p>
      <w:pPr>
        <w:pStyle w:val="Heading3"/>
        <w:numPr>
          <w:ilvl w:val="2"/>
          <w:numId w:val="1"/>
        </w:numPr>
        <w:rPr/>
      </w:pPr>
      <w:bookmarkStart w:id="95" w:name="__RefHeading___Toc2158402_581953129"/>
      <w:bookmarkStart w:id="96" w:name="_Toc35"/>
      <w:bookmarkEnd w:id="95"/>
      <w:r>
        <w:rPr>
          <w:rtl w:val="true"/>
        </w:rPr>
        <w:t>رأی علماء السنة فی التقسیم والترتیب</w:t>
      </w:r>
      <w:r>
        <w:rPr>
          <w:rtl w:val="true"/>
        </w:rPr>
        <w:t>:</w:t>
      </w:r>
      <w:bookmarkEnd w:id="96"/>
    </w:p>
    <w:p>
      <w:pPr>
        <w:pStyle w:val="BookText"/>
        <w:rPr/>
      </w:pPr>
      <w:r>
        <w:rPr>
          <w:rFonts w:ascii="IRNazanin" w:hAnsi="IRNazanin" w:eastAsia="IRNazanin"/>
          <w:color w:val="111111"/>
          <w:sz w:val="28"/>
          <w:sz w:val="28"/>
          <w:szCs w:val="28"/>
          <w:rtl w:val="true"/>
          <w:lang w:bidi="fa-IR"/>
        </w:rPr>
        <w:t>یقول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أن الآیة الکریمة تقول بأن الخمس لله وللرسول ولذی القربی، ولکن فی عصرنا الحالی لا موضوعیة لهؤلاء الثلاثة، لأن سهم الله عز وجل کان لرسوله وقد توفی الرسول، لذا فإن سهم الله وسهم رسوله توضعان جانباً، وکذلک الأمر بالنسبة لذی قربی رسول الله فقد توفوا ورحلوا، لذا فالآیة الکریمة تقصد وتفسَّر بالمجموعات الثلاث فقط أی الیتامی والمساکین وابن السبیل، ولکنه یقبل مسألة التقسیم</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قبلت الشافعیة أیضاً أصل مسألة التقسیم، ولکنهم یذکرون کمشهور علماء الإمامیة أن التقسیم یتمّ فی ستة أقسام، ویضیفون، کبعض علماء الإمامیة أن التقسیم یتم فی خمسة أقسام، لأن سهم الله عز وجل متعلق برسوله، وکذلک فإن الشافعیة یقبلون بذلک التقسیم الخماسی</w:t>
      </w:r>
      <w:r>
        <w:rPr>
          <w:rFonts w:eastAsia="IRNazanin" w:cs="IRNazanin"/>
          <w:color w:val="111111"/>
          <w:sz w:val="28"/>
          <w:szCs w:val="28"/>
          <w:rtl w:val="true"/>
          <w:lang w:bidi="fa-IR"/>
        </w:rPr>
        <w:t>.</w:t>
      </w:r>
      <w:r>
        <w:rPr>
          <w:rStyle w:val="FootnoteAnchor"/>
          <w:rtl w:val="true"/>
        </w:rPr>
        <w:footnoteReference w:id="71"/>
      </w:r>
      <w:bookmarkStart w:id="97" w:name="pg5472_36318"/>
    </w:p>
    <w:p>
      <w:pPr>
        <w:pStyle w:val="BookText"/>
        <w:rPr/>
      </w:pPr>
      <w:bookmarkEnd w:id="97"/>
      <w:r>
        <w:rPr>
          <w:rFonts w:ascii="IRNazanin" w:hAnsi="IRNazanin" w:eastAsia="IRNazanin"/>
          <w:color w:val="111111"/>
          <w:sz w:val="28"/>
          <w:sz w:val="28"/>
          <w:szCs w:val="28"/>
          <w:rtl w:val="true"/>
          <w:lang w:bidi="fa-IR"/>
        </w:rPr>
        <w:t>والطائفة الوحیدة من العلماء السنة القائلون بأن تقسیم الخمس متعلق برأی إمام المسلمین هم المالکیة، إذ وضعوا ظاهر الآیة أصلاً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تقسیم الخمس باجتهاد إمام المسلمین ورأیه ونظره، حیث یصرف مقداراً منه فی أقرباء الرسول وینبغی تقسیمه للباقی فی مصالح المسلمین العامة</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لذا، فإن أصل مسألة التقسیم مقبول عند علماء العامة، وعندما یُذکر موضوع التقسیم فی مجمع البیان و کنز العرفان فإن أصحابها ینسبون هذا الأمر إلی الإمامیة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مذهب أصحابنا</w:t>
      </w:r>
      <w:r>
        <w:rPr>
          <w:rFonts w:eastAsia="IRNazanin" w:cs="IRNazanin"/>
          <w:color w:val="111111"/>
          <w:sz w:val="28"/>
          <w:szCs w:val="28"/>
          <w:rtl w:val="true"/>
          <w:lang w:bidi="fa-IR"/>
        </w:rPr>
        <w:t>.</w:t>
      </w:r>
    </w:p>
    <w:p>
      <w:pPr>
        <w:pStyle w:val="Heading3"/>
        <w:numPr>
          <w:ilvl w:val="2"/>
          <w:numId w:val="1"/>
        </w:numPr>
        <w:rPr/>
      </w:pPr>
      <w:bookmarkStart w:id="98" w:name="__RefHeading___Toc2158404_581953129"/>
      <w:bookmarkStart w:id="99" w:name="_Toc36"/>
      <w:bookmarkEnd w:id="98"/>
      <w:r>
        <w:rPr>
          <w:rtl w:val="true"/>
        </w:rPr>
        <w:t>إکمال المطلب</w:t>
      </w:r>
      <w:r>
        <w:rPr>
          <w:rtl w:val="true"/>
        </w:rPr>
        <w:t>:</w:t>
      </w:r>
      <w:bookmarkEnd w:id="99"/>
    </w:p>
    <w:p>
      <w:pPr>
        <w:pStyle w:val="BookText"/>
        <w:rPr/>
      </w:pPr>
      <w:r>
        <w:rPr>
          <w:rFonts w:ascii="IRNazanin" w:hAnsi="IRNazanin" w:eastAsia="IRNazanin"/>
          <w:color w:val="111111"/>
          <w:sz w:val="28"/>
          <w:sz w:val="28"/>
          <w:szCs w:val="28"/>
          <w:rtl w:val="true"/>
          <w:lang w:bidi="fa-IR"/>
        </w:rPr>
        <w:t>إن النزاع الفقهی المطروح فی مبحث الخمس یترکز علی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للخمس عنوان الإشاعة، أو عنوان الکلی فی الذمة، أو عنوان الکلی فی المعیَّن؟</w:t>
      </w:r>
    </w:p>
    <w:p>
      <w:pPr>
        <w:pStyle w:val="BookText"/>
        <w:rPr/>
      </w:pPr>
      <w:r>
        <w:rPr>
          <w:rFonts w:ascii="IRNazanin" w:hAnsi="IRNazanin" w:eastAsia="IRNazanin"/>
          <w:color w:val="111111"/>
          <w:sz w:val="28"/>
          <w:sz w:val="28"/>
          <w:szCs w:val="28"/>
          <w:rtl w:val="true"/>
          <w:lang w:bidi="fa-IR"/>
        </w:rPr>
        <w:t>اختار المرحوم السید الیزدی فی العروة الوثقی القول الثالث، حیث اعتبر اشتراک أصحاب الخمس مع المالک علی نحو الکلی فی المعیّن، بمعنی أنه یجوز أن یتصرف المالک فی المال المتعلق به الخمس، ما دام مقدار الخمس یبقی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واختار آخرون القول الثانی بالاشتراک فی المالیة، بمعنی وجود الخمس فی مقدار مالیة وقیمة خمس ما هو مشترک بین المالک وأصحاب الخمس، لا فی عین المال</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مشهور الفقهاء هو القول الأول بالشراکة علی نحو الإشاعة، بمعنی وجود الخمس فی عین المال بنحو الإشاعة، بحیث یکون خمس کل جزء منه متعلقاً بأصحاب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قبلنا أن الآیة دالة علی التقسیم، فلهذا النزاع معنیً وثمرة،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سهم ذی القربی والإمام فی أموال الناس إما بنحو الإشاعة أو بنحو الکلی فی المعین، أو بنحو الکلی فی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قلنا إن الخمس ترتیبی وبعنوان حق الحکومة، عندها یصبح تصور مسألة الإشاعة أو مسألة الکلی فی المعین مشکلاً نوعاً ما، لأنه لا یوجد شخص معین فی هذه الحالة بالنسبة إلی أصحاب الخمس، حتی یصبح شریکاً مع المالک علی نحو الإشاعة أو علی نحو المالیة أو علی نحو الکلی فی المعیّن، بل إن من یملک مالاً وتعلق بماله الخمس حسب الضوابط، عندها یطرح الخمس بعنوان حق ینبغی استیفاؤه، طبعاً هذا الموضوع قابل للتأمل، وینبغی دراسته والبحث الاستدلالی فیه بالتفصیل فی الکتب الفقهیة الموسعة المفصلة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هذا فإن مختار المشهور بالقول علی الشراکة والاشتراک بنحو الإشاعة قرینة علی أن الآیة فی مقام التقسیم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فسر بعض المفسرین مثل الزمخشری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قربة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التقسیم بذلک یبدأ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للرسول</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الموضوع برأینا خلاف لظاهر الآیة، وکذلک خلاف للروایات التی ورد فی بعضها، أنه عندما کانوا یأتون بغنیمة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یقبض منها قبضة بعنوان سهم الله، ویصرفها للکعبة فحسب، لذا فما طرح سابقاً من ذلک الکلام غیر صحیح</w:t>
      </w:r>
      <w:r>
        <w:rPr>
          <w:rFonts w:eastAsia="IRNazanin" w:cs="IRNazanin"/>
          <w:color w:val="111111"/>
          <w:sz w:val="28"/>
          <w:szCs w:val="28"/>
          <w:rtl w:val="true"/>
          <w:lang w:bidi="fa-IR"/>
        </w:rPr>
        <w:t>.</w:t>
      </w:r>
      <w:bookmarkStart w:id="100" w:name="pg5472_36320"/>
    </w:p>
    <w:p>
      <w:pPr>
        <w:pStyle w:val="Heading3"/>
        <w:numPr>
          <w:ilvl w:val="2"/>
          <w:numId w:val="1"/>
        </w:numPr>
        <w:rPr/>
      </w:pPr>
      <w:bookmarkStart w:id="101" w:name="__RefHeading___Toc2158406_581953129"/>
      <w:bookmarkStart w:id="102" w:name="_Toc37"/>
      <w:bookmarkEnd w:id="100"/>
      <w:bookmarkEnd w:id="101"/>
      <w:r>
        <w:rPr>
          <w:rtl w:val="true"/>
        </w:rPr>
        <w:t xml:space="preserve">من هم </w:t>
      </w:r>
      <w:r>
        <w:rPr>
          <w:rtl w:val="true"/>
        </w:rPr>
        <w:t>(</w:t>
      </w:r>
      <w:r>
        <w:rPr>
          <w:rtl w:val="true"/>
        </w:rPr>
        <w:t>ذو القربی</w:t>
      </w:r>
      <w:r>
        <w:rPr>
          <w:rtl w:val="true"/>
        </w:rPr>
        <w:t>)</w:t>
      </w:r>
      <w:r>
        <w:rPr>
          <w:rtl w:val="true"/>
        </w:rPr>
        <w:t>؟</w:t>
      </w:r>
      <w:bookmarkEnd w:id="102"/>
    </w:p>
    <w:p>
      <w:pPr>
        <w:pStyle w:val="BookText"/>
        <w:rPr/>
      </w:pPr>
      <w:r>
        <w:rPr>
          <w:rFonts w:ascii="IRNazanin" w:hAnsi="IRNazanin" w:eastAsia="IRNazanin"/>
          <w:color w:val="111111"/>
          <w:sz w:val="28"/>
          <w:sz w:val="28"/>
          <w:szCs w:val="28"/>
          <w:rtl w:val="true"/>
          <w:lang w:bidi="fa-IR"/>
        </w:rPr>
        <w:t xml:space="preserve">توجد أربعة احتمالات فی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الکریمة وتحدیدهم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یشمل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کافة أقرباء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یشمل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أقرباء رسول الله المنتسبین لهاشم فحسب، أی من ینتسبون إلیه عن طریق عبد المطلب بن هاشم بن عبد مناف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 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أقرباء من یرید دفع الخمس، حیث یصرف سهماً منه لله وسهماً لرسوله وسهماً لذی قرباه وآخر للیتامی وآخر للمساکین وآخر لابن السبیل</w:t>
      </w:r>
      <w:r>
        <w:rPr>
          <w:rFonts w:eastAsia="IRNazanin" w:cs="IRNazanin"/>
          <w:color w:val="111111"/>
          <w:sz w:val="28"/>
          <w:szCs w:val="28"/>
          <w:rtl w:val="true"/>
          <w:lang w:bidi="fa-IR"/>
        </w:rPr>
        <w:t>.</w:t>
      </w:r>
    </w:p>
    <w:p>
      <w:pPr>
        <w:pStyle w:val="Heading3"/>
        <w:numPr>
          <w:ilvl w:val="2"/>
          <w:numId w:val="1"/>
        </w:numPr>
        <w:rPr/>
      </w:pPr>
      <w:bookmarkStart w:id="103" w:name="__RefHeading___Toc2158408_581953129"/>
      <w:bookmarkStart w:id="104" w:name="_Toc38"/>
      <w:bookmarkEnd w:id="103"/>
      <w:r>
        <w:rPr>
          <w:rtl w:val="true"/>
        </w:rPr>
        <w:t>رأی فقهاء الإمامیة حول ذی القربی</w:t>
      </w:r>
      <w:r>
        <w:rPr>
          <w:rtl w:val="true"/>
        </w:rPr>
        <w:t>:</w:t>
      </w:r>
      <w:bookmarkEnd w:id="104"/>
    </w:p>
    <w:p>
      <w:pPr>
        <w:pStyle w:val="BookText"/>
        <w:rPr/>
      </w:pPr>
      <w:r>
        <w:rPr>
          <w:rFonts w:ascii="IRNazanin" w:hAnsi="IRNazanin" w:eastAsia="IRNazanin"/>
          <w:color w:val="111111"/>
          <w:sz w:val="28"/>
          <w:sz w:val="28"/>
          <w:szCs w:val="28"/>
          <w:rtl w:val="true"/>
          <w:lang w:bidi="fa-IR"/>
        </w:rPr>
        <w:t>إن المشهور بین فقهاء الإمامیة أن المراد من ذی القربی هو الإمام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جنید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ذکروا أن ذی القربی هم کافة أقرباء الرسول المنسوبون لهاشم، لا الإمام المعصوم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ذُکِرَت فی کلمات المفسرین عبارات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المرحوم العلاّمة الطباطبائی حول ذی القربی مشیراً إلی أقربائه ما یلی</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توجد لدینا روایات معتبرة فی أن المراد من ذی القربی هم 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bookmarkStart w:id="105" w:name="pg5472_36321"/>
    </w:p>
    <w:p>
      <w:pPr>
        <w:pStyle w:val="BookText"/>
        <w:rPr/>
      </w:pPr>
      <w:bookmarkEnd w:id="105"/>
      <w:r>
        <w:rPr>
          <w:rFonts w:ascii="IRNazanin" w:hAnsi="IRNazanin" w:eastAsia="IRNazanin"/>
          <w:color w:val="111111"/>
          <w:sz w:val="28"/>
          <w:sz w:val="28"/>
          <w:szCs w:val="28"/>
          <w:rtl w:val="true"/>
          <w:lang w:bidi="fa-IR"/>
        </w:rPr>
        <w:t xml:space="preserve">إذا کان المراد من ذی القربی هو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فتصبح النتیجة ما یعمل به الفقهاء هذه الأیام، حیث یقسمون الخمس إلی قسمین، أحدهما سهم للإمام والآخر سهم للسادة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البحث حول هذا الموضوع وما یستفاد فیه من هذه الآیة بغضِّ النظر عن الروایات یجب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سهم الله عز وجل لرسوله، وسهم الله ورسوله للإمام، أی إن للإمام ثلاثة أسهم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سهمان منها بعنوان النیابة والوراثة، وسهم بعنوان الأصالة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النتیجة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نصف الخمس متعلق بالإمام، والنصف الآخر متعلق بالیتامی والمساکین وابن السبیل، ولدینا قرینة علی أن المراد من الیتامی هم الأیتام من أقرباء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وکذلک أن المراد من المساکین هم المساکین من أقرباء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المراد من ابن السبیل هم أبناء السبیل من أقرباء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السادات</w:t>
      </w:r>
      <w:r>
        <w:rPr>
          <w:rFonts w:eastAsia="IRNazanin" w:cs="IRNazanin"/>
          <w:color w:val="111111"/>
          <w:sz w:val="28"/>
          <w:szCs w:val="28"/>
          <w:rtl w:val="true"/>
          <w:lang w:bidi="fa-IR"/>
        </w:rPr>
        <w:t>.</w:t>
      </w:r>
    </w:p>
    <w:p>
      <w:pPr>
        <w:pStyle w:val="Heading3"/>
        <w:numPr>
          <w:ilvl w:val="2"/>
          <w:numId w:val="1"/>
        </w:numPr>
        <w:rPr/>
      </w:pPr>
      <w:bookmarkStart w:id="106" w:name="__RefHeading___Toc2158410_581953129"/>
      <w:bookmarkStart w:id="107" w:name="_Toc39"/>
      <w:bookmarkEnd w:id="106"/>
      <w:r>
        <w:rPr>
          <w:rtl w:val="true"/>
        </w:rPr>
        <w:t>هل المقصود من ذی القربی شخص واحد وهو الإمام المعصوم ؟ أو إن معناه هو الجمع ؟</w:t>
      </w:r>
      <w:bookmarkEnd w:id="107"/>
    </w:p>
    <w:p>
      <w:pPr>
        <w:pStyle w:val="BookText"/>
        <w:rPr/>
      </w:pPr>
      <w:r>
        <w:rPr>
          <w:rFonts w:ascii="IRNazanin" w:hAnsi="IRNazanin" w:eastAsia="IRNazanin"/>
          <w:color w:val="111111"/>
          <w:sz w:val="28"/>
          <w:sz w:val="28"/>
          <w:szCs w:val="28"/>
          <w:rtl w:val="true"/>
          <w:lang w:bidi="fa-IR"/>
        </w:rPr>
        <w:t>یوجد فی هذه الکلمة احتمالان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علی أن لها معنیً مفرداً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بعنوان اسم الجنس الذی یطلق علی المفرد والجمع</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وبناء علی الاحتمال الأول فإن ذی القربی مفرد وجمعه ذوی القربی، ویجب الأخذ بظاهرها، ویتضح أن ظاهرها شخص مفرد وواحد، ومن المتیقن أن ذلک الشخص هو الإمام المعصوم ولذا یتعین أن ذلک الشخص الواحد هو الإمام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استعملت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آیات قرآنیة أخری فی الجمع، ومن الممکن أنها استعملت أیضاً فی هذه الآیة فی الجمع کذلک، وبتعبیر آخر، فإنها استخدمت فی اسم الجنس الذی یطلق علی أفراد کثیرین، ولکن هذا الاستعمال لم یأت إلا بقرینة، ولذا عندما لا توجد قرینة علی الجمع فیجب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ظاهرها الدال علی المفرد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النظریة القائمة علی دلالة هذه العبارة علی المفرد متعلقة بجمیع علماء الإمامیة الا ابن جنید وابن بابویه، حیث یذکران أن المراد من ذی القربی هم الأقرباء لا شخص واحد فحسب، یقول المرحوم المحقق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 ذی القربی هو الإمام المعصوم، والدلیل علی ذلک أنه لفظ مفرد ویجب حمل المفرد علی ظاهره</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ألا یمکن حمل ذی القربی علی معنی الجنس کابن السبیل؟</w:t>
      </w:r>
    </w:p>
    <w:p>
      <w:pPr>
        <w:pStyle w:val="BookText"/>
        <w:rPr/>
      </w:pPr>
      <w:r>
        <w:rPr>
          <w:rFonts w:ascii="IRNazanin" w:hAnsi="IRNazanin" w:eastAsia="IRNazanin"/>
          <w:color w:val="111111"/>
          <w:sz w:val="28"/>
          <w:sz w:val="28"/>
          <w:szCs w:val="28"/>
          <w:rtl w:val="true"/>
          <w:lang w:bidi="fa-IR"/>
        </w:rPr>
        <w:t>إن قال قائل 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الإشکال فی القول بأنه علی الرغم من أن ذی القربی مفرد، ولکنه مفرد یراد منه معنی الجنس؟ کما أن ابن السبیل مفرد وجمعه أبناء السبیل، فی حین حُمل علی الجنس فی هذه الآیة؟ لذا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السبیل من تقطّع به السبیل، وبالتالی فلیس المراد منه شخصاً معیناً بل یراد منه کل من تقطع سبیله بشکل کلی ومطلق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یوجد فرق بین عنوان ابن السبیل وعنوان ذی القربی، لأنه لا یمکن أن یراد المفرد من ابن السبیل، لأنه لو أراد الله عز وجل من ابن السبیل شخصاً واحداً غیر</w:t>
      </w:r>
      <w:bookmarkStart w:id="108" w:name="pg5472_36323"/>
    </w:p>
    <w:p>
      <w:pPr>
        <w:pStyle w:val="BookText"/>
        <w:rPr/>
      </w:pPr>
      <w:bookmarkEnd w:id="108"/>
      <w:r>
        <w:rPr>
          <w:rFonts w:ascii="IRNazanin" w:hAnsi="IRNazanin" w:eastAsia="IRNazanin"/>
          <w:color w:val="111111"/>
          <w:sz w:val="28"/>
          <w:sz w:val="28"/>
          <w:szCs w:val="28"/>
          <w:rtl w:val="true"/>
          <w:lang w:bidi="fa-IR"/>
        </w:rPr>
        <w:t>معین لما تحقق التکلیف فی هذه الحالة، ولا یمکن القول بأن ابن السبیل شخص معین، ولذا یجب حمل ابن السبیل علی المعنی الجنسی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الأمر فی ذی القربی فلیس کذلک، ویمکن حملها علی شخص معین، بعبارة أخری، فإن عبارتی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مفردان وینبغی حمل کلّ منهما فی الدرجة الأولی علی المعنی المفرد، وإن لم یمکن حمل أحدهما علی المعنی المفرد فیجب حمله علی المعنی الجنسی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عبارة ذی القربی یمکن حملها علی المعنی المفرد، لأن فرده معین ومحدود وهو وصی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الإمام المعصوم، أما فی ابن السبیل فلا یمکن حمله وتطبیقه علی فرد معین</w:t>
      </w:r>
      <w:r>
        <w:rPr>
          <w:rFonts w:eastAsia="IRNazanin" w:cs="IRNazanin"/>
          <w:color w:val="111111"/>
          <w:sz w:val="28"/>
          <w:szCs w:val="28"/>
          <w:rtl w:val="true"/>
          <w:lang w:bidi="fa-IR"/>
        </w:rPr>
        <w:t>.</w:t>
      </w:r>
    </w:p>
    <w:p>
      <w:pPr>
        <w:pStyle w:val="Heading3"/>
        <w:numPr>
          <w:ilvl w:val="2"/>
          <w:numId w:val="1"/>
        </w:numPr>
        <w:rPr/>
      </w:pPr>
      <w:bookmarkStart w:id="109" w:name="__RefHeading___Toc2158412_581953129"/>
      <w:bookmarkStart w:id="110" w:name="_Toc40"/>
      <w:bookmarkEnd w:id="109"/>
      <w:r>
        <w:rPr>
          <w:rtl w:val="true"/>
        </w:rPr>
        <w:t>رأی المرحوم الجزائری فی حمل ذی القربی علی المعنی الجنسی</w:t>
      </w:r>
      <w:r>
        <w:rPr>
          <w:rtl w:val="true"/>
        </w:rPr>
        <w:t>:</w:t>
      </w:r>
      <w:bookmarkEnd w:id="110"/>
    </w:p>
    <w:p>
      <w:pPr>
        <w:pStyle w:val="BookText"/>
        <w:rPr/>
      </w:pPr>
      <w:r>
        <w:rPr>
          <w:rFonts w:ascii="IRNazanin" w:hAnsi="IRNazanin" w:eastAsia="IRNazanin"/>
          <w:color w:val="111111"/>
          <w:sz w:val="28"/>
          <w:sz w:val="28"/>
          <w:szCs w:val="28"/>
          <w:rtl w:val="true"/>
          <w:lang w:bidi="fa-IR"/>
        </w:rPr>
        <w:t xml:space="preserve">ذکر المرحوم الجزائری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قلائد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یعدّ من الکتب القیمة جداً فی آیات الأحکام فی البدایة ما 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إرادة 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یضیف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نقبل بأن ذی القربی معناه هو المفرد بحسب الوضع اللغوی ولکن عندما ننظر إلی القرآن الکریم فإنه استعمل فی معنی الجنس بلحاظ کثرة الاستعمال</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الرد علی رأی الجزائری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استعملت کلمة ذی القربی أو ذوی القربی أو القربی فی خمسة عشر مورداً من القرآن الکریم</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الآیتین الشریفتین من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 أَخَذْنا مِیثاقَ بَنِی إِسْرائِیلَ لا تَعْبُدُونَ إِلاَّ اللهَ وَبِالْوالِدَیْنِ إِحْساناً وَذِی الْقُرْبی وَالْیَتامی</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ووَاعْبُدُوا اللهَ وَلا تُشْرِکُوا بِهِ شَیْئاً وَبِالْوالِدَیْنِ إِحْساناً وَبِذِی الْقُرْبی وَالْیَتامی</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لیس المراد من ذی القربی فی هاتین الآیتین شخصاً معیناً، ولم تستعمل فی شخص واحد، ودلیل استعمال هذه الکلمة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الجنس فی هذین الموردین من القرآن الکریم وجود قرینة وهی عدم سبقها بمفرد وعدم تلوّها بمفرد، إذ إن قبلها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یتامی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فَیُقْسِمانِ بِاللهِ إِنِ ارْتَبْتُمْ لا نَشْتَرِی بِهِ ثَمَناً وَلَوْ کانَ ذا قُرْبی</w:t>
      </w:r>
      <w:r>
        <w:rPr>
          <w:rStyle w:val="FootnoteAnchor"/>
          <w:rtl w:val="true"/>
        </w:rPr>
        <w:footnoteReference w:id="82"/>
      </w:r>
      <w:r>
        <w:rPr>
          <w:rFonts w:ascii="IRNazanin" w:hAnsi="IRNazanin" w:eastAsia="IRNazanin"/>
          <w:color w:val="111111"/>
          <w:sz w:val="28"/>
          <w:sz w:val="28"/>
          <w:szCs w:val="28"/>
          <w:rtl w:val="true"/>
          <w:lang w:bidi="fa-IR"/>
        </w:rPr>
        <w:t>، حیث استعمل فی المفرد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فی علم الأصول 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کثر استعمال لفظ فی معنیً بدون قرینة، فیحمل علی ذلک المعنی، وان استعمل فی مورد آخر، نقول کذلک یحمل علی ذلک المعنی الذی استعمل فیه غالباً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إذا استعمل لفظ فی مئة مورد منها ثمانون مورداً مع قرینة فی معنیً ما، عندها لا یوجد أصولی یقول باستعمال ذلک اللفظ فی ذلک المعنی فی موارد أخری لا قرینة فیها، وذلک باستعماله فی ذلک المعنی الذی غالباً ما استعمل فیه</w:t>
      </w:r>
      <w:r>
        <w:rPr>
          <w:rFonts w:eastAsia="IRNazanin" w:cs="IRNazanin"/>
          <w:color w:val="111111"/>
          <w:sz w:val="28"/>
          <w:szCs w:val="28"/>
          <w:rtl w:val="true"/>
          <w:lang w:bidi="fa-IR"/>
        </w:rPr>
        <w:t>.</w:t>
      </w:r>
      <w:bookmarkStart w:id="111" w:name="pg5472_36325"/>
    </w:p>
    <w:p>
      <w:pPr>
        <w:pStyle w:val="BookText"/>
        <w:rPr/>
      </w:pPr>
      <w:bookmarkEnd w:id="111"/>
      <w:r>
        <w:rPr>
          <w:rFonts w:ascii="IRNazanin" w:hAnsi="IRNazanin" w:eastAsia="IRNazanin"/>
          <w:color w:val="111111"/>
          <w:sz w:val="28"/>
          <w:sz w:val="28"/>
          <w:szCs w:val="28"/>
          <w:rtl w:val="true"/>
          <w:lang w:bidi="fa-IR"/>
        </w:rPr>
        <w:t>نتیجة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ذلک وطبقاً للغة وعلی أساس القواعد الأصولیة، وبغضّ النظر عن الروایات، فإن وحدة السیاق تقتضی استعمال ذی القربی فی المعنی المفرد لا الجمع، لتکرار اللام علی ألفاظ الله والرسول وذی القربی فی نفس هذه الآیة</w:t>
      </w:r>
      <w:r>
        <w:rPr>
          <w:rFonts w:eastAsia="IRNazanin" w:cs="IRNazanin"/>
          <w:color w:val="111111"/>
          <w:sz w:val="28"/>
          <w:szCs w:val="28"/>
          <w:rtl w:val="true"/>
          <w:lang w:bidi="fa-IR"/>
        </w:rPr>
        <w:t>.</w:t>
      </w:r>
    </w:p>
    <w:p>
      <w:pPr>
        <w:pStyle w:val="Heading3"/>
        <w:numPr>
          <w:ilvl w:val="2"/>
          <w:numId w:val="1"/>
        </w:numPr>
        <w:rPr/>
      </w:pPr>
      <w:bookmarkStart w:id="112" w:name="__RefHeading___Toc2158414_581953129"/>
      <w:bookmarkStart w:id="113" w:name="_Toc41"/>
      <w:bookmarkEnd w:id="112"/>
      <w:r>
        <w:rPr>
          <w:rtl w:val="true"/>
        </w:rPr>
        <w:t>(</w:t>
      </w:r>
      <w:r>
        <w:rPr>
          <w:rtl w:val="true"/>
        </w:rPr>
        <w:t>ذو القربی</w:t>
      </w:r>
      <w:r>
        <w:rPr>
          <w:rtl w:val="true"/>
        </w:rPr>
        <w:t xml:space="preserve">) </w:t>
      </w:r>
      <w:r>
        <w:rPr>
          <w:rtl w:val="true"/>
        </w:rPr>
        <w:t>فی الروایات</w:t>
      </w:r>
      <w:r>
        <w:rPr>
          <w:rtl w:val="true"/>
        </w:rPr>
        <w:t>:</w:t>
      </w:r>
      <w:bookmarkEnd w:id="113"/>
    </w:p>
    <w:p>
      <w:pPr>
        <w:pStyle w:val="BookText"/>
        <w:rPr/>
      </w:pPr>
      <w:r>
        <w:rPr>
          <w:rFonts w:ascii="IRNazanin" w:hAnsi="IRNazanin" w:eastAsia="IRNazanin"/>
          <w:color w:val="111111"/>
          <w:sz w:val="28"/>
          <w:sz w:val="28"/>
          <w:szCs w:val="28"/>
          <w:rtl w:val="true"/>
          <w:lang w:bidi="fa-IR"/>
        </w:rPr>
        <w:t>وتنقسم الروایات فی هذا المجال إلی طائفتین حیث یستفاد من کثیر منها أن المراد من ذی القربی هو الإمام المعصوم، ویستفاد من بعضها الآخر أن المراد من ذی القربی أکثر من شخص واحد، حیث عبّرت عنها بالأقرباء فیها</w:t>
      </w:r>
      <w:r>
        <w:rPr>
          <w:rFonts w:eastAsia="IRNazanin" w:cs="IRNazanin"/>
          <w:color w:val="111111"/>
          <w:sz w:val="28"/>
          <w:szCs w:val="28"/>
          <w:rtl w:val="true"/>
          <w:lang w:bidi="fa-IR"/>
        </w:rPr>
        <w:t>.</w:t>
      </w:r>
      <w:r>
        <w:rPr>
          <w:rStyle w:val="FootnoteAnchor"/>
          <w:rtl w:val="true"/>
        </w:rPr>
        <w:footnoteReference w:id="83"/>
      </w:r>
    </w:p>
    <w:p>
      <w:pPr>
        <w:pStyle w:val="Heading3"/>
        <w:numPr>
          <w:ilvl w:val="2"/>
          <w:numId w:val="1"/>
        </w:numPr>
        <w:rPr/>
      </w:pPr>
      <w:bookmarkStart w:id="114" w:name="__RefHeading___Toc2158416_581953129"/>
      <w:bookmarkStart w:id="115" w:name="_Toc42"/>
      <w:bookmarkEnd w:id="114"/>
      <w:r>
        <w:rPr>
          <w:rtl w:val="true"/>
        </w:rPr>
        <w:t>الروایات الدالة علی أن المراد من ذی القربی هو الإمام المعصوم</w:t>
      </w:r>
      <w:r>
        <w:rPr>
          <w:rtl w:val="true"/>
        </w:rPr>
        <w:t>:</w:t>
      </w:r>
      <w:bookmarkEnd w:id="115"/>
    </w:p>
    <w:p>
      <w:pPr>
        <w:pStyle w:val="BookText"/>
        <w:rPr/>
      </w:pPr>
      <w:r>
        <w:rPr>
          <w:rFonts w:ascii="IRNazanin" w:hAnsi="IRNazanin" w:eastAsia="IRNazanin"/>
          <w:color w:val="111111"/>
          <w:sz w:val="28"/>
          <w:sz w:val="28"/>
          <w:szCs w:val="28"/>
          <w:rtl w:val="true"/>
          <w:lang w:bidi="fa-IR"/>
        </w:rPr>
        <w:t>الروایة الأولی</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موثقة عبد الله بن بکیر وهی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وعنه عن أحمد بن الحسن بن علی بن فضَّال عن أبیه عن عبد الله بن بکیر عن بعض أصحابه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تعالی وَاعْلَمُوا أَنَّما غَنِمْتُمْ مِنْ شَیْ‌ءٍ فَأَنَّ للهِ خُمُسَهُ وَلِلرَّسُولِ وَلِذِی الْقُرْبی وَالْیَتامی وَالْمَساکِینِ وَابْنِ السَّبِیلِ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الله للإمام، وخمس الرسول للإمام، وخمس ذوی القربی لقرابة الرسول الإمام والیتامی آل الرسول والمساکین منهم وأبناء السبیل منهم فلا یخرج منهم إلی غیرهم</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وقد قمنا ببحث مفصل مبسوط حول سند الشیخ الطوسی إلی الحسن بن علی بن فضال وذلک فی قاعدة الالزام وقلنا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یوجد بین الشیخ الطوسی والحسن بن علی بن فضّال شخص لا توثیق فیه، وتوجد قاعدة فی الرجال أبدعها المرحوم الأردبیلی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یعبَّر عنها بتبدیل السند، حیث قبله بعض من کبار الرجالیین، ورفضه عدة آخرون منهم، وقد تحدّثنا عن هذه القاعدة بشکل مفصل أثناء بحثنا فی قاعدة الإلزام، حیث یصحح سند الشیخ الطوسی إلی الحسن بن علی بن فضّال عن طریق تبدیل السند، وعلی کل حال فإن الروایة معتبرة وموثقة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 هذه الروایة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توضیح هذه الآیة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خمس ذی القربی للإمام المعصوم، وبتعبیر آخر فإنه لم یفسر ذا القربی بأقرباء رسول الله وإنما فسّرها بخصوص 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الکلینی عن عدة من أصحابنا عن أحمد عن أحمد بن محمد بن أبی نصر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قول الله عز وجل وَاعْلَمُوا أَنَّما غَنِمْتُمْ مِنْ شَیْ‌ءٍ فَأَنَّ للهِ خُمُسَهُ وَلِلرَّسُولِ وَلِذِی الْقُرْبی وَالْیَتامی وَالْمَساکِینِ وَابْنِ السَّبِیلِ فقیل له فما کان لله فلِمن هو؟</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لرسول الله فهو للإمام</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 xml:space="preserve">، وإن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أفراد موثقون</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ذکر فی توضیح هذه الآیة ضمن هذه الروایة 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ذی القربی الإمام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الممکن أن یقال بأنه لدینا فی القرآن الکریم آیات یکون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التطبیق أو التفسیر أو التأویل، ویطبقون عنواناً کلیاً ذکر فی اللغة معنیً له‌علی أنفسهم فحسب، ککلمة أولی الأمر حیث ذکر معناها فی اللغة الأشخاص الذین یتحملون أمر إدارة الناس وحکومتهم، وحصروا معنی کلمة أولی الأمر بأنفسهم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الروایات فی مقام بیان تفسیر أو تأویل الآیة أو فی مقام بیان المعنی الظاهری لذی القربی؟</w:t>
      </w:r>
    </w:p>
    <w:p>
      <w:pPr>
        <w:pStyle w:val="BookText"/>
        <w:rPr/>
      </w:pPr>
      <w:r>
        <w:rPr>
          <w:rFonts w:ascii="IRNazanin" w:hAnsi="IRNazanin" w:eastAsia="IRNazanin"/>
          <w:color w:val="111111"/>
          <w:sz w:val="28"/>
          <w:sz w:val="28"/>
          <w:szCs w:val="28"/>
          <w:rtl w:val="true"/>
          <w:lang w:bidi="fa-IR"/>
        </w:rPr>
        <w:t>فی الإجابة علی هذا الموضوع ینبغی أن نوضح أن ظاهر هذه الروایة أنه فی مقام بیان المعنی الحقیقی، لأن ذا القربی معناه الإمام، وإن استعمل فی مورد آخر فی غیر الإمام فهو بقرینة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من الممکن القول بأنهم لم یفسروا فی هذه الروایة ذا القربی، بل ذکروا أن سهم رسول الله للإمام وفی النتیجة یصبح الأمر خارجاً عن الشاهد محل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الکلینی عن علی بن إبراهیم عن أبیه عن حماد بن عیسی عن ابراهیم بن عثمان عن سلیم بن قیس الهلالی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خطبة طویلة یقول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والله عنی بذی القربی الذین قرننا الله بنفسه وبرسوله،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فلله وللرسول ولذی القربی والیتامی والمساکین وابن السبیل فینا خاصة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یجعل لنا فی سهم الصدقة نصیباً، أکرم الله رسوله وأکرمنا أهل البیت أن یطعمنا من أوساخ الناس فکذّبوا الله وکذّبوا رسوله وجحدوا کتاب الله الناطق بحقنا</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 xml:space="preserve">، والروایة ظاهرة فی أن ذی القربی هم الأئمة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جمیع أقرباء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bookmarkStart w:id="116" w:name="pg5472_36332"/>
    </w:p>
    <w:p>
      <w:pPr>
        <w:pStyle w:val="BookText"/>
        <w:rPr/>
      </w:pPr>
      <w:bookmarkEnd w:id="116"/>
      <w:r>
        <w:rPr>
          <w:rFonts w:ascii="IRNazanin" w:hAnsi="IRNazanin" w:eastAsia="IRNazanin"/>
          <w:color w:val="111111"/>
          <w:sz w:val="28"/>
          <w:sz w:val="28"/>
          <w:szCs w:val="28"/>
          <w:rtl w:val="true"/>
          <w:lang w:bidi="fa-IR"/>
        </w:rPr>
        <w:t>الروایة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مرسلة حماد بن عیسی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 من خمسة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بینهم الخمس علی ستة أسهم، سهم لله وسهم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وسهم لذی القربی وسهم للیتامی وسهم للمساکین وسهم لأبناء السبیل، فسهم الله وسهم رسول الله لأولی الأمر من بعد رسول الله وراثة، وله ثلاثة أسهم سهمان وراثة وسهم مقسوم له من الله</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الرغم من أن هذه الروایة مرسلة ولکن صرّح فی هذه الروایة أن ثلاثة أسهم تصل للإمام، منها سهمان لله ولرسوله، حیث عبّر عنهما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هذه الروایات، التی أفتی فقهاؤنا بما یقرب الاتفاق علیها، یستفاد من أن المراد من ذی القربی هو الإمام المعصوم</w:t>
      </w:r>
      <w:r>
        <w:rPr>
          <w:rFonts w:eastAsia="IRNazanin" w:cs="IRNazanin"/>
          <w:color w:val="111111"/>
          <w:sz w:val="28"/>
          <w:szCs w:val="28"/>
          <w:rtl w:val="true"/>
          <w:lang w:bidi="fa-IR"/>
        </w:rPr>
        <w:t>.</w:t>
      </w:r>
    </w:p>
    <w:p>
      <w:pPr>
        <w:pStyle w:val="Heading3"/>
        <w:numPr>
          <w:ilvl w:val="2"/>
          <w:numId w:val="1"/>
        </w:numPr>
        <w:rPr/>
      </w:pPr>
      <w:bookmarkStart w:id="117" w:name="__RefHeading___Toc2158418_581953129"/>
      <w:bookmarkStart w:id="118" w:name="_Toc43"/>
      <w:bookmarkEnd w:id="117"/>
      <w:r>
        <w:rPr>
          <w:rtl w:val="true"/>
        </w:rPr>
        <w:t xml:space="preserve">الروایات الدالة علی أن المراد من ذی القربی هم أقرباء الرسول </w:t>
      </w:r>
      <w:r>
        <w:rPr>
          <w:rtl w:val="true"/>
        </w:rPr>
        <w:t>(</w:t>
      </w:r>
      <w:r>
        <w:rPr>
          <w:rtl w:val="true"/>
        </w:rPr>
        <w:t>صلی الله علیه و آله</w:t>
      </w:r>
      <w:r>
        <w:rPr>
          <w:rtl w:val="true"/>
        </w:rPr>
        <w:t>):</w:t>
      </w:r>
      <w:bookmarkEnd w:id="118"/>
    </w:p>
    <w:p>
      <w:pPr>
        <w:pStyle w:val="BookText"/>
        <w:rPr/>
      </w:pPr>
      <w:r>
        <w:rPr>
          <w:rFonts w:ascii="IRNazanin" w:hAnsi="IRNazanin" w:eastAsia="IRNazanin"/>
          <w:color w:val="111111"/>
          <w:sz w:val="28"/>
          <w:sz w:val="28"/>
          <w:szCs w:val="28"/>
          <w:rtl w:val="true"/>
          <w:lang w:bidi="fa-IR"/>
        </w:rPr>
        <w:t>لقد تمسک ابن جنید وابن بابویه فی تأیید نظریتهما القائمة علی أساس أن المراد من ذی القربی هم أقرباء رسول الله لا شخص واحد بعینه بروایات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الروایة الأولی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بإسناده عن سعد بن عبد الله عن محمد بن عبد الجبار عن صفوان بن یحیی عن عبد الله بن مسکان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زکریا بن مالک الجعفی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 عن قول الله عز وجل وَاعْلَمُوا أَنَّما غَنِمْتُمْ مِنْ شَیْ‌ءٍ فَأَنَّ للهِ خُمُسَهُ وَلِلرَّسُولِ وَلِذِی الْقُرْبی وَالْیَتامی وَالْمَساکِینِ وَابْنِ السَّبِیلِ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خمس الله عز وجل فللرسول یضعه فی سبیل الله، وأما خمس الرسول فلأقاربه، وخمس ذوی القربی فهم أقرباؤه، والیتامی یتامی أهل بیته</w:t>
      </w:r>
    </w:p>
    <w:p>
      <w:pPr>
        <w:pStyle w:val="BookText"/>
        <w:rPr/>
      </w:pPr>
      <w:r>
        <w:rPr>
          <w:rFonts w:ascii="IRNazanin" w:hAnsi="IRNazanin" w:eastAsia="IRNazanin"/>
          <w:color w:val="111111"/>
          <w:sz w:val="28"/>
          <w:sz w:val="28"/>
          <w:szCs w:val="28"/>
          <w:rtl w:val="true"/>
          <w:lang w:bidi="fa-IR"/>
        </w:rPr>
        <w:t>فجعل هذه الأربعة أربعة أسهم فیهم، وأما المساکین وابن السبیل فقد عرفت أنّا لا نأکل الصدقة ولا تحل لنا فهی للمساکین وأبناء السبیل</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فسَّر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القربی بأقرباء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زکریا بن مالک، فیعلم انه لیس المراد منهم شخصاً واحداً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وجل وَاعْلَمُوا أَنَّما غَنِمْتُمْ مِنْ شَیْ‌ءٍ فَأَنَّ للهِ خُمُسَهُ وَلِلرَّسُولِ وَلِذِی الْقُرْبی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قرابة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الیتامی والمساکین وابن السبیل؟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فُسِّر ذو القربی فی هذه الروایة بقرابة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وینبغی ملاحظة أنه إذا کان المراد من ذی القربی هم أقرباء رسول الله، عندها لا فرق بینهم وبین الیتامی والمساکین وابن السبیل حیث قلنا سابقاً بأن المراد من هذه المجموعات الثلاث هم المنسوبون إلی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لا یوجد اختلاف حول هذه المجموعات الثلاث بین علماء الإمامیة، فی أن المراد منهم أقرباء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ولذا فإن هذه النظریة التی تقوم علی أساس أن المراد من ذی القربی هم الجمع لیست مقبولة</w:t>
      </w:r>
      <w:r>
        <w:rPr>
          <w:rFonts w:eastAsia="IRNazanin" w:cs="IRNazanin"/>
          <w:color w:val="111111"/>
          <w:sz w:val="28"/>
          <w:szCs w:val="28"/>
          <w:rtl w:val="true"/>
          <w:lang w:bidi="fa-IR"/>
        </w:rPr>
        <w:t>.</w:t>
      </w:r>
      <w:bookmarkStart w:id="119" w:name="pg5472_36337"/>
    </w:p>
    <w:p>
      <w:pPr>
        <w:pStyle w:val="Heading3"/>
        <w:numPr>
          <w:ilvl w:val="2"/>
          <w:numId w:val="1"/>
        </w:numPr>
        <w:rPr/>
      </w:pPr>
      <w:bookmarkStart w:id="120" w:name="__RefHeading___Toc2158420_581953129"/>
      <w:bookmarkStart w:id="121" w:name="_Toc44"/>
      <w:bookmarkEnd w:id="119"/>
      <w:bookmarkEnd w:id="120"/>
      <w:r>
        <w:rPr>
          <w:rtl w:val="true"/>
        </w:rPr>
        <w:t>هل یمکن الجمع بین هاتین الطائفتین من الروایات ؟</w:t>
      </w:r>
      <w:bookmarkEnd w:id="121"/>
    </w:p>
    <w:p>
      <w:pPr>
        <w:pStyle w:val="BookText"/>
        <w:rPr/>
      </w:pPr>
      <w:r>
        <w:rPr>
          <w:rFonts w:ascii="IRNazanin" w:hAnsi="IRNazanin" w:eastAsia="IRNazanin"/>
          <w:color w:val="111111"/>
          <w:sz w:val="28"/>
          <w:sz w:val="28"/>
          <w:szCs w:val="28"/>
          <w:rtl w:val="true"/>
          <w:lang w:bidi="fa-IR"/>
        </w:rPr>
        <w:t>إن السؤال المطروح هنا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الجمع بین طائفة الروایات التی تفسر ذی القربی بالجمع، وتلک الروایات التی تفسرها بالإمام المعصوم؟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رأینا، إن الجمع بین هاتین الطائفتین من الروایات واضح جداً وجلی، ووجه الجمع أنه عندما ینیب إلی نفس الإمام أو فی زمن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ینیب إلی نفسه فیکون المراد هو المفرد، أما عندما نقول إن الخمس للإمام أی لأمیر المؤمنین ومن ثم لخلیفته وبهذا الترتیب یصل الأمر إلی الأئمة من بعدهم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عندما یطلق الجمع فی هذه الروایات واستخدم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فمعنی ذلک أنهم الأئمة لا سائر الأقرباء، وإن استعمال ضمیر 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تعدد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احتمال التقیة فی بعض من هذه الروایات، حیث ورد فی ذیل روایة زکریا بن مالک الجعفی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المساکین وابن السبیل فقد عرفت أنا لا نأکل الصدقة ولا تحل لنا فهی للمساکین وأبناء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نحن علی یقین أن المساکین وأبناء السبیل من أقرباء رسول الله یدخلون تحت أقسام الخمس، ویمکن أن یکون ذکر هذا الموضوع من باب التقیة، وقد تحمل هذه الروایة علی التقیة من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ذلک، فإن أفضل ما یذکر فی هذا المجال ما ذکرناه فی البدایة أن الأئمة متعددون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المطلق والمقید جاریة فی هذه الروایات وتوضیحها کما یلی</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ورد فی مثل روایة محمد بن مسلم ما 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قرابة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روایات أخری وردت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ذی القربی أی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122" w:name="pg5472_36339"/>
    </w:p>
    <w:p>
      <w:pPr>
        <w:pStyle w:val="BookText"/>
        <w:rPr/>
      </w:pPr>
      <w:bookmarkEnd w:id="122"/>
      <w:r>
        <w:rPr>
          <w:rFonts w:ascii="IRNazanin" w:hAnsi="IRNazanin" w:eastAsia="IRNazanin"/>
          <w:color w:val="111111"/>
          <w:sz w:val="28"/>
          <w:sz w:val="28"/>
          <w:szCs w:val="28"/>
          <w:rtl w:val="true"/>
          <w:lang w:bidi="fa-IR"/>
        </w:rPr>
        <w:t>ویمکن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قرابة رسول الله مطلقة، وتقییدها هو الإمام المعصوم، أی إنه یمکن تمثیل ذلک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قیل ابتداءً العلماء، ثم قیِّد هذا اللفظ بالعلماء المعصومین حیث إن العلماء المعصومین هم أنفسهم الأئمة المعصومون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لا یبعد أن یجری هذا القانون فی هذا المورد، وإذا أردنا أن ندخل فی هذا المجال من باب المطلق والمقید فلا إشکال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فقد ذکرنا ثلاثة مطالب بشکل عام فی الجمع بین هاتین الطائفتین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اتضح حتی الآن أن ذی القربی هو المعصوم وسهم رسول الله للمعصوم کذلک</w:t>
      </w:r>
      <w:r>
        <w:rPr>
          <w:rFonts w:eastAsia="IRNazanin" w:cs="IRNazanin"/>
          <w:color w:val="111111"/>
          <w:sz w:val="28"/>
          <w:szCs w:val="28"/>
          <w:rtl w:val="true"/>
          <w:lang w:bidi="fa-IR"/>
        </w:rPr>
        <w:t>.</w:t>
      </w:r>
    </w:p>
    <w:p>
      <w:pPr>
        <w:pStyle w:val="Heading3"/>
        <w:numPr>
          <w:ilvl w:val="2"/>
          <w:numId w:val="1"/>
        </w:numPr>
        <w:rPr/>
      </w:pPr>
      <w:bookmarkStart w:id="123" w:name="__RefHeading___Toc2158422_581953129"/>
      <w:bookmarkStart w:id="124" w:name="_Toc45"/>
      <w:bookmarkEnd w:id="123"/>
      <w:r>
        <w:rPr>
          <w:rtl w:val="true"/>
        </w:rPr>
        <w:t xml:space="preserve">إشکالان علی فرضیة أن المراد من ذی القربی الإمام المعصوم </w:t>
      </w:r>
      <w:r>
        <w:rPr>
          <w:rtl w:val="true"/>
        </w:rPr>
        <w:t>(</w:t>
      </w:r>
      <w:r>
        <w:rPr>
          <w:rtl w:val="true"/>
        </w:rPr>
        <w:t>علیه السلام</w:t>
      </w:r>
      <w:r>
        <w:rPr>
          <w:rtl w:val="true"/>
        </w:rPr>
        <w:t>):</w:t>
      </w:r>
      <w:bookmarkEnd w:id="124"/>
    </w:p>
    <w:p>
      <w:pPr>
        <w:pStyle w:val="BookText"/>
        <w:rPr/>
      </w:pPr>
      <w:r>
        <w:rPr>
          <w:rFonts w:ascii="IRNazanin" w:hAnsi="IRNazanin" w:eastAsia="IRNazanin"/>
          <w:color w:val="111111"/>
          <w:sz w:val="28"/>
          <w:sz w:val="28"/>
          <w:szCs w:val="28"/>
          <w:rtl w:val="true"/>
          <w:lang w:bidi="fa-IR"/>
        </w:rPr>
        <w:t>تطرح عدة إشکالات حول نظریة أن المراد من ذی القربی هو الإمام المعصوم حسب المعنی اللغوی والروایات الدالة علی ذلک، حیث یلزم علینا أن نبحث فی هذه الإشکالات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المحتمل جداً أن أهم إشکال یطرح فی هذا المجال ما یلی</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 نزول هذه الآیة الکریمة أی فی زمن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أقرباؤه موجودین 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یحمل عنوان الإمام، بل لم یکن یوجد شخص یحمل عنوان الإمام فی تلک الفترة، عندها کیف یمکن تفسیر کلمة ذی القربی بالإمام المعصوم فی حین لم یوجد مصداق لذلک فی زمن نزولها؟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الردّ علی هذا الإشکال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قلنا سابقاً فإن الآیات القرآنیة الکریمة فی مقام إعطاء الضابطة الکلیة، فهی مطروحة بعنوان قضیة حقیقیة، ولا یلزم فی القضایا الحقیقیة وجود موضوعها وتحقّقها حین نزول الآیة أو حین تکلم المتکلم، والقضایا الحقیقیة من هذه الناحیة تختلف عن القضایا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لو طرحت قضیة ما بعنوان قضیة خارجیة فیلزم معیناً وجود موضوع خارجی له، أما عندما تطرح قضیة حقیقیة فعندها، حسب اصطلاح کبار الأصولیین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الموضوع فیها مقدر الوجوب ومفروض الوجود، بمعنی أنه سواء کان لموضوعها وجود خارجی حالیاً أو فی المستقبل، فمثلاً فی آیة الحج وَللهِ عَلَی النَّاسِ حِجُّ الْبَیْتِ مَنِ اسْتَطاعَ إِلَیْهِ سَبِیلاً فلیس من الصحیح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حتماً وجود مستطیع خارجی حین نزول الآیة، بل إن الشارع المقدس فی مقام بیان قانون کلی شرعی ولا لزوم لوجود الموضوع وتحققه حین نزول الآیة، بل لو وجد هذا الموضوع وتحقق فی السنوات القادمة فلا إشکال فی ذلک، نعم، إذا لم یوجد موضوع فی أی زمن وبأی شکل من الأشکال عندها لا یصح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والآیة التی هی محل بحثنا کذلک، وبناء علی ما سبق من توضیح فلا یلزم أن یوجد شخص بعنوان إمام حین نزول الآیة الکریمة، بل یکفی وجود شخص بعد رسول الله یحمل عنوان ذی القربی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لم یوجد مصداق لذی القربی الذی هو الإمام حتی یوم القیامة، فلا ریب أن هذا العنوان بهذا المعنی لغو وغیر صحیح</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ذکرنا بأن سهم الله لرسوله وسهم رسوله للإمام وهنا أیضاً نذکر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بما أن الله عز وجل قد جعل سهمه للإمام فإن العکس صحیح کذلک، بأن سهم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سهم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فکما أنه فی حال حضور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وجود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سهم الرسول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فالعکس کذلک صحیح، أی فی حال عدم وجود الإمام فسهمه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إنه فی زمن نزول الآیة الکریمة جعل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الأقسام من الخمس فی تصرفه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بعنوان ما هو لله عز وجل، والآخر بعنوان شخصه المبارک، والآخر بعنوان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وقسّم الباقی بین الیتامی والمساکین وابن السبیل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حسب بعض الروایات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عملیاً بتقسیم سهم ذی القربی بین أقربائه، فهل هذا الأمر شاهد علی عدم کون المراد من ذی القربی خصوص 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نقرأ فی هذه الروایة الصحیحة ما 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وعنه عن سعد بن عبد الله، عن أحمد بن محمد، عن الحسین بن سعید عن حماد بن عیسی، عن ربعی بن عبد الله بن الجارود،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أتاه المغنم أخذ صفوه، وکان ذلک له، ثم یقسم ما بقی خمسة أخماس، ویأخذ خمسه، ثم یقسم أربعة أخماس بین الناس الذین قاتلوا علیه، ثم قسم الخمس الذی أخذه خمسة أخماس، یأخذ خمس الله عز وجل لنفسه، ثم یقسم الأربعة الأخماس بین ذوی القربی والیتامی والمساکین، وأبناء السبیل یعطی کل واحد منهم</w:t>
      </w:r>
      <w:bookmarkStart w:id="125" w:name="pg5472_36345"/>
    </w:p>
    <w:p>
      <w:pPr>
        <w:pStyle w:val="BookText"/>
        <w:rPr/>
      </w:pPr>
      <w:bookmarkEnd w:id="125"/>
      <w:r>
        <w:rPr>
          <w:rFonts w:ascii="Amiri" w:hAnsi="Amiri" w:eastAsia="Amiri" w:cs="Amiri"/>
          <w:color w:val="111111"/>
          <w:sz w:val="28"/>
          <w:sz w:val="28"/>
          <w:szCs w:val="28"/>
          <w:rtl w:val="true"/>
          <w:lang w:bidi="ar-SA"/>
        </w:rPr>
        <w:t>جمیعاً</w:t>
      </w:r>
      <w:r>
        <w:rPr>
          <w:rFonts w:eastAsia="Amiri" w:cs="Amiri" w:ascii="Amiri" w:hAnsi="Amiri"/>
          <w:color w:val="111111"/>
          <w:sz w:val="28"/>
          <w:szCs w:val="28"/>
          <w:rtl w:val="true"/>
          <w:lang w:bidi="ar-SA"/>
        </w:rPr>
        <w:t>)</w:t>
      </w:r>
      <w:r>
        <w:rPr>
          <w:rStyle w:val="FootnoteAnchor"/>
          <w:rtl w:val="true"/>
        </w:rPr>
        <w:footnoteReference w:id="90"/>
      </w:r>
      <w:r>
        <w:rPr>
          <w:rFonts w:ascii="IRNazanin" w:hAnsi="IRNazanin" w:eastAsia="IRNazanin"/>
          <w:color w:val="111111"/>
          <w:sz w:val="28"/>
          <w:sz w:val="28"/>
          <w:szCs w:val="28"/>
          <w:rtl w:val="true"/>
          <w:lang w:bidi="fa-IR"/>
        </w:rPr>
        <w:t xml:space="preserve">، هذه الروایة شاهدة علی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یحدد ولم یعین سهماً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ذی القربی بل أعطاه لأقربائه، ولذا یعلم أن خمس ذی القربی لیس مختصاً بالإمام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نستنتجه بقلیل من التأمل بهذه الروایة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یأخذ خمسه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سهم نفسه إلی خمسة أقسام، فیضع القسم المخصص لسهم الله عز وجل جانباً لیصرفه علی الکعبة ومصالح المسلمین الأخری، وأما الأقسام الأربعة الأخری فکان یقسمه بین أربع مجموعات أخری، أی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أعطی سهمه لأقربائه، ولا یستفاد من هذه الروایة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قسّم سهم ذی القربی بین أقربائه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ذلک نتوصل إلی النتیجة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من ذی القربی خصوص 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أقرباء الرسول جمیعاً</w:t>
      </w:r>
      <w:r>
        <w:rPr>
          <w:rFonts w:eastAsia="IRNazanin" w:cs="IRNazanin"/>
          <w:color w:val="111111"/>
          <w:sz w:val="28"/>
          <w:szCs w:val="28"/>
          <w:rtl w:val="true"/>
          <w:lang w:bidi="fa-IR"/>
        </w:rPr>
        <w:t>.</w:t>
      </w:r>
    </w:p>
    <w:p>
      <w:pPr>
        <w:pStyle w:val="Heading3"/>
        <w:numPr>
          <w:ilvl w:val="2"/>
          <w:numId w:val="1"/>
        </w:numPr>
        <w:rPr/>
      </w:pPr>
      <w:bookmarkStart w:id="126" w:name="__RefHeading___Toc2158424_581953129"/>
      <w:bookmarkStart w:id="127" w:name="_Toc46"/>
      <w:bookmarkEnd w:id="126"/>
      <w:r>
        <w:rPr>
          <w:rtl w:val="true"/>
        </w:rPr>
        <w:t>المراد من الیتامی والمساکین وابن السبیل</w:t>
      </w:r>
      <w:r>
        <w:rPr>
          <w:rtl w:val="true"/>
        </w:rPr>
        <w:t>:</w:t>
      </w:r>
      <w:bookmarkEnd w:id="127"/>
    </w:p>
    <w:p>
      <w:pPr>
        <w:pStyle w:val="Heading4"/>
        <w:numPr>
          <w:ilvl w:val="3"/>
          <w:numId w:val="1"/>
        </w:numPr>
        <w:rPr/>
      </w:pPr>
      <w:bookmarkStart w:id="128" w:name="__RefHeading___Toc2158426_581953129"/>
      <w:bookmarkStart w:id="129" w:name="_Toc47"/>
      <w:bookmarkEnd w:id="128"/>
      <w:r>
        <w:rPr>
          <w:rtl w:val="true"/>
        </w:rPr>
        <w:t>اشارة</w:t>
      </w:r>
      <w:bookmarkEnd w:id="12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المراد من الیتامی والمساکین وابن السبیل مطلق هؤلاء الأفراد أی کل من یصدق علیه عنوان الیتیم أو المسکین أو ابن السبیل ولا فرق فی ذلک، إن کانوا من أهل بیت الرسول أو غیرهم، أو إن المراد منهم الأیتام من أقرباء وذوی قربی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130" w:name="pg5472_36347"/>
    </w:p>
    <w:p>
      <w:pPr>
        <w:pStyle w:val="Heading4"/>
        <w:numPr>
          <w:ilvl w:val="3"/>
          <w:numId w:val="1"/>
        </w:numPr>
        <w:rPr/>
      </w:pPr>
      <w:bookmarkStart w:id="131" w:name="__RefHeading___Toc2158428_581953129"/>
      <w:bookmarkStart w:id="132" w:name="_Toc48"/>
      <w:bookmarkEnd w:id="130"/>
      <w:bookmarkEnd w:id="131"/>
      <w:r>
        <w:rPr>
          <w:rtl w:val="true"/>
        </w:rPr>
        <w:t>رأی أهل السنة</w:t>
      </w:r>
      <w:r>
        <w:rPr>
          <w:rtl w:val="true"/>
        </w:rPr>
        <w:t>:</w:t>
      </w:r>
      <w:bookmarkEnd w:id="132"/>
    </w:p>
    <w:p>
      <w:pPr>
        <w:pStyle w:val="BookText"/>
        <w:rPr/>
      </w:pPr>
      <w:r>
        <w:rPr>
          <w:rFonts w:ascii="IRNazanin" w:hAnsi="IRNazanin" w:eastAsia="IRNazanin"/>
          <w:color w:val="111111"/>
          <w:sz w:val="28"/>
          <w:sz w:val="28"/>
          <w:szCs w:val="28"/>
          <w:rtl w:val="true"/>
          <w:lang w:bidi="fa-IR"/>
        </w:rPr>
        <w:t>یقول أهل السنة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الیتامی والمساکین وابن السبیل مطلقة وتشمل کل یتیم ومسکین وابن سبیل</w:t>
      </w:r>
      <w:r>
        <w:rPr>
          <w:rFonts w:eastAsia="IRNazanin" w:cs="IRNazanin"/>
          <w:color w:val="111111"/>
          <w:sz w:val="28"/>
          <w:szCs w:val="28"/>
          <w:rtl w:val="true"/>
          <w:lang w:bidi="fa-IR"/>
        </w:rPr>
        <w:t>).</w:t>
      </w:r>
    </w:p>
    <w:p>
      <w:pPr>
        <w:pStyle w:val="Heading4"/>
        <w:numPr>
          <w:ilvl w:val="3"/>
          <w:numId w:val="1"/>
        </w:numPr>
        <w:rPr/>
      </w:pPr>
      <w:bookmarkStart w:id="133" w:name="__RefHeading___Toc2158430_581953129"/>
      <w:bookmarkStart w:id="134" w:name="_Toc49"/>
      <w:bookmarkEnd w:id="133"/>
      <w:r>
        <w:rPr>
          <w:rtl w:val="true"/>
        </w:rPr>
        <w:t>رأی علماء الإمامیة</w:t>
      </w:r>
      <w:r>
        <w:rPr>
          <w:rtl w:val="true"/>
        </w:rPr>
        <w:t>:</w:t>
      </w:r>
      <w:bookmarkEnd w:id="134"/>
    </w:p>
    <w:p>
      <w:pPr>
        <w:pStyle w:val="BookText"/>
        <w:rPr/>
      </w:pPr>
      <w:r>
        <w:rPr>
          <w:rFonts w:ascii="IRNazanin" w:hAnsi="IRNazanin" w:eastAsia="IRNazanin"/>
          <w:color w:val="111111"/>
          <w:sz w:val="28"/>
          <w:sz w:val="28"/>
          <w:szCs w:val="28"/>
          <w:rtl w:val="true"/>
          <w:lang w:bidi="fa-IR"/>
        </w:rPr>
        <w:t>یقول علماء الإمامیة بأن المراد من الیتامی والمساکین وابن السبیل من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واستناداً إلی البحوث السابقة ورأی علماء الإمامیة فی تقسیم الخمس إلی قسمین یتضح جواب هذا السؤال بشکل کامل، لأنه وردت فی الآیة الکریمة ستة أقسام، وأن سهم الله وسهم رسوله یعود إلی الإمام، حیث توضح أمر هذه الأقسام الثلاثة، أما الأقسام الثلاثة الأخری المتعلقة بالیتامی والمساکین وابن السبیل التی ینبغی توزیعها بینهم بإشراف ذی القربی، وعدم دخول اللام قرینة علی ذلک بأن هذه المجموعات الثلاث یجب أن یکونوا من ذی القربی هؤلاء، وأنهم لا یقعون فی عرض هذا العنوان، ویتضح أن هذه المجموعات الثلاث مختصة ببنی هاشم فحسب، لذا یصبح نصف هذا الخمس سهماً مبارکاً للإمام والنصف الآخر سهماً للسادة</w:t>
      </w:r>
      <w:r>
        <w:rPr>
          <w:rFonts w:eastAsia="IRNazanin" w:cs="IRNazanin"/>
          <w:color w:val="111111"/>
          <w:sz w:val="28"/>
          <w:szCs w:val="28"/>
          <w:rtl w:val="true"/>
          <w:lang w:bidi="fa-IR"/>
        </w:rPr>
        <w:t>.</w:t>
      </w:r>
    </w:p>
    <w:p>
      <w:pPr>
        <w:pStyle w:val="Heading4"/>
        <w:numPr>
          <w:ilvl w:val="3"/>
          <w:numId w:val="1"/>
        </w:numPr>
        <w:rPr/>
      </w:pPr>
      <w:bookmarkStart w:id="135" w:name="__RefHeading___Toc2158432_581953129"/>
      <w:bookmarkStart w:id="136" w:name="_Toc50"/>
      <w:bookmarkEnd w:id="135"/>
      <w:r>
        <w:rPr>
          <w:rtl w:val="true"/>
        </w:rPr>
        <w:t>معنی الیتیم</w:t>
      </w:r>
      <w:r>
        <w:rPr>
          <w:rtl w:val="true"/>
        </w:rPr>
        <w:t>:</w:t>
      </w:r>
      <w:bookmarkEnd w:id="136"/>
    </w:p>
    <w:p>
      <w:pPr>
        <w:pStyle w:val="BookText"/>
        <w:rPr/>
      </w:pPr>
      <w:r>
        <w:rPr>
          <w:rFonts w:ascii="IRNazanin" w:hAnsi="IRNazanin" w:eastAsia="IRNazanin"/>
          <w:color w:val="111111"/>
          <w:sz w:val="28"/>
          <w:sz w:val="28"/>
          <w:szCs w:val="28"/>
          <w:rtl w:val="true"/>
          <w:lang w:bidi="fa-IR"/>
        </w:rPr>
        <w:t>الیتیم فی اللغة أعم من الیتیم فی الشرع، لأن الیتیم فی اللغة یطلق علی من فقد أباه سواء قبل بلوغه أو بعده، فإن فقد شخص بلغ من العمر سبعین سنة أباه فهو من الناحیة اللغویة یطلق علیه لفظ الیتیم، وتطلق علی من فقد أباه وأمه معاً، بالیتم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من الناحیة الشرعیة فیطلق الیتیم علی من فقد أباه ولم یبلغ سن البلوغ، فإن کان قد بلغ ذلک السن فلا یطلق علیه عنوان الیتیم</w:t>
      </w:r>
      <w:r>
        <w:rPr>
          <w:rFonts w:eastAsia="IRNazanin" w:cs="IRNazanin"/>
          <w:color w:val="111111"/>
          <w:sz w:val="28"/>
          <w:szCs w:val="28"/>
          <w:rtl w:val="true"/>
          <w:lang w:bidi="fa-IR"/>
        </w:rPr>
        <w:t>.</w:t>
      </w:r>
      <w:bookmarkStart w:id="137" w:name="pg5472_36349"/>
    </w:p>
    <w:p>
      <w:pPr>
        <w:pStyle w:val="Heading4"/>
        <w:numPr>
          <w:ilvl w:val="3"/>
          <w:numId w:val="1"/>
        </w:numPr>
        <w:rPr/>
      </w:pPr>
      <w:bookmarkStart w:id="138" w:name="__RefHeading___Toc2158434_581953129"/>
      <w:bookmarkStart w:id="139" w:name="_Toc51"/>
      <w:bookmarkEnd w:id="137"/>
      <w:bookmarkEnd w:id="138"/>
      <w:r>
        <w:rPr>
          <w:rtl w:val="true"/>
        </w:rPr>
        <w:t>معنی المسکین</w:t>
      </w:r>
      <w:r>
        <w:rPr>
          <w:rtl w:val="true"/>
        </w:rPr>
        <w:t>:</w:t>
      </w:r>
      <w:bookmarkEnd w:id="139"/>
    </w:p>
    <w:p>
      <w:pPr>
        <w:pStyle w:val="BookText"/>
        <w:rPr/>
      </w:pPr>
      <w:r>
        <w:rPr>
          <w:rFonts w:ascii="IRNazanin" w:hAnsi="IRNazanin" w:eastAsia="IRNazanin"/>
          <w:color w:val="111111"/>
          <w:sz w:val="28"/>
          <w:sz w:val="28"/>
          <w:szCs w:val="28"/>
          <w:rtl w:val="true"/>
          <w:lang w:bidi="fa-IR"/>
        </w:rPr>
        <w:t>ذکرت فروق متعددة بین الفقیر والمسکین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المحتاج العاجز الذی لا یقدر علی العمل، أما المسکین فهو مشتق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المحتاج السلیم الذی یطیق الحرکة، ولکنه مُنع عنه بسبب فقدانه القدرة ورأس المال، ولکنه لیس بعاجز، وفیه طاقة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یُدار قسم من حیاته، أما المسکین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تدار حیاته أصلاً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یطلب من الناس، أما المسکین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یطلب، ولم یذکر فی آیة الخمس عن الفقیر شیء، أما فی آیة الزکاة إِنَّمَا الصَّدَقاتُ لِلْفُقَراءِ وَالْمَساکِینِ فقد ذکر الفقیر، وهذا شاهد علی أن المسکین، فی هذه الحالة، یشمل المسکین والفقیر کذلک، والفقیر والمسکین کالجار والمجرور إذا اجتمعا افترقا وإذا افترقا اجتمعا</w:t>
      </w:r>
      <w:r>
        <w:rPr>
          <w:rFonts w:eastAsia="IRNazanin" w:cs="IRNazanin"/>
          <w:color w:val="111111"/>
          <w:sz w:val="28"/>
          <w:szCs w:val="28"/>
          <w:rtl w:val="true"/>
          <w:lang w:bidi="fa-IR"/>
        </w:rPr>
        <w:t>.</w:t>
      </w:r>
    </w:p>
    <w:p>
      <w:pPr>
        <w:pStyle w:val="Heading4"/>
        <w:numPr>
          <w:ilvl w:val="3"/>
          <w:numId w:val="1"/>
        </w:numPr>
        <w:rPr/>
      </w:pPr>
      <w:bookmarkStart w:id="140" w:name="__RefHeading___Toc2158436_581953129"/>
      <w:bookmarkStart w:id="141" w:name="_Toc52"/>
      <w:bookmarkEnd w:id="140"/>
      <w:r>
        <w:rPr>
          <w:rtl w:val="true"/>
        </w:rPr>
        <w:t>معنی ابن السبیل</w:t>
      </w:r>
      <w:r>
        <w:rPr>
          <w:rtl w:val="true"/>
        </w:rPr>
        <w:t>:</w:t>
      </w:r>
      <w:bookmarkEnd w:id="141"/>
    </w:p>
    <w:p>
      <w:pPr>
        <w:pStyle w:val="BookText"/>
        <w:rPr/>
      </w:pPr>
      <w:r>
        <w:rPr>
          <w:rFonts w:ascii="IRNazanin" w:hAnsi="IRNazanin" w:eastAsia="IRNazanin"/>
          <w:color w:val="111111"/>
          <w:sz w:val="28"/>
          <w:sz w:val="28"/>
          <w:szCs w:val="28"/>
          <w:rtl w:val="true"/>
          <w:lang w:bidi="fa-IR"/>
        </w:rPr>
        <w:t>ویطلق ابن السبیل علی من تقطع به السبیل</w:t>
      </w:r>
      <w:r>
        <w:rPr>
          <w:rFonts w:eastAsia="IRNazanin" w:cs="IRNazanin"/>
          <w:color w:val="111111"/>
          <w:sz w:val="28"/>
          <w:szCs w:val="28"/>
          <w:rtl w:val="true"/>
          <w:lang w:bidi="fa-IR"/>
        </w:rPr>
        <w:t>.</w:t>
      </w:r>
    </w:p>
    <w:p>
      <w:pPr>
        <w:pStyle w:val="Heading3"/>
        <w:numPr>
          <w:ilvl w:val="2"/>
          <w:numId w:val="1"/>
        </w:numPr>
        <w:rPr/>
      </w:pPr>
      <w:bookmarkStart w:id="142" w:name="__RefHeading___Toc2158438_581953129"/>
      <w:bookmarkStart w:id="143" w:name="_Toc53"/>
      <w:bookmarkEnd w:id="142"/>
      <w:r>
        <w:rPr>
          <w:rtl w:val="true"/>
        </w:rPr>
        <w:t>البحث فی رأی علماء الإمامیة حول الیتامی والمساکین وابن السبیل من المنظار القرآنی</w:t>
      </w:r>
      <w:r>
        <w:rPr>
          <w:rtl w:val="true"/>
        </w:rPr>
        <w:t>:</w:t>
      </w:r>
      <w:bookmarkEnd w:id="143"/>
    </w:p>
    <w:p>
      <w:pPr>
        <w:pStyle w:val="BookText"/>
        <w:rPr/>
      </w:pPr>
      <w:r>
        <w:rPr>
          <w:rFonts w:ascii="IRNazanin" w:hAnsi="IRNazanin" w:eastAsia="IRNazanin"/>
          <w:color w:val="111111"/>
          <w:sz w:val="28"/>
          <w:sz w:val="28"/>
          <w:szCs w:val="28"/>
          <w:rtl w:val="true"/>
          <w:lang w:bidi="fa-IR"/>
        </w:rPr>
        <w:t>هل تستفاد من هذه الآیة أن المراد من الیتامی والمساکین وابن السبیل بنو هاشم؟</w:t>
      </w:r>
    </w:p>
    <w:p>
      <w:pPr>
        <w:pStyle w:val="BookText"/>
        <w:rPr/>
      </w:pPr>
      <w:r>
        <w:rPr>
          <w:rFonts w:ascii="IRNazanin" w:hAnsi="IRNazanin" w:eastAsia="IRNazanin"/>
          <w:color w:val="111111"/>
          <w:sz w:val="28"/>
          <w:sz w:val="28"/>
          <w:szCs w:val="28"/>
          <w:rtl w:val="true"/>
          <w:lang w:bidi="fa-IR"/>
        </w:rPr>
        <w:t>نلاحظ أننا نستطیع إثبات ذلک الموضوع بدلیلین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المحتمل أنه عندما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الیتامی والمساکین وابن السبیل، ولم یکرر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الکلمات التی بعدها، ففی ذلک قرینة علی</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المعنی، بمعنی أن الأیتام من ذی القربی والمساکین من ذی القربی وابن السبیل من ذی القربی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آیة الزکاة، فإن الفقراء والمساکین مطلقة، عندها یجب البحث عن قرینة لعدم دفع الزکاة للفقیر الهاشمی أو المسکین الهاشمی، ولکن بما أن الله عز وجل أتی بلفظ ذی القربی بدل الإمام فی آیة الخمس، فلعلّ السبب فی ذلک أنه توجد فی بنی هاشم مجموعتان إحداهما من الأئمة، والأخری من مجموعة الیتامی والمساکین وابن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وعنوان ذی القربی من العناوین التی یمکن أن تکون فیها قرینیة لما بعدها، وإن لم یحمل هذا الموضوع صفة القطعیة ولکنه یمکن أن یطرح بعنوان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مقارنة بین آیة الزکاة وآیة الخمس وآیة الأنفال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الصَّدَقاتُ لِلْفُقَراءِ وَالْمَساکِینِ وَالْعامِلِینَ عَلَیْها وَالْمُؤَلَّفَةِ قُلُوبُهُمْ وَفِی الرِّقابِ وَالْغارِمِینَ وَفِی سَبِیلِ اللهِ وَابْنِ السَّبِیلِ فَرِیضَةً مِنَ اللهِ وَاللهُ عَلِیمٌ حَکِیمٌ‌</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عیّن الشارع المقدس بهذه الآیة الشریفة الزکاة لهذه المجموعات الثمانی، ولیس فی هذه الآیة أی ذکر لله عز وجل فی هذا التقسیم والتعیین، ولکن فی آیة الخمس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أَنَّما غَنِمْتُمْ مِنْ شَیْ‌ءٍ فَأَنَّ للهِ خُمُسَهُ وَلِلرَّسُولِ وَلِذِی الْقُرْبی وَالْیَتامی وَالْمَساکِینِ وَابْنِ السَّبِیلِ حیث ذکر اسم الله عزوجل فی هذه الآیة، وهذا دلیل علی أن مبحث الخمس مبحث مالی مهم جداً، له خصائص وامتیازات علی الزکاة، لأن الله عز وجل فی الخمس جعل سهماً له، وجعل سهماً لرسوله فی هذه الآیة بعده، وکذلک ذکر ذو القربی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الاهتمام دال علی خصوصیة حول من یصرف علیهم الخمس وقرینة علی أنه لیس المقصود من الیتامی فی هذه الآیة مطلقهم، وکذلک بالنسبة للمساکین الذین لیس المراد منهم المساکین المتعارفین، والخمس یجب أن یکون متعلقاً</w:t>
      </w:r>
    </w:p>
    <w:p>
      <w:pPr>
        <w:pStyle w:val="BookText"/>
        <w:rPr/>
      </w:pPr>
      <w:r>
        <w:rPr>
          <w:rFonts w:ascii="IRNazanin" w:hAnsi="IRNazanin" w:eastAsia="IRNazanin"/>
          <w:color w:val="111111"/>
          <w:sz w:val="28"/>
          <w:sz w:val="28"/>
          <w:szCs w:val="28"/>
          <w:rtl w:val="true"/>
          <w:lang w:bidi="fa-IR"/>
        </w:rPr>
        <w:t xml:space="preserve">بمجموعة خاصة منهم، کآیة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استفاد بعض المفسرین من تقارن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أنه یجب أن یکون هؤلاء معصومین، لأنه لا یوجد وجه مشترک للإطاعة المطلقة غیر ذلک بین هذه الثلاثة، وکذلک فی آیة الخمس والأنفال فإن تقارن الموارد الخمسة مع اسم الله عز وجل یثبت شرافة هؤلاء وتمیّزهم، ویتضح أنهم أعلی رتبة من باقی طبقات المجتمع، ولعل سر اختیار تعبیر بالله عز وجل فی هذه الآیة لتفهیم هذا المعنی، ولذا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یصرف السهم المختص لله عز وجل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فالآیة الشریفة بنفسها ظاهرة فی أن الطوائف الثلاث من بنی هاشم، ویؤید ذلک الروایات الواردة فهی دالة علی أن الله أکرم الأئمة المعصومین وأهل بیت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وحرَّم الصدقة والزکاة علیهم، ولکن فی مقابل هذا التحریم جعل الخمس لهم</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وکذلک ما ورد فی آیة الأنفال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أَفاءَ اللهُ عَلی رَسُولِهِ مِنْ أَهْلِ الْقُری فَللهِ وَلِلرَّسُولِ وَلِذِی الْقُرْبی وَالْیَتامی وَالْمَساکِینِ وَابْنِ السَّبِیلِ‌</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ونحن نعتقد بأن الأنفال لإمام المسلمین، والمراد من الیتامی والمساکین فی آیة الأنفال هو المقصود منهم فی آیة الخمس ولیس المراد المطلق منهما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فسّرنا ذا القربی کما فسّره المرحوم ابن بابویه وابن جنید، وقلنا إن المراد من ذی القربی جمیع أقرباء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عندها یصبح ذکر الیتامی بعد ذکر ذی القربی من قبیل عطف الخاص علی العام، وفی کلتا الحالتین فإن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w:t>
      </w:r>
      <w:bookmarkStart w:id="144" w:name="pg5472_36356"/>
    </w:p>
    <w:p>
      <w:pPr>
        <w:pStyle w:val="BookText"/>
        <w:rPr/>
      </w:pPr>
      <w:bookmarkEnd w:id="144"/>
      <w:r>
        <w:rPr>
          <w:rFonts w:ascii="IRNazanin" w:hAnsi="IRNazanin" w:eastAsia="IRNazanin"/>
          <w:color w:val="111111"/>
          <w:sz w:val="28"/>
          <w:sz w:val="28"/>
          <w:szCs w:val="28"/>
          <w:rtl w:val="true"/>
          <w:lang w:bidi="fa-IR"/>
        </w:rPr>
        <w:t>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تحمل قرینة علی أن الیتامی والمساکین وابن السبیل مجموعة خاصة لا مطلق الیتامی والمساکین</w:t>
      </w:r>
      <w:r>
        <w:rPr>
          <w:rFonts w:eastAsia="IRNazanin" w:cs="IRNazanin"/>
          <w:color w:val="111111"/>
          <w:sz w:val="28"/>
          <w:szCs w:val="28"/>
          <w:rtl w:val="true"/>
          <w:lang w:bidi="fa-IR"/>
        </w:rPr>
        <w:t>.</w:t>
      </w:r>
    </w:p>
    <w:p>
      <w:pPr>
        <w:pStyle w:val="Heading3"/>
        <w:numPr>
          <w:ilvl w:val="2"/>
          <w:numId w:val="1"/>
        </w:numPr>
        <w:rPr/>
      </w:pPr>
      <w:bookmarkStart w:id="145" w:name="__RefHeading___Toc2158440_581953129"/>
      <w:bookmarkStart w:id="146" w:name="_Toc54"/>
      <w:bookmarkEnd w:id="145"/>
      <w:r>
        <w:rPr>
          <w:rtl w:val="true"/>
        </w:rPr>
        <w:t>الیتامی والمساکین وابن السبیل فی الروایات</w:t>
      </w:r>
      <w:r>
        <w:rPr>
          <w:rtl w:val="true"/>
        </w:rPr>
        <w:t>:</w:t>
      </w:r>
      <w:bookmarkEnd w:id="146"/>
    </w:p>
    <w:p>
      <w:pPr>
        <w:pStyle w:val="BookText"/>
        <w:rPr/>
      </w:pPr>
      <w:r>
        <w:rPr>
          <w:rFonts w:ascii="IRNazanin" w:hAnsi="IRNazanin" w:eastAsia="IRNazanin"/>
          <w:color w:val="111111"/>
          <w:sz w:val="28"/>
          <w:sz w:val="28"/>
          <w:szCs w:val="28"/>
          <w:rtl w:val="true"/>
          <w:lang w:bidi="fa-IR"/>
        </w:rPr>
        <w:t xml:space="preserve">لدینا روایات متعددة صرح فیها علی أن المراد من الیتامی یتامی آل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موثقة عبد الله بن بکیر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سعد بن عبد الله بن أحمد بن الحسن بن علی بن فضال عن أبیه عن عبد الله بن بکیر عن بعض أصحابه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وَاعْلَمُوا أَنَّما غَنِمْتُمْ مِنْ شَیْ‌ءٍ قال خمس الله للإمام، وخمس الرسول للإمام، وخمس ذوی القربی لقرابة الرسول والیتامی یتامی آل الرسول والمساکین منهم وأبناء السبیل منهم فلا یخرج منهم إلی غیرهم</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سأل عبد الله بن بکیر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الآیة الشریفة وَاعْلَمُوا أَنَّما غَنِمْتُمْ مِنْ شَیْ‌ءٍ، فعند ذلک أجابه الإمام بأن سهم الله للإمام وسهم رسوله کذلک للإمام، وذی القربی هو الإمام کذلک والمقصود من الیتامی هم أولئک الأشخاص من آل رسول الله، وکذلک المساکین وکذلک ابن السبیل فإن المراد أولئک الأشخاص منهم، ولا یجب أن یخرج سهم هؤلاء إلی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نلاحظ فی هذه الروایة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 ذو القربی بالإمام، وکأن ابن بکیر سأل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واستفسر عما یلی</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بما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حاضراً بیننا، فإلی من یجب إعطاء سهم الله ورسوله؟ عندها أجابه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سهم هؤلاء یجب أن یعطی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 هذه الروایة بأنه لا یجوز إعطاء الیتیم الهاشمی أی مال، وکذلک الأمر بالنسبة للمسکین الهاشمی وابن السبیل الهاشمی، بل یجب أن یتم تزویدهم بالأموال عن طریق حقهم فی الخمس، لذا فقد أشیر فی ذیل هذه الروایة إلی نقطة هامة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یخرج منهم إلی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ینبغی أن یخرج الخمس من دائرة هؤلاء، بل إنه مختص بهذه المجموعات المذکورة فقط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حماد بن عیسی، عن إبراهیم بن عثمان، عن سلیم بن قیس الهلالی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خطبة طویلة یقول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والله عنی بذی القربی الذین قرننا الله بنفسه وبرسوله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تعالی فلله وللرسول ولذی القربی والیتامی</w:t>
      </w:r>
    </w:p>
    <w:p>
      <w:pPr>
        <w:pStyle w:val="BookText"/>
        <w:rPr/>
      </w:pPr>
      <w:r>
        <w:rPr>
          <w:rFonts w:ascii="IRNazanin" w:hAnsi="IRNazanin" w:eastAsia="IRNazanin"/>
          <w:color w:val="111111"/>
          <w:sz w:val="28"/>
          <w:sz w:val="28"/>
          <w:szCs w:val="28"/>
          <w:rtl w:val="true"/>
          <w:lang w:bidi="fa-IR"/>
        </w:rPr>
        <w:t>والمساکین وابن السبیل فینا خاصة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یجعل لنا فی سهم الصدقة نصیباً أکرم الله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وأکرمنا أهل البیت أن یطعمنا من أوساخ الناس فکذبوا الله وکذبوا رسوله وجحدوا کتاب الله الناطق بحقنا</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ویستفاد من هذه الروایة أن من یقرأ آیة الخمس فی القرآن، یلاحظ أنها متعلقة بأهل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وتوجد غرابة واختلاف بینها وبین آیة الزکاة من حیث التعبیر واللغة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إبراهیم بن هاشم عن أبیه عن حماد بن عیسی عن بعض أصحابنا عن 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 من خمسة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ویقسم بینهم الخمس علی ستة أسهم سهم لله وسهم لرسول الله وسهم لذی القربی وسهم للیتامی وسهم للمساکین وسهم لأبناء السبیل، فسهم الله وسهم رسول الله لأولی الأمر من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وراثة فله ثلاثة أسهم، سهمان وراثة وسهم مقسوم له من الله وله نصف الخمس کملاً ونصف الخمس الباقی بین أهل بیته فسهم لیتاماهم وسهم لمساکینهم وسهم لأبناء سبیلهم یقسم بینهم علی الکتاب والسنة ما یستغنون به فی سنتهم فإن فضل عنهم شیء فهو للوالی وإن عجز أو نقص عن استغنائهم کان علی الوالی أن ینفق من عنده بقدر ما یستغنون به وإنما صار علیه أن یمونهم لأن له ما فضل عنهم، وإنما جعل الله هذا الخمس خاصة لهم دون مساکین الناس وأبناء سبیلهم عوضاً لهم من صدقات الناس تنزیهاً من الله لهم لقرابتهم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وکرامة من الله لهم عن أوساخ الناس فجعل لهم خاصة من عنده ما یغنیهم به عن أن یصیرهم فی موضع الذل والمسکنة ولا بأس بصدقات بعضهم علی بعض وهؤلاء الذین جعل الله لهم الخمس هم قرابة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ذکرهم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وأنذر عشیرتک الأقربین وهم بنو عبد المطلب أنفسهم الذکر منهم والأنثی لیس فیهم من أهل بیوتات قریش ولا من العرب أحد ولا فیهم ولا منهم فی هذا الخمس من موالیهم وقد تحلّ صدقات الناس لموالیهم وهم والناس سواء ومن کانت أمه من بنی هاشم وأبوه من سائر قریش فإن الصدقات تحل له ولیس له من الخمس شیء لأن الله تعالی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ادعوهم لآبائهم</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الروایة، وإن کانت من حیث السند مرسلة، ولکنها من جهة کون المرسل حماد بن عیسی یمکن القول بأنه لا إشکال فیها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من حیث الدلالة یمکن القول بأنها من أکمل الروایات وأکثرها تفصیلاً مما ورد حول تقسیم الخمس، حیث یمکن الاستفادة منها فی عدة نقاط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الخمس أساساً متعلق بالله عز وجل، ولکن الله عز وجل جعل منه سهماً لخمس المجموعات الأخری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یصل سهم الله وسهم رسوله إلی الإمام المعصوم بالوراثة، ویصبح نصف الخمس کاملاً للإمام بإضافة سهمه المخصوص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النصف الثانی للخمس یتعلق بالیتامی والمساکین وابن السبیل من آل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فإن ما ذکره البعض من احتمال کون الخمس جمیعه متعلقاً بالسادة لا ینطبق ولا یتجاوب مع هذه الروایة بل یناقضه تماماً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المقصود من السادات من انتسب إلی عبد المطلب وهاشم عن طریق الأب، لأن الله عز وجل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ادْعُوهُمْ لآبائِهِمْ‌</w:t>
      </w:r>
      <w:r>
        <w:rPr>
          <w:rStyle w:val="FootnoteAnchor"/>
          <w:rtl w:val="true"/>
        </w:rPr>
        <w:footnoteReference w:id="97"/>
      </w:r>
      <w:r>
        <w:rPr>
          <w:rFonts w:ascii="IRNazanin" w:hAnsi="IRNazanin" w:eastAsia="IRNazanin"/>
          <w:color w:val="111111"/>
          <w:sz w:val="28"/>
          <w:sz w:val="28"/>
          <w:szCs w:val="28"/>
          <w:rtl w:val="true"/>
          <w:lang w:bidi="fa-IR"/>
        </w:rPr>
        <w:t>لذا فإنه لا یکفی الانتساب إلیهم عن طریق الأم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الروایة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هذه الروایة التی تدل بشکل جید علی هذا المعنی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بن صفار، عن أحمد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بعض أصحابنا رفع الحدیث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 من خمسة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الخمس فیقسم علی ستة أسهم، سهم لله، وسهم للرسول، وسهم لذی القربی، وسهم للیتامی، وسهم</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للمساکین، وسهم لأبناء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فالنصف له خاصة والنصف للیتامی والمساکین</w:t>
      </w:r>
    </w:p>
    <w:p>
      <w:pPr>
        <w:pStyle w:val="BookText"/>
        <w:rPr/>
      </w:pPr>
      <w:r>
        <w:rPr>
          <w:rFonts w:ascii="IRNazanin" w:hAnsi="IRNazanin" w:eastAsia="IRNazanin"/>
          <w:color w:val="111111"/>
          <w:sz w:val="28"/>
          <w:sz w:val="28"/>
          <w:szCs w:val="28"/>
          <w:rtl w:val="true"/>
          <w:lang w:bidi="fa-IR"/>
        </w:rPr>
        <w:t xml:space="preserve">وأبناء السبیل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لا تحل لهم الصدقة ولا الزکاة عوضهم الله مکان ذلک بالخمس</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صرّح فی هذه الروایة بأن نصف الخمس للإمام والنصف الآخر للیتامی والمساکین وأبناء السبیل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لو خُلِّینا وهذه الروایات فإنها تدل بشکل جید علی أن المراد من الیتامی والمساکین وابن السبیل هم بنو هاشم من هذه المجموعات، ویجب ألا یخرج من هذه الدائرة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توهّمٌ ورد</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تُوُهِّم أن هذه الآیة نزلت فی غزوة بدر، أی فی السنة الثانیة للهجرة، حیث لم یکن یوجد فی ذلک الوقت بین أهل البیت وأقرباء الرسول أیتام أو مساکین أو أبناء سبیل، وکانت توجد مصادیق کثیرة لهؤلاء بین المهاجرین، هذا مضافاً إلی ما صرّح به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عندئذ مع هذا الوصف ونظراً لما ورد فی روایة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غنائم بدر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فخمّس رسول الله الغنیمة التی قبض بخمسة أسهم فقبض سهم الله لنفسه، یحیی به ذکره ویورث بعده، وسهماً لقرابته من بنی عبد المطلب فأنفذ سهماً لأیتام المسلمین وسهماً لمساکینهم وسهماً لابن السبیل من المسلمین فی غیر تجارة</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 xml:space="preserve">، فکیف یمکن تصور أن الخمس مختص بمجموعات ثلاثة خاصة من بنی هاشم، فی حین بناء علی هذه الروایة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جعل سهماً من غنائم بدر لأیتام المسلمین ومساکینهم وأبناء السبیل منهم لا خصوص</w:t>
      </w:r>
    </w:p>
    <w:p>
      <w:pPr>
        <w:pStyle w:val="BookText"/>
        <w:rPr/>
      </w:pPr>
      <w:r>
        <w:rPr>
          <w:rFonts w:ascii="IRNazanin" w:hAnsi="IRNazanin" w:eastAsia="IRNazanin"/>
          <w:color w:val="111111"/>
          <w:sz w:val="28"/>
          <w:sz w:val="28"/>
          <w:szCs w:val="28"/>
          <w:rtl w:val="true"/>
          <w:lang w:bidi="fa-IR"/>
        </w:rPr>
        <w:t>بنی هاشم؟ کما أنه قد قیّد ذلک بقوله أنه لا یحق المتاجرة بها، ویجب أن تصرف فی المصاریف الیومیة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الجواب علی هذا التوهّم ینبغی توضیح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تمت الإشارة إلی هذا الموضوع سابقاً فی الجواب علی إشکال عدم وجود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زمن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إن الآیات القرآنیة مطروحة بعنوان قضایا حقیقیة، وکما أن المورد غیر مخصِّص فإن عدم وجود المورد کذلک لیس بمعمِّم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أنه، فی زمن نزول الآیة الشریفة، لم یکن یوجد یتیم أو مسکین فی بنی هاشم، لذا فإن عدم المورد قرینة علی القول بأن الآیة عامة، وقد ورد فی بعض التفاسیر أنه أثناء نزول آیة الزکاة لم یکن یوجد مال یتعلق الزکاة به، ولکن هل یمکن القول بأن الزکاة غیر مختصة بهذه المجموعات والطوائف المذکورة فی القرآن؟</w:t>
      </w:r>
    </w:p>
    <w:p>
      <w:pPr>
        <w:pStyle w:val="BookText"/>
        <w:rPr/>
      </w:pPr>
      <w:r>
        <w:rPr>
          <w:rFonts w:ascii="IRNazanin" w:hAnsi="IRNazanin" w:eastAsia="IRNazanin"/>
          <w:color w:val="111111"/>
          <w:sz w:val="28"/>
          <w:sz w:val="28"/>
          <w:szCs w:val="28"/>
          <w:rtl w:val="true"/>
          <w:lang w:bidi="fa-IR"/>
        </w:rPr>
        <w:t>لا ریب أن الجواب سلبی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فی الروایة المذکورة احتمال إعطاء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المجموعات الثلاث من المسلمین من سهمه الخاص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أشکل شخص حول هذا الاحتمال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ظاهر ما ذکر فی الروایة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خصص سهماً مستقلاً لکل من الأیتام والمساکین وأبناء السبیل من المسلمین من غیر سهم الله وسهم رسوله، لأن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أنفذ سهماً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ظاهرة فی أن هذا السهم غیر ذلک المتعلق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بل هو سهم مستقل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ینبغی القول فی الجواب علی ذلک کما یلی</w:t>
      </w:r>
      <w:r>
        <w:rPr>
          <w:rFonts w:eastAsia="IRNazanin" w:cs="IRNazanin"/>
          <w:color w:val="111111"/>
          <w:sz w:val="28"/>
          <w:szCs w:val="28"/>
          <w:rtl w:val="true"/>
          <w:lang w:bidi="fa-IR"/>
        </w:rPr>
        <w:t>:</w:t>
      </w:r>
      <w:bookmarkStart w:id="147" w:name="pg5472_36368"/>
    </w:p>
    <w:p>
      <w:pPr>
        <w:pStyle w:val="BookText"/>
        <w:rPr/>
      </w:pPr>
      <w:bookmarkEnd w:id="147"/>
      <w:r>
        <w:rPr>
          <w:rFonts w:ascii="IRNazanin" w:hAnsi="IRNazanin" w:eastAsia="IRNazanin"/>
          <w:color w:val="111111"/>
          <w:sz w:val="28"/>
          <w:sz w:val="28"/>
          <w:szCs w:val="28"/>
          <w:rtl w:val="true"/>
          <w:lang w:bidi="fa-IR"/>
        </w:rPr>
        <w:t xml:space="preserve">لو فرضنا أن الأمر کان کذلک، فإنه سوف یحدث تعارض بین هذه الروایة والروایات الکثیرة المذکورة سابقاً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خصّت الیتامی والمساکین وابن السبیل فی الآیة الکریمة ببنی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حال التعارض نأخذ بما هو موافق للقرآن الکریم، والآیة الکریمة کما ذکرنا سابقاً بغضِّ النظر عن الروایات ظاهرة فی أن المقصود من الیتامی خصوص یتامی بنی هاشم لا جمیع الیتامی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أن اتضح الاستدلال بهذه الروایة إلی حدٍّ ما، فإنه من المناسب أن نقوم بالإجابة علی بعض من أهمِّ الإشکالات والشبهات الواردة فی مسألة الخمس</w:t>
      </w:r>
      <w:r>
        <w:rPr>
          <w:rFonts w:eastAsia="IRNazanin" w:cs="IRNazanin"/>
          <w:color w:val="111111"/>
          <w:sz w:val="28"/>
          <w:szCs w:val="28"/>
          <w:rtl w:val="true"/>
          <w:lang w:bidi="fa-IR"/>
        </w:rPr>
        <w:t>.</w:t>
      </w:r>
    </w:p>
    <w:p>
      <w:pPr>
        <w:pStyle w:val="Heading3"/>
        <w:numPr>
          <w:ilvl w:val="2"/>
          <w:numId w:val="1"/>
        </w:numPr>
        <w:rPr/>
      </w:pPr>
      <w:bookmarkStart w:id="148" w:name="__RefHeading___Toc2158442_581953129"/>
      <w:bookmarkStart w:id="149" w:name="_Toc55"/>
      <w:bookmarkEnd w:id="148"/>
      <w:r>
        <w:rPr>
          <w:rtl w:val="true"/>
        </w:rPr>
        <w:t>لماذا تم التمییز بین آیة الخمس وآیة الأنفال ؟</w:t>
      </w:r>
      <w:bookmarkEnd w:id="1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وجود الشبه الظاهری بین آیة الخمس حیث یقول تعالی وَاعْلَمُوا أَنَّما غَنِمْتُمْ مِنْ شَیْ‌ءٍ فَأَنَّ للهِ خُمُسَهُ وَلِلرَّسُولِ وَلِذِی الْقُرْبی وَالْیَتامی وَالْمَساکِینِ وَابْنِ السَّبِیلِ‌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وآیة الأنفال حیث یقول تعالی ما أَفاءَ اللهُ عَلی رَسُولِهِ مِنْ أَهْلِ الْقُری فَللهِ وَلِلرَّسُولِ وَلِذِی الْقُرْبی وَالْیَتامی وَالْمَساکِینِ وَابْنِ السَّبِیلِ‌</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توجد بین هاتین الآیتین نوع من الشبه، وهو دخول اللام علی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آیة الخمس وعدم دخولها علی المجموعات الثلاث الأخری، وکذلک الأمر فی آیة الأنفال</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نعتقد أن الأنفال من صلاحیات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یقومون بصرفها فی کل مورد وعلی أی شخص یریدون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 فی التاریخ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قسّم أموال بنی النضیر الکثیرة بین المهاجرین وعدد من الأنصار، ولم یمیِّز بنی هاشم بشیئ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علیه لماذا تم تخصیص الیتامی والمساکین وابن السبیل فی آیة الخمس ببنی هاشم بناء علی ذلک التوضیح التاریخی؟</w:t>
      </w:r>
    </w:p>
    <w:p>
      <w:pPr>
        <w:pStyle w:val="BookText"/>
        <w:rPr/>
      </w:pPr>
      <w:r>
        <w:rPr>
          <w:rFonts w:ascii="IRNazanin" w:hAnsi="IRNazanin" w:eastAsia="IRNazanin"/>
          <w:color w:val="111111"/>
          <w:sz w:val="28"/>
          <w:sz w:val="28"/>
          <w:szCs w:val="28"/>
          <w:rtl w:val="true"/>
          <w:lang w:bidi="fa-IR"/>
        </w:rPr>
        <w:t xml:space="preserve">بعبارة أخری بما أن هاتین الآیتین تشبهان بعضهما کثیراً لا سیما من حیث التعبیر الظاهری عندها ینبغی القول بأنه کما أن الفیء والأنفال من صلاحیات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وإمام المسلمین ولا میزة لبنی هاشم فیها، فإن هذا الأمر ینطبق کذلک فی آیة الخمس، والتمییز بینهما فی هذا المجال مشکل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الرغم من أن لهاتین الآیتین بحسب الظاهر تعابیر وألفاظ واحدة، ولهما نفس السبک والسیاق، وهذا الشبه الظاهری یقتضی عدم التمییز بینهما من حیث التفسیر وبیان معانی الآیات، ولکن سبب التمییز بینهما من الناحیة الفقهیة یعود إلی وجود روایات حول آیة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توجد لدینا حول آیة الخمس روایات متعددة علی اختصاص الیتامی والمساکین وابن السبیل فیها ببنی هاشم، ولم ترد فی الفیء تلک الروایات، عندها فیجب علینا قبول التمییز بینهم، لا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 ظاهر تعبیرات الآیتین واحدة لذا یجب أن یکون لهما حکم واحد، لأن هذا الأمر یدخلنا إلی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کون الیتامی والمساکین وابن السبیل فی آیة الأنفال مطلقة وغیر مختصة ببنی هاشم لیس إجماعیاً، حیث یقول الطبرسی فی مجمع البیان حول الفیء ما یلی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هؤلاء الیتامی والمساکین مختصون ببنی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وبغض النظر عما جاء فی مجمع البیان، فإن فی تفسیر البرهان روایات تدل علی أن الفیء مختصة ببنی هاشم منها الروایة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الکلینی عن علی بن إبراهیم عن أبیه عن حماد بن عیسی عن إبراهیم بن عمر الیمانی عن أبان بن أبی عیاش عن سلیم 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والله الذین عنی الله بذی القربی الذین قرنهم الله بنفسه ونبیه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أفاء الله علی رسوله من أهل القری</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 xml:space="preserve">، إن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یقسم بالله بأن المقصود من ذی القربی الواردة فی الآیة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هذا التعبیر دلالة علی أن ذا القربی الذین قرنهم الله بنفسه ورسوله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ولربما یستفاد هذا الاختصاص فی المقارنة بین آیة الخمس وآیة الأنفال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بعض الروایات الأخری ورد عن الأئمة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قوم فرض الله طاعتنا، لنا الأنفال</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ویستفاد من هذه العبارة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ینبغی أن یکون الخمس فی أهل بیت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وبنی هاشم فکذلک الأمر بالنسبة للأنفال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لو خُلِّینا وهذه الروایات، ینبغی القول بذلک، وینبغی القول بأن المراد من الیتامی والمساکین فی آیة الأنفال هم بنو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التناسب بین مقدار الزکاة والخمس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الله تعالی فی آیة الزکاة</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الصَّدَقاتُ لِلْفُقَراءِ وَالْمَساکِینِ وَالْعامِلِینَ عَلَیْها وَالْمُؤَلَّفَةِ قُلُوبُهُمْ وَفِی الرِّقابِ وَالْغارِمِینَ وَفِی سَبِیلِ اللهِ وَابْنِ السَّبِیلِ فَرِیضَةً مِنَ اللهِ وَاللهُ عَلِیمٌ حَکِیمٌ‌</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یطرح فی أذهان عامة الناس وکثیر منهم هذا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نظراً إلی أن الزکاة فی بعض الموارد قد یعادل العُشُر، وفی موارد أخری قد یعادل واحداً من عشرین، وفی موارد أخری أقل من ذلک، فی حین إن الخمس یشکل واحداً علی خمسة من ذلک، فکیف جعل الله عز وجل ذلک المقدار القلیل من الزکاة للفقراء والمساکین وابن السبیل من غیر بنی هاشم الذین یصل عددهم إلی مستویات ونسب کبیرة جداً، فی حین إن الخمس الذی یشکل هذه النسبة المطلقة فی جمیع المعادن والفوائد، بمعنی أنه یشکل خمس کل أرباح الدنیا ومعادنها، مخصص للیتامی والمساکین وابن السبیل من بنی هاشم فقط؟</w:t>
      </w:r>
    </w:p>
    <w:p>
      <w:pPr>
        <w:pStyle w:val="BookText"/>
        <w:rPr/>
      </w:pPr>
      <w:r>
        <w:rPr>
          <w:rFonts w:ascii="IRNazanin" w:hAnsi="IRNazanin" w:eastAsia="IRNazanin"/>
          <w:color w:val="111111"/>
          <w:sz w:val="28"/>
          <w:sz w:val="28"/>
          <w:szCs w:val="28"/>
          <w:rtl w:val="true"/>
          <w:lang w:bidi="fa-IR"/>
        </w:rPr>
        <w:t>وهل یتناسب مثل هذا التوزیع مع العدالة؟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هذه المقارنة والانطباع والاستنتاج یشکل اجتهاداً فی مقابل النص أو استحساناً عقلیاً، ولو جعلنا مثل هذه الاستحسانات ملاکاً للأحکام الفقهیة، عندها ینبغی أن نخدش فی کثیر من الأحکام الفقهیة المسلمة، وهذا مرفوض فی فقهنا ولا یمکن الفتوی علی أساسه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 فی مثل هذه الموارد قام الشارع المقدس بمثل هذا التقسیم، فکما خصَّص الشارع الزکاة لفئة معینة وحرم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وفی نظر الشارع المقدس حقیقة لا مقارنة بین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وأیة مجموعة أخری، لذا ینبغی وضع الاستحسان العقلی جانباً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سبیل المثال فی نفس بحثنا حول الغنیمة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یمکن القول فی حرب لم یکن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لیشارک فیه أحیاناً بتقسیم الغنیمة إلی ستة أقسام أحدها لله</w:t>
      </w:r>
    </w:p>
    <w:p>
      <w:pPr>
        <w:pStyle w:val="BookText"/>
        <w:rPr/>
      </w:pPr>
      <w:r>
        <w:rPr>
          <w:rFonts w:ascii="IRNazanin" w:hAnsi="IRNazanin" w:eastAsia="IRNazanin"/>
          <w:color w:val="111111"/>
          <w:sz w:val="28"/>
          <w:sz w:val="28"/>
          <w:szCs w:val="28"/>
          <w:rtl w:val="true"/>
          <w:lang w:bidi="fa-IR"/>
        </w:rPr>
        <w:t xml:space="preserve">والأخری لرسوله والأخری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وهذه الأقسام الثلاثة کما قلنا سابقاً کانت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زمانه، بمعنی أنها کانت لشخص واحد، أما الأقسام الثلاثة الأخری فکانت لآلاف من الناس، فکیف یتناسب ذلک مع العدالة؟</w:t>
      </w:r>
    </w:p>
    <w:p>
      <w:pPr>
        <w:pStyle w:val="BookText"/>
        <w:rPr/>
      </w:pPr>
      <w:r>
        <w:rPr>
          <w:rFonts w:ascii="IRNazanin" w:hAnsi="IRNazanin" w:eastAsia="IRNazanin"/>
          <w:color w:val="111111"/>
          <w:sz w:val="28"/>
          <w:sz w:val="28"/>
          <w:szCs w:val="28"/>
          <w:rtl w:val="true"/>
          <w:lang w:bidi="fa-IR"/>
        </w:rPr>
        <w:t xml:space="preserve">أو عندما نلاحظ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قطائع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صوافی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ورد ذکرها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یمکننا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الأمر لا یتناسب مع العقل، لأن عدداً کثیراً من المسلمین شارکوا فی القتال مع الرسول ووقفوا معه؟</w:t>
      </w:r>
    </w:p>
    <w:p>
      <w:pPr>
        <w:pStyle w:val="BookText"/>
        <w:rPr/>
      </w:pPr>
      <w:r>
        <w:rPr>
          <w:rFonts w:ascii="IRNazanin" w:hAnsi="IRNazanin" w:eastAsia="IRNazanin"/>
          <w:color w:val="111111"/>
          <w:sz w:val="28"/>
          <w:sz w:val="28"/>
          <w:szCs w:val="28"/>
          <w:rtl w:val="true"/>
          <w:lang w:bidi="fa-IR"/>
        </w:rPr>
        <w:t>إن مثل هذه الاعتبارات العقلیة لا یمکن طرحها، ولا ینبغی إعمال الاستحسانات العقلیة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مرسلة عن حماد فی الروایات المتعلقة بالیتامی والمساکین، حیث ورد فیها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یعقوب عن علی بن إبراهیم عن أبیه عن حماد بن عیسی عن بعض أصحابنا عن 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للإمام نصف الخمس کملاً ونصف الخمس الباقی بین أهل بیته سهم لأیتامهم وسهم لمساکینهم وسهم لأبناء سبیلهم یقسم بینهم علی الکفاف والسعة ما یستغنون به فی سنتهم فإن فضل عنهم شیء یستغنون عنه فهو للوالی وإن عجز أو نقص عن استغنائهم کان علی الوالی أن ینفق من عنده بقدر ما یستغنون به، وإنما صار علیه أن یمونهم لأن له ما فضل عنهم</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یذکر الإمام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النصف الکامل للخمس للإمام، والنصف الآخر یقسم بین الیتامی والمساکین وابن السبیل من بنی هاشم، ویصرف علیهم بمقدار الکفاف الذی یجعلهم غیر محتاجین طوال سنة، ویجب أن یدفع الإمام إلی الیتامی</w:t>
      </w:r>
    </w:p>
    <w:p>
      <w:pPr>
        <w:pStyle w:val="BookText"/>
        <w:rPr/>
      </w:pPr>
      <w:r>
        <w:rPr>
          <w:rFonts w:ascii="IRNazanin" w:hAnsi="IRNazanin" w:eastAsia="IRNazanin"/>
          <w:color w:val="111111"/>
          <w:sz w:val="28"/>
          <w:sz w:val="28"/>
          <w:szCs w:val="28"/>
          <w:rtl w:val="true"/>
          <w:lang w:bidi="fa-IR"/>
        </w:rPr>
        <w:t>والمساکین وابن السبیل من الهاشمیین أولاً، فإن قلّ عن ذلک فیجب علی الإمام أن یعوّضهم، وإن فاض عن ذلک یوضع ذلک الفائض تحت تصرف الإمام لیصرفه علی الآخرین، لذا ینبغی دفع مقدار ما یکفی السادات لمدة سنة، وما ثبت فی بعض أذهان السادة العظام من أنهم یستطیعون الاستفادة من أی مقدار من سهم السادات فهو مخالف لهذه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بصحیح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نصف الخمس المتعلق بسهم السادات یجب دفعها إلیهم، حتی وإن کانوا أغنیاء ومتمولین، بل یجب إعطاؤهم طبقاً لظروفهم مثل الفقر والإیمان والعدالة وغیرها من الأمور التی سوف نقوم بالبحث فیها فی محلها، وما بقی من ذلک یوضع تحت تصرف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یصرفها بناء علی رأیه فی مصالح المسلمین، وقد ورد فی بعض من الروایات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یعطیهم علی قدر کفایتهم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والحق فی الجواب ما ذکر، لا أن نقول تبریراً للاستحسانات العقلیة، بأنه لا اختصاص لنصف الخمس ببنی هاشم ابتداءً، بل الاختصاص موجود، ولکن إذا فاض عن ذلک یصرفه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سائر مصالح المسلمین ومصارفهم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یبقی هذا الاختصاص ببنی هاشم، وإذا دار الأمر بین الهاشمی المحتاج وغیر الهاشمی المحتاج یقدَّم الهاشمی المحتاج، وکذلک ینبغی ملاحظة أنه ینطبق ذلک الأمر علی الأسهم الثلاثة الأخری، بأن الرسول والإمام لا یصرفون جمیع ما اختص بهم علی أنفسهم، بل یصرفونه فی مصالح المسلمین مثل مخارج الکعبة ومصالحها وبیت الله وغیر ذلک ورفع حاجات المحتاجین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یعدّ تخصیص جزء من الخمس للسادة نوعاً من التمییز العنصری والعرقی؟</w:t>
      </w:r>
    </w:p>
    <w:p>
      <w:pPr>
        <w:pStyle w:val="BookText"/>
        <w:rPr/>
      </w:pPr>
      <w:r>
        <w:rPr>
          <w:rFonts w:ascii="Amiri" w:hAnsi="Amiri" w:eastAsia="Amiri" w:cs="Amiri"/>
          <w:color w:val="111111"/>
          <w:sz w:val="28"/>
          <w:sz w:val="28"/>
          <w:szCs w:val="28"/>
          <w:rtl w:val="true"/>
          <w:lang w:bidi="ar-SA"/>
        </w:rPr>
        <w:t>إذا کان الملاک فی کرامة الإنسان التقوی، وهو الحق، حیث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أَکْرَمَکُمْ عِنْدَ اللهِ أَتْقاکُمْ‌</w:t>
      </w:r>
      <w:r>
        <w:rPr>
          <w:rStyle w:val="FootnoteAnchor"/>
          <w:rtl w:val="true"/>
        </w:rPr>
        <w:footnoteReference w:id="105"/>
      </w:r>
      <w:r>
        <w:rPr>
          <w:rFonts w:ascii="IRNazanin" w:hAnsi="IRNazanin" w:eastAsia="IRNazanin"/>
          <w:color w:val="111111"/>
          <w:sz w:val="28"/>
          <w:sz w:val="28"/>
          <w:szCs w:val="28"/>
          <w:rtl w:val="true"/>
          <w:lang w:bidi="fa-IR"/>
        </w:rPr>
        <w:t>، عند ذلک فعلی أی أساس ودلیل یتم تخصیص قسم أو نصف الخمس بذریة الرسول وأهل بیته؟ ألا یعدّ ذلک نوعاً من التمییز العنصری والأسری والقومی والقرابتی؟</w:t>
      </w:r>
    </w:p>
    <w:p>
      <w:pPr>
        <w:pStyle w:val="BookText"/>
        <w:rPr/>
      </w:pPr>
      <w:r>
        <w:rPr>
          <w:rFonts w:ascii="IRNazanin" w:hAnsi="IRNazanin" w:eastAsia="IRNazanin"/>
          <w:color w:val="111111"/>
          <w:sz w:val="28"/>
          <w:sz w:val="28"/>
          <w:szCs w:val="28"/>
          <w:rtl w:val="true"/>
          <w:lang w:bidi="fa-IR"/>
        </w:rPr>
        <w:t>إن هذا الإشکال الذی یطرح فی عصرنا الحالی لا سیما من قبل بعض المفکرین، القائم علی أساس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الامتیاز الذی قرَّره الله عز وجل للسادات حتی ینالوا مثل هذه الحظوة؟</w:t>
      </w:r>
    </w:p>
    <w:p>
      <w:pPr>
        <w:pStyle w:val="BookText"/>
        <w:rPr/>
      </w:pPr>
      <w:r>
        <w:rPr>
          <w:rFonts w:ascii="IRNazanin" w:hAnsi="IRNazanin" w:eastAsia="IRNazanin"/>
          <w:color w:val="111111"/>
          <w:sz w:val="28"/>
          <w:sz w:val="28"/>
          <w:szCs w:val="28"/>
          <w:rtl w:val="true"/>
          <w:lang w:bidi="fa-IR"/>
        </w:rPr>
        <w:t>یمکن الإجابة علی هذا السؤال بأربعة أجوبة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الإشکال مطروح علی فرض قبولنا القول المشهور بوجوب تقسیم الخمس إلی ستة أقسام حسب ظاهر الآیة الشریفة، ووجود میزة وخاصیة معینة لمجموعة السادات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إذا قلنا بأن الخمس، أصلاً، هو حق أولی وأصلی لله عز وجل، ویصل إلی رسوله بعنوان حق الله وفی طوله، وفی طول ذلک وحسب الترتیب یصل إلی ذی القربی الذی یمثله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وبالتالی فینبغی أن یصرف النصف الثانی من الخمس الذی یعدّ للسادات بناء علی المصلحة التی یشخّصها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ولیس</w:t>
      </w:r>
    </w:p>
    <w:p>
      <w:pPr>
        <w:pStyle w:val="BookText"/>
        <w:rPr/>
      </w:pPr>
      <w:r>
        <w:rPr>
          <w:rFonts w:ascii="IRNazanin" w:hAnsi="IRNazanin" w:eastAsia="IRNazanin"/>
          <w:color w:val="111111"/>
          <w:sz w:val="28"/>
          <w:sz w:val="28"/>
          <w:szCs w:val="28"/>
          <w:rtl w:val="true"/>
          <w:lang w:bidi="fa-IR"/>
        </w:rPr>
        <w:t xml:space="preserve">الأمر بصحیح فی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یعمل فی ذلک حسب رغبته النفسیة وأهوائه بل یجعل لهم من المقدار الذی یری فیه 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علی هذا، وطبقاً لهذا الفرض فلا مجال حینئذٍ لوجود مثل هذا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 ذکرنا سابقاً أن هذا الفرض وهذا المبنی خلاف ظاهر الآیة الکریمة، وما یستفاد من هذه الآیة الکریمة أن سهم السادات قد جعل بشکل اختصاصی ومتعین، ولیس بصحیح القول بأنه یصرف علیهم بعنوان الإمامة والحکومة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التمییز والتبعیض قبیح فی حال عدم وجود ملاک صحیح، ولو جعل الشارع ابتداء نصف الخمس لذریة الرسول بدون ملاک، فللإشکال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إن تخصیص نصف الخمس للیتامی یأتی بملاک الیتم، وللمساکین بملاک المسکنة، وابن السبیل بملاک تقطع السبل فی هؤلاء من بنی هاشم، حیث اعتبروا هذا الأمر فی نفسه ملاکاً عقلائیاً مقبولاً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لم یجعل الله عز وجل الخمس لهذه المجموعات، عندها کان علیه أن یوجد طریقة أو حلاً آخر لهؤلاء الیتامی والمساکین وابن السبیل من ذریة رسول الله، وکل طریق وحل یکمن فیه هذا الملاک لا قبح فیه، حیث یوجد ملاک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أخری لم یجعل الله عز وجل هذا السهم لمطلق بنی هاشم، بل لیتاماهم ومساکینهم وأبناء السبیل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الثالث</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المسلَّم نزول آیة الزکاة قبل آیة الخمس، ولم یجعل الله عز وجل سهماً لأهل بیت رسول الله ابتداءً أو فی البدایة، بل نزلت آیة الزکاة فی البدایة بالنسبة للأموال</w:t>
      </w:r>
    </w:p>
    <w:p>
      <w:pPr>
        <w:pStyle w:val="BookText"/>
        <w:rPr/>
      </w:pPr>
      <w:r>
        <w:rPr>
          <w:rFonts w:ascii="IRNazanin" w:hAnsi="IRNazanin" w:eastAsia="IRNazanin"/>
          <w:color w:val="111111"/>
          <w:sz w:val="28"/>
          <w:sz w:val="28"/>
          <w:szCs w:val="28"/>
          <w:rtl w:val="true"/>
          <w:lang w:bidi="fa-IR"/>
        </w:rPr>
        <w:t xml:space="preserve">التی تتعلق بها الزکاة، وقد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الصدقة والزکاة حرام علیَّ وعلی ذریتی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بناء علی ذلک وبما أن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حُرِموا من الزکاة، عندها ینبغی أن یتم التفکیر فی حل وطریقة لسدِّ حاجات الأیتام والمساکین وأبناء السبیل من بنی هاشم، حیث خصّص الله عز وجل لهم سهماً فی آیة الخمس، وذلک بتلک المنزلة الرفیعة والطریقة الشریفة التی جعلت سهم الیتامی والمساکین وابن السبیل من بنی هاشم قریناً لذی القربی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ولإکمال هذا الجواب من المناسب أن نشیر إلی بعض الروایات الواردة فی موضوع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أناساً من بنی هاشم أتوا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فسألوه أن یستعملهم علی صدقات المواشی وقالوا یکون لنا هذا السهم الذی جعله الله للعاملین علیها فنحن أولی به،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عبد المطلب إن الصدقة لا تحل لی ولا لکم ولکنی قد وعدت الشفاعة</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بمعنی أن هؤلاء الجمع من بنی هاشم لم یکونوا یستحقون حق العاملین علیها حتی لو حصلوا علی هذا العنوان، والظاهر أن آیة الخمس لم تکن قد نزلت بعد فی</w:t>
      </w:r>
    </w:p>
    <w:p>
      <w:pPr>
        <w:pStyle w:val="BookText"/>
        <w:rPr/>
      </w:pPr>
      <w:r>
        <w:rPr>
          <w:rFonts w:ascii="IRNazanin" w:hAnsi="IRNazanin" w:eastAsia="IRNazanin"/>
          <w:color w:val="111111"/>
          <w:sz w:val="28"/>
          <w:sz w:val="28"/>
          <w:szCs w:val="28"/>
          <w:rtl w:val="true"/>
          <w:lang w:bidi="fa-IR"/>
        </w:rPr>
        <w:t xml:space="preserve">ذلک الزمان، بحیث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قال لهم جواباً</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عبد المطلب إن الصدقة لا تحل لی ولا لکم ولکنی قد وعدت الشفاعة</w:t>
      </w:r>
      <w:r>
        <w:rPr>
          <w:rFonts w:eastAsia="IRNazanin" w:cs="IRNazanin"/>
          <w:color w:val="111111"/>
          <w:sz w:val="28"/>
          <w:szCs w:val="28"/>
          <w:rtl w:val="true"/>
          <w:lang w:bidi="fa-IR"/>
        </w:rPr>
        <w:t>).</w:t>
      </w:r>
      <w:bookmarkStart w:id="150" w:name="pg5472_36386"/>
    </w:p>
    <w:p>
      <w:pPr>
        <w:pStyle w:val="BookText"/>
        <w:rPr/>
      </w:pPr>
      <w:bookmarkEnd w:id="150"/>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الباقر أو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الصدقة أوساخ أیدی الناس</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یلزم علینا فی توضیح هذه الروایة أن نذکر سبب توصیف الزکاة والصدقة بأوساخ أیدی الناس، فی حین إن الخمس لم یحمل هذه الصفة والعنوان،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الزکاة الذی حرّمت علی رسول الله وآله، تختلف اختلافاً جوهریاً من حیث الحقیقة والواقع مع الخمس، ویلزم علینا البحث عن السبب فی ذلک</w:t>
      </w:r>
      <w:r>
        <w:rPr>
          <w:rFonts w:eastAsia="IRNazanin" w:cs="IRNazanin"/>
          <w:color w:val="111111"/>
          <w:sz w:val="28"/>
          <w:szCs w:val="28"/>
          <w:rtl w:val="true"/>
          <w:lang w:bidi="fa-IR"/>
        </w:rPr>
        <w:t>.</w:t>
      </w:r>
    </w:p>
    <w:p>
      <w:pPr>
        <w:pStyle w:val="Heading3"/>
        <w:numPr>
          <w:ilvl w:val="2"/>
          <w:numId w:val="1"/>
        </w:numPr>
        <w:rPr/>
      </w:pPr>
      <w:bookmarkStart w:id="151" w:name="__RefHeading___Toc2158444_581953129"/>
      <w:bookmarkStart w:id="152" w:name="_Toc56"/>
      <w:bookmarkEnd w:id="151"/>
      <w:r>
        <w:rPr>
          <w:rtl w:val="true"/>
        </w:rPr>
        <w:t>الفرق بین الزکاة والخمس</w:t>
      </w:r>
      <w:r>
        <w:rPr>
          <w:rtl w:val="true"/>
        </w:rPr>
        <w:t>:</w:t>
      </w:r>
      <w:bookmarkEnd w:id="152"/>
    </w:p>
    <w:p>
      <w:pPr>
        <w:pStyle w:val="BookText"/>
        <w:rPr/>
      </w:pPr>
      <w:r>
        <w:rPr>
          <w:rFonts w:ascii="IRNazanin" w:hAnsi="IRNazanin" w:eastAsia="IRNazanin"/>
          <w:color w:val="111111"/>
          <w:sz w:val="28"/>
          <w:sz w:val="28"/>
          <w:szCs w:val="28"/>
          <w:rtl w:val="true"/>
          <w:lang w:bidi="fa-IR"/>
        </w:rPr>
        <w:t>استناداً إلی النقطة التی ذکرت فی الجواب الثالث، سیتوضح لدینا أحد الفروق المهمة جداً بین الزکاة والخمس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المال الذی یمثل الخمس فی بابه یشکل واحداً علی خمسة منه، بمعنی أن ذلک الخمس الذی یوجد فی مال من أصابه لیس ملکاً له أصلاً، بل هو ملک أصحاب الخمس أی لله وللرسول ولذی القربی، وإنهم حینما یقبضون هذا المال أو یُدفع إلیهم فإنهم یأخذون مالهم فی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باب الزکاة، لیس الأمر کذلک، بل إن المال الذی أصابه شخص ما، إذا وصل حدّ النصاب وتعلّق به الزکاة فینبغی علیه دفعها، ولا یتعلق بذلک المال حق للآخرین عیناً، ولا یقال بأن جزءاً معیناً من هذا المال هو مخصص للزکاة بالتعیین والتشخیص أو بنحو المشاع</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إن هذا الفرق یدفعنا إلی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للزکاة عنوان إضافی یعبّر عنه بالوسخ، أما فی باب الخمس فإن عین ذلک المال متعلق بالله والرسول ولذی القربی والمجموعات الثلاث الأخری، أی بمعنی أنه جعل هذا المقدار من المال لله ابتداءً ولیس الأمر کذلک فی باب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فرّق کثیر من الفقهاء فی الفقه بین الزکاة والخمس بهذا الطریق، حیث إن الشرکة فی الزکاة هی فی المالیة لا فی العین، أما فی الخمس فغالباً ما یعتقدون بعنوان الإشاعة فیها بمعنی أن الشراکة والاشتراک فی عین المال الذی تعلق به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رجعنا إلی العقلاء، فهم یقولون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یتمثل إکرام رئیس منزل ما ورئیس قوم ما ورئیس مذهب ما بإکرام عشیرته، وهذا ما یعبَّر عنه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یحفظ فی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بمعنی أن احترام أولاد المرء هو فی الحقیقة احترام لأبیهم وکبیرهم ورئیس أسرتهم، وأنه باق مع بقاء الاحترام لأولاده، وإن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إکرام الولد إکرام المرء وإکرام الولد احترام المرء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لیس مثل ذلک المعنی المنطبع فی أذهان کثیر من الناس بأنه إذا استمر الولد فی مسیرة أبیه وحفظ قیمه فقد بقی أبوه محفوظاً، أو لا أقل فإنه لا ظهور واضحً فی هذا المعنی، وهذا أمر عقلائی وله ملاک عقلائی جلی</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الذی هو أشرف المخلوقین وأشرف الأنبیاء الإلهیین وأعظمهم وأقربهم إلی الله عز وجل، ونظراً لما قدّمه من تضحیات، وما یدین له البشر حتی یوم القیامة، لأجل ذلک کله فلا إشکال أن یمنحه الله عز وجل مثل هذا التکریم، ویجعل مقداراً معیناً من المال له ولذریته لکی تحفظ ذریته وعزته وعظمته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کان یوجد فی عصر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یطلق علیه خمس أرباح التجارة ومنافع الدخل من الکسب والعمل؟</w:t>
      </w:r>
    </w:p>
    <w:p>
      <w:pPr>
        <w:pStyle w:val="BookText"/>
        <w:rPr/>
      </w:pPr>
      <w:r>
        <w:rPr>
          <w:rFonts w:ascii="IRNazanin" w:hAnsi="IRNazanin" w:eastAsia="IRNazanin"/>
          <w:color w:val="111111"/>
          <w:sz w:val="28"/>
          <w:sz w:val="28"/>
          <w:szCs w:val="28"/>
          <w:rtl w:val="true"/>
          <w:lang w:bidi="fa-IR"/>
        </w:rPr>
        <w:t>یعدّ هذا السؤال من الأسئلة المهمة جداً التی تخطر فی أذهان عدد من منکری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الرغم من أن مسألة خمس الفوائد طرح أکثر ما طرح فی زمن الإمامین الجواد والهادی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وکذلک ورد فی زمن الإمام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کان علی بن أبی حمزة البطائنی وکیلاً له فی جمع الأخماس وبقیت عنده أموال کثیرة، وبعد استشهاد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یقبل أن یتنازل عنها ویسلمها، فصار جزءاً من الواقفیة بل رأسهم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بالنسبة إلی موضوع وجود خمس الفوائد وأرباح التجارة فی زمن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زمن أمیر المؤمنین، فلهذا السؤال ثلاثة أجوبة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الرغم من أنه لا لزوم، من حیث الصناعة وقانون الاستدلال، أن ننظر فی أنه هل کان یوجد فی ذلک العصر مثل هذا الأمر أو لا؟ وإن خُلِّینا والآیة الشریفة حول الخمس فیکفینا العموم والإطلاق الذی یوجد فیها فی لزوم العمل بها، وعندما نثبت فی الأصول أن للظواهر حجیة، عندها یجب العمل طبق ظاهر الآیة ولا تردید أو شکَّ فی ذلک</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بناء علی ذلک، إذا فرضنا أنه لم یکن مثل هذا الأمر موجوداً فی عصر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یأخذ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أحدٍ خمس تجارته أو أن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یأخذ خمس تجارة من أحد، ولکن هذا لا یصحّ دلیلاً علی القول بعدم وجود خمس فی الفوائد أو أن نخدش بهذا الأمر</w:t>
      </w:r>
      <w:r>
        <w:rPr>
          <w:rFonts w:eastAsia="IRNazanin" w:cs="IRNazanin"/>
          <w:color w:val="111111"/>
          <w:sz w:val="28"/>
          <w:szCs w:val="28"/>
          <w:rtl w:val="true"/>
          <w:lang w:bidi="fa-IR"/>
        </w:rPr>
        <w:t>.</w:t>
      </w:r>
      <w:bookmarkStart w:id="153" w:name="pg5472_36392"/>
    </w:p>
    <w:p>
      <w:pPr>
        <w:pStyle w:val="BookText"/>
        <w:rPr/>
      </w:pPr>
      <w:bookmarkEnd w:id="153"/>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الممکن القول بأنه مع نزول آیة الخمس الشریفة فقد أنشئ حکم الخمس فی ذلک الزمان، ولکن وُجدت عقبات حالت دون تنفیذ ذلک وتفعیله فی الخارج، فعلی سبیل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کثیر من الناس لا سیما فی جزیرة العرب فقراء، وعلی الرغم من وجود مشرکین أغنیاء لهم أموال طائلة، ولکن لم یکن یوجد بین المسلمین إلا مقدار ضئیل ممن کانوا یکسبون أرباحاً مناسبة من تجارتهم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ریب فی أنه کان من الصعوبة علی الذین تخلَّوا عن عبادة الأصنام والشرک والکفر ودخلوا الإسلام حدیثاً، وما ینبغی علیهم من التخلی عن أسلوب الجاهلیة وأعرافها، أن یقبلوا هذا الموضوع إذ کان صعباً علیهم أن یتخلوا عن خمس أموالهم، ولکن بعد مرور فترة من الزمن وبعد أن رأی الأئمة الطاهرون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ترسّخ جذور الدین من الناس فقد نفذوا هذا الحکم وأخذوا الخمس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الثالث</w:t>
      </w:r>
      <w:r>
        <w:rPr>
          <w:rFonts w:eastAsia="IRNazanin" w:cs="IRNazanin"/>
          <w:color w:val="111111"/>
          <w:sz w:val="28"/>
          <w:szCs w:val="28"/>
          <w:rtl w:val="true"/>
          <w:lang w:bidi="fa-IR"/>
        </w:rPr>
        <w:t>:</w:t>
      </w:r>
    </w:p>
    <w:p>
      <w:pPr>
        <w:pStyle w:val="Heading3"/>
        <w:numPr>
          <w:ilvl w:val="2"/>
          <w:numId w:val="1"/>
        </w:numPr>
        <w:rPr/>
      </w:pPr>
      <w:bookmarkStart w:id="154" w:name="__RefHeading___Toc2158446_581953129"/>
      <w:bookmarkStart w:id="155" w:name="_Toc57"/>
      <w:bookmarkEnd w:id="154"/>
      <w:r>
        <w:rPr>
          <w:rtl w:val="true"/>
        </w:rPr>
        <w:t xml:space="preserve">الروایات المتعلّقة بخمس الفوائد فی زمن رسول الله </w:t>
      </w:r>
      <w:r>
        <w:rPr>
          <w:rtl w:val="true"/>
        </w:rPr>
        <w:t>(</w:t>
      </w:r>
      <w:r>
        <w:rPr>
          <w:rtl w:val="true"/>
        </w:rPr>
        <w:t>صلی الله علیه و آله</w:t>
      </w:r>
      <w:r>
        <w:rPr>
          <w:rtl w:val="true"/>
        </w:rPr>
        <w:t>):</w:t>
      </w:r>
      <w:bookmarkEnd w:id="155"/>
    </w:p>
    <w:p>
      <w:pPr>
        <w:pStyle w:val="Heading4"/>
        <w:numPr>
          <w:ilvl w:val="3"/>
          <w:numId w:val="1"/>
        </w:numPr>
        <w:rPr/>
      </w:pPr>
      <w:bookmarkStart w:id="156" w:name="__RefHeading___Toc2158448_581953129"/>
      <w:bookmarkStart w:id="157" w:name="_Toc58"/>
      <w:bookmarkEnd w:id="156"/>
      <w:r>
        <w:rPr>
          <w:rtl w:val="true"/>
        </w:rPr>
        <w:t>اشارة</w:t>
      </w:r>
      <w:bookmarkEnd w:id="157"/>
    </w:p>
    <w:p>
      <w:pPr>
        <w:pStyle w:val="BookText"/>
        <w:rPr/>
      </w:pPr>
      <w:r>
        <w:rPr>
          <w:rFonts w:ascii="IRNazanin" w:hAnsi="IRNazanin" w:eastAsia="IRNazanin"/>
          <w:color w:val="111111"/>
          <w:sz w:val="28"/>
          <w:sz w:val="28"/>
          <w:szCs w:val="28"/>
          <w:rtl w:val="true"/>
          <w:lang w:bidi="fa-IR"/>
        </w:rPr>
        <w:t>بغضّ النظر عن الجواب السابق فإننا عندما نراجع إلی الروایات فی هذا المجال نجد قرائن فی الروایات المنقولة عن الخاصة والمنقولة عن العامة أیضاً، علی وجود الخمس فی الفوائد ذلک الزمان أیضاً</w:t>
      </w:r>
      <w:r>
        <w:rPr>
          <w:rFonts w:eastAsia="IRNazanin" w:cs="IRNazanin"/>
          <w:color w:val="111111"/>
          <w:sz w:val="28"/>
          <w:szCs w:val="28"/>
          <w:rtl w:val="true"/>
          <w:lang w:bidi="fa-IR"/>
        </w:rPr>
        <w:t>.</w:t>
      </w:r>
    </w:p>
    <w:p>
      <w:pPr>
        <w:pStyle w:val="Heading4"/>
        <w:numPr>
          <w:ilvl w:val="3"/>
          <w:numId w:val="1"/>
        </w:numPr>
        <w:rPr/>
      </w:pPr>
      <w:bookmarkStart w:id="158" w:name="__RefHeading___Toc2158450_581953129"/>
      <w:bookmarkStart w:id="159" w:name="_Toc59"/>
      <w:bookmarkEnd w:id="158"/>
      <w:r>
        <w:rPr>
          <w:rtl w:val="true"/>
        </w:rPr>
        <w:t>روایات أهل السنة</w:t>
      </w:r>
      <w:r>
        <w:rPr>
          <w:rtl w:val="true"/>
        </w:rPr>
        <w:t>:</w:t>
      </w:r>
      <w:bookmarkEnd w:id="159"/>
    </w:p>
    <w:p>
      <w:pPr>
        <w:pStyle w:val="BookText"/>
        <w:rPr/>
      </w:pPr>
      <w:r>
        <w:rPr>
          <w:rFonts w:ascii="IRNazanin" w:hAnsi="IRNazanin" w:eastAsia="IRNazanin"/>
          <w:color w:val="111111"/>
          <w:sz w:val="28"/>
          <w:sz w:val="28"/>
          <w:szCs w:val="28"/>
          <w:rtl w:val="true"/>
          <w:lang w:bidi="fa-IR"/>
        </w:rPr>
        <w:t>وسوف نشیر إلی ثلاث روایات فی هذا القسم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الأولی</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وردت فی روایة منقولة عن أهل السنة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شعبة عن أبی جمرة، قال سمعت ابن عباس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وفد عبد القیس لما قدموا المدینة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الوفد؟ أو قال القوم، قالوا ربیعة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بالوفد،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أتیناک من شقة بعیدة، وبیننا وبینک هذا الحی من کفار مضر، ولسنا نستطیع أن نأتیک إلا فی أشهر الحرم، فأخبرنا بأمر ندخل به الجنة ونخبر به من وراءنا، فأمرهم بأربع ونهاهم عن أربع، أمرهم بالإیمان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ما الإیمان بالله؟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أن لا إله إلا الله وأن محمداً رسول الله وإقام الصلاة وإیتاء الزکاة وصوم رمضان وأن تعطوا الخمس من المغنم</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لا یدور البحث حول القتال فی هذه الروایة المذکورة فی أکثر صحاح أهل السنة بالإضافة إلی مسند أحمد بن حنبل، إذ لم یسألوا رسول الله عمّا یعملونه إذا قاموا بالقتال، إذ إن موضوع القتال لم یکن مطروحاً أصلاً فی سؤالهم، وهذه المجموعة لم یکونوا یخرجون من قریتهم ومن مقرِّهم طوال العام، لبعدها عن المدینة، لذلک کانوا یأتون مرة کل عام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فیقول لهم رسول الله ضمن 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تعطوا الخمس من المغنم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یشمل المغنم کل 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الممکن أن یخطر فی ذهن شخص 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رأیه أنه إذا شن عبد القیس حرباً فادفعوا خمس مغانم تلک الحرب وذلک 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عندما نرجع إلی التاریخ نلاحظ أن عبد القیس لم یقوموا بأیة غزوة أو قتال</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ذکر الواقدی فی المغازی کافة الحروب التی قامت فی زمن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توجد بینها غزوة باسم غزوة عبد القیس بینه، ولیس معنی قولهم فی الروایة أننا</w:t>
      </w:r>
    </w:p>
    <w:p>
      <w:pPr>
        <w:pStyle w:val="BookText"/>
        <w:rPr/>
      </w:pPr>
      <w:r>
        <w:rPr>
          <w:rFonts w:ascii="IRNazanin" w:hAnsi="IRNazanin" w:eastAsia="IRNazanin"/>
          <w:color w:val="111111"/>
          <w:sz w:val="28"/>
          <w:sz w:val="28"/>
          <w:szCs w:val="28"/>
          <w:rtl w:val="true"/>
          <w:lang w:bidi="fa-IR"/>
        </w:rPr>
        <w:t>نستطیع ان نأتی فقط فی الأشهر الحرم إلی المدینة أنهم کانوا مشغولین فی القتال فی الأشهر الأخری، بل کانت تقوم حروب بین القبائل فی سائر الشهور، ولکنهم لم یکونوا یخرجون من قریتهم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بناء علی ذلک یعلم من کلام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استناداً إلی أنه کان یعلم أن عبد القیس لم یکونوا أهل حرب، أن مقصوده الشریف من الخمس کان مطلق الفوائد، وکلمة المغنم لها فی هذا المقام نفس المعنی اللغوی أی مطلق الفوائد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ذکرت روایة أخری عن أهل السنة مفادها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بریدة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 إلی خالد بن الولید لیقبض الخمس</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وقد ذکر هذا الأمر فی أکثر کتب أهل السنة وفی أکثر صحاحهم ومسانیدهم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حیث ذکر البیهقی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ذلک 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ذهب أمیر المؤمنین، وقبض الخمس، ثم حضر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أتبغض علیاً؟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أحِبَّ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له فی الخمس أکثر 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البخاری فی الصحیح عن بندار، عن روح بن</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بلغنا عن سیدنا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سهم ذی القربی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الإمامان أبو بکر وعمر فقد اختلفت الروایات عنهما فی ذلک</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حیث لا یوجد فی هذا المقام ذکر لحرب ولا لقتال ولا لغزوة، بل أرسل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 حتی یأخذ الخمس من خالد بن الولید، ولو کان هذا الأمر حول القتال، عندئذ لم یکن یوجد مجال لمخالفة أبی بکر وعمر ومعارضتهما، لأن الخمس من غنائم الحرب لیس مختلفاً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ویذکر البیهقی فی 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الخمس الذی قبضه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له فی الخمس أکثر من ذلک، وهو ما ورد فی آیة الخمس بعنوان ذی القربی، وأما الإمامان أبو بکر وعمر فقد اختلفت الروایات عنهما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الأمر،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أن المال الذی أخذه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متعلقاً بکل الخمس الذی ورد فی آیة الخمس، بل متعلق بسهم ذی القربی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فیه دلالة علی اعتراض أبی بکر وعمر من البدایة علی ما ورد فی هذه الآیة الکریمة فی جعل سهم من الخمس لذی القربی، وطبعاً ورد فی ذیل الروایة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اختلفت الروایات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تحکی أن قبولهما لهذا الأمر منقول فی بعض الأحیان، وإن عکست بعض الروایات الأخری معارضتهما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والخلاصة، أنه یستفاد من هذه الروایة بشکل جید علی وجود أصل الخمس فی زمن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دون أن یکون مطروحاً بشکل واسع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یذکر البیهقی فیما یتعلق بالصابئة فی أنهم من أهل الکتاب أو لا ما 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الصابئین یصلون إلی القبلة ویعطون الخمس</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الرغم من وجود آراء متعددة فیما یتعلق بدین الصابئة، ولکن بما أن اسم الصابئة قد ورد فی القرآن الکریم ثلاث مرات، وذکر فی مصافّ المؤمنین والیهود والنصاری، وفی سورة الحج ذکر المجوس والمشرکون بعد هذه المجموعات الثلاث کذلک، یُعلَمُ أن الصابئة أتباع أهل الأدیان السماویة ولیسوا مشرکین، وتوجد آراء مختلفة حول نبیهم، کما توجد آراء مختلفة فی أنهم من الفرقة الصابئة أو المندائیة، أو أن دینهم خلیط من الیهودیة والنصرانیة، والدین الذی کانوا یدینون به هؤلاء الصابئة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عبدة النجوم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عبدة الملائکة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دین خلیط بین الیهودیة والمجوسیة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أتباع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نوح أو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ویعیش عدد منهم إلی الآن بجوار أنهار خوزستان وجنوب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أی حال، فإن هذه الروایة تتحدث عن الصابئة فی زمن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کانوا یصلون إلی القبلة ویدفعون الخمس کذلک، والظاهر أن المراد من القبلة هو نفس قبلة المسلمین المعهودة، أما النقطة المهمة الموجودة فی هذا المجال، فهی أن ما طرح لیس له علاقة بالقتال، بل فی مقام توصیفهم، حیث ذکر لهم هذان الوصفان</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أتینا حتی هنا ثلاثة شواهد جیدة من کتب أهل السنة علی طرح موضوع الخمس فی زمن رسول الله بدون ربطه بالقتال والغزو</w:t>
      </w:r>
      <w:r>
        <w:rPr>
          <w:rFonts w:eastAsia="IRNazanin" w:cs="IRNazanin"/>
          <w:color w:val="111111"/>
          <w:sz w:val="28"/>
          <w:szCs w:val="28"/>
          <w:rtl w:val="true"/>
          <w:lang w:bidi="fa-IR"/>
        </w:rPr>
        <w:t>.</w:t>
      </w:r>
      <w:bookmarkStart w:id="160" w:name="pg5472_36402"/>
    </w:p>
    <w:p>
      <w:pPr>
        <w:pStyle w:val="BookText"/>
        <w:rPr/>
      </w:pPr>
      <w:bookmarkEnd w:id="160"/>
      <w:r>
        <w:rPr>
          <w:rFonts w:ascii="IRNazanin" w:hAnsi="IRNazanin" w:eastAsia="IRNazanin"/>
          <w:color w:val="111111"/>
          <w:sz w:val="28"/>
          <w:sz w:val="28"/>
          <w:szCs w:val="28"/>
          <w:rtl w:val="true"/>
          <w:lang w:bidi="fa-IR"/>
        </w:rPr>
        <w:t>وفیما یلی إشارة إلی بعض من روایات الشیعة</w:t>
      </w:r>
      <w:r>
        <w:rPr>
          <w:rFonts w:eastAsia="IRNazanin" w:cs="IRNazanin"/>
          <w:color w:val="111111"/>
          <w:sz w:val="28"/>
          <w:szCs w:val="28"/>
          <w:rtl w:val="true"/>
          <w:lang w:bidi="fa-IR"/>
        </w:rPr>
        <w:t>:</w:t>
      </w:r>
    </w:p>
    <w:p>
      <w:pPr>
        <w:pStyle w:val="Heading4"/>
        <w:numPr>
          <w:ilvl w:val="3"/>
          <w:numId w:val="1"/>
        </w:numPr>
        <w:rPr/>
      </w:pPr>
      <w:bookmarkStart w:id="161" w:name="__RefHeading___Toc2158452_581953129"/>
      <w:bookmarkStart w:id="162" w:name="_Toc60"/>
      <w:bookmarkEnd w:id="161"/>
      <w:r>
        <w:rPr>
          <w:rtl w:val="true"/>
        </w:rPr>
        <w:t>روایات الشیعة</w:t>
      </w:r>
      <w:r>
        <w:rPr>
          <w:rtl w:val="true"/>
        </w:rPr>
        <w:t>:</w:t>
      </w:r>
      <w:bookmarkEnd w:id="162"/>
    </w:p>
    <w:p>
      <w:pPr>
        <w:pStyle w:val="BookText"/>
        <w:rPr/>
      </w:pPr>
      <w:r>
        <w:rPr>
          <w:rFonts w:ascii="IRNazanin" w:hAnsi="IRNazanin" w:eastAsia="IRNazanin"/>
          <w:color w:val="111111"/>
          <w:sz w:val="28"/>
          <w:sz w:val="28"/>
          <w:szCs w:val="28"/>
          <w:rtl w:val="true"/>
          <w:lang w:bidi="fa-IR"/>
        </w:rPr>
        <w:t>الروایة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موسی بن طاووس فی کتاب الطرف بإسناده عن عیسی بن المستفاد عن أبی الحسن موسی بن جعفر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لأبی ذر وسلمان والمقداد أشهدونی علی أنفسکم بشهادة أن 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علی بن أبی طالب وصی محمد وأمیر المؤمنین وأن طاعته طاعة الله ورسوله والأئمة من ولده وأن مودة أهل بیته مفروضة وواجبة علی کل مؤمن ومؤمنة مع إقام الصلاة لوقتها وإخراج الزکاة من حلها ووضعها فی أهلها وإخراج الخمس من کل ما یملکه أحد من الناس حتی یرفعه إلی ولی المؤمنین وأمیرهم ومن بعده إلی الأئمة من ولده فمن عجز ولم یقدر إلا علی الیسیر من المال فلیدفع ذلک إلی الضعفاء من أهل بیتی من ولد الأئمة</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عیسی بن المستفاد ضعیف، ولکن بما أن الروایات فی هذا الباب کثیرة، یمکن القول أن الروایة کذلک من الموارد التی لا تحتاج إلی دراسة سندیة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من الخمس فی هذه الروایة واضح بشکل کامل فإنه لیس أعمّ من الزکاة، لأن لفظة الزکاة سبقت الخمس فی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بناء علی هذه الروایة فقد ذکر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زمانه الخمس فی کل ما یملکه أی أحد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علی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تفسیره عن آبائه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علمت یا رسول الله أنه سیکون بعدک ملک عضوض وجبر فیستولی علی خمسی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والغنائم ویبیعونه فلا یحل لمشتریه، لأن نصیبی فیه فقد وهبت نصیبی منه لکل من ملک شیئاً من ذلک من شیعتی لتحل لهم منافعهم من مأکل ومشرب ولتطیب موالیدهم ولا یکون أولادهم أولاد حرام،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تصدّق أحد أفضل من صدقتک وقد تبعت رسول الله فی فعلک أحلّ الشیعة کل ما کان فیه من غنیمة وبیع من نصیبه علی واحد من شیعتی ولا أحلها أنا ولا أنت لغیرهم</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هذه الروایة منقولة عن تفسیر الإمام العسکری، وأما البحث فی إمکانیة الاستدلال بالروایات الواردة فی هذا التفسیر أو عدمها فیقع بحثه فی علم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وینقل أصل موضوع تفسیر الإمام العسکری ابن شهر اشوب فی مناقبه کما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حسن بن خالد البرقی أخو محمد بن خالد البرقی، راوی هذه الروایات الواردة فی تفسیر الإمام العسکری وهو من الأجلاّء ومن الثقاة، ولا شک ولا تردید فی وثاقة حسن بن خالد نفسه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العجیب أنه نقل بأن هذا التفسیر للإمام العسکری کان فی مئة وعشرین جزءاً أو مجلداً، ولم یبق منه فی وقتنا الحاضر إلا جزء واحد لا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النقطة الموجودة هنا، أنه اتضح لدینا أن الراوی موثق، ولکن ما نقل علینا حالیاً منه هل هو منقول من قبل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الموثق 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اختلف فی هذا الأمر بین العلماء ولم یصلوا إلی القطع فیه، وهذا مما یضعّف اعتبار هذا الکتاب والاستدلال به نسبیاً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الأخبار الواردة فی تفسیر الإمام العسکری حول التحلیل والإباحة متعارضة ومختلفة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الجهة الموجودة فی أخبار الإباحة والتحلیل أنها مطروحة کقضایا خارجیة، بمعنی أنه کان للأئمة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صلاحیة إباحة سهمهم لشیعتهم، ویقولون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أحللت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أحللنا لشیعتنا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إن المراد من الشیعة هم شیعتهم فی ذلک الزمان، حیث یطرح هذا الأمر کعنوان قضیة 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صار الأمر قضیة خارجیة فیصبح بمعنی أن الإمام الذی بعده یستطیع أن یتخذ قراره فی ذلک بشکل مستقل والأئمة الآخرین یستطیع کل واحد منهم أن یتخذ قراره بشکل مستقل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الروایات التی نقلها أهل السنة کذلک یقول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جعل من سهمی فهو مردود إلیکم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وشاهدنا فی روایة تفسیر الإمام العسکری أن قضیة الخمس ومسألته فی عصر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موجودة ولم تکن مختصة بالغنائم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زمن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یرسل سنویاً أشخاصاً لجمع الزکاة ویحضرونه، ولکن لم ینقل التاریخ مثل هذا الأمر فیما یتعلق بالخمس فلماذا؟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منح وأباح سهمه من الخمس، وکذلک فعل أمیر المؤمنین فی سهمه إلی شیعته، واستمر هذا الأمر حتی زمن الإمام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وسبب إباحة الخمس وتحلیله وعدم قبضه کان یتمثل فی عدم وجود مصلحة فی أخذه أو العسر والحرج أو مشکلات أخری کانت تحول دون ذلک، أو کان تفضّلاً من هؤلاء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فی کل الأحوال کانت صلاحیة التصرف فی الخمس بأیدیهم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وصل الأمر إلی عصر الإمام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من بعده حیث عدّوا الظروف لجمع وقبض الخمس فی ذلک العصر مناسباً إلی حدٍّ ما بناء علی تشخیصهم، فکانوا یجمعون الخمس ویقبضونه، وقد کان هذا الأمر یتم بشکل أکبر فی زمن الإمامین الجواد والهادی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الجواب مقبول إذا قلنا بأن سهم السادات یقع فی طول سهم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وبناء علی ذلک یتضح هذا الجواب، ولکن إذا جعلنا سهمهم فی عرض سهم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واعتبرناه کذلک فإن هذا الجواب غیر کامل، إلا إذا قلنا فی هذا الفرض بأن المسؤول عن صرف وتوزیع الخمس بین هذه الطوائف کان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الظروف الخاصة یستطیع أن یصرف النظر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وینقل أصل الروایة الشیخ الطوسی کما 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بإسناده عن محمد بن الحسن الصفار عن یعقوب بن یزید عن الحسن بن علی الوشاء عن القاسم بن البرید عن الفضیل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وجد برد حبنا فی کبده فلیحمد الله علی أول</w:t>
      </w:r>
    </w:p>
    <w:p>
      <w:pPr>
        <w:pStyle w:val="BookText"/>
        <w:rPr/>
      </w:pPr>
      <w:r>
        <w:rPr>
          <w:rFonts w:ascii="IRNazanin" w:hAnsi="IRNazanin" w:eastAsia="IRNazanin"/>
          <w:color w:val="111111"/>
          <w:sz w:val="28"/>
          <w:sz w:val="28"/>
          <w:szCs w:val="28"/>
          <w:rtl w:val="true"/>
          <w:lang w:bidi="fa-IR"/>
        </w:rPr>
        <w:t>النعم قال جعلت فداک ما أول النعم؟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 الولادة، ثم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أحلِّی نصیبک من الفیء لآباء شیعتنا لیطیبوا، ثم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أحللنا أمهات شیعتنا لآبائهم لیطیبوا</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ویعلم بشکل أکثر أن الأسلوب الظاهری فی آیة الخمس وآیة الفیء واحد، وأن ما کان یقوم به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الخمس کانوا یقومون به کذلک فی الفیء بنفس الأسلوب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یعلم أن موضوع الخمس کان مطروحاً زمن الأئمة الأطهار وکان یباح من قبلهم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ویستفاد من أخبار الإباحة أن أصل الخمس کان مطروحاً فی الإسلام بشکل مسلَّم، وکان الخمس متعلقاً بالفوائد من المنافع کذلک، ولم یکن مختصاً بالغنائم الحربیة فحسب، ولو لم یکن الأمر کذلک لم یکن لأخبار الإباحة معنی</w:t>
      </w:r>
      <w:r>
        <w:rPr>
          <w:rFonts w:eastAsia="IRNazanin" w:cs="IRNazanin"/>
          <w:color w:val="111111"/>
          <w:sz w:val="28"/>
          <w:szCs w:val="28"/>
          <w:rtl w:val="true"/>
          <w:lang w:bidi="fa-IR"/>
        </w:rPr>
        <w:t>.</w:t>
      </w:r>
      <w:bookmarkStart w:id="163" w:name="pg5472_36412"/>
    </w:p>
    <w:p>
      <w:pPr>
        <w:pStyle w:val="Heading3"/>
        <w:numPr>
          <w:ilvl w:val="2"/>
          <w:numId w:val="1"/>
        </w:numPr>
        <w:rPr/>
      </w:pPr>
      <w:bookmarkStart w:id="164" w:name="__RefHeading___Toc2158454_581953129"/>
      <w:bookmarkStart w:id="165" w:name="_Toc61"/>
      <w:bookmarkEnd w:id="163"/>
      <w:bookmarkEnd w:id="164"/>
      <w:r>
        <w:rPr>
          <w:rtl w:val="true"/>
        </w:rPr>
        <w:t>لماذا یجب دفع الخمس فی زمن الغیبة إلی الفقیه الجامع للشرائط؟</w:t>
      </w:r>
      <w:bookmarkEnd w:id="165"/>
    </w:p>
    <w:p>
      <w:pPr>
        <w:pStyle w:val="BookText"/>
        <w:rPr/>
      </w:pPr>
      <w:r>
        <w:rPr>
          <w:rFonts w:ascii="IRNazanin" w:hAnsi="IRNazanin" w:eastAsia="IRNazanin"/>
          <w:color w:val="111111"/>
          <w:sz w:val="28"/>
          <w:sz w:val="28"/>
          <w:szCs w:val="28"/>
          <w:rtl w:val="true"/>
          <w:lang w:bidi="fa-IR"/>
        </w:rPr>
        <w:t xml:space="preserve">فی آیة الخمس جعل سهم منه لله عز وجل وسهم لرسوله وسهم لذی القربی، حیث اتضح فیما سبق أن المراد منه 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هو الدلیل علی جعل هذا السهم فی زمن غیبة الإمام تحت تصرف الفقیه والمجتهد الجامع للشرائط؟</w:t>
      </w:r>
    </w:p>
    <w:p>
      <w:pPr>
        <w:pStyle w:val="BookText"/>
        <w:rPr/>
      </w:pPr>
      <w:r>
        <w:rPr>
          <w:rFonts w:ascii="IRNazanin" w:hAnsi="IRNazanin" w:eastAsia="IRNazanin"/>
          <w:color w:val="111111"/>
          <w:sz w:val="28"/>
          <w:sz w:val="28"/>
          <w:szCs w:val="28"/>
          <w:rtl w:val="true"/>
          <w:lang w:bidi="fa-IR"/>
        </w:rPr>
        <w:t xml:space="preserve">إن إحدی المباحث الأساسیة المطروحة فی علم الأصول هو أن التعذر وعدم التمکّن، من الأمور التی توجب سقوط التکلیف، فمثلاً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أن من یجب علیه کفارة الجمع، إن لم یستطع عتق رقبة یوجب سقوط التکلیف عنه بسبب عدم الإمکان والتمکّن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أنه یتعذر إیصال سهم الله إلیه، فلیس هناک طریق إلا جعل هذا السهم بتصرف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وبعد رحیل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یجعل هذا السهم حسب ظاهر الآیة الشریفة تحت تصرف ذی القربی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ولکن فی زمن غیبة الإمام الذی یتعذر فیه إیصال سهمه إلیه، فإن التکلیف یسقط بشکل کلی؟ کما أن التعذر فی خصال الکفارة یوجب السقوط أیضاً فمن وجب علیه الجمع بین الخصال ولم یتمکن من عتق الرقبة یسقط عنه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خُلِّینا وهذا المقدار الموجود فی الآیة الشریفة، فإن القاعدة تقتضی سقوط التکلیف، لا سیما کما ذکر سابقاً بأنه لا یجوز إیصال سهم الإمام فی حال تعذر إیصاله إلیه إلی الیتامی والمساکین وابن السبیل</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سابقاً عدم دخول اللام فی هذه الآیة علی هذه الطوائف الثلاثة الأخیرة، وهذه قرینة علی وجود اختصاص وملکیة لله وللرسول ولذی القربی لهذا الخمس، أما</w:t>
      </w:r>
    </w:p>
    <w:p>
      <w:pPr>
        <w:pStyle w:val="BookText"/>
        <w:rPr/>
      </w:pPr>
      <w:r>
        <w:rPr>
          <w:rFonts w:ascii="IRNazanin" w:hAnsi="IRNazanin" w:eastAsia="IRNazanin"/>
          <w:color w:val="111111"/>
          <w:sz w:val="28"/>
          <w:sz w:val="28"/>
          <w:szCs w:val="28"/>
          <w:rtl w:val="true"/>
          <w:lang w:bidi="fa-IR"/>
        </w:rPr>
        <w:t xml:space="preserve">المجموعات الثلاثة الأخیرة فلیس لهم عنوان مستقل للملک بل لهم عنوان المصرف، وهذا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یتم عن طریق ذی القربی، وبناء علی ذلک فلا یصح أن یتوهم وجوب دفع أسهمهم إلی الیتامی والمساکین وابن السبیل لتعذر الوصول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عدم دخول اللام علی هذه الطوائف الثلاثة فیه دلالة واضحة علی عدم وقوع هذه الطوائف الثلاث فی عرض الله ورسوله والإمام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الاحتمالات التی یمکن طرحها فی أخبار الإباحة الدالة علی إباحة الخمس للشیعة أنه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المعصومین کانوا یعیشون فی جوٍّ یحکم فیه حکّام معارضون لأهل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ومخالفون لهم، عندئذٍ فلو کان الناس یقومون بدفع الخمس إلی هؤلاء الأئمة، فإن هذا الأمر کان یؤدی إلی نشوء مشکلات للإمام ولهؤلاء الدافعین، بل إنه کان یتعذر علیهم أن یقوموا بذلک، وهذا التعذر أشار إلیه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بأنفسهم فی بعض من الروایات وإن لم یعبِّروا عنه بسقوط التکلیف، بل بالإباحة، وهذا أحد توجیهات أخبار التحلیل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خُلِّینا والآیة الشریفة وغضضنا الطرف عن أی دلیل آخر فإن هذه الآیة تقتضی سقوط التکلیف فی زمن یتعذر فیه إیصال سهم الإمام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فلا وجه عندئذٍ للقول إنه یجب دفن سهم الإمام فی مکان ما أو حفظه فی مکان حتی یوم القیامة، بل إن التکلیف ساقط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الوجه فی قول الفقهاء فی فقه الشیعة غالباً بوجوب دفع ذلک إلی الفقیه ما یلی</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الفقهاء حسب الروایات والأدلة التی لدینا فی زمن الغیبة یعتبرون أمناء الأئمة وأمناء الرسل ونواب الأئمة الطاهرین</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وإن الروایة المعروفة القائلة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حجتی علیکم</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 تشمل جمیع الفقهاء، والفقیه بما هو فقیه حجة من قبل الإمام علی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أن الفقیه حجة من قبل الإمام، فیجب جعل ما هو متعلق بالإمام المعصوم بتصرف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ریب أن الانتقال من الإمام المعصوم إلی الفقیه واضح فی حال طرح الخمس بعنوان حق الإمامة ولا بحث فی ذلک، لأنه کما ذکرنا سابقاً بأن أحد المبانی فی الخمس، جعل الخمس بتصرف الإمام تحت عنوان حق الإمامة، والمبنی الآخر یقوم علی أن الخمس ملک شخصی للإمام المعصوم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قال قائل بأن الخمس ملک شخصی للإمام المعصوم، عندها ینبغی أن یعلم إلی أی حدّ توسَّع دائرة أدلة النیابة وأدلة الولایة؟ وهل تشمل هذه الموارد أو لا؟</w:t>
      </w:r>
      <w:bookmarkStart w:id="166" w:name="pg5472_36418"/>
    </w:p>
    <w:p>
      <w:pPr>
        <w:pStyle w:val="Heading3"/>
        <w:numPr>
          <w:ilvl w:val="2"/>
          <w:numId w:val="1"/>
        </w:numPr>
        <w:rPr/>
      </w:pPr>
      <w:bookmarkStart w:id="167" w:name="__RefHeading___Toc2158456_581953129"/>
      <w:bookmarkStart w:id="168" w:name="_Toc62"/>
      <w:bookmarkEnd w:id="166"/>
      <w:bookmarkEnd w:id="167"/>
      <w:r>
        <w:rPr>
          <w:rtl w:val="true"/>
        </w:rPr>
        <w:t>هل یستطیع أی فقیه أن یقبض الخمس ؟</w:t>
      </w:r>
      <w:bookmarkEnd w:id="168"/>
    </w:p>
    <w:p>
      <w:pPr>
        <w:pStyle w:val="BookText"/>
        <w:rPr/>
      </w:pPr>
      <w:r>
        <w:rPr>
          <w:rFonts w:ascii="IRNazanin" w:hAnsi="IRNazanin" w:eastAsia="IRNazanin"/>
          <w:color w:val="111111"/>
          <w:sz w:val="28"/>
          <w:sz w:val="28"/>
          <w:szCs w:val="28"/>
          <w:rtl w:val="true"/>
          <w:lang w:bidi="fa-IR"/>
        </w:rPr>
        <w:t>إن السؤال الآخر المطروح فی هذا المقام أنه هل یمکن إعطاء الخمس لأی فقیه ومجتهد، أم یجب دفعه إلی خصوص مراجع التقلید، أو أنه یجب أن یدفع إلی الأعلم منهم بالخصوص؟</w:t>
      </w:r>
    </w:p>
    <w:p>
      <w:pPr>
        <w:pStyle w:val="BookText"/>
        <w:rPr/>
      </w:pPr>
      <w:r>
        <w:rPr>
          <w:rFonts w:ascii="IRNazanin" w:hAnsi="IRNazanin" w:eastAsia="IRNazanin"/>
          <w:color w:val="111111"/>
          <w:sz w:val="28"/>
          <w:sz w:val="28"/>
          <w:szCs w:val="28"/>
          <w:rtl w:val="true"/>
          <w:lang w:bidi="fa-IR"/>
        </w:rPr>
        <w:t>یعود هذا الأمر إلی النزاع الذی ورد فی باب 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اشترط فقیه الأعلمیة، عندها یجب تعلیق التقلید وسائر الشؤون الأخری منها الخمس بالفقیه الأعلم، ولا یجوز عندها لغیر الأعلم أخذ الخمس أو إعطاء الخمس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لم تشترط الأعلمیة فتصبح النتیجة أنه یجوز لأی فقیه بما هو فقیه أن یأخذ الخمس استناداً إلی أدلة النیابة العامة التی یحظی بها الفقهاء من قبل الإمام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 توجد نقطتان أخریان من حیث الصناعة الفقهیة 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اعتقد الأعلم بجواز إعطاء الخمس لکل فقیه جامع للشرائط یستطیع صرفه بشکل صحیح بحیث یحرز به رضی إمام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ففی هذه الحالة یجوز لمقلِّدی هذا الأعلم أن یدفعوا خمسه إلی غیر الأعلم کذلک حتی یصرفه فی تلک الموارد، کما أنه یصح أن یقال بأنه لو صرف غیر الأعلم فی نفس المورد الذی یصرفه الأعلم لجاز دفعه إلیه أیضاً وهذا ما یعبّر عنه فی الفقه باتحاد المصرف</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الممکن أن تجری أدلة الأعلمیة فی مورد التقلید فی باب الأحکام فحسب، ولا یقیّد باب الخمس بها، کما لا یقیدون ذلک فی باب القضاء، وبعبارة أخری یمکن القول بأنه لا ملازمة بین التقلید فی الأحکام وبین إعطاء الخمس، فکما أنه لا ملازمة بین التقلید وباب القضاء وبین إعطاء الزکاة مثلاً، وقد قمنا بتحقیق أکثر فی هذا البحث أثناء بحثنا فی الاجتهاد والتقلید</w:t>
      </w:r>
      <w:r>
        <w:rPr>
          <w:rFonts w:eastAsia="IRNazanin" w:cs="IRNazanin"/>
          <w:color w:val="111111"/>
          <w:sz w:val="28"/>
          <w:szCs w:val="28"/>
          <w:rtl w:val="true"/>
          <w:lang w:bidi="fa-IR"/>
        </w:rPr>
        <w:t>.</w:t>
      </w:r>
      <w:bookmarkStart w:id="169" w:name="pg5472_36420"/>
    </w:p>
    <w:p>
      <w:pPr>
        <w:pStyle w:val="Heading3"/>
        <w:numPr>
          <w:ilvl w:val="2"/>
          <w:numId w:val="1"/>
        </w:numPr>
        <w:rPr/>
      </w:pPr>
      <w:bookmarkStart w:id="170" w:name="__RefHeading___Toc2158458_581953129"/>
      <w:bookmarkStart w:id="171" w:name="_Toc63"/>
      <w:bookmarkEnd w:id="169"/>
      <w:bookmarkEnd w:id="170"/>
      <w:r>
        <w:rPr>
          <w:rtl w:val="true"/>
        </w:rPr>
        <w:t>هل یمکن صرف الخمس إلی مصارفه بدون إذن الفقیه وإجازته ؟</w:t>
      </w:r>
      <w:bookmarkEnd w:id="171"/>
    </w:p>
    <w:p>
      <w:pPr>
        <w:pStyle w:val="BookText"/>
        <w:rPr/>
      </w:pPr>
      <w:r>
        <w:rPr>
          <w:rFonts w:ascii="IRNazanin" w:hAnsi="IRNazanin" w:eastAsia="IRNazanin"/>
          <w:color w:val="111111"/>
          <w:sz w:val="28"/>
          <w:sz w:val="28"/>
          <w:szCs w:val="28"/>
          <w:rtl w:val="true"/>
          <w:lang w:bidi="fa-IR"/>
        </w:rPr>
        <w:t>إن السؤال الآخر الذی یطرحه کثیر من المتدینین وأحیاناً ما یطرح من قبل بعض الأفراد المغرضین ومن لهم سوء قصد أو یکونون مدفوعین بهاجس تشویه وتضعیف مقام رجال الدین، بأنه إذا فصل شخص ما خمسه وأوصله إلی مصرفه الصحیح ألا یکفی ذلک؟</w:t>
      </w:r>
    </w:p>
    <w:p>
      <w:pPr>
        <w:pStyle w:val="BookText"/>
        <w:rPr/>
      </w:pPr>
      <w:r>
        <w:rPr>
          <w:rFonts w:ascii="IRNazanin" w:hAnsi="IRNazanin" w:eastAsia="IRNazanin"/>
          <w:color w:val="111111"/>
          <w:sz w:val="28"/>
          <w:sz w:val="28"/>
          <w:szCs w:val="28"/>
          <w:rtl w:val="true"/>
          <w:lang w:bidi="fa-IR"/>
        </w:rPr>
        <w:t>وهل یلزم فی صحة العمل الحصول علی إذن مرجع التقلید أو المجتهد الجامع للشرائط حتماً؟</w:t>
      </w:r>
    </w:p>
    <w:p>
      <w:pPr>
        <w:pStyle w:val="BookText"/>
        <w:rPr/>
      </w:pPr>
      <w:r>
        <w:rPr>
          <w:rFonts w:ascii="IRNazanin" w:hAnsi="IRNazanin" w:eastAsia="IRNazanin"/>
          <w:color w:val="111111"/>
          <w:sz w:val="28"/>
          <w:sz w:val="28"/>
          <w:szCs w:val="28"/>
          <w:rtl w:val="true"/>
          <w:lang w:bidi="fa-IR"/>
        </w:rPr>
        <w:t>وبعبارة أخری ما الدلیل علی وجوب أخذ إجازة المجتهد الجامع للشرائط فی صحة أداء الخمس؟</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الجواب علی هذا السؤال نقول 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خُلِّینا والآیة الشریفة وأدلة النیابة، فإنه عندما یخصص سهم للإمام وینتقل هذا السهم إلی الفقیه، ویصبح لهذا الفقیه بما هو فقیه حق التصرف به، عندها تتضح النتیجة بشکل کامل بأنه لا یحق لغیر الفقیه ولا یجوز لغیره أن یتصرف فی الخمس، إلا إذا تم ذلک بإذنه وإجازته، ولو قام شخص بذلک بدون إذنه ولو کان قاصداً نیة الخمس وصرفه فی موارده فإن هذا العمل لن یکون مجزئاً وصحیحاً</w:t>
      </w:r>
      <w:r>
        <w:rPr>
          <w:rFonts w:eastAsia="IRNazanin" w:cs="IRNazanin"/>
          <w:color w:val="111111"/>
          <w:sz w:val="28"/>
          <w:szCs w:val="28"/>
          <w:rtl w:val="true"/>
          <w:lang w:bidi="fa-IR"/>
        </w:rPr>
        <w:t>.</w:t>
      </w:r>
      <w:bookmarkStart w:id="172" w:name="pg5472_36422"/>
    </w:p>
    <w:p>
      <w:pPr>
        <w:pStyle w:val="Heading3"/>
        <w:numPr>
          <w:ilvl w:val="2"/>
          <w:numId w:val="1"/>
        </w:numPr>
        <w:rPr/>
      </w:pPr>
      <w:bookmarkStart w:id="173" w:name="__RefHeading___Toc2158460_581953129"/>
      <w:bookmarkStart w:id="174" w:name="_Toc64"/>
      <w:bookmarkEnd w:id="172"/>
      <w:bookmarkEnd w:id="173"/>
      <w:r>
        <w:rPr>
          <w:rtl w:val="true"/>
        </w:rPr>
        <w:t>هل یشترط فی الیتامی الفقر؟</w:t>
      </w:r>
      <w:bookmarkEnd w:id="174"/>
    </w:p>
    <w:p>
      <w:pPr>
        <w:pStyle w:val="BookText"/>
        <w:rPr/>
      </w:pPr>
      <w:r>
        <w:rPr>
          <w:rFonts w:ascii="IRNazanin" w:hAnsi="IRNazanin" w:eastAsia="IRNazanin"/>
          <w:color w:val="111111"/>
          <w:sz w:val="28"/>
          <w:sz w:val="28"/>
          <w:szCs w:val="28"/>
          <w:rtl w:val="true"/>
          <w:lang w:bidi="fa-IR"/>
        </w:rPr>
        <w:t>من المسلّم أن الفقر مدموج ومشرّب فی لفظ المسکین، وأن ابن السبیل هو من تقطّعت به السبل ولا یملک فی الوقت الحاضر تأمین مصارفه لیعود إلی محلّ سکنه ومستقره، وما دام یعیش هذه الظروف فهو محتاج، وعندما یصل إلی مقر سکنه فلا یطلق علیه ابن السبیل مرة أخری، ولکن هل یشترط فی الیتامی ذلک الفقر؟</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ذُکِر کل من الیتامی والمساکین فی آیة الخمس الشریفة بشکل مستقل، وإن کان المراد من الیتامی الأیتام الفقراء عندها لا حاجة لذکر عنوان الیتیم، بل یکفی ذکر المساکین لأن للمساکین إطلاقاً یشمل الیتیم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لو خُلِّینا وظاهر هذه الآیة ینبغی القول بأنه لا یشترط فی الیتیم الفقر، کما لا یشترط فی الرسول والإمام الفقر کذلک، لأن الخمس شیء جعل الله وقرر سهماً منه لنفسه، ولا معنی للفقر بالنسبة إلی الله عز وجل والعیاذ بالله، وبالنسبة للسهم الذی تفضّل به الله عز وجل علی رسوله لیس مقیداً بالفقر، وکذلک الأمر بالنسبة إلی ذی القربی والإمام المعصوم فلم یعتبر الفقر فیه، وکذلک الأمر بالنسبة للفقیه، إذ ما ینتقل من الإمام للفقیه، فإنه ینتقل إلیه مع تلک الظروف والشروط ومع ذلک الإطلاق وتلک الخصوصیات کذلک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ولهذا یمکن القول</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یشترط الفقر فی مصرف سهم الإمام المبارک، ولا یلزم أن یکون آخذه فقیراً حتماً، بل إذا أعطی فقیه شخصاً لیس بفقیر من سهم الإمام لتشجیعه فی الأمور الدینیة فلا إشکال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 ینبغی ملاحظة ما ذکرنا سابقاً فی بحث آیات الأحکام، بأنه بدون البحث فی الروایات والإجماع والقرائن الأخری لا یمکن الوصول إلی النتیجة النهائیة، ولکن المستفاد من الآیة، بمعنی أنه لو خُلِّینا والآیة الشریفة وغضضنا الطرف عن الأدلة الأخری، فإنه لا یشترط فی الرسول الفقر ولا فی الإمام ولا فی الیتیم، ولکن ما ذکره المرحوم البحرانی فی الحدائق الناضرة کما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بین الفقهاء اعتبار الفقر فی الیتامی</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فی نص التحریر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الأقوی اعتبار الفقر فی الیتامی</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ذکر المرحوم السید الیزدی فی العروة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الأیتام 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قاموا بشرح هذا الکتاب نسبوا هذا الشرط إلی المشهور، حیث یقول المحقق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مستند العروة الوثقی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الخمس 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المعروف والمشهور بین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یذکر سبب ذلک کما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علة تشریع الخمس إن کان لسدّ حاجة بنی هاشم کما أن علة تشریع الزکاة کان نفس الأمر لغیر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مقابل هؤلاء، فإن الشیخ الطوسی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ادریس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یقولان</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والیتامی وأبناء السبیل منهم یعطیهم مع الفقر والغنی لأن الظاهر یتناولهم</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ذکر والدنا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إشارته إلی إطلاق هذه الآیة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ظاهر هذه الآیة الشریفة باعتبار عطف المساکین علی الیتامی یقتضی المغایرة</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ونسأل من یقولون باشتراط الفقر فی الیتیم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اشترط الفقر فی الیتامی، عندها لماذا ذکر الله عز وجل فی الآیة الشریفة الیتامی بشکل منفصل عن المساکین؟</w:t>
      </w:r>
    </w:p>
    <w:p>
      <w:pPr>
        <w:pStyle w:val="BookText"/>
        <w:rPr/>
      </w:pPr>
      <w:r>
        <w:rPr>
          <w:rFonts w:ascii="IRNazanin" w:hAnsi="IRNazanin" w:eastAsia="IRNazanin"/>
          <w:color w:val="111111"/>
          <w:sz w:val="28"/>
          <w:sz w:val="28"/>
          <w:szCs w:val="28"/>
          <w:rtl w:val="true"/>
          <w:lang w:bidi="fa-IR"/>
        </w:rPr>
        <w:t>فإن قیل فی الجواب علی ذلک بما أن الله عز وجل قد اهتم اهتماماً بالغاً بالأیتام وفقراء بنی هاشم فذکرهم بشکل مستقل، وبتعبیر آخر هو من باب ذکر الخاص بعد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فی الجواب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أن هذا الجواب لیس بصحیح، لأن الآیة الشریفة فی مقام بیان جمیع الخصوصیات، وإن کان الفقر مشترطاً فی الیتامی فیلزم حینها أن یذکر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وتذکر الآیة الشریفة حول موارد مصارف الخمس، ولم تذکر شیئاً عن الفقراء، بل ذکرت المساکین فحسب کأحد عناوین مصارف الخمس، وقد ذکرنا سابقاً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الفقیر والمسکین کالجار والمجرور إذا اجتمعا افترقا وإذا افترقا اجتمعا</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ویتضح من ذلک أن الملاک التام لهذا السهم هو الیتم، حیث جعل الشارع لاعتبار الیتم اهتماماً واحتراماً خاصاً لهذه المجموعة، حیث إن الیتیم بما هو یتیم من مستحقی الخمس سواء کان فقیراً أو غنیاً، وکذلک ینطبق الأمر للإمام 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 سابقاً، وفی الواقع یمکن القول بأن الیتم ملاک لاستحقاق اللطف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 قد یقول قائل أن مناسبة الحکم والموضوع تقتضی أن یکونوا فقراء، لأنه عادة ما یعانی الأیتام من حاجات ونقص فی الحیاة وفی المعیشة حیث ینبغی أن ترفع تلک الحاجات</w:t>
      </w:r>
      <w:bookmarkStart w:id="175" w:name="pg5472_36427"/>
    </w:p>
    <w:p>
      <w:pPr>
        <w:pStyle w:val="BookText"/>
        <w:rPr/>
      </w:pPr>
      <w:bookmarkEnd w:id="175"/>
      <w:r>
        <w:rPr>
          <w:rFonts w:ascii="IRNazanin" w:hAnsi="IRNazanin" w:eastAsia="IRNazanin"/>
          <w:color w:val="111111"/>
          <w:sz w:val="28"/>
          <w:sz w:val="28"/>
          <w:szCs w:val="28"/>
          <w:rtl w:val="true"/>
          <w:lang w:bidi="fa-IR"/>
        </w:rPr>
        <w:t>عن طریق الخمس، وینبغی ملاحظة أن الیتیم نظراً لسنّه، فإنه یحسّ بالنقص فی الحیاة أکثر من الکبار، وفی موارد عدیدة فإنه قد یحس بهذه الحاجة مع غناه، فحلّ الله عز وجل هذه المشکلة الروحیة والعاطفیة عبر دفع الخمس حتی یعیش طفولته بسعادة ونشاط ولا یعانی من الاکتئاب والإحباط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فی بعض الکتب الفقهیة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بما أن الخمس جعل لرفع احتیاجات بنی هاشم لذا فإن حاجتهم شرط لاستحقاقهم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أن لدینا فی الروایات بأن الخمس جعل عوض الزکاة، حیث حرمت الزکاة علی بنی هاشم، لذلک جعل الله عز وجل الخمس عوضاً لهم عن ذلک، ولکن لا یعتبر هذا دلیلاً علی وجوب إعطاء الخمس للفقراء منهم فحسب، ولا شک عدم وجود هذا الشرط فی شخص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المرحوم الجزائری فی کتابه قلائد الدرر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الیتیم مطلقاً سواء کان فقیراً أو غنیاً مستحق للخمس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یؤکد علی موضوعیة نفس الیتم فی استحقاق الخمس</w:t>
      </w:r>
      <w:r>
        <w:rPr>
          <w:rFonts w:eastAsia="IRNazanin" w:cs="IRNazanin"/>
          <w:color w:val="111111"/>
          <w:sz w:val="28"/>
          <w:szCs w:val="28"/>
          <w:rtl w:val="true"/>
          <w:lang w:bidi="fa-IR"/>
        </w:rPr>
        <w:t>.</w:t>
      </w:r>
    </w:p>
    <w:p>
      <w:pPr>
        <w:pStyle w:val="Heading3"/>
        <w:numPr>
          <w:ilvl w:val="2"/>
          <w:numId w:val="1"/>
        </w:numPr>
        <w:rPr/>
      </w:pPr>
      <w:bookmarkStart w:id="176" w:name="__RefHeading___Toc2158462_581953129"/>
      <w:bookmarkStart w:id="177" w:name="_Toc65"/>
      <w:bookmarkEnd w:id="176"/>
      <w:r>
        <w:rPr>
          <w:rtl w:val="true"/>
        </w:rPr>
        <w:t>الروایات الدالة علی إطلاق الیتامی وعدم تخصیصهم بالفقراء منهم</w:t>
      </w:r>
      <w:r>
        <w:rPr>
          <w:rtl w:val="true"/>
        </w:rPr>
        <w:t>:</w:t>
      </w:r>
      <w:bookmarkEnd w:id="177"/>
    </w:p>
    <w:p>
      <w:pPr>
        <w:pStyle w:val="BookText"/>
        <w:rPr/>
      </w:pPr>
      <w:r>
        <w:rPr>
          <w:rFonts w:ascii="IRNazanin" w:hAnsi="IRNazanin" w:eastAsia="IRNazanin"/>
          <w:color w:val="111111"/>
          <w:sz w:val="28"/>
          <w:sz w:val="28"/>
          <w:szCs w:val="28"/>
          <w:rtl w:val="true"/>
          <w:lang w:bidi="fa-IR"/>
        </w:rPr>
        <w:t>عندما نرجع إلی الروایات یستفاد من بعضها هذا الإطلاق</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عیون الأخبار روایة بأن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مجلس مع المأمون وآل الأمر إلی الحدیث عن الیتامی والمساکین، عندها 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وسهم ذی القربی قائم إلی یوم القیامة فیهم للغنی والفقیر منهم لأنه لا أحد أغنی من الله عز وجل ولا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لنفسه منها سهماً</w:t>
      </w:r>
    </w:p>
    <w:p>
      <w:pPr>
        <w:pStyle w:val="BookText"/>
        <w:rPr/>
      </w:pPr>
      <w:r>
        <w:rPr>
          <w:rFonts w:ascii="IRNazanin" w:hAnsi="IRNazanin" w:eastAsia="IRNazanin"/>
          <w:color w:val="111111"/>
          <w:sz w:val="28"/>
          <w:sz w:val="28"/>
          <w:szCs w:val="28"/>
          <w:rtl w:val="true"/>
          <w:lang w:bidi="fa-IR"/>
        </w:rPr>
        <w:t xml:space="preserve">ولرسوله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سهماً فما رضیه لنفسه ولرسوله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رضیه لهم وکذلک الفیء ما رضیه منه لنفسه ولنبیه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رضیه لذی القربی کما أجراهم فی الغنیمة فبدأ بنفسه جل جلاله ثم برسوله ثم بهم وقرن سهمهم بسهم الله وسهم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فی الطاعة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أطیعوا الله واطیعوا الرسول وأولی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فبدأ بنفسه ثم برسوله ثم بأهل بیته کذلک، آیة الولایة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ورسوله والذین آمنوا الذین یقیمون الصلاة ویؤتون الزکاة وهم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طاعتهم مع طاعة الرسول مقرونة بطاعته کذلک ولایتهم مع ولایة الرسول مقرونة بطاعته کما جعل سهمهم مع سهم الرسول مقروناً بسهمه فی الغنیمة والفیء فتبارک الله وتعالی ما أعظم نعمته علی أهل هذا البیت فلما جاءت قصة الصدقة نزَّه نفسه ورسوله ونزَّه أهل بیته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الصدقات للفقراء والمساکین والعاملین علیها والمؤلفة قلوبهم وفی الرقاب والغارمین وفی سبیل الله وابن السبیل فریضة من الله فهل تجد فی شیء</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فصرَّح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الحدیث بالإطلاق بأن سهم ذی القربی والیتامی لفقیرهم وغنیهم، والظاهر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 هذا الموضوع من إطلاق هذه الآیة، ولم یذکره کأمر تعبدی، بل إنه مقتضی الآیة الشریفة، وبالنتیجة یمکن قبول هذا الإطلاق نفسه فی الیتامی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مرسلة حماد بن عیسی عن الإمام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سهم لیتاماهم وسهم لمساکینهم وسهم لأبناء سبیلهم یقسم بینهم علی الکتاب والسنة ما یستغنون به فی سنتهم فإن فضل عنهم شیء فهو للوالی</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الرغم من أن هذه الروایة مرسلة من حیث السند، ولکن یوجد فیه إشکال من حیث المتن بأنه لماذا ینبغی إعطاء مؤونة سنة کاملة لابن السبیل مثلاً؟</w:t>
      </w:r>
    </w:p>
    <w:p>
      <w:pPr>
        <w:pStyle w:val="BookText"/>
        <w:rPr/>
      </w:pPr>
      <w:r>
        <w:rPr>
          <w:rFonts w:ascii="IRNazanin" w:hAnsi="IRNazanin" w:eastAsia="IRNazanin"/>
          <w:color w:val="111111"/>
          <w:sz w:val="28"/>
          <w:sz w:val="28"/>
          <w:szCs w:val="28"/>
          <w:rtl w:val="true"/>
          <w:lang w:bidi="fa-IR"/>
        </w:rPr>
        <w:t>لأن ابن السبیل شخص لا یملک مقدار المال اللازم لرجوعه إلی مدینته ومحل سکنه فإن وصل إلی ذلک المکان فلا یطلق علیه ابن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الموضوع بأنه لا یمکن القول بوجوب إعطاء ابن السبیل مقداراً من المؤونة ما یکفیه لمدة سنة، قرینة علی 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بخصوص المساکین فحسب، بمعنی أنه یجب إعطاء المساکین ما یکفیهم لمدة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 حال فإن الفقر الذی اشترطه الفقهاء لیس ذلک الفقر الذی یتمثل بسؤال الناس والطلب منهم، بل إذا کان شخص یتمتع بمکانة اجتماعیة معینة ولیس من أهل الطلب والسؤال من الآخرین، ولکنه لا یملک مؤونة سنته عندها یمکن دفع الخمس إلیه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بالنتیجة، فإنه یمکن القول فی هذه الروایة کما ذکر فی حال ابن السبیل وبنفس القرینة التی وردت هناک بأن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بالمساکین فحسب ولا یشمل الیتامی وبالتالی فلا یشترط فیهم الفقر، نعم إذا اعتبرنا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یستغنون به فی سنتهم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متعلقاً بالموارد الثلاثة، عندها تصبح النتیجة اشتراط الفقر فی الیتامی کذلک، وفی هذه الحالة یلزم توجیه هذا الأمر فی ابن السبیل کذلک، بحیث إن الشخص الذی تقطعت به السبل وانطبق علیه عنوان ابن السبیل یمکن أن یبقی أکثر من سنة فی الطریق، عندها یجوز علیه مخارج سنة کاملة فی تصرفه، ولا ریب أن هذا التوجیه صعب جداً وفیه تکلف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وردت فی هذه الروایة المرسلة کذلک ما 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یعطیهم علی قدر کفایتهم</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نلاحظ مرة أخری عدم وجود تعبیر الفقر فیها، بل یوجد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قدر کفایتهم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أعم من مؤونة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سبیل المثال، فمن الممکن أن یحتاج أحد ممن ینتسبون إلی بنی هاشم أن یعدّ منزلاً، أو یهیئ وسیلة لنفسه، فیجب دفع مقدار من المال إلیه دفعة واحدة لتأمین کفایته لعدة سنوات، ویمکن القول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یستغنون به فی سنتهم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قدر کفایتهم</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فی مقام کیفیة التقسیم الذی هو من صلاحیات الإمام أو الفقیه، فهو الذی یحدد مقدار ما یدفع إلیهم، ولم یذکر الشارع مقداراً معیناً لذلک، بل جعل صلاحیة ذلک بید الإمام أو الفقیه، فهو یستطیع أن یدفع بمقدار مؤونة السنة أو بمقدار الکفایة، ولا مفهوم فی مثل هذه الروایات علی عدم جواز دفعه أکثر من هذا المقدار</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وُجدت ضابطة واحدة فقط بین هذه الروایات لهذه الجهة، عندئذ کنا نستطیع القول بأن لها مفهوماً فی ذلک، ویتمثل هذا المفهوم بأنه لا یجوز دفع أکثر من مؤونة السنة إلیهم، ولکن فی محل کلامنا لا یوجد مثل ذلک بل ذکرت ضابطتان هما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مؤونة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قدر کفایتهم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والعنوان الثانی أعم من الأول، وبالتالی یمکن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مفهوم لهذه الروایة فی ذلک، ولیست هذه الروایة فی مقام</w:t>
      </w:r>
    </w:p>
    <w:p>
      <w:pPr>
        <w:pStyle w:val="BookText"/>
        <w:rPr/>
      </w:pPr>
      <w:r>
        <w:rPr>
          <w:rFonts w:ascii="IRNazanin" w:hAnsi="IRNazanin" w:eastAsia="IRNazanin"/>
          <w:color w:val="111111"/>
          <w:sz w:val="28"/>
          <w:sz w:val="28"/>
          <w:szCs w:val="28"/>
          <w:rtl w:val="true"/>
          <w:lang w:bidi="fa-IR"/>
        </w:rPr>
        <w:t xml:space="preserve">المفهوم، والملاک عنوان آخر، نعم إذا کان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قدر کفایتهم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کفایة سنة واحدة، ففی هذه الحالة فإن هذا العنوان الثانی یکون مثل العنوان الأول ولا فرق حینئذٍ بینهما، ولکنه تفسیر علی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وبشکل عام، فی کل مورد من الروایات إذا ذکرت ضابطتان أو ثلاث، عندها یمکن استظهار عدم المفهوم، بل کون الملاک شیئاً آخر، وفی هذا البحث نکتشف أن الملاک هو صلاحیة وإرادة اتخاذ القرار من قبل الإمام الذی یقسم الخمس بناء علی المصلحة التی یراها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حال فإن خُلِّینا والآیة الشریفة فإننا لا نستفید اشتراط الفقر بأی وجه من هذه الآیة، إذ فیها 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ذکره البعض بأنه إذا کان للطفل والد غنی عندها لا یجوز إعطاء الخمس إلیه فلیس بصحیح، والأمر کذلک ینطبق علیه إذا مات أبوه وترک له أموالاً طائلة عندها لا یجوز دفع الخمس إلیه فی هذه الحالة،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خیر من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الأمر غیر صحیح وهو مجرد استحسان، ولا یمکن جعل مثل هذه الاستحسانات جزءاً من عملیة الاستنباط فی المسائل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روایة ریان بن الصلت عن الإمام الثامن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توضیح هذه الآیة الشریفة حیث یقول</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قوله والیتامی والمساکین فإن الیتیم إذا انقطع یتمه خرج من الغنائم ولم یکن له فیها نصیب</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الشاهد فی هذه الروایة أن الإمام الثامن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جعل الیتم تمام الملاک فی الیتیم، وإن کان الغنی مشترطاً حقیقة فی هذا الأمر ینبغی علی الإمام أن یذکره، فی حین إن الإمام جعل الیتم ملاکاً وحیداً للاستحقاق وهذا الأمر موافق لظاهر الآیة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حال، وإن کان مشهور الفقهاء القول اعتبار الفقر فی باب الیتیم، ولکن یستفاد من هذه الآیة الشریفة خلاف ذلک</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والحال ینبغی علینا فی البحث الفقهی أن ننظر هل یوجد إجماع أو شهرة مسلّمة فی هذا المقام أو لا؟</w:t>
      </w:r>
      <w:bookmarkStart w:id="178" w:name="pg5472_36439"/>
    </w:p>
    <w:p>
      <w:pPr>
        <w:pStyle w:val="Heading3"/>
        <w:numPr>
          <w:ilvl w:val="2"/>
          <w:numId w:val="1"/>
        </w:numPr>
        <w:rPr/>
      </w:pPr>
      <w:bookmarkStart w:id="179" w:name="__RefHeading___Toc2158464_581953129"/>
      <w:bookmarkStart w:id="180" w:name="_Toc66"/>
      <w:bookmarkEnd w:id="178"/>
      <w:bookmarkEnd w:id="179"/>
      <w:r>
        <w:rPr>
          <w:rtl w:val="true"/>
        </w:rPr>
        <w:t>هل تشترط العدالة فی الیتامی والمساکین وابن السبیل ؟</w:t>
      </w:r>
      <w:bookmarkEnd w:id="180"/>
    </w:p>
    <w:p>
      <w:pPr>
        <w:pStyle w:val="BookText"/>
        <w:rPr/>
      </w:pPr>
      <w:r>
        <w:rPr>
          <w:rFonts w:ascii="IRNazanin" w:hAnsi="IRNazanin" w:eastAsia="IRNazanin"/>
          <w:color w:val="111111"/>
          <w:sz w:val="28"/>
          <w:sz w:val="28"/>
          <w:szCs w:val="28"/>
          <w:rtl w:val="true"/>
          <w:lang w:bidi="fa-IR"/>
        </w:rPr>
        <w:t>لم یذکر قید العدالة فی أی من الیتامی والمساکین وابن السبیل حسب ظاهر الآیة الکریمة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باب الزکاة، فإن المشهور بین الفقهاء اشتراطهم العدالة، ویعتقدون عدم جواز إعطاء الزکاة للفقیر الفاسق، ومن جهة أخری فإن نفس مشهور الفقهاء، فی باب الخمس، عدم اشتراطهم العدالة، حیث 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الآیة الشریفة فی باب الخمس مطلقة، ولکن فی باب الزکاة فإنه علی الرغم من إطلاق آیتها ولکن توجد روایات مقیدة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ویذکر الجزائری ما 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آیة الخمس الشریفة عدم اشتراط العدالة</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یقال أن الآیة الشریفة لیست فی مقام بیان شروط المستحقین للخمس، لذا لا یستفاد منها موضوع عدم اشتراط الفقر ولا موضوع عدم اعتبار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الفقهاء فی مثل هذه الموارد یأخذون بشکل عام إطلاق هذه الآیة، ویستفیدون منها أن الله عز وجل فی مقام بیان جمیع الخصوصیات</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یطرح فی علم الأصول 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حصل شک بعد صدور کلام ما، فی أن المتکلم فی مقام البیان أو لیس فی ذلک المقام، عندها یوجد أصل عقلائی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المتکلم فی مقام البیان، وهو ما یطلق علیه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کونه فی مقام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حصل علم بالخلاف</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یلزم علینا أن نصل إلی القطع فی أن المتکلم فی مقام البیان، بل إذا وجد فی کلام المتکلم ظهور فی ذلک بأنه فی صدد بیان موضوع ما، فإن هذا القدر کاف، وإذا اعتبر شخص القطع والعلم فی هذا المورد لازماً، عندها یسدّ باب الاستدلال بالإطلاق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بناء علی هذا ففی مثل الآیات الکریمة أو الآیات مثل أَحَلَّ اللهُ الْبَیْعَ و أَوْفُوا بِالْعُقُودِ و تِجارَةً عَنْ تَراضٍ، إذا أردنا التمسک بالإطلاق فی کل مورد، فإن أصالة کونه فی مقام البیان موجودة، إلا فی المواضع التی یحصل لدینا یقین بأن المتکلم لیس فی مقام البیان فیه، إذ عندها یجب أن نخرج من هذا الأصل، وفی هذه الآیة الکریمة التی نبحث فیها لا یوجد عندنا مثل هذا العلم، لأن الله عز وجل لو کان أراد الیتیم الفقیر فحسب لقال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الیتامی من الفقراء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کان أراد العادل منهم لقیدهم بالعدالة فی ذکره وکلامه، وبما أنه لم تأت هذه القیود فهو دلیل علی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فلیس لدینا فی باب الخمس أیة قرینة، والآیة الشریفة مطلقة، ولذا فإن أحد موارد الفرق والاختلاف بین الخمس والزکاة هو قید العدالة والفقر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ذکر سابقاً فإن من یشترطون الفقر فی مستحقی الزکاة یقولون ما یلی</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بما أن الخمس عوض للزکاة، وکما أن الفقر مشترط فی مستحقی الزکاة، فإنه مشترط فی مستحقی الخمس کذلک، وإن أحد موارد نقض هذا المورد هو العدالة، وبما أنهم یشترطون العدالة فی الزکاة، عندها ینبغی علیهم أن یشترطوه فی الخمس فی حین أن الأمر لیس کذلک، ونفس الفقهاء لا یعتبرون اشتراط العدالة فی باب الخمس</w:t>
      </w:r>
      <w:r>
        <w:rPr>
          <w:rFonts w:eastAsia="IRNazanin" w:cs="IRNazanin"/>
          <w:color w:val="111111"/>
          <w:sz w:val="28"/>
          <w:szCs w:val="28"/>
          <w:rtl w:val="true"/>
          <w:lang w:bidi="fa-IR"/>
        </w:rPr>
        <w:t>.</w:t>
      </w:r>
      <w:bookmarkStart w:id="181" w:name="pg5472_36443"/>
    </w:p>
    <w:p>
      <w:pPr>
        <w:pStyle w:val="Heading3"/>
        <w:numPr>
          <w:ilvl w:val="2"/>
          <w:numId w:val="1"/>
        </w:numPr>
        <w:rPr/>
      </w:pPr>
      <w:bookmarkStart w:id="182" w:name="__RefHeading___Toc2158466_581953129"/>
      <w:bookmarkStart w:id="183" w:name="_Toc67"/>
      <w:bookmarkEnd w:id="181"/>
      <w:bookmarkEnd w:id="182"/>
      <w:r>
        <w:rPr>
          <w:rtl w:val="true"/>
        </w:rPr>
        <w:t>هل یشترط فی الیتامی والمساکین وابن السبیل الإیمان ؟</w:t>
      </w:r>
      <w:bookmarkEnd w:id="183"/>
    </w:p>
    <w:p>
      <w:pPr>
        <w:pStyle w:val="BookText"/>
        <w:rPr/>
      </w:pPr>
      <w:r>
        <w:rPr>
          <w:rFonts w:ascii="IRNazanin" w:hAnsi="IRNazanin" w:eastAsia="IRNazanin"/>
          <w:color w:val="111111"/>
          <w:sz w:val="28"/>
          <w:sz w:val="28"/>
          <w:szCs w:val="28"/>
          <w:rtl w:val="true"/>
          <w:lang w:bidi="fa-IR"/>
        </w:rPr>
        <w:t>إن المراد من الإیمان فی اصطلاح الفقه کون الشخص شیعیاً اثنی عشریاً، فهل ینبغی أن یکون هؤلاء الأصناف الثلاثة فی حال قسّم الخمس بینهم، أن یکونوا جمیعهم شیعة اثنی عشریین؟ أو إن الخمس حق قرره الله عز وجل لبنی هاشم مطلقاً سواء کانوا مؤمنین أو لا؟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عندما نرجع فی الفقه إلی کلمات الفقهاء، فإننا نلاحظ أن أکثرهم ممن لا یعتبرون العدالة شرطاً فی الخمس، یشترطون الإیمان، وهم یستدلّون علی مدَّعاهم بأدلة، حیث بلغ مجموع ما أقاموه من أدلة علی ذلک خمسة، نشیر إلیها بصورة عابرة ومجملة</w:t>
      </w:r>
      <w:r>
        <w:rPr>
          <w:rFonts w:eastAsia="IRNazanin" w:cs="IRNazanin"/>
          <w:color w:val="111111"/>
          <w:sz w:val="28"/>
          <w:szCs w:val="28"/>
          <w:rtl w:val="true"/>
          <w:lang w:bidi="fa-IR"/>
        </w:rPr>
        <w:t>:</w:t>
      </w:r>
    </w:p>
    <w:p>
      <w:pPr>
        <w:pStyle w:val="Heading3"/>
        <w:numPr>
          <w:ilvl w:val="2"/>
          <w:numId w:val="1"/>
        </w:numPr>
        <w:rPr/>
      </w:pPr>
      <w:bookmarkStart w:id="184" w:name="__RefHeading___Toc2158468_581953129"/>
      <w:bookmarkStart w:id="185" w:name="_Toc68"/>
      <w:bookmarkEnd w:id="184"/>
      <w:r>
        <w:rPr>
          <w:rtl w:val="true"/>
        </w:rPr>
        <w:t>الأدلة الخمسة التی استند إلیها بعض الفقهاء فی اشتراطهم الإیمان فی مستحقی الخمس</w:t>
      </w:r>
      <w:r>
        <w:rPr>
          <w:rtl w:val="true"/>
        </w:rPr>
        <w:t>:</w:t>
      </w:r>
      <w:bookmarkEnd w:id="1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الاشتغال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الکرامة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الخمس عوض الزکاة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الروایة الواردة فی باب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ادّعاء الاجماع علی اشتراط الإیمان فی مستحقی الزکاة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الاجماع المذکور محتمل المدرک، ومدرکه أدلة أخری وهذا الإجماع مدرکی وساقط عن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ذکروا بأنه إذا شککنا فی أن دفع الخمس لغیر المؤمن هل یوجب براءة الذمة أو لا؟ عندها نتمسک بقاعدة الاشتغال، وأصالة الاشتغال تقول بأن ذمته لا تبرؤ، وأصالة الاشتغال تقول بأنه یجب دفع الخمس فی المورد الذی یتحقق فیه الیقین ببراءة الذمة وهو کون من یدفع إلیه مؤمناً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عن الدلیل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إطلاق هذه الآیة الشریفة محکمة فی مقابل من تمسکوا بأصالة الاشتغال، أی إنه مع وجود الإطلاق فإنه لا یصل المجال للتمسک بالأصل العملی للاشتغال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لم یأتِ فی الآیة الشریفة قید الإیمان للیتامی والمساکین، والألف واللام المذکورتان هنا لیسا ألف ولام العهد، وهی مطلقة، سواء کانوا مؤمنین أو غیرهم، کما مرّ فی اشتراط العدالة، حیث تم التمسک فیه بإطلاق الآیة، ومع هذا الإطلاق لا یصح لأصالة الاشتغال الوقوف أمامه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أصالة الاشتغال أصل عملی، أما أصالة الإطلاق فأمارة وأصل لفظی عقلائی، وعندما یکون أصل لفظی عقلائی فلا تصل النوبة حینئذٍ إلی أصالة الاشتغال، وإن ادّعی مدعٍ بأنه نظراً إلی مزاج الشارع وأخلاقه فی هذا المجال فإنه یوجد انصراف إلی المؤمنین منهم ولا یشمل غیر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الجواب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هذا الانصراف غیر مقبول لعدم وجود منشأ وعلة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الخمس کرامة ومودة لا یستحقها غیر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وردت روایات عن 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والله عنی بذی القربی الذی قرننا الله بنفسه وبرسوله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فلله وللرسول ولذی القربی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والیتامی والمساکین وابن السبیل فینا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یجعل لنا فی سهم الصدقة نصیباً أکرم الله رسوله وأکرمنا أهل البیت أن یطعمنا من أوساخ الناس فکذبوا الله وکذبوا رسوله وجحدوا کتاب الله الناطق بحقنا</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کان الخمس بعنوان کرامة وتکریم، عندها لا ینبغی أن یعطی لغیر المؤمن، وإن المؤمن غیر الاثنی عشری لا یستحق الکرامة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ذکر عنوان الکرامة کملاک، إذ لو طرح بعنوان ملاک لکان ینبغی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إعطاء الخمس للفاسق لأن الفاسق لا یستحق التکریم، فی حین قلنا بأنه یجوز إعطاء الخمس للفاسق، طبعاً فقد استثنی فی الفقه السید المتجاهر بالفسق من الاستحقاق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قیل بما أن التجاهر بالفسق قد استثنی من الاستحقاق، عندها یمکن عبر قیاس الأولویة أن نستثنی غیر المؤمن، ونقول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هذه الأولویة ممنوعة ولا یوجد قطع بوجوده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إن لم یکن سید ما عادلاً، بل کان فاسقاً، عندها یجوز إعطاء الخمس له، بناء علی ذلک فإن الکرامة التی تعتبر غایة وأثراً لا یمکن أن یکون ملاکاً لحکم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نلاحظ أحیاناً فی الفقه أنه تطرح بعض من هذه العناوین کغایة، لا کملاک، ففی باب الصلاة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تَنْهی عَنِ الْفَحْشاءِ وَالْمُنْکَرِ</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الآیة تحمل عنوان الغایة، ولیس الأمر بصحیح أن یقال بما أنه لا یوجد مثل هذا الأثر فی کثیر من الصلوات، فلذا فإن هذه الصلوات غیر صحیحة، ولذا لا یمکن جعل الغایة داخلة فی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ذکروا فی بحث الفقر حول الیتامی ما 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الخمس عوض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وبما أن الإیمان مشترط فی باب الزکاة عندها ینبغی أن یشترط کذلک فی باب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وبتعبیر آخر فإن الخمس جعل لتلک المجموعة التی قرر لها الزکاة، ولکن حرمت منه لکرامتها، فقرر لها الخمس، وبتعبیر آخر فإن الزکاة کانت قد قررت لهذه المجموعة من الناس ولکنهم حرموا منه لکرامتهم فجعل الخمس لهم عوضاً عن ذلک وهذه المجموعة هم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سابقاً فقد وردت فی الروایات أن الله عز وجعل جعل الخمس لبنی هاشم لأنهم حرموا من الزکاة، ولکن هذا لیس بمعنی أنه یجب أن تنطبق جمیع شروط الزکاة فی الخمس، وعلی هذا الأساس فقد اشترط الفقهاء العدالة فی باب الزکاة، أما فی باب الخمس فلم یعتبروه شرطاً، لذا فلا کلّیة لهذا الموضوع أو تعمیماً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فی الروایة الواردة فی باب الزکاة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عز وجل حرّم أموالنا وأموال شیعتنا علی عدونا</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الرغم من ورود هذه الروایة فی باب الزکاة ومستحقیه، ولکنها عامة، والأموال المذکورة فیها لا ریب، تشمل الخمس بشکل مسلّم، وطبقاً لهذه الروایة فإن الخمس الذی هو مال الإمام حرام علی عدوه أی من لیس من الشیعة الاثنی عشریة، ولایجوز إعطاؤه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الروایة ضعیفة من حیث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إشکال من حیث الدلالة، لأن الإشکال لا یتمحور حول البحث فی عدم جواز دفع الخمس إلی العدو الذی یناصب العداء لأهل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إن السؤال یتمثل بما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یجوز إعطاء الخمس للشخص سیِّ‌ء العاقبة، والذی فقد ولایة الأئمة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لم یقبل ولایتهم ابتداءً، ولکنه لا یناصب العداوة لهؤلاء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لا یقبل ولایتهم فحسب، فهل یجوز إعطاء الخمس له؟</w:t>
      </w:r>
    </w:p>
    <w:p>
      <w:pPr>
        <w:pStyle w:val="BookText"/>
        <w:rPr/>
      </w:pPr>
      <w:r>
        <w:rPr>
          <w:rFonts w:ascii="IRNazanin" w:hAnsi="IRNazanin" w:eastAsia="IRNazanin"/>
          <w:color w:val="111111"/>
          <w:sz w:val="28"/>
          <w:sz w:val="28"/>
          <w:szCs w:val="28"/>
          <w:rtl w:val="true"/>
          <w:lang w:bidi="fa-IR"/>
        </w:rPr>
        <w:t>ما هو مسلَّم فی هذه الروایة استخدام کلمة العدو لا المخالف، والعداوة خارجة عن محل النزاع، بل محلّ البحث مطلق المخالفة، وهی أعمّ من العداوة وغیرها، والمؤید لهذا المطلب أن أحد مصارف الزکاة هم المؤلفة قلوبهم الذین یعتبرون من المخالفین لنا یقیناً ونحن ندفع لهم الزکاة تألیفاً لقلوبهم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یوجد احتمال، بأنه علی الرغم من استخدام کلمة العدو فی الروایة، ولا یمکن ادعاء أن من لا یقبل إمامة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اصطلاح الروایات یطلق علیه المخالف أحیاناً وأحیاناً اسم العدو، فالعدو فی الروایات غیر العدو فی المعنی اللغوی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فالعدو فی المعنی اللغوی یوجد فی معناه العداوة والمخالفة، أما العدو الاصطلاحی فی روایات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المخالف سواء حسب المعنی اللغوی سواء أظهر العداوة أو لم یظهرها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فلذا یتضح أنه لا إشکال من حیث الدلالة فی هذه الروایة، ونفسّر العدو بمطلق المخالف، ولکن لا إشکال فی هذه الروایة من حیث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مرسلة حماد بن عیسی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الله هذا الخمس خاصة لهم دون مساکین الناس وأبناء سبیلهم عوضاً لهم من صدقات الناس تنزیهاً من الله لهم لقرابتهم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وکرامة من الله لهم عن أوساخ الناس فجعل لهم خاصة من عنده ما یغنیهم به عن أن یصیرهم فی موضع الذل والمسکنة</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أراد البعض أن یستفیدوا من هذه التعابیر الواردة فی الروایة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إعطاء الخمس لغیر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الرغم من أن هذه الروایة مرسلة، ولکن بما أن مرسلها هو حماد من أصحاب الإجماع، فإن إرسالها لا یضرّها، أما الإنصاف یقتضی بأن هذه التعابیر مثل الدلیل الثالث کذلک الذی ذکر الرد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سبق نستنتج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الدلائل الخمسة المذکورة ضعیفة غالباً وقابلة للمناقشة، ولو خلِّینا والآیة الشریفة فإن الإیمان فی هذه المجموعات الثلاث غیر مشترط أو</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معتبر، إلا إذا قلنا کما فی موضوع الفقر، بأنه یوجد إجماع هنا، حیث لا یبعد أن یوجد إجماع فی مسألة الإیمان کذلک</w:t>
      </w:r>
      <w:r>
        <w:rPr>
          <w:rFonts w:eastAsia="IRNazanin" w:cs="IRNazanin"/>
          <w:color w:val="111111"/>
          <w:sz w:val="28"/>
          <w:szCs w:val="28"/>
          <w:rtl w:val="true"/>
          <w:lang w:bidi="fa-IR"/>
        </w:rPr>
        <w:t>.</w:t>
      </w:r>
      <w:bookmarkStart w:id="186" w:name="pg5472_36455"/>
    </w:p>
    <w:p>
      <w:pPr>
        <w:pStyle w:val="Heading3"/>
        <w:numPr>
          <w:ilvl w:val="2"/>
          <w:numId w:val="1"/>
        </w:numPr>
        <w:rPr/>
      </w:pPr>
      <w:bookmarkStart w:id="187" w:name="__RefHeading___Toc2158470_581953129"/>
      <w:bookmarkStart w:id="188" w:name="_Toc69"/>
      <w:bookmarkEnd w:id="186"/>
      <w:bookmarkEnd w:id="187"/>
      <w:r>
        <w:rPr>
          <w:rtl w:val="true"/>
        </w:rPr>
        <w:t>هل یلزم فی صرف الخمس البسط والتسویة والاستیعاب فی الیتامی والمساکین وابن السبیل ؟</w:t>
      </w:r>
      <w:bookmarkEnd w:id="188"/>
    </w:p>
    <w:p>
      <w:pPr>
        <w:pStyle w:val="BookText"/>
        <w:rPr/>
      </w:pPr>
      <w:r>
        <w:rPr>
          <w:rFonts w:ascii="IRNazanin" w:hAnsi="IRNazanin" w:eastAsia="IRNazanin"/>
          <w:color w:val="111111"/>
          <w:sz w:val="28"/>
          <w:sz w:val="28"/>
          <w:szCs w:val="28"/>
          <w:rtl w:val="true"/>
          <w:lang w:bidi="fa-IR"/>
        </w:rPr>
        <w:t>هل تستفاد من الآیة الشریفة أنه لا یجوز إعطاء سهم السادة للیتامی فحسب، أو المساکین فحسب، بل یجب أن یقسم إلی ثلاثة أقسام، أحدها للیتامی والآخر للمساکین والآخر لابن السبیل؟ علاوة علی وجوب البسط هل یلزم التشریک والتسویة کذلک، بوجوب تقسیم ذلک السهم إلی ثلاثة أقسام متساویة، وعدم إعطاء صنف من هؤلاء الثلاثة أکثر من الصنف الآخر؟</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یتعلق بنصف الخمس الذی یعتبر سهم الله ورسوله والإمام، فإن سهم الله ورسوله یقعان تحت تصرف الإمام، وفی زمن غیبة الإمام یصبح تحت تصرف الفقیه الجامع للشرائط، ولا بحث ولا جدال فی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فیما یتعلق بالنصف الآخر أی سهم السادات فقد ذکر البعض بأن اللام التی دخلت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الکریمة فإنها تدخل کذلک بسبب ورود حرف العطف علی الیتامی والمساکین وابن السبیل، وهذه اللام للملکیة، وتقتضی الجمع والتشریک</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وضعنا النقطیتین السابقتین معاً وقلنا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اللام لام الملکیة،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اللام فی الحقیقة داخلة کذلک علی الطوائف الثلاثة الأخری بمعنی أن کل واحدة منها مالکة أیضاً، وکل من یملک ینبغی إیصال المال إلی مالکه، لذا ینبغی أن یقسم النصف الآخر من الخمس إلی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بالإضافة إلی ذلک فإن نفس الواو تقتضی الجمع والتشریک کذلک، بمعنی أنه یجب فی النصف الثانی من الخمس أن یقسم بین الطوائف الثلاثة علی نحو الشراکة، وبناء علی ذلک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تستفاد من هذه الآیة بأنه لا یجوز إعطاء النصف الثانی من الخمس جمیعاً إلی الیتامی أو المساکین أو ابن السبیل، بل ینبغی أن یبسط علیهم، بمعنی أنه یجب إعطاؤه للمجموعات الثلاث وبالتساوی، وتستفاد هاتان الجهتان أی البسط والتسویة من ظاهر الآیة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إشکال علی هذا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اللام لیست للملکیة بل لام الاختصاص، وهو غیر لام الملکیة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ذکر لِلاّم فی الکتب الأدبیة معانٍ متعددة، أحدها الملکیة الذی یستخدم فیه غالباً، حتی إنهم فسّروا اللام بالملکیة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فِی السَّماواتِ وَالأَرْضِ‌</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بالإضافة إلی لام الملکیة یوجد کذلک لام الاختصاص،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لِلْمُتَّقِینَ‌</w:t>
      </w:r>
      <w:r>
        <w:rPr>
          <w:rStyle w:val="FootnoteAnchor"/>
          <w:rtl w:val="true"/>
        </w:rPr>
        <w:footnoteReference w:id="133"/>
      </w:r>
      <w:r>
        <w:rPr>
          <w:rFonts w:ascii="IRNazanin" w:hAnsi="IRNazanin" w:eastAsia="IRNazanin"/>
          <w:color w:val="111111"/>
          <w:sz w:val="28"/>
          <w:sz w:val="28"/>
          <w:szCs w:val="28"/>
          <w:rtl w:val="true"/>
          <w:lang w:bidi="fa-IR"/>
        </w:rPr>
        <w:t>أی إن الجنة مختصة للمتقین لا أن المتقین مالکون للجنة، وفی هذا المقام فإن اللام دال علی الاختصاص</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بالإضافة إلی لام الملکیة ولام الاختصاص فقد استعمل اللام فی معنی ثالث أی الاستحقاق، فمثلاً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لا یمکننا أن نفسر اللام بالملکیة وأن نقول أن الحمد ملک لله، لذا فإن الأدباء کذلک لم یفسروا اللام بالاختصاص،</w:t>
      </w:r>
      <w:bookmarkStart w:id="189" w:name="pg5472_36458"/>
    </w:p>
    <w:p>
      <w:pPr>
        <w:pStyle w:val="BookText"/>
        <w:rPr/>
      </w:pPr>
      <w:bookmarkEnd w:id="189"/>
      <w:r>
        <w:rPr>
          <w:rFonts w:ascii="IRNazanin" w:hAnsi="IRNazanin" w:eastAsia="IRNazanin"/>
          <w:color w:val="111111"/>
          <w:sz w:val="28"/>
          <w:sz w:val="28"/>
          <w:szCs w:val="28"/>
          <w:rtl w:val="true"/>
          <w:lang w:bidi="fa-IR"/>
        </w:rPr>
        <w:t>بل فسَّروه بلام الاستحقاق،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الحمد مستحق لله، وأن الله تعالی فقط وفقط مستحق للحمد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یستفاد من بعض النصوص الأدبیة أن الأصل الأولی للاّم هو الاختصاص فاللام وضع أولاً للاختصاص، وإن الملکیة والمعانی الأخری تأتی فی المراحل التالیة لهذا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کانت اللام فی الآیة الکریمة محل البحث للاختصاص، بمعنی أن الخمس مختصّ بهذه الطوائف الثلاثة ولا ینبغی أن تخرج عنهم، وإذا أراد شخص أن یوصل الخمس إلی مصارفه فإن مصارف الخمس هی هؤلاء الطوائف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والرسول والإمام والیتامی والمساکین وابن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وبالتالی إذا ظهر اللام فی الاختصاص فی هذه الآیة فلا تستفاد حینئذٍ منها البسط والتسویة، وما ذکرناه سابقاً من الاستفادة من الآیة بأن نصف الخمس متعلق بالإمام والنصف الآخر متعلق بالسادة، وضممنا ذلک إلی بعض الروایات الدالة علی أن ما هو لله عز وجل یقع تحت تصرف الرسول وما هو متعلق بالله والرسول یقع تحت تصرف الإمام، تصبح النتیجة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الخمس إلی قسمین، وبالإضافة إلی ذلک فإنه فیما یتعلق بسهم السادة لا یستفاد من هذه الآیة البسط والتسویة بینهم</w:t>
      </w:r>
      <w:r>
        <w:rPr>
          <w:rFonts w:eastAsia="IRNazanin" w:cs="IRNazanin"/>
          <w:color w:val="111111"/>
          <w:sz w:val="28"/>
          <w:szCs w:val="28"/>
          <w:rtl w:val="true"/>
          <w:lang w:bidi="fa-IR"/>
        </w:rPr>
        <w:t>.</w:t>
      </w:r>
    </w:p>
    <w:p>
      <w:pPr>
        <w:pStyle w:val="Heading3"/>
        <w:numPr>
          <w:ilvl w:val="2"/>
          <w:numId w:val="1"/>
        </w:numPr>
        <w:rPr/>
      </w:pPr>
      <w:bookmarkStart w:id="190" w:name="__RefHeading___Toc2158472_581953129"/>
      <w:bookmarkStart w:id="191" w:name="_Toc70"/>
      <w:bookmarkEnd w:id="190"/>
      <w:r>
        <w:rPr>
          <w:rtl w:val="true"/>
        </w:rPr>
        <w:t>وجوب البسط وعدمه فی الروایات</w:t>
      </w:r>
      <w:r>
        <w:rPr>
          <w:rtl w:val="true"/>
        </w:rPr>
        <w:t>:</w:t>
      </w:r>
      <w:bookmarkEnd w:id="191"/>
    </w:p>
    <w:p>
      <w:pPr>
        <w:pStyle w:val="BookText"/>
        <w:rPr/>
      </w:pPr>
      <w:r>
        <w:rPr>
          <w:rFonts w:ascii="IRNazanin" w:hAnsi="IRNazanin" w:eastAsia="IRNazanin"/>
          <w:color w:val="111111"/>
          <w:sz w:val="28"/>
          <w:sz w:val="28"/>
          <w:szCs w:val="28"/>
          <w:rtl w:val="true"/>
          <w:lang w:bidi="fa-IR"/>
        </w:rPr>
        <w:t>لقد ذکر فی بعض الروایات ما یلی</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یخرج الخمس منهم إلی غیرهم</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bookmarkStart w:id="192" w:name="pg5472_36460"/>
    </w:p>
    <w:p>
      <w:pPr>
        <w:pStyle w:val="BookText"/>
        <w:rPr/>
      </w:pPr>
      <w:bookmarkEnd w:id="192"/>
      <w:r>
        <w:rPr>
          <w:rFonts w:ascii="IRNazanin" w:hAnsi="IRNazanin" w:eastAsia="IRNazanin"/>
          <w:color w:val="111111"/>
          <w:sz w:val="28"/>
          <w:sz w:val="28"/>
          <w:szCs w:val="28"/>
          <w:rtl w:val="true"/>
          <w:lang w:bidi="fa-IR"/>
        </w:rPr>
        <w:t>حیث یفهم من هذه الروایة بشکل واضح مسألة الاختصاص، لأن الروایة دالة علی عدم خروج الخمس من هذه الطوائف الستة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البسط وعدمه من منظور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مشهور الفقهاء یقوم علی عدم وجوب البسط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ینقل صاحب الجواهر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خلاف الفقهاء فی ذلک، وینقل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العلاّمة ما 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یفهم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إن إجماع الفقهاء واتفاقهم علی عدم وجوب البسط</w:t>
      </w:r>
      <w:r>
        <w:rPr>
          <w:rFonts w:eastAsia="IRNazanin" w:cs="IRNazanin"/>
          <w:color w:val="111111"/>
          <w:sz w:val="28"/>
          <w:szCs w:val="28"/>
          <w:rtl w:val="true"/>
          <w:lang w:bidi="fa-IR"/>
        </w:rPr>
        <w:t>.</w:t>
      </w:r>
      <w:r>
        <w:rPr>
          <w:rStyle w:val="FootnoteAnchor"/>
          <w:rtl w:val="true"/>
        </w:rPr>
        <w:footnoteReference w:id="135"/>
      </w:r>
    </w:p>
    <w:p>
      <w:pPr>
        <w:pStyle w:val="Heading3"/>
        <w:numPr>
          <w:ilvl w:val="2"/>
          <w:numId w:val="1"/>
        </w:numPr>
        <w:rPr/>
      </w:pPr>
      <w:bookmarkStart w:id="193" w:name="__RefHeading___Toc2158474_581953129"/>
      <w:bookmarkStart w:id="194" w:name="_Toc71"/>
      <w:bookmarkEnd w:id="193"/>
      <w:r>
        <w:rPr>
          <w:rtl w:val="true"/>
        </w:rPr>
        <w:t>لا قرینة فی الآیة علی کون اللام للملکیة</w:t>
      </w:r>
      <w:r>
        <w:rPr>
          <w:rtl w:val="true"/>
        </w:rPr>
        <w:t>:</w:t>
      </w:r>
      <w:bookmarkEnd w:id="194"/>
    </w:p>
    <w:p>
      <w:pPr>
        <w:pStyle w:val="BookText"/>
        <w:rPr/>
      </w:pPr>
      <w:r>
        <w:rPr>
          <w:rFonts w:ascii="IRNazanin" w:hAnsi="IRNazanin" w:eastAsia="IRNazanin"/>
          <w:color w:val="111111"/>
          <w:sz w:val="28"/>
          <w:sz w:val="28"/>
          <w:szCs w:val="28"/>
          <w:rtl w:val="true"/>
          <w:lang w:bidi="fa-IR"/>
        </w:rPr>
        <w:t>ربما یمکن القول بما أن اللام داخلة علی لفظ الجلالة فی الآیة الکریمة، وباعتبار أن الملکیة بالنسبة إلی الله لا معنی لها، عند ذلک نستطیع أن نأخذ ذلک کقرینة علی عدم المراد من الملکیة فی مورد رسول الله کذلک، بل المراد منه الاستحقاق أو الاختصاص، وهذا الأمر یجری کذلک فی ذی القربی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لدینا قرینة فیما یتعلق بلفظ الجلالة أنه لا معنی للملکیة فی اللام، لذا لا یمکن تفسیر اللام فی هذا المقام بالملکیة، أما فیما یتعلق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وذی القربی فینبغی إرادة معنی الملکیة من اللام بناء علی الأصل الأولی والاستعمال الأولی لهذا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یمکن ذکر ثلاثة ردود علی هذا الإشکال 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الرد الأول</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البیان متفرع علی أن المعنی الحقیقی للاّم هو التملیک، ولکن لا یوجد لدینا مثل هذا الأصل، بل إذا رجعنا إلی الکتب الأدبیة نلاحظ أن أغلب الأدباء یقولون أن اللام موضوع للاختصاص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لو لم نقل بذلک، فإنه لا یوجد دلیل علی أن الأصل الأولی فی معنی اللام أو الظهور الأولی له هو الملکیة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خطاب الآیة الکریمة فی مقابل المجموع لا من حیث المجموع، لأنه إذا کان المجموع من حیث المجموع، عندها ینبغی القول بأنه یجب علی المسلمین أن یجمعوا الخمس فی مکان واحد، ومن ثم یقسمونه بین الأصناف الستة، ولم یقل أحد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 لا من حیث 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لا یلزم علی شخص واحد أن یقسم سهم السادة بین هذه المجموعات الثلاث، بل إذا قام بإعطائه لمسکین واحد فقط أو یتیم فقط، فإنه یستفاد من هذه الآیة الشریفة عدم المنع فی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الرد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کانت اللام للملکیة واستفید من الواو التشریک، فإن لهذا الأمر تالیین فاسدین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اقتضی الواو التشریک، وطبقاً لما ورد فی باب الشرکة حیث یذکر الفقهاء بأنه لا یجوز لأحد من الشرکاء أن یتصرف فی المال المشترک المشاع بدون إذن شریکه، عندها فی هذا المقام ینبغی القول بأن المال الذی یعطی للیتیم لا یجوز التصرف فیه حتی یتم الحصول علی إذن المساکین وابن السبیل فیه، بل إنه حتی إذا أرید تقسیمه علی الیتامی والمساکین وابن السبیل ابتداء ینبغی أن یؤخذ إذن الآخرین، ویجب أن یتم التقسیم بإذنهم جمیعاً، ولم یقل أحد بذلک</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الواو تقتضی الشراکة، عندها یجب القول بأن المال الذی یفرز بعنوان الخمس لا یجوز إعطاء قیمته، بل ینبغی إعطاء عینه لجمیع الیتامی أو</w:t>
      </w:r>
    </w:p>
    <w:p>
      <w:pPr>
        <w:pStyle w:val="BookText"/>
        <w:rPr/>
      </w:pPr>
      <w:r>
        <w:rPr>
          <w:rFonts w:ascii="IRNazanin" w:hAnsi="IRNazanin" w:eastAsia="IRNazanin"/>
          <w:color w:val="111111"/>
          <w:sz w:val="28"/>
          <w:sz w:val="28"/>
          <w:szCs w:val="28"/>
          <w:rtl w:val="true"/>
          <w:lang w:bidi="fa-IR"/>
        </w:rPr>
        <w:t>المساکین، فی حین لم یقل أحد بذلک، ویقول جمیع الفقهاء بأنه لا مانع من دفع قیمته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إذا قلنا بأن البحث لیس فی الشراکة الفقهیة بل فی الشراکة اللغویة، إذ عندها لا تطرح التوالی الفاسدة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وبملاحظة ما ذکر سابقاً نستنتج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استفادة وجوب البسط من هذه الآیة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ویکفینا هذا المقدار من عدم وجود دلیل علی وجوب البسط، بالقول بعدم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قالوا بعدم وجوب البسط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اللام فی الآیة الکریمة للاستحقاق أو الاختصاص، وإن ذکر الیتامی والمساکین وابن السبیل فیها لیس بعنوان المالک بل بعنوان المصرف، کما أن الفقراء والعاملین والمؤلفة قلوبهم فی باب الزکاة لیسوا مالکین لها، بل هم عناوین لمصرفها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الادّعاء بعدم وجود ملازمة بین المصرف وعدم وجوب البسط، ولا منافاة فی أن تکون تلک المجموعات مصارف للخمس وفی الوقت عینه وجوب البسط بینها، وما ذکر فی کثیر من الکتب الفقهیة بالملازمة بین اعتبارهم من المصارف وعدم وجوب البسط لیس بصحیح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هنا نستطیع أن نقول بأن أول دلیل علی عدم وجوب البسط هو عدم وجود دلیل علی وجوبه، وهذا المقدار من عدم وجود الدلیل کافٍ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 علی عدم وجوب البسط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أحد الأدلة علی عدم وجوب البسط والتی تم الاستدلال بها کما یلی</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أحد الموارد الثلاثة فی صرف الخمس فی الآیة الکریمة هم الیتامی، والمورد الآخر هم المساکین، والمورد الثالث هم ابن السبیل، ولا شک أن أعداد المساکین</w:t>
      </w:r>
    </w:p>
    <w:p>
      <w:pPr>
        <w:pStyle w:val="BookText"/>
        <w:rPr/>
      </w:pPr>
      <w:r>
        <w:rPr>
          <w:rFonts w:ascii="IRNazanin" w:hAnsi="IRNazanin" w:eastAsia="IRNazanin"/>
          <w:color w:val="111111"/>
          <w:sz w:val="28"/>
          <w:sz w:val="28"/>
          <w:szCs w:val="28"/>
          <w:rtl w:val="true"/>
          <w:lang w:bidi="fa-IR"/>
        </w:rPr>
        <w:t>أکثر من الیتامی، والیتامی أکثر من ابن السبیل فی جمیع الأزمنة، و إن کان البسط واجباً فإن ذلک یستلزم أن یحصل إجحاف فی حق المساکین، وهذا الأمر مستحیل فی حق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إشکال الدلیل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برأینا إن هذا الدلیل غیر تام لأنه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دلیل لدینا علی أن غرض الشارع المتعال رفع کافة حاجات بنی هاشم بالخمس، إذ کثیراً ما یمکن أن یوجد أفراد فقراء کثیرون فی منطقة ما، ومن یجب علیهم الخمس یکونون قلیلین، أو أن یکون حجمه قلیلاً بالمقدار الذی إذا دفعوا جمیع أخماسهم، فإنهم لن یستطیعوا أن یسدّوا حاجة عُشر المساکین فی تلک المنطقة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لیس صحیحاً القول بأنه إذا أعطی الخمس، فإن جمیع حاجات ومشکلات بنی هاشم سوف ترتفع وتحل، ولا دلیل لدینا علی هذا الموضوع أیضاً، بل إن الظروف متنوعة ومختلفة ولیست متشابهة، والشارع کذلک لم یقرر بأن غرضه الأصلی هو رفع احتیاجات بنی هاشم جمیعاً، بل إن أصل الخمس کما وردت فی الروایات الکریمة تعتبر کرامة من قبل الله عز وجل، وهدف الشارع کذلک هو ذلک الأمر، حیث یمکن أن ترتفع المشکلات عنهم إلی حد معین بالإضافة إلی تلک الکرامة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إذا لم یصل الخمس إلی جمیع المساکین، عندئذٍ لا یمکن القول بأن هذا إجحاف</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مسألة الإجحاف مطروحة لوجب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شخص، والرسول کذلک شخص آخر، والذات المقدسة الإلهیة واحد آخر، أما الیتامی فهم</w:t>
      </w:r>
    </w:p>
    <w:p>
      <w:pPr>
        <w:pStyle w:val="BookText"/>
        <w:rPr/>
      </w:pPr>
      <w:r>
        <w:rPr>
          <w:rFonts w:ascii="IRNazanin" w:hAnsi="IRNazanin" w:eastAsia="IRNazanin"/>
          <w:color w:val="111111"/>
          <w:sz w:val="28"/>
          <w:sz w:val="28"/>
          <w:szCs w:val="28"/>
          <w:rtl w:val="true"/>
          <w:lang w:bidi="fa-IR"/>
        </w:rPr>
        <w:t>أکثر والمساکین هم أکثر فأکثر، ولذا فإن إعطاء سهم من جمیع الخمس إلی شخص واحد هو إجحاف بحسب الظاهر، فی حین إن مثل هذا الموضوع واضح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ذلک فإن دلیل الإجحاف غیر مقبول ولا یمکن أن یکون دلیلاً علی وجوب البسط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العسر والحرج دلیل آخر علی عدم وجوب البسط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یعیش بنو هاشم فی أماکن متعددة وفی بلاد متفرقة، ومن وجب علیه الخمس ووقع علی عاتقه دفعه ولم یوجد فی بلده یتیم أو ابن سبیل أو یوجد مساکین فحسب، فإذا أراد أن یدفع الخمس، فهل یجب علیه أن یترک بلده إلی سائر البلاد الأخری بحثاً عن الیتیم أو ابن السبیل؟</w:t>
      </w:r>
    </w:p>
    <w:p>
      <w:pPr>
        <w:pStyle w:val="BookText"/>
        <w:rPr/>
      </w:pPr>
      <w:r>
        <w:rPr>
          <w:rFonts w:ascii="IRNazanin" w:hAnsi="IRNazanin" w:eastAsia="IRNazanin"/>
          <w:color w:val="111111"/>
          <w:sz w:val="28"/>
          <w:sz w:val="28"/>
          <w:szCs w:val="28"/>
          <w:rtl w:val="true"/>
          <w:lang w:bidi="fa-IR"/>
        </w:rPr>
        <w:t xml:space="preserve">إذا کان الأمر کذلک فإن هذا العمل وهذا الوجوب یستلزم العسر والحرج، وطبق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یعبر عنها بنفی تشریع الحکم الحرجی، فإن هذا الوجوب یصبح منفیاً وبالتالی فإن البسط غیر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علی دلیل العسر والحرج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الدلیل مردود أیضاً لأن أشخاصاً مثل الشیخ الطوسی</w:t>
      </w:r>
      <w:r>
        <w:rPr>
          <w:rStyle w:val="FootnoteAnchor"/>
          <w:rtl w:val="true"/>
        </w:rPr>
        <w:footnoteReference w:id="136"/>
      </w:r>
      <w:r>
        <w:rPr>
          <w:rFonts w:ascii="IRNazanin" w:hAnsi="IRNazanin" w:eastAsia="IRNazanin"/>
          <w:color w:val="111111"/>
          <w:sz w:val="28"/>
          <w:sz w:val="28"/>
          <w:szCs w:val="28"/>
          <w:rtl w:val="true"/>
          <w:lang w:bidi="fa-IR"/>
        </w:rPr>
        <w:t>، الذی یقول بوجوب البسط لم یقل بأن کل من یعیش فی بلده أو یعیش بشکل عام فی العالم أن</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یقوم بعملیة البسط هذه، بل یقول بأنه إذا وجدت هذه المجموعات الثلاث فی بلده فلا یحقّ له إعطاء الخمس جمیعه لطائفة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صرّح الشیخ الطوسی بأنه إذا لم یوجد فی بلده یتیم فلا یلزم علیه أن یذهب إلی بلد آخر لیبسطه هناک، وظاهر کلام الشیخ أنه لا یلزم حتی التفحص حول وجود هذه المجموعات الثلاث أو لا، بل یلزم علیه بسط الخمس بینهم فی حال حصول علم بوجود هؤلاء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الرابع علی عدم وجوب البسط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الدلیل الآخر الذی یقال هنا یتمثل بما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المقصود من ابن السبیل فی الآیة الکریمة شخصاً معیناً، وکذلک لیس المراد منه فرداً غیر معین، بل المراد جنس ابن السبیل، أی من یصدق علیه ابن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یقولون بعدم وجوب البسط یذکرون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بما أن لابن السبیل مصادیق قلیلة، فإذا أردنا أن نقول بوجوب البسط، عندئذ کیف یمکننا العمل بذلک مع وجود هذا المحذور، وکیف یمکن دفع سهم ابن السبیل؟</w:t>
      </w:r>
    </w:p>
    <w:p>
      <w:pPr>
        <w:pStyle w:val="BookText"/>
        <w:rPr/>
      </w:pPr>
      <w:r>
        <w:rPr>
          <w:rFonts w:ascii="IRNazanin" w:hAnsi="IRNazanin" w:eastAsia="IRNazanin"/>
          <w:color w:val="111111"/>
          <w:sz w:val="28"/>
          <w:sz w:val="28"/>
          <w:szCs w:val="28"/>
          <w:rtl w:val="true"/>
          <w:lang w:bidi="fa-IR"/>
        </w:rPr>
        <w:t>الجواب علی الدلیل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الجواب علی هذا الدلیل واضح لأنه إذا انتفی الموضوع مثل حکم خصال الکفارة حینها یسقط التکلیف بانتفاء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یمکن جعل ابن السبیل قرینة علی أن المراد من الیتامی جنس الیتیم، وبما أن الألف واللام جعل للجنس، فإن الألف واللام فی المسألتین کذلک جعل للجنس؟ وإذا قیل بأن الألف واللام فی الیتامی للاستغراق وأن الألف واللام فی المساکین</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للاستغراق کذلک، ولکن عندما یصل الأمر إلی ابن السبیل فإننا نقول بأن المراد منه الجنس فی هذه الحال، وهذا خلاف لوحدة السیاق</w:t>
      </w:r>
      <w:r>
        <w:rPr>
          <w:rFonts w:eastAsia="IRNazanin" w:cs="IRNazanin"/>
          <w:color w:val="111111"/>
          <w:sz w:val="28"/>
          <w:szCs w:val="28"/>
          <w:rtl w:val="true"/>
          <w:lang w:bidi="fa-IR"/>
        </w:rPr>
        <w:t>.</w:t>
      </w:r>
      <w:bookmarkStart w:id="195" w:name="pg5472_36472"/>
    </w:p>
    <w:p>
      <w:pPr>
        <w:pStyle w:val="BookText"/>
        <w:rPr/>
      </w:pPr>
      <w:bookmarkEnd w:id="195"/>
      <w:r>
        <w:rPr>
          <w:rFonts w:ascii="IRNazanin" w:hAnsi="IRNazanin" w:eastAsia="IRNazanin"/>
          <w:color w:val="111111"/>
          <w:sz w:val="28"/>
          <w:sz w:val="28"/>
          <w:szCs w:val="28"/>
          <w:rtl w:val="true"/>
          <w:lang w:bidi="fa-IR"/>
        </w:rPr>
        <w:t>بعبارة أخری إن وحدة السیاق تقتضی کون الألف واللام فی الموارد الثلاثة للجنس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أن هذا المطلب متفرع علی موضوع عدم وجود أصل للألف واللام بحیث یمکن القول إن الأصل الأولی لوضع الألف واللام هو الاستغراق، وإن لم یوجد مثل هذا الأصل فإن مسألة وحدة السیاق صحیحة وینبغی الاهتمام بها</w:t>
      </w:r>
      <w:r>
        <w:rPr>
          <w:rFonts w:eastAsia="IRNazanin" w:cs="IRNazanin"/>
          <w:color w:val="111111"/>
          <w:sz w:val="28"/>
          <w:szCs w:val="28"/>
          <w:rtl w:val="true"/>
          <w:lang w:bidi="fa-IR"/>
        </w:rPr>
        <w:t>.</w:t>
      </w:r>
    </w:p>
    <w:p>
      <w:pPr>
        <w:pStyle w:val="Heading3"/>
        <w:numPr>
          <w:ilvl w:val="2"/>
          <w:numId w:val="1"/>
        </w:numPr>
        <w:rPr/>
      </w:pPr>
      <w:bookmarkStart w:id="196" w:name="__RefHeading___Toc2158476_581953129"/>
      <w:bookmarkStart w:id="197" w:name="_Toc72"/>
      <w:bookmarkEnd w:id="196"/>
      <w:r>
        <w:rPr>
          <w:rtl w:val="true"/>
        </w:rPr>
        <w:t>هل یلزم الاستیعاب ؟</w:t>
      </w:r>
      <w:bookmarkEnd w:id="197"/>
    </w:p>
    <w:p>
      <w:pPr>
        <w:pStyle w:val="BookText"/>
        <w:rPr/>
      </w:pPr>
      <w:r>
        <w:rPr>
          <w:rFonts w:ascii="IRNazanin" w:hAnsi="IRNazanin" w:eastAsia="IRNazanin"/>
          <w:color w:val="111111"/>
          <w:sz w:val="28"/>
          <w:sz w:val="28"/>
          <w:szCs w:val="28"/>
          <w:rtl w:val="true"/>
          <w:lang w:bidi="fa-IR"/>
        </w:rPr>
        <w:t>بالإضافة إلی لزوم البسط والتسویة، هناک بحث آخر فی هذه الآیة بأنه هل یلزم تقسیم سهم الیتامی بین جمیع الأیتام، ولا یجوز إعطاؤه لبعض الأیتام؟ وکذلک الأمر بالنسبة إلی سهم المساکین، وهل یلزم تقسیمه بین جمیع المساکین؟ فإذا قبلنا أنه یجب تقسیمهم بینهم جمیعاً فإن هذا ما یعبر عنه لزوم الاستیعاب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 الفقهاء بالإجماع علی عدم وجوب الاستیعاب، لأن الإنسان مضافاً إلی أنه لا یستطیع أن یدفع خمسه لجمیع الیتامی وجمیع المساکین ویجدهم، فالاستیعاب أمر متعذر عادة، وفی التکالیف الشرعیة فإن کل ما هو متعذر عادة علی نوع الناس، خارج عن دائرة التکلیف، ولا یتعلق به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بما أن الاستیعاب متعذر، لذلک یجب طرح الاستیعاب جانباً، والقول بأن الآیة الشریفة خطاب لجمیع المکلفین بالنسبة إلی مجموع الموارد، ولیس خطاباً لکل فرد بالنسبة إلی مجموع کل من هذه الطوائف الثلاثة، حتی یوجد مجال للاستیعاب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فالآیة الشریفة مطروحة بعنوان قانون کلی، وعندما یصبح الأمر من قبیل المجموع فی مقابل المجموع فمعناها أنه فیما یتعلق بسهم السادة یستطیع شخص واحد أن</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یعطی سهمه للیتامی فقط، ویقوم شخص آخر بإعطاء سهمه للمساکین فقط، ویقوم شخص ثالث بإعطاء سهمه لأبناء السبیل فقط</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إذا قلنا بأن معنی ومدلول الآیة الشریفة جعل کلاً من هؤلاء الأشخاص مقابل المجموع، یصبح معناها أنه یلزم علی کل فرد أن یقسم سهم السادات بین هذه الطوائف الثلاث، وبناء علی ذلک یصبح الاستیعاب متعذراً أولاً، وثانیاً عندما نقوم بتفسیر الآیة الشریفة بمبدأ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 مقابل المجموع لا من حیث 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ذلک لا یبقی مجال للاستیعاب</w:t>
      </w:r>
      <w:r>
        <w:rPr>
          <w:rFonts w:eastAsia="IRNazanin" w:cs="IRNazanin"/>
          <w:color w:val="111111"/>
          <w:sz w:val="28"/>
          <w:szCs w:val="28"/>
          <w:rtl w:val="true"/>
          <w:lang w:bidi="fa-IR"/>
        </w:rPr>
        <w:t>.</w:t>
      </w:r>
      <w:bookmarkStart w:id="198" w:name="pg5472_36475"/>
    </w:p>
    <w:p>
      <w:pPr>
        <w:pStyle w:val="Heading3"/>
        <w:numPr>
          <w:ilvl w:val="2"/>
          <w:numId w:val="1"/>
        </w:numPr>
        <w:rPr/>
      </w:pPr>
      <w:bookmarkStart w:id="199" w:name="__RefHeading___Toc2158478_581953129"/>
      <w:bookmarkStart w:id="200" w:name="_Toc73"/>
      <w:bookmarkEnd w:id="198"/>
      <w:bookmarkEnd w:id="199"/>
      <w:r>
        <w:rPr>
          <w:rtl w:val="true"/>
        </w:rPr>
        <w:t>هل ینحصر مصرف سهم السادات علی الیتامی والمساکین وابن السبیل منهم ؟</w:t>
      </w:r>
      <w:bookmarkEnd w:id="200"/>
    </w:p>
    <w:p>
      <w:pPr>
        <w:pStyle w:val="BookText"/>
        <w:rPr/>
      </w:pPr>
      <w:r>
        <w:rPr>
          <w:rFonts w:ascii="IRNazanin" w:hAnsi="IRNazanin" w:eastAsia="IRNazanin"/>
          <w:color w:val="111111"/>
          <w:sz w:val="28"/>
          <w:sz w:val="28"/>
          <w:szCs w:val="28"/>
          <w:rtl w:val="true"/>
          <w:lang w:bidi="fa-IR"/>
        </w:rPr>
        <w:t>من النقاط التی ینبغی طرحها، تتمثل فی أنه هل یستفاد من آیة الخمس الانحصار؟</w:t>
      </w:r>
    </w:p>
    <w:p>
      <w:pPr>
        <w:pStyle w:val="BookText"/>
        <w:rPr/>
      </w:pPr>
      <w:r>
        <w:rPr>
          <w:rFonts w:ascii="IRNazanin" w:hAnsi="IRNazanin" w:eastAsia="IRNazanin"/>
          <w:color w:val="111111"/>
          <w:sz w:val="28"/>
          <w:sz w:val="28"/>
          <w:szCs w:val="28"/>
          <w:rtl w:val="true"/>
          <w:lang w:bidi="fa-IR"/>
        </w:rPr>
        <w:t>إن کان أحد السادة مثلاً یحمل عنواناً غیر هذه العناوین الثلاثة بأن لا یکون تحت عنوان الیتیم أو المسکین أو ابن السبیل، فهل یجوز صرف سهم السادات علیه؟</w:t>
      </w:r>
    </w:p>
    <w:p>
      <w:pPr>
        <w:pStyle w:val="BookText"/>
        <w:rPr/>
      </w:pPr>
      <w:r>
        <w:rPr>
          <w:rFonts w:ascii="IRNazanin" w:hAnsi="IRNazanin" w:eastAsia="IRNazanin"/>
          <w:color w:val="111111"/>
          <w:sz w:val="28"/>
          <w:sz w:val="28"/>
          <w:szCs w:val="28"/>
          <w:rtl w:val="true"/>
          <w:lang w:bidi="fa-IR"/>
        </w:rPr>
        <w:t xml:space="preserve">لقد ذُکر سابقاً أن أحد الاحتمالات التی توجد فی آیة الخمس تتمثل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دخلت علی ألفاظ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الآیة الکریمة، لم تدخل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الیتامی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وهذا یعنی أن هذه المجموعات الثلاث تحمل عنوان المصرف لا عنوان الملکیة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استفید فی المبحث السابق من هذه النقطة فی أنه لا یستفاد من هذه الآیة معنی التشریک، ولذا استنتجنا أنه لا یلزم البسط بین هذه الطوائف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هل یمکن القول بالانحصار فی المصرف علی هذه المجموعات الثلاث أو لا؟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یوجد احتمال یتمثل بأن عدم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لعدم الاختصاص، لأنه بناء علی ذلک المعنی الأصلی الذی ذکرناه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یفید الاختصاص، فإن نصف الخمس مختص بالله والرسول والإمام، وعدم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الیتامی والمساکین وابن السبیل بسبب عدم اختصاص النصف الثانی للخمس بهذه المجموعات الثلاث</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أخذنا سابقاً عدم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قرینة علی کون هذه المجموعات الثلاث من مصارف الخمس، وفی هذا البحث سوف نأخذ عدم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إلی ما سبق</w:t>
      </w:r>
      <w:bookmarkStart w:id="201" w:name="pg5472_36478"/>
    </w:p>
    <w:p>
      <w:pPr>
        <w:pStyle w:val="BookText"/>
        <w:rPr/>
      </w:pPr>
      <w:bookmarkEnd w:id="201"/>
      <w:r>
        <w:rPr>
          <w:rFonts w:ascii="IRNazanin" w:hAnsi="IRNazanin" w:eastAsia="IRNazanin"/>
          <w:color w:val="111111"/>
          <w:sz w:val="28"/>
          <w:sz w:val="28"/>
          <w:szCs w:val="28"/>
          <w:rtl w:val="true"/>
          <w:lang w:bidi="fa-IR"/>
        </w:rPr>
        <w:t>قرینة علی أن مراد الشارع انحصار مصرف سهم السادات بهذه المجموعات الثلاث، بل إن ذکر الیتامی والمساکین وابن السبیل هو ذکر لبعض من مصادیق المصرف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ذلک، إذا وجدنا مورداً بحیث لم یکن بین السادة یتیم أو مسکین أو ابن سبیل، عندها فإنه یجوز بناء علی ظاهر هذه الآیة الشریفة أن یوصل من سهم السادة للصرف علی هذا الشخص الذی لا ینتمی إلی هذه المجموعات الثلاث، لاسیما بالنظر إلی هذه النقطة أن الحکمة فی تخصیص سهم السادات لا ینحصر برفع احتیاجات بنی هاشم، بل إن هذا السهم یعتبر کرامة لهم، کما أن ظاهر بعض الروایات تدل علی ذلک، وهنا ینبغی التذکیر بأن ما ذکر فی هذا البحث لا یمکن أن یتلقی کنتیجة نهائیة، بل وضحنا هذه المسألة من جهة دلالة الآیة الشریفة فحسب</w:t>
      </w:r>
      <w:r>
        <w:rPr>
          <w:rFonts w:eastAsia="IRNazanin" w:cs="IRNazanin"/>
          <w:color w:val="111111"/>
          <w:sz w:val="28"/>
          <w:szCs w:val="28"/>
          <w:rtl w:val="true"/>
          <w:lang w:bidi="fa-IR"/>
        </w:rPr>
        <w:t>.</w:t>
      </w:r>
    </w:p>
    <w:p>
      <w:pPr>
        <w:pStyle w:val="Heading3"/>
        <w:numPr>
          <w:ilvl w:val="2"/>
          <w:numId w:val="1"/>
        </w:numPr>
        <w:rPr/>
      </w:pPr>
      <w:bookmarkStart w:id="202" w:name="__RefHeading___Toc2158480_581953129"/>
      <w:bookmarkStart w:id="203" w:name="_Toc74"/>
      <w:bookmarkEnd w:id="202"/>
      <w:r>
        <w:rPr>
          <w:rtl w:val="true"/>
        </w:rPr>
        <w:t xml:space="preserve">هل تعتبر آیة الغنیمة </w:t>
      </w:r>
      <w:r>
        <w:rPr>
          <w:rtl w:val="true"/>
        </w:rPr>
        <w:t>(</w:t>
      </w:r>
      <w:r>
        <w:rPr>
          <w:rtl w:val="true"/>
        </w:rPr>
        <w:t xml:space="preserve">الآیة </w:t>
      </w:r>
      <w:r>
        <w:rPr/>
        <w:t>41</w:t>
      </w:r>
      <w:r>
        <w:rPr>
          <w:rtl w:val="true"/>
        </w:rPr>
        <w:t xml:space="preserve"> </w:t>
      </w:r>
      <w:r>
        <w:rPr>
          <w:rtl w:val="true"/>
        </w:rPr>
        <w:t>من سورة الأنفال</w:t>
      </w:r>
      <w:r>
        <w:rPr>
          <w:rtl w:val="true"/>
        </w:rPr>
        <w:t xml:space="preserve">) </w:t>
      </w:r>
      <w:r>
        <w:rPr>
          <w:rtl w:val="true"/>
        </w:rPr>
        <w:t>ناسخة للآیة الأولی أو لا؟</w:t>
      </w:r>
      <w:bookmarkEnd w:id="203"/>
    </w:p>
    <w:p>
      <w:pPr>
        <w:pStyle w:val="Heading4"/>
        <w:numPr>
          <w:ilvl w:val="3"/>
          <w:numId w:val="1"/>
        </w:numPr>
        <w:rPr/>
      </w:pPr>
      <w:bookmarkStart w:id="204" w:name="__RefHeading___Toc2158482_581953129"/>
      <w:bookmarkStart w:id="205" w:name="_Toc75"/>
      <w:bookmarkEnd w:id="204"/>
      <w:r>
        <w:rPr>
          <w:rtl w:val="true"/>
        </w:rPr>
        <w:t>اشارة</w:t>
      </w:r>
      <w:bookmarkEnd w:id="205"/>
    </w:p>
    <w:p>
      <w:pPr>
        <w:pStyle w:val="BookText"/>
        <w:rPr/>
      </w:pP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أَنَّما غَنِمْتُمْ مِنْ شَیْ‌ءٍ فَأَنَّ للهِ خُمُسَهُ وَلِلرَّسُولِ وَلِذِی الْقُرْبی وَالْیَتامی وَالْمَساکِینِ وَابْنِ السَّبِیلِ إِنْ کُنْتُمْ آمَنْتُمْ بِاللهِ وَما أَنْزَلْنا عَلی عَبْدِنا یَوْمَ الْفُرْقانِ یَوْمَ الْتَقَی الْجَمْعانِ وَاللهُ عَلی کُلِّ شَیْ‌ءٍ قَدِیرٌ</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الآیة الشریفة الأخری التی تدخل فی بحثنا هی الآیة الشریفة التی یقول فیها الله عز 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یَسْئَلُونَکَ عَنِ الأَنْفالِ قُلِ الأَنْفالُ للهِ وَالرَّسُولِ فَاتَّقُوا اللهَ وَأَصْلِحُوا ذاتَ بَیْنِکُمْ وَأَطِیعُوا اللهَ وَرَسُولَهُ إِنْ کُنْتُمْ مُؤْمِنِینَ‌</w:t>
      </w:r>
      <w:r>
        <w:rPr>
          <w:rStyle w:val="FootnoteAnchor"/>
          <w:rtl w:val="true"/>
        </w:rPr>
        <w:footnoteReference w:id="138"/>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حذفت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القراءات، حیث وردت الآیة کما 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ویسألونک الأنفال</w:t>
      </w:r>
      <w:r>
        <w:rPr>
          <w:rFonts w:eastAsia="IRNazanin" w:cs="IRNazanin"/>
          <w:color w:val="111111"/>
          <w:sz w:val="28"/>
          <w:szCs w:val="28"/>
          <w:rtl w:val="true"/>
          <w:lang w:bidi="fa-IR"/>
        </w:rPr>
        <w:t>).</w:t>
      </w:r>
      <w:bookmarkStart w:id="206" w:name="pg5472_36480"/>
    </w:p>
    <w:p>
      <w:pPr>
        <w:pStyle w:val="BookText"/>
        <w:rPr/>
      </w:pPr>
      <w:bookmarkEnd w:id="206"/>
      <w:r>
        <w:rPr>
          <w:rFonts w:ascii="IRNazanin" w:hAnsi="IRNazanin" w:eastAsia="IRNazanin"/>
          <w:color w:val="111111"/>
          <w:sz w:val="28"/>
          <w:sz w:val="28"/>
          <w:szCs w:val="28"/>
          <w:rtl w:val="true"/>
          <w:lang w:bidi="fa-IR"/>
        </w:rPr>
        <w:t xml:space="preserve">فحینما نقرأ الآیة مع وجود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یصبح کما 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یسألونک عن الأنفال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موضوع الأنفال معین ومحدد عند الناس، ولکنهم سألوا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حکمها، فأجاب الله عز وجل علی ذلک للرسول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الأنفال لله والرسول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إذا قرأنا الآیة الکریمة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یسألونک الأنفال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فیصبح معنی الآیة کما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الناس طالبوا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بالأنفال، وکانوا یعلمون أنه ملک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الواضح أن الآیة الشریفة مع وجود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معنی، أما بدونها فیصبح لها معنیً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فی هذا البحث سوف نقوم بالبحث فی موضوعین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هی الأنفال؟ حیث یقول تعالی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الأَنْفالُ للهِ وَالرَّسُولِ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أَنَّما غَنِمْتُمْ مِنْ شَیْ‌ءٍ ناسخة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یَسْئَلُونَکَ عَنِ الأَنْفالِ أو لا؟</w:t>
      </w:r>
    </w:p>
    <w:p>
      <w:pPr>
        <w:pStyle w:val="Heading4"/>
        <w:numPr>
          <w:ilvl w:val="3"/>
          <w:numId w:val="1"/>
        </w:numPr>
        <w:rPr/>
      </w:pPr>
      <w:bookmarkStart w:id="207" w:name="__RefHeading___Toc2158484_581953129"/>
      <w:bookmarkStart w:id="208" w:name="_Toc76"/>
      <w:bookmarkEnd w:id="207"/>
      <w:r>
        <w:rPr>
          <w:rtl w:val="true"/>
        </w:rPr>
        <w:t>المطلب الأول</w:t>
      </w:r>
      <w:r>
        <w:rPr>
          <w:rtl w:val="true"/>
        </w:rPr>
        <w:t xml:space="preserve">: </w:t>
      </w:r>
      <w:r>
        <w:rPr>
          <w:rtl w:val="true"/>
        </w:rPr>
        <w:t>ما هی الأنفال</w:t>
      </w:r>
      <w:bookmarkEnd w:id="208"/>
    </w:p>
    <w:p>
      <w:pPr>
        <w:pStyle w:val="Heading4"/>
        <w:numPr>
          <w:ilvl w:val="3"/>
          <w:numId w:val="1"/>
        </w:numPr>
        <w:rPr/>
      </w:pPr>
      <w:bookmarkStart w:id="209" w:name="__RefHeading___Toc2158486_581953129"/>
      <w:bookmarkStart w:id="210" w:name="_Toc77"/>
      <w:bookmarkEnd w:id="209"/>
      <w:r>
        <w:rPr>
          <w:rtl w:val="true"/>
        </w:rPr>
        <w:t>المعنی اللغوی للأنفال</w:t>
      </w:r>
      <w:r>
        <w:rPr>
          <w:rtl w:val="true"/>
        </w:rPr>
        <w:t>:</w:t>
      </w:r>
      <w:bookmarkEnd w:id="210"/>
    </w:p>
    <w:p>
      <w:pPr>
        <w:pStyle w:val="BookText"/>
        <w:rPr/>
      </w:pPr>
      <w:r>
        <w:rPr>
          <w:rFonts w:ascii="Amiri" w:hAnsi="Amiri" w:eastAsia="Amiri" w:cs="Amiri"/>
          <w:color w:val="111111"/>
          <w:sz w:val="28"/>
          <w:sz w:val="28"/>
          <w:szCs w:val="28"/>
          <w:rtl w:val="true"/>
          <w:lang w:bidi="ar-SA"/>
        </w:rPr>
        <w:t xml:space="preserve">إن الأنفال جمع، مفرده 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نَفَلٌ</w:t>
      </w:r>
      <w:r>
        <w:rPr>
          <w:rFonts w:eastAsia="Amiri" w:cs="Amiri" w:ascii="Amiri" w:hAnsi="Amiri"/>
          <w:color w:val="111111"/>
          <w:sz w:val="28"/>
          <w:szCs w:val="28"/>
          <w:rtl w:val="true"/>
          <w:lang w:bidi="ar-SA"/>
        </w:rPr>
        <w:t>)</w:t>
      </w:r>
      <w:r>
        <w:rPr>
          <w:rStyle w:val="FootnoteAnchor"/>
          <w:rtl w:val="true"/>
        </w:rPr>
        <w:footnoteReference w:id="139"/>
      </w:r>
      <w:r>
        <w:rPr>
          <w:rFonts w:ascii="IRNazanin" w:hAnsi="IRNazanin" w:eastAsia="IRNazanin"/>
          <w:color w:val="111111"/>
          <w:sz w:val="28"/>
          <w:sz w:val="28"/>
          <w:szCs w:val="28"/>
          <w:rtl w:val="true"/>
          <w:lang w:bidi="fa-IR"/>
        </w:rPr>
        <w:t xml:space="preserve">، بتحریک وسطه،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بسکون وسطه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لکلیهما فی بعض کتب اللغة معنیً واحد، حیث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لکلیهما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والأنفال بمعنی کل الأشیاء الزائدة والإضافیة</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ونقرأ فی سورة الأنبیاء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وَوَهَبْنا لَهُ إِسْحاقَ وَیَعْقُوبَ نافِلَةً‌</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bookmarkStart w:id="211" w:name="pg5472_36482"/>
    </w:p>
    <w:p>
      <w:pPr>
        <w:pStyle w:val="BookText"/>
        <w:rPr/>
      </w:pPr>
      <w:bookmarkEnd w:id="211"/>
      <w:r>
        <w:rPr>
          <w:rFonts w:ascii="IRNazanin" w:hAnsi="IRNazanin" w:eastAsia="IRNazanin"/>
          <w:color w:val="111111"/>
          <w:sz w:val="28"/>
          <w:sz w:val="28"/>
          <w:szCs w:val="28"/>
          <w:rtl w:val="true"/>
          <w:lang w:bidi="fa-IR"/>
        </w:rPr>
        <w:t xml:space="preserve">حیث عبر عن یعقوب فیها بالنافلة، أی إن الله عز وجل قد أجاب طلب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إلی ما طلبه من ولد هو إسحق حیث أعطاه الله عز وجل یعقوب إضافة لطلبه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نوافل الصلوات کذلک بهذا المعنی فالنافلة بمعنی کل ما زاد علی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فی بعض کتب اللغة الأخری ذکروا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الفاء معنی العطیة، وذکروا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بسکون الفاء معنی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بناء علی هذا یتضح إلی حدٍّ ما المعنی اللغوی للأنفال، حیث یطلق إما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الغنیمة</w:t>
      </w:r>
      <w:r>
        <w:rPr>
          <w:rFonts w:eastAsia="IRNazanin" w:cs="IRNazanin"/>
          <w:color w:val="111111"/>
          <w:sz w:val="28"/>
          <w:szCs w:val="28"/>
          <w:rtl w:val="true"/>
          <w:lang w:bidi="fa-IR"/>
        </w:rPr>
        <w:t>).</w:t>
      </w:r>
    </w:p>
    <w:p>
      <w:pPr>
        <w:pStyle w:val="Heading3"/>
        <w:numPr>
          <w:ilvl w:val="2"/>
          <w:numId w:val="1"/>
        </w:numPr>
        <w:rPr/>
      </w:pPr>
      <w:bookmarkStart w:id="212" w:name="__RefHeading___Toc2158488_581953129"/>
      <w:bookmarkStart w:id="213" w:name="_Toc78"/>
      <w:bookmarkEnd w:id="212"/>
      <w:r>
        <w:rPr>
          <w:rtl w:val="true"/>
        </w:rPr>
        <w:t>رأی المفسرین حول کلمة الأنفال</w:t>
      </w:r>
      <w:r>
        <w:rPr>
          <w:rtl w:val="true"/>
        </w:rPr>
        <w:t>:</w:t>
      </w:r>
      <w:bookmarkEnd w:id="213"/>
    </w:p>
    <w:p>
      <w:pPr>
        <w:pStyle w:val="Heading4"/>
        <w:numPr>
          <w:ilvl w:val="3"/>
          <w:numId w:val="1"/>
        </w:numPr>
        <w:rPr/>
      </w:pPr>
      <w:bookmarkStart w:id="214" w:name="__RefHeading___Toc2158490_581953129"/>
      <w:bookmarkStart w:id="215" w:name="_Toc79"/>
      <w:bookmarkEnd w:id="214"/>
      <w:r>
        <w:rPr>
          <w:rtl w:val="true"/>
        </w:rPr>
        <w:t>اشارة</w:t>
      </w:r>
      <w:bookmarkEnd w:id="215"/>
    </w:p>
    <w:p>
      <w:pPr>
        <w:pStyle w:val="BookText"/>
        <w:rPr/>
      </w:pPr>
      <w:r>
        <w:rPr>
          <w:rFonts w:ascii="IRNazanin" w:hAnsi="IRNazanin" w:eastAsia="IRNazanin"/>
          <w:color w:val="111111"/>
          <w:sz w:val="28"/>
          <w:sz w:val="28"/>
          <w:szCs w:val="28"/>
          <w:rtl w:val="true"/>
          <w:lang w:bidi="fa-IR"/>
        </w:rPr>
        <w:t xml:space="preserve">لقد ذکروا فی کتب التفسیر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احتمالات 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المراد من الأنفال خصوص غنائم غزوة بدر، لأن الآیة الشریفة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یسألونک عن الأنفال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والآیات التی تتلوها نزلت فی غزوة بدر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المراد من الأنفال غنائم السرایا أی الغزوات التی لم یشارک فیها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المراد من الأنفال تلک الغنائم التی تم الحصول علیها بدون قتال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المراد من الأنفال مطلق الغنائم، سواء کانت الغنائم التی حُصِل علیها بالقتال أو الغنائم التی حُصِل علیها بدونه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المراد من الأنفال تلک الغنائم التی حصل علیها مقاتلو الإسلام قبل تقسیم الغنائم من 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المراد من الأنفال تلک الأشیاء التی کانت تفضل بعد تقسیم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للغنائم وتبقی بعد ذلک</w:t>
      </w:r>
      <w:r>
        <w:rPr>
          <w:rFonts w:eastAsia="IRNazanin" w:cs="IRNazanin"/>
          <w:color w:val="111111"/>
          <w:sz w:val="28"/>
          <w:szCs w:val="28"/>
          <w:rtl w:val="true"/>
          <w:lang w:bidi="fa-IR"/>
        </w:rPr>
        <w:t>.</w:t>
      </w:r>
      <w:bookmarkStart w:id="216" w:name="pg5472_36484"/>
    </w:p>
    <w:p>
      <w:pPr>
        <w:pStyle w:val="Heading4"/>
        <w:numPr>
          <w:ilvl w:val="3"/>
          <w:numId w:val="1"/>
        </w:numPr>
        <w:rPr/>
      </w:pPr>
      <w:bookmarkStart w:id="217" w:name="__RefHeading___Toc2158492_581953129"/>
      <w:bookmarkStart w:id="218" w:name="_Toc80"/>
      <w:bookmarkEnd w:id="216"/>
      <w:bookmarkEnd w:id="217"/>
      <w:r>
        <w:rPr>
          <w:rtl w:val="true"/>
        </w:rPr>
        <w:t>بحث تفسیری للأنفال</w:t>
      </w:r>
      <w:r>
        <w:rPr>
          <w:rtl w:val="true"/>
        </w:rPr>
        <w:t>:</w:t>
      </w:r>
      <w:bookmarkEnd w:id="2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سبب نزول الآیة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ذُکر فی کتب أهل السنة ثلاثةً من أسباب النزول لهذه الآیة</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شأن النزول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عبادة بن الصامت،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فینا معشر أصحاب بدر، حین اختلفنا فی النفل وساءت فیه أخلاقنا، فنزعه الله من أیدینا فجعله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فقسّمه بین المسلمین علی السواء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ویتضح من شأن النزول هذا أن المقدار المعلوم فی هذا الأمر أن موضوعها متعلق بغزوة بدر، ولکن لا یتضح ما هو النفل، وهل یقصد به جمیع الغنائم، أو ما زاد منها بعد تقسیم الغنائم؟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شأن النزول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فی سنن ابو داوود عن ابن عباس، ونظیر ذلک فی رسالة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خصوصیات الغزوات ما 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فإنه لما کان یوم بدر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قتیلاً فله کذا وکذا ومن أسر أسیراً فله من غنائم القوم کذا وکذا فإن الله قد وعدنی أن یفتح علی وأنعمنی عسکرهم، فلما هزم الله المشرکین وجمعت غنائمهم قام رجل من الأنصار فقال یا رسول الله إنک أمرتنا بقتال</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المشرکین وحثثتنا علیه،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أسر أسیراً فله کذا وکذا من غنائم القوم ومن قتل قتیلاً فله کذا وکذا وإنی قتلت قتیلین لی بذلک البینة وأسرت أسیراً فأعطنا ما أوجبت علی نفسک یا رسول الله، ثم جلس، فقام سعد بن عبادة فقال یا رسول الله ما منعنا أن نصیب مثل ما أصابوا جبن من العدو ولا زهادة فی الآخرة والمغنم،</w:t>
      </w:r>
    </w:p>
    <w:p>
      <w:pPr>
        <w:pStyle w:val="BookText"/>
        <w:rPr/>
      </w:pPr>
      <w:r>
        <w:rPr>
          <w:rFonts w:ascii="IRNazanin" w:hAnsi="IRNazanin" w:eastAsia="IRNazanin"/>
          <w:color w:val="111111"/>
          <w:sz w:val="28"/>
          <w:sz w:val="28"/>
          <w:szCs w:val="28"/>
          <w:rtl w:val="true"/>
          <w:lang w:bidi="fa-IR"/>
        </w:rPr>
        <w:t>ولکنا تخوَّفنا إن بعد مکاننا منک فیمیل إلیک من جند المشرکین أو یصیبوا منک ضیعة فیمیلوا إلیک فیصیبوک بمصیبة وإنک إن تعطی هؤلاء القوم ما طلبوا یرجع سائر المسلمین لیس لهم من الغنیمة شیء ثم جلس فقام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وراء آخر وتکرر هذا الأمر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عز وجل یسألونک الأنفال والأنفال اسم جامع لما أصابوا یومئذٍ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الرغم من عدم وجود ذلک الاعتبار بشأن النزول للآیات القرآنیة، إلا إذا دلت علیه روایة معتبرة، أو کان مشهوراً بین المفسرین بحیث یستطیع الإنسان أن یأخذ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شأن النزول الذی نقله مفسروا أهل السنة إن وصل إلینا نظیره من الأئمة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قرینة جیدة علی اعتبارها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وبما أن نظیر ما ورد فی سنن أبی داود عن ابن عباس، نقل کذلک فی تحف العقول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عندئذٍ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الأنفال جمیع ما أخذه مقاتلوا المسلمین فی یوم بدر کغنائم</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وما ذکره بعض المفسرین من خصوصیات واحتمالات لا یتناسب مع شأن نزول 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ذُکر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غنائم بدر کانت للنبی خاصة فسألوه أن یعطیهم</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فالغنائم کانت مخصوصة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طلب المجاهدون منه أن یعطوه منها، وبعبارة أخری فإن المجاهدین کانوا یعلمون أن هذه الغنائم مختصة برسول الله ولکنهم طلبوا منه أن یعطوه منها</w:t>
      </w:r>
      <w:r>
        <w:rPr>
          <w:rFonts w:eastAsia="IRNazanin" w:cs="IRNazanin"/>
          <w:color w:val="111111"/>
          <w:sz w:val="28"/>
          <w:szCs w:val="28"/>
          <w:rtl w:val="true"/>
          <w:lang w:bidi="fa-IR"/>
        </w:rPr>
        <w:t>.</w:t>
      </w:r>
      <w:bookmarkStart w:id="219" w:name="pg5472_36488"/>
    </w:p>
    <w:p>
      <w:pPr>
        <w:pStyle w:val="BookText"/>
        <w:rPr/>
      </w:pPr>
      <w:bookmarkEnd w:id="219"/>
      <w:r>
        <w:rPr>
          <w:rFonts w:ascii="IRNazanin" w:hAnsi="IRNazanin" w:eastAsia="IRNazanin"/>
          <w:color w:val="111111"/>
          <w:sz w:val="28"/>
          <w:sz w:val="28"/>
          <w:szCs w:val="28"/>
          <w:rtl w:val="true"/>
          <w:lang w:bidi="fa-IR"/>
        </w:rPr>
        <w:t xml:space="preserve">ونظیر ذلک الروایة المنقولة عن الإمامین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الفاضل المقداد کذلک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غنائم بدر کانت لرسول الله وقد طلب منه المقاتلون المسلمون أن یعطوه منها</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ذکر علی بن إبراهیم فی تفسیره فی روایة موثقة عن إسحق بن عمار، شبیه شأن النزول الذی ذکره أهل السنة، ومما سبق نستنتج بشکل مسلّم وقطعی أن الأنفال فی هذه الآیة هی غنائم غزوة بدر</w:t>
      </w:r>
      <w:r>
        <w:rPr>
          <w:rFonts w:eastAsia="IRNazanin" w:cs="IRNazanin"/>
          <w:color w:val="111111"/>
          <w:sz w:val="28"/>
          <w:szCs w:val="28"/>
          <w:rtl w:val="true"/>
          <w:lang w:bidi="fa-IR"/>
        </w:rPr>
        <w:t>.</w:t>
      </w:r>
    </w:p>
    <w:p>
      <w:pPr>
        <w:pStyle w:val="Heading3"/>
        <w:numPr>
          <w:ilvl w:val="2"/>
          <w:numId w:val="1"/>
        </w:numPr>
        <w:rPr/>
      </w:pPr>
      <w:bookmarkStart w:id="220" w:name="__RefHeading___Toc2158494_581953129"/>
      <w:bookmarkStart w:id="221" w:name="_Toc81"/>
      <w:bookmarkEnd w:id="220"/>
      <w:r>
        <w:rPr>
          <w:rtl w:val="true"/>
        </w:rPr>
        <w:t>الوجه الآخر فی تسمیة الأنفال</w:t>
      </w:r>
      <w:r>
        <w:rPr>
          <w:rtl w:val="true"/>
        </w:rPr>
        <w:t>:</w:t>
      </w:r>
      <w:bookmarkEnd w:id="221"/>
    </w:p>
    <w:p>
      <w:pPr>
        <w:pStyle w:val="BookText"/>
        <w:rPr/>
      </w:pPr>
      <w:r>
        <w:rPr>
          <w:rFonts w:ascii="IRNazanin" w:hAnsi="IRNazanin" w:eastAsia="IRNazanin"/>
          <w:color w:val="111111"/>
          <w:sz w:val="28"/>
          <w:sz w:val="28"/>
          <w:szCs w:val="28"/>
          <w:rtl w:val="true"/>
          <w:lang w:bidi="fa-IR"/>
        </w:rPr>
        <w:t>أحد وجوه تسمیة الأنفال یتمثل بأنه لم تکن مسألة الغنیمة فی الحروب والغزوات قبل الإسلام مطروحة بعنوان ملک شرعی، بل کانوا یأخذونه قهراً وغلبة، وقد شرّع الإسلام هذه الغنائم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أن الغرض الأصلی من قتال العدو هو النصر علیه، فإن الشارع المقدس علاوة علی غرض القتال وبالإضافة إلیه أباح غنائمها للمسلمین المقاتلین، لذا أطلق علیها الأنفال</w:t>
      </w:r>
      <w:r>
        <w:rPr>
          <w:rFonts w:eastAsia="IRNazanin" w:cs="IRNazanin"/>
          <w:color w:val="111111"/>
          <w:sz w:val="28"/>
          <w:szCs w:val="28"/>
          <w:rtl w:val="true"/>
          <w:lang w:bidi="fa-IR"/>
        </w:rPr>
        <w:t>.</w:t>
      </w:r>
    </w:p>
    <w:p>
      <w:pPr>
        <w:pStyle w:val="Heading3"/>
        <w:numPr>
          <w:ilvl w:val="2"/>
          <w:numId w:val="1"/>
        </w:numPr>
        <w:rPr/>
      </w:pPr>
      <w:bookmarkStart w:id="222" w:name="__RefHeading___Toc2158496_581953129"/>
      <w:bookmarkStart w:id="223" w:name="_Toc82"/>
      <w:bookmarkEnd w:id="222"/>
      <w:r>
        <w:rPr>
          <w:rtl w:val="true"/>
        </w:rPr>
        <w:t xml:space="preserve">العلاقة بین الآیة الأولی والآیة </w:t>
      </w:r>
      <w:r>
        <w:rPr/>
        <w:t>41</w:t>
      </w:r>
      <w:r>
        <w:rPr>
          <w:rtl w:val="true"/>
        </w:rPr>
        <w:t xml:space="preserve"> </w:t>
      </w:r>
      <w:r>
        <w:rPr>
          <w:rtl w:val="true"/>
        </w:rPr>
        <w:t>من سورة الأنفال</w:t>
      </w:r>
      <w:r>
        <w:rPr>
          <w:rtl w:val="true"/>
        </w:rPr>
        <w:t>:</w:t>
      </w:r>
      <w:bookmarkEnd w:id="223"/>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فسّرت الأنفال بالغنیمة، کما أشیر إلیه سابقاً حیث ذکر البعض 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الأنفال تشمل الغنیمة ومطلق الأشیاء التی یحصل علیها الإنسان بدون قتال، وعندها یطرح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الآیة الأولی من سورة الأنفال تتحدث عن أنهم سألوا رسول الله عن الأنفال أو طلبوا منه ذلک، ومن ثم أتی الجواب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الأنفال لله والرسول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حُصر ذلک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ورسول</w:t>
      </w:r>
      <w:r>
        <w:rPr>
          <w:rFonts w:eastAsia="IRNazanin" w:cs="IRNazanin"/>
          <w:color w:val="111111"/>
          <w:sz w:val="28"/>
          <w:szCs w:val="28"/>
          <w:rtl w:val="true"/>
          <w:lang w:bidi="fa-IR"/>
        </w:rPr>
        <w:t>).</w:t>
      </w:r>
      <w:bookmarkStart w:id="224" w:name="pg5472_36490"/>
    </w:p>
    <w:p>
      <w:pPr>
        <w:pStyle w:val="BookText"/>
        <w:rPr/>
      </w:pPr>
      <w:bookmarkEnd w:id="224"/>
      <w:r>
        <w:rPr>
          <w:rFonts w:ascii="Amiri" w:hAnsi="Amiri" w:eastAsia="Amiri" w:cs="Amiri"/>
          <w:color w:val="111111"/>
          <w:sz w:val="28"/>
          <w:sz w:val="28"/>
          <w:szCs w:val="28"/>
          <w:rtl w:val="true"/>
          <w:lang w:bidi="ar-SA"/>
        </w:rPr>
        <w:t>أما فی الآیة الأخری فإنه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أَنَّما غَنِمْتُمْ مِنْ شَیْ‌ءٍ فَأَنَّ للهِ خُمُسَهُ وَلِلرَّسُولِ وَلِذِی الْقُرْبی وَالْیَتامی وَالْمَساکِینِ وَابْنِ السَّبِیلِ إِنْ کُنْتُمْ آمَنْتُمْ بِاللهِ وَما أَنْزَلْنا عَلی عَبْدِنا یَوْمَ الْفُرْقانِ یَوْمَ الْتَقَی الْجَمْعانِ وَاللهُ عَلی کُلِّ شَیْ‌ءٍ قَدِیرٌ</w:t>
      </w:r>
      <w:r>
        <w:rPr>
          <w:rStyle w:val="FootnoteAnchor"/>
          <w:rtl w:val="true"/>
        </w:rPr>
        <w:footnoteReference w:id="145"/>
      </w:r>
      <w:r>
        <w:rPr>
          <w:rFonts w:ascii="IRNazanin" w:hAnsi="IRNazanin" w:eastAsia="IRNazanin"/>
          <w:color w:val="111111"/>
          <w:sz w:val="28"/>
          <w:sz w:val="28"/>
          <w:szCs w:val="28"/>
          <w:rtl w:val="true"/>
          <w:lang w:bidi="fa-IR"/>
        </w:rPr>
        <w:t>، حیث ذکر فی هذه الآیة أن خمس هذه الغنائم لستّ طوائف، وأربعة الأخماس الأخری ترجع إلی بقیة المقاتلین الذین شارکوا فی القتال والغزو، فالسؤال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تعتبر الآیة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ناسخة للآیة الأولی أو لا؟</w:t>
      </w:r>
    </w:p>
    <w:p>
      <w:pPr>
        <w:pStyle w:val="Heading3"/>
        <w:numPr>
          <w:ilvl w:val="2"/>
          <w:numId w:val="1"/>
        </w:numPr>
        <w:rPr/>
      </w:pPr>
      <w:bookmarkStart w:id="225" w:name="__RefHeading___Toc2158498_581953129"/>
      <w:bookmarkStart w:id="226" w:name="_Toc83"/>
      <w:bookmarkEnd w:id="225"/>
      <w:r>
        <w:rPr>
          <w:rtl w:val="true"/>
        </w:rPr>
        <w:t xml:space="preserve">هل الآیة </w:t>
      </w:r>
      <w:r>
        <w:rPr/>
        <w:t>41</w:t>
      </w:r>
      <w:r>
        <w:rPr>
          <w:rtl w:val="true"/>
        </w:rPr>
        <w:t xml:space="preserve"> </w:t>
      </w:r>
      <w:r>
        <w:rPr>
          <w:rtl w:val="true"/>
        </w:rPr>
        <w:t>ناسخة للآیة الأولی ؟</w:t>
      </w:r>
      <w:bookmarkEnd w:id="226"/>
    </w:p>
    <w:p>
      <w:pPr>
        <w:pStyle w:val="BookText"/>
        <w:rPr/>
      </w:pPr>
      <w:r>
        <w:rPr>
          <w:rFonts w:ascii="Amiri" w:hAnsi="Amiri" w:eastAsia="Amiri" w:cs="Amiri"/>
          <w:color w:val="111111"/>
          <w:sz w:val="28"/>
          <w:sz w:val="28"/>
          <w:szCs w:val="28"/>
          <w:rtl w:val="true"/>
          <w:lang w:bidi="ar-SA"/>
        </w:rPr>
        <w:t>آراء أهل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وجد بین أهل السنة رأیان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الرأی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ویتمثل هذا الرأی بأن الآیة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الأنفال ناسخة للآیة الأولی فیها، بمعنی أن الله عز وجل أکد فی البدایة أن جمیع الغنائم لله والرسول ما جعل لله فقد جعله لرسوله تحت تصرفه وله صلاحیة أن یعطیها للآخرین أو لا یقوم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فی الآیة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فیبین تعالی بأن خمس تلک الغنائم لله والرسول وأما سائر ما بقی فقد ذکرت موارده، ویبقی أربعة أخماس تلک الغنائم للمقاتلین وبالتالی فإن الآیة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ناسخة للآیة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الرأی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الرأی الثانی الذی یقول به أکثر مفسری العامة فهو</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الآیة الأولی لیست منسوخة بل مُحکمة، ولکنها مجملة بمعنی أن الله عز وجل قد جعل تقسیم الأنفال فی ید رسوله، ولکنه لم یذکر خصوصیة ذلک</w:t>
      </w:r>
    </w:p>
    <w:p>
      <w:pPr>
        <w:pStyle w:val="BookText"/>
        <w:rPr/>
      </w:pPr>
      <w:r>
        <w:rPr>
          <w:rFonts w:ascii="IRNazanin" w:hAnsi="IRNazanin" w:eastAsia="IRNazanin"/>
          <w:color w:val="111111"/>
          <w:sz w:val="28"/>
          <w:sz w:val="28"/>
          <w:szCs w:val="28"/>
          <w:rtl w:val="true"/>
          <w:lang w:bidi="fa-IR"/>
        </w:rPr>
        <w:t xml:space="preserve">وکیفیته، ولکن ذُکر توضیح ذلک وبیانه فی الآیة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السورة نفسها حیث جُعل خمس منه لله ورسوله وسائر الموارد المذکورة، وأما أربعة الأخماس الباقیة منه فهی للمقاتلین، وبالتالی فإن الآیة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للمعنی الإجمالی للآیة الأولی، ولا یوجد نسخ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الرغم من أن أکثر أهل السنة یتبعون الرأی الثانی، لکن بعضهم ذکروا توضیحاً آخر لمعنی الأنفال بأن المراد منها تلک الأشیاء التی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یوزعها علی المقاتلین قبل تقسیم الغنائم، وذکروا ما 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تنفیل بعض المجاهدین من الغنیمة، فللإمام أن ینفل من شاء من الجیش قبل التخمیس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عندها وقع الاختلاف بین أهل السنة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هل التنفیل من مجموع الغنائم أو من ذلک الخمس فحسب؟</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فی هذا التنفیل کراهة أو لا؟</w:t>
      </w:r>
    </w:p>
    <w:p>
      <w:pPr>
        <w:pStyle w:val="BookText"/>
        <w:rPr/>
      </w:pPr>
      <w:r>
        <w:rPr>
          <w:rFonts w:ascii="IRNazanin" w:hAnsi="IRNazanin" w:eastAsia="IRNazanin"/>
          <w:color w:val="111111"/>
          <w:sz w:val="28"/>
          <w:sz w:val="28"/>
          <w:szCs w:val="28"/>
          <w:rtl w:val="true"/>
          <w:lang w:bidi="fa-IR"/>
        </w:rPr>
        <w:t xml:space="preserve">اعتبر بعضهم التنفیل نوعین؛ أحدهما جائز والآخر مکروه، فالجائز منه ما کان بعد القتال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النبی یوم 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قتیلاً وله علیه بینة فله سلبه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والتنفیل المکروه، ما یتم قبل القتال حیث جعله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وقرّره إزاء کل عمل قام به من شارک فی 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بعض أهل السنة ما یلی</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معنی الأنفال مطلق الغنائم، بل هی تلک المواعید الزائدة التی وعدها وقدّمها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قتل منکم عدداً سأعطیه هذا المقدار ومن أسر شخصین منهم فسأعطیه هذا المقدار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التنفیل شیء زائد علی الغنائم التی یتم الحصول علیها غالباً</w:t>
      </w:r>
      <w:r>
        <w:rPr>
          <w:rFonts w:eastAsia="IRNazanin" w:cs="IRNazanin"/>
          <w:color w:val="111111"/>
          <w:sz w:val="28"/>
          <w:szCs w:val="28"/>
          <w:rtl w:val="true"/>
          <w:lang w:bidi="fa-IR"/>
        </w:rPr>
        <w:t>.</w:t>
      </w:r>
      <w:bookmarkStart w:id="227" w:name="pg5472_36494"/>
    </w:p>
    <w:p>
      <w:pPr>
        <w:pStyle w:val="BookText"/>
        <w:rPr/>
      </w:pPr>
      <w:bookmarkEnd w:id="227"/>
      <w:r>
        <w:rPr>
          <w:rFonts w:ascii="IRNazanin" w:hAnsi="IRNazanin" w:eastAsia="IRNazanin"/>
          <w:color w:val="111111"/>
          <w:sz w:val="28"/>
          <w:sz w:val="28"/>
          <w:szCs w:val="28"/>
          <w:rtl w:val="true"/>
          <w:lang w:bidi="fa-IR"/>
        </w:rPr>
        <w:t xml:space="preserve">ولذلک فإنهم للجمع بین الآیة الأولی من سورة الأنفال والآیة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مع إشارتهم إلی ذلک المعنی الذی جعلوه للأنفال بأنه لیس المراد منه مطلق الغنائم، قالوا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بین الآیة الأولی والآیة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 موضوعیاً، بمعنی أن الموضوع فی الآیة الأولی هی الأمور الزائدة علی الغنائم، والموضوع فی الآیة الثانیة نفس الغنائم، لذلک لا یوجد ناسخ ومنسوخ بینهما فی هذه الحالة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وأبعد من ذلک فقد ذکر بعض من فقهائهم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نستفید من آیة الأنفال هذه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له أن یخلف وعده، لذلک لیس واجباً علی الإمام والحاکم علی المجتمع أن یفی بوعده إذا وعد، لأن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قد وعد بأنه إذا أتی فلان بأسیر فله ذلک المقدار من الغنیمة، وإذا أتی بأسیرین فله مقدار آخر، ولکنه قسم الغنائم بینهم بالسویة بعد أن حدثت بین المجاهدین اختلافات ومشاجرات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العجب فی ذلک أن أهل السنة بقبولهم لهذا المعنی والتوضیح للآیة الشریفة، قاموا بترتیب لوازم لها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استفادة عدم منع خلف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t>!</w:t>
      </w:r>
    </w:p>
    <w:p>
      <w:pPr>
        <w:pStyle w:val="Heading3"/>
        <w:numPr>
          <w:ilvl w:val="2"/>
          <w:numId w:val="1"/>
        </w:numPr>
        <w:rPr/>
      </w:pPr>
      <w:bookmarkStart w:id="228" w:name="__RefHeading___Toc2158500_581953129"/>
      <w:bookmarkStart w:id="229" w:name="_Toc84"/>
      <w:bookmarkEnd w:id="228"/>
      <w:r>
        <w:rPr>
          <w:rtl w:val="true"/>
        </w:rPr>
        <w:t>رأی القرطبی حول النسخ</w:t>
      </w:r>
      <w:r>
        <w:rPr>
          <w:rtl w:val="true"/>
        </w:rPr>
        <w:t>:</w:t>
      </w:r>
      <w:bookmarkEnd w:id="229"/>
    </w:p>
    <w:p>
      <w:pPr>
        <w:pStyle w:val="BookText"/>
        <w:rPr/>
      </w:pPr>
      <w:r>
        <w:rPr>
          <w:rFonts w:ascii="IRNazanin" w:hAnsi="IRNazanin" w:eastAsia="IRNazanin"/>
          <w:color w:val="111111"/>
          <w:sz w:val="28"/>
          <w:sz w:val="28"/>
          <w:szCs w:val="28"/>
          <w:rtl w:val="true"/>
          <w:lang w:bidi="fa-IR"/>
        </w:rPr>
        <w:t>یقول القرطبی فی تفسیره ما 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ناسخ للآیة الأولی</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ویذکر وجوهاً للنسخ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یخمس غنائم بدر، فإن کان الخمس لازماً ابتداء لوجب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یخمس غنائم بدر، فی حین إنه لم یقم بذلک، ثم نزلت الآیة بأنه إذا غنموا شیئاً فیجب تخمیس تلک الغنیمة ودفع خمسه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حُکم فی الآیة الأولی من سورة الأنفال بعدم لزوم التخمیس، أما الآیة الواحدة والأربعین نسخت ذلک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ما ذکر من نسخ الآیة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الأنفال الآیة الأولی منها، أی بنسخ حکم ترک التخمیس، لیس صحیحاً من حیث الصناعة، لأن النسخ لا یتم فی شیء عدمی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ألا یکون مورداً للبیان ولا متعرضاً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الآیة الأولی من سورة الأنفال لم یذکر بحسب ظاهرها کلام حول الخمس أصلاً، وما لم یتعرض لها فکیف ینسخ؟</w:t>
      </w:r>
    </w:p>
    <w:p>
      <w:pPr>
        <w:pStyle w:val="BookText"/>
        <w:rPr/>
      </w:pPr>
      <w:r>
        <w:rPr>
          <w:rFonts w:ascii="IRNazanin" w:hAnsi="IRNazanin" w:eastAsia="IRNazanin"/>
          <w:color w:val="111111"/>
          <w:sz w:val="28"/>
          <w:sz w:val="28"/>
          <w:szCs w:val="28"/>
          <w:rtl w:val="true"/>
          <w:lang w:bidi="fa-IR"/>
        </w:rPr>
        <w:t>فإن أراد شخص أن یطرح مسألة النسخ، فإن التوضیح الصحیح له یتم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الآیة الأولی من سورة الأنفال جعلت جمیع الغنائم لله ورسوله، أما الآیة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فقد غیرته وذکرت بأن الغنائم تقسم إلی خمسة أقسام أربعة أخماس منها للمجاهدین وخمس منها لله ورسوله ولذی القربی والیتامی والمساکین وابن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الإشکال فی عکس هذه القضیة، وذلک بسلب هذا الحق منهم لرفع المخاصمة والنزاع وجعله حقاً لهم، ویقول تعالی ردّاً علی ذلک بأن الأنفال جمیعه فی الأصل لله ورسوله ولا یحق لکم فیه شیء، وبما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یتمتع بذلک اللین وتلک الرأفة علیهم، وکانوا رحماء بینهم فإنه قسَّم الغنائم بینهم حسب ما یراه من صلاح لهم؟</w:t>
      </w:r>
    </w:p>
    <w:p>
      <w:pPr>
        <w:pStyle w:val="BookText"/>
        <w:rPr/>
      </w:pPr>
      <w:r>
        <w:rPr>
          <w:rFonts w:ascii="IRNazanin" w:hAnsi="IRNazanin" w:eastAsia="IRNazanin"/>
          <w:color w:val="111111"/>
          <w:sz w:val="28"/>
          <w:sz w:val="28"/>
          <w:szCs w:val="28"/>
          <w:rtl w:val="true"/>
          <w:lang w:bidi="fa-IR"/>
        </w:rPr>
        <w:t>فی الجواب علی ذلک نقول</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یذکر أحد مثل هذا الاحتمال بأن الآیة الأولی ناسخة للآیة </w:t>
      </w:r>
      <w:r>
        <w:rPr>
          <w:rFonts w:eastAsia="IRNazanin" w:cs="IRNazanin"/>
          <w:color w:val="111111"/>
          <w:sz w:val="28"/>
          <w:szCs w:val="28"/>
          <w:lang w:bidi="fa-IR"/>
        </w:rPr>
        <w:t>41</w:t>
      </w:r>
      <w:r>
        <w:rPr>
          <w:rFonts w:eastAsia="IRNazanin" w:cs="IRNazanin"/>
          <w:color w:val="111111"/>
          <w:sz w:val="28"/>
          <w:szCs w:val="28"/>
          <w:rtl w:val="true"/>
          <w:lang w:bidi="fa-IR"/>
        </w:rPr>
        <w:t>.</w:t>
      </w:r>
      <w:bookmarkStart w:id="230" w:name="pg5472_36498"/>
    </w:p>
    <w:p>
      <w:pPr>
        <w:pStyle w:val="BookText"/>
        <w:rPr/>
      </w:pPr>
      <w:bookmarkEnd w:id="230"/>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البعید جداً أن یؤخذ بعین الاعتبار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إحدی الغزوات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لجمیع المقاتلین ابتداءً، ومن ثم یسلب منهم ذلک الحق بمجرد النزاع والمخاصمة بینهم، وعلی أی حال فلیس لدینا لهذا الفرض شاهد أبداً</w:t>
      </w:r>
      <w:r>
        <w:rPr>
          <w:rFonts w:eastAsia="IRNazanin" w:cs="IRNazanin"/>
          <w:color w:val="111111"/>
          <w:sz w:val="28"/>
          <w:szCs w:val="28"/>
          <w:rtl w:val="true"/>
          <w:lang w:bidi="fa-IR"/>
        </w:rPr>
        <w:t>.</w:t>
      </w:r>
    </w:p>
    <w:p>
      <w:pPr>
        <w:pStyle w:val="Heading3"/>
        <w:numPr>
          <w:ilvl w:val="2"/>
          <w:numId w:val="1"/>
        </w:numPr>
        <w:rPr/>
      </w:pPr>
      <w:bookmarkStart w:id="231" w:name="__RefHeading___Toc2158502_581953129"/>
      <w:bookmarkStart w:id="232" w:name="_Toc85"/>
      <w:bookmarkEnd w:id="231"/>
      <w:r>
        <w:rPr>
          <w:rtl w:val="true"/>
        </w:rPr>
        <w:t>سؤالان</w:t>
      </w:r>
      <w:r>
        <w:rPr>
          <w:rtl w:val="true"/>
        </w:rPr>
        <w:t>:</w:t>
      </w:r>
      <w:bookmarkEnd w:id="232"/>
    </w:p>
    <w:p>
      <w:pPr>
        <w:pStyle w:val="BookText"/>
        <w:rPr/>
      </w:pPr>
      <w:r>
        <w:rPr>
          <w:rFonts w:ascii="IRNazanin" w:hAnsi="IRNazanin" w:eastAsia="IRNazanin"/>
          <w:color w:val="111111"/>
          <w:sz w:val="28"/>
          <w:sz w:val="28"/>
          <w:szCs w:val="28"/>
          <w:rtl w:val="true"/>
          <w:lang w:bidi="fa-IR"/>
        </w:rPr>
        <w:t>هل تم تخمیس غنائم بدرٍ أصلاً أو لا؟</w:t>
      </w:r>
    </w:p>
    <w:p>
      <w:pPr>
        <w:pStyle w:val="BookText"/>
        <w:rPr/>
      </w:pPr>
      <w:r>
        <w:rPr>
          <w:rFonts w:ascii="IRNazanin" w:hAnsi="IRNazanin" w:eastAsia="IRNazanin"/>
          <w:color w:val="111111"/>
          <w:sz w:val="28"/>
          <w:sz w:val="28"/>
          <w:szCs w:val="28"/>
          <w:rtl w:val="true"/>
          <w:lang w:bidi="fa-IR"/>
        </w:rPr>
        <w:t xml:space="preserve">نظراً إلی أن الآیة الأولی والآیة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الأنفال متعلقة بغنائم بدر، لا أنها نزلت فی غزوتین، عند ذاک کیف یمکن القول بأن إحداهما ناسخة للأخری؟</w:t>
      </w:r>
    </w:p>
    <w:p>
      <w:pPr>
        <w:pStyle w:val="BookText"/>
        <w:rPr/>
      </w:pPr>
      <w:r>
        <w:rPr>
          <w:rFonts w:ascii="IRNazanin" w:hAnsi="IRNazanin" w:eastAsia="IRNazanin"/>
          <w:color w:val="111111"/>
          <w:sz w:val="28"/>
          <w:sz w:val="28"/>
          <w:szCs w:val="28"/>
          <w:rtl w:val="true"/>
          <w:lang w:bidi="fa-IR"/>
        </w:rPr>
        <w:t>خدشة فی نظریة أهل السنة فیما یتعلق بالسؤال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نقل أهل السنة فی هذا المجال روایة عن 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تذکر فی کتبنا الروائیة وهی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لی شارف من نصیبی من المغنم یوم بدر وکان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أعطانی شارفاً من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الشارف نوع من الناقة والإبل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فإن ما یذکره أهل السنة أو بعض من مفسریهم من أنه لم یتم التخمیس فی غنائم بدر یتناقض مع ما ینقلونه فی هذه الروایة عن 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233" w:name="__RefHeading___Toc2158504_581953129"/>
      <w:bookmarkStart w:id="234" w:name="_Toc86"/>
      <w:bookmarkEnd w:id="233"/>
      <w:r>
        <w:rPr>
          <w:rtl w:val="true"/>
        </w:rPr>
        <w:t>بطلان نظریة النسخ</w:t>
      </w:r>
      <w:r>
        <w:rPr>
          <w:rtl w:val="true"/>
        </w:rPr>
        <w:t>:</w:t>
      </w:r>
      <w:bookmarkEnd w:id="234"/>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أن اتضح لدینا أنه تم التخمیس فی غنائم بدر، عندها لا یمکن القول بأن الآیة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الأنفال ناسخة للآیة الأولی منها، لأن إمکانیة احتمال النسخ تتحقق عندما لا تذکر الآیة الأولی أصلاً شیئاً للتخمیس وإعطاء الغنائم للمجاهدین، وذکرت مسألة التخمیس فی الآیة الأخری منها</w:t>
      </w:r>
      <w:r>
        <w:rPr>
          <w:rFonts w:eastAsia="IRNazanin" w:cs="IRNazanin"/>
          <w:color w:val="111111"/>
          <w:sz w:val="28"/>
          <w:szCs w:val="28"/>
          <w:rtl w:val="true"/>
          <w:lang w:bidi="fa-IR"/>
        </w:rPr>
        <w:t>.</w:t>
      </w:r>
      <w:bookmarkStart w:id="235" w:name="pg5472_36500"/>
    </w:p>
    <w:p>
      <w:pPr>
        <w:pStyle w:val="Heading3"/>
        <w:numPr>
          <w:ilvl w:val="2"/>
          <w:numId w:val="1"/>
        </w:numPr>
        <w:rPr/>
      </w:pPr>
      <w:bookmarkStart w:id="236" w:name="__RefHeading___Toc2158506_581953129"/>
      <w:bookmarkStart w:id="237" w:name="_Toc87"/>
      <w:bookmarkEnd w:id="235"/>
      <w:bookmarkEnd w:id="236"/>
      <w:r>
        <w:rPr>
          <w:rtl w:val="true"/>
        </w:rPr>
        <w:t>قرینتان علی بطلان النسخ</w:t>
      </w:r>
      <w:r>
        <w:rPr>
          <w:rtl w:val="true"/>
        </w:rPr>
        <w:t>:</w:t>
      </w:r>
      <w:bookmarkEnd w:id="2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الآیتین الأولی والحادی والأربعین من سورة الأنفال کلتیهما متعلقتان بغنائم غزوة بدر، نعم لو کانت الآیة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الأنفال متعلقة بغنائم غزوة أخری، لقلنا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الآیة متعلقة بغزوة بدر، وکانت الغنیمة فیها لله وللرسول، والآیة الثانیة متعلقة بغزوات أخری وفیها طرحت مسألة الخمس، ولکن عندما یتضح أن کلتا الآیتین متعلقتان بغزوة ووقعة واحدة، لذا لا یمکن أن یوجد نسخ بینهما، ویجب البحث عن طریق أصوب للجمع بین الآیتین سوف نأتی بذکره سریعاً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التخمیس الذی نقل عن 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یعنی ذلک أنه إذا قبل مفسِّر بتخمیس غنائم بدر، عندها لا یبقی مجال لقائل بالنسخ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فقد أصرّ بعض من أهل السنة علی جعل الآیة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الأنفال ناسخة للآیة الأولی، وصاروا فی صدد توجیه الروایة التی ذکروها بأنفسهم عن أمیر المؤمنین قائلین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مقصود علی من غنائم بدر تلک لم یکن نفس بدر، بل الغزوات التی حدثت فی الفترة الفاصلة بین بدر وأحد حیث لم یقع فیها قتال، وتمّ فیها الحصول علی الغنائم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هذا التوجیه خلاف الظاهر، لأن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بأن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أعطاه فی یوم بدر هذا الشارف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مع هاتین القرینتین، یتضح أن نظریة النسخ بین الآیتین باطلة، وإن تمّ التدقیق أکثر فإننا سوف نلاحظ وجود قرائن أخری فی ذلک، وإن أکثر أهل السنة قائلون بعدم النسخ</w:t>
      </w:r>
      <w:r>
        <w:rPr>
          <w:rFonts w:eastAsia="IRNazanin" w:cs="IRNazanin"/>
          <w:color w:val="111111"/>
          <w:sz w:val="28"/>
          <w:szCs w:val="28"/>
          <w:rtl w:val="true"/>
          <w:lang w:bidi="fa-IR"/>
        </w:rPr>
        <w:t>.</w:t>
      </w:r>
    </w:p>
    <w:p>
      <w:pPr>
        <w:pStyle w:val="Heading3"/>
        <w:numPr>
          <w:ilvl w:val="2"/>
          <w:numId w:val="1"/>
        </w:numPr>
        <w:rPr/>
      </w:pPr>
      <w:bookmarkStart w:id="238" w:name="__RefHeading___Toc2158508_581953129"/>
      <w:bookmarkStart w:id="239" w:name="_Toc88"/>
      <w:bookmarkEnd w:id="238"/>
      <w:r>
        <w:rPr>
          <w:rtl w:val="true"/>
        </w:rPr>
        <w:t xml:space="preserve">ما هو مدلول الآیة الأولی والآیة </w:t>
      </w:r>
      <w:r>
        <w:rPr/>
        <w:t>41</w:t>
      </w:r>
      <w:r>
        <w:rPr>
          <w:rtl w:val="true"/>
        </w:rPr>
        <w:t xml:space="preserve"> </w:t>
      </w:r>
      <w:r>
        <w:rPr>
          <w:rtl w:val="true"/>
        </w:rPr>
        <w:t>من سورة الأنفال ؟</w:t>
      </w:r>
      <w:bookmarkEnd w:id="239"/>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أن علم عدم وجود سبیل إلی النسخ بینهما، ونظراً إلی کون الآیتین متعلقتین بغزوة بدر، فإننا سوف نقوم بدراسة هاتین الآیتین لتوضیح المقصود منهما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دراسة الآیة الأولی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یَسْئَلُونَکَ عَنِ الأَنْفالِ قُلِ الأَنْفالُ للهِ وَالرَّسُولِ فَاتَّقُوا اللهَ وَأَصْلِحُوا ذاتَ بَیْنِکُمْ وَأَطِیعُوا اللهَ وَرَسُولَهُ إِنْ کُنْتُمْ مُؤْمِنِینَ‌</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ما یلاحظ فی البدایة والذی ینبغی التدقیق حوله یتمثل بتکرار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قریباً من بعضها بعضاً فی هذه الآیة الکریمة، مع أن الله عز وجل کان یقدر أن یأتی بضمیر محل هذه الإشارة علیها، لیقول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یسألونک عن الأنفال قل هی لله والرسول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ذکر فی مورد آخر من القرآن الکریم ما یلی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یَسْئَلُونَکَ عَنِ الأَهِلَّةِ قُلْ هِیَ مَواقِیتُ لِلنَّاسِ وَالْحَجِّ‌</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ویستفاد من هذا التکرار إرادة معنی خاص من هذین الأنفالین ولکل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الألف واللام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الأنفال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للعهد، وبناء علی هذا فإن لفظة الأنفال تلک تعنی الغنائم الموجودة فی غزوة بدر، وقوله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یسألونک عن الأنفال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عن تلک الغنائم، حیث ذکر فی بعض القراءات کما أشیر إلیه سابقاً فی هذه الآیة ما 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یسألونک الأنفال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أنهم یطالبونک بغنائم بدر لتعطیهم إیاها، وقوله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بأنهم یستفسرون حکم تلک الغنائم لرسول الله، ویقول الله عز وجل مخاطباً رسوله لیقول لهم ما 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الأنفال لله والرسول</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الألف واللام فی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الأنفال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للعهد، بل للجنس أو ما یطلق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واللام الاستغراقیة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تفید العموم، فیصبح معنی ذلک کما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أنکم سألتم عن الغنائم فإنه لا خصوصیة لغنائم غزوة بدر، بل إن کل</w:t>
      </w:r>
      <w:bookmarkStart w:id="240" w:name="pg5472_36504"/>
    </w:p>
    <w:p>
      <w:pPr>
        <w:pStyle w:val="BookText"/>
        <w:rPr/>
      </w:pPr>
      <w:bookmarkEnd w:id="240"/>
      <w:r>
        <w:rPr>
          <w:rFonts w:ascii="IRNazanin" w:hAnsi="IRNazanin" w:eastAsia="IRNazanin"/>
          <w:color w:val="111111"/>
          <w:sz w:val="28"/>
          <w:sz w:val="28"/>
          <w:szCs w:val="28"/>
          <w:rtl w:val="true"/>
          <w:lang w:bidi="fa-IR"/>
        </w:rPr>
        <w:t xml:space="preserve">غنیمة وفضل لا مالک معیناً له هو لله ورسوله، حیث ذکر الله عز وجل هذا الجواب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ضابطة 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فی نفس سورة البقرة موارد أخری ابتدأت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یسألونک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کان الناس فی أغلبها یرجعون إلی رسول الله لیسألوه عن أشیاء، فی حین کان الجواب الذی یعطی لهم حولها أعم وأوسع من السؤال، نعم، فی بعض الموارد کذلک قد تمت الإجابة عن الأسئلة بمقدارها</w:t>
      </w:r>
      <w:r>
        <w:rPr>
          <w:rFonts w:eastAsia="IRNazanin" w:cs="IRNazanin"/>
          <w:color w:val="111111"/>
          <w:sz w:val="28"/>
          <w:szCs w:val="28"/>
          <w:rtl w:val="true"/>
          <w:lang w:bidi="fa-IR"/>
        </w:rPr>
        <w:t>.</w:t>
      </w:r>
    </w:p>
    <w:p>
      <w:pPr>
        <w:pStyle w:val="Heading3"/>
        <w:numPr>
          <w:ilvl w:val="2"/>
          <w:numId w:val="1"/>
        </w:numPr>
        <w:rPr/>
      </w:pPr>
      <w:bookmarkStart w:id="241" w:name="__RefHeading___Toc2158510_581953129"/>
      <w:bookmarkStart w:id="242" w:name="_Toc89"/>
      <w:bookmarkEnd w:id="241"/>
      <w:r>
        <w:rPr>
          <w:rtl w:val="true"/>
        </w:rPr>
        <w:t>الأنفال فی روایات الشیعة وفقههم</w:t>
      </w:r>
      <w:r>
        <w:rPr>
          <w:rtl w:val="true"/>
        </w:rPr>
        <w:t>:</w:t>
      </w:r>
      <w:bookmarkEnd w:id="242"/>
    </w:p>
    <w:p>
      <w:pPr>
        <w:pStyle w:val="BookText"/>
        <w:rPr/>
      </w:pPr>
      <w:r>
        <w:rPr>
          <w:rFonts w:ascii="IRNazanin" w:hAnsi="IRNazanin" w:eastAsia="IRNazanin"/>
          <w:color w:val="111111"/>
          <w:sz w:val="28"/>
          <w:sz w:val="28"/>
          <w:szCs w:val="28"/>
          <w:rtl w:val="true"/>
          <w:lang w:bidi="fa-IR"/>
        </w:rPr>
        <w:t>عندما یتم توضیح الأنفال فی فقهنا یقولون ما 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یستحقه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یذکرون له مصادیق کثیرة فی الفقه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لم یوجف علیها بخیل ورکاب، أرضاً کانت أو غیرها، انجلی عنها أهلها أو سلموها للمسلمین طوعاً، والأرض الموات التی لا ینتفع بها إلا بتعمیرها وإصلاحها، وأسیاف البحار وشواطی الأنهار، وکل</w:t>
      </w:r>
    </w:p>
    <w:p>
      <w:pPr>
        <w:pStyle w:val="BookText"/>
        <w:rPr/>
      </w:pPr>
      <w:r>
        <w:rPr>
          <w:rFonts w:ascii="IRNazanin" w:hAnsi="IRNazanin" w:eastAsia="IRNazanin"/>
          <w:color w:val="111111"/>
          <w:sz w:val="28"/>
          <w:sz w:val="28"/>
          <w:szCs w:val="28"/>
          <w:rtl w:val="true"/>
          <w:lang w:bidi="fa-IR"/>
        </w:rPr>
        <w:t>أرض لا رب لها، وقلل الجبال وما یکون بها من النبات والأشجار والأحجار، وقطائع وصفایا الملوک، وإرث من لا وارث له، والمعادن التی لم تکن لمالک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کذلک وردت روایات فی ذیل هذه الآیة الشریفة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ویسألونک عن الأنفال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ذکر حول الأنفال ما 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یوجف علیه بخیل ولا رکاب أو قوم صالحوا أو قوم أعطوا بأیدیهم وکل أرض خربة، من مات وترک مالاً فلورثته، ومن مات ولیس له مولی فما له من الأنفال</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وکما ذکر سابقاً حول معنی الأنفال لغویاً، بأن هذا اللفظ یطلق علی الزیادة، وإن کان ورد بمعنی الغنیمة کذلک، فلا تنافی بین الغنیمة والزیادة، لأن الغنیمة نوع</w:t>
      </w:r>
    </w:p>
    <w:p>
      <w:pPr>
        <w:pStyle w:val="BookText"/>
        <w:rPr/>
      </w:pPr>
      <w:r>
        <w:rPr>
          <w:rFonts w:ascii="IRNazanin" w:hAnsi="IRNazanin" w:eastAsia="IRNazanin"/>
          <w:color w:val="111111"/>
          <w:sz w:val="28"/>
          <w:sz w:val="28"/>
          <w:szCs w:val="28"/>
          <w:rtl w:val="true"/>
          <w:lang w:bidi="fa-IR"/>
        </w:rPr>
        <w:t>من الزیادة، لأن المقاتلین ذهبوا لقتال العدو وهزیمته والقضاء علیه بالقتال، حیث استطاعوا أن یحصلوا علی أشیاء إضافیة علی ما وضعوه من هدف وهی الغنیمة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یذکر فی فقه الشیعة وروایاتهم موارد ومصادیق للأنفال، فهو لیس من باب التعبد بل من باب الموارد والمصادیق للزیادة التی لا مالک لها، بمعنی أن کل زیادة لا مالک معیَّناً له وزائدة علی الأشیاء الأخری التی یتصرف فیها نوع الناس تحسب من الأنفال،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 ذکر فی هذه الروایات تمسّک واستدلال بعنوان الجمع المحلی بالألف واللام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القول بأن مصادیق الأنفال لا تنحصر بهذه الموارد المذکورة فحسب، ومن المحتمل أن توجد موارد أخری تُجعل تحت عنوان الأنفال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فإن ما ذکر فی الروایات له عنوان ذکر المصداق ولا یکون بعنوان التعبد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یتضح لدینا فی الآیة الأولی أن الناس سألوا عن غنائم بدر وذکر الله عز وجل فی الجواب حکم جمیع الأنفال، حیث جعل جمیعها ملکاً لله ورسوله، وفی الآیة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تعالی أنه إذا أعطاکم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شیئاً بعنوان الغنیمة، فقسّموه إلی خمسة أقسام، أربعة منها متعلقة بکم واجعلوا القسم الباقی کخُمسٍ له مصارف معینة، بناء علی هذا فلا یوجد اختلاف أبداً بین هاتین الآیتین، وبعبارة أخری فإن الآیة الأولی جعل التصرف فی الأنفال من صلاحیة الله ورسوله، وبناء علی ما ذکر من سبب نزول الآیة من أن المجاهدین بعد اختلافهم حولها، سألوا رسول الله عن حکم الأنفال فأجاب الله عز وجل سؤالهم عبر رسوله بالقول بأن الأنفال لیست متعلقة بکم بل هی لله ورسوله، وإن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یقسمها بینکم بالسویة بعد</w:t>
      </w:r>
      <w:bookmarkStart w:id="243" w:name="pg5472_36509"/>
    </w:p>
    <w:p>
      <w:pPr>
        <w:pStyle w:val="BookText"/>
        <w:rPr/>
      </w:pPr>
      <w:bookmarkEnd w:id="243"/>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المجاهدین والمقاتلین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وبعد أخذ الغنائم نزلت الآیة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السورة التی قررت دفع خمس ذلک بعنوان الخمس، لذا لا یوجد أی اختلاف بین هاتین الآیتین</w:t>
      </w:r>
      <w:r>
        <w:rPr>
          <w:rFonts w:eastAsia="IRNazanin" w:cs="IRNazanin"/>
          <w:color w:val="111111"/>
          <w:sz w:val="28"/>
          <w:szCs w:val="28"/>
          <w:rtl w:val="true"/>
          <w:lang w:bidi="fa-IR"/>
        </w:rPr>
        <w:t>.</w:t>
      </w:r>
    </w:p>
    <w:p>
      <w:pPr>
        <w:pStyle w:val="Heading3"/>
        <w:numPr>
          <w:ilvl w:val="2"/>
          <w:numId w:val="1"/>
        </w:numPr>
        <w:rPr/>
      </w:pPr>
      <w:bookmarkStart w:id="244" w:name="__RefHeading___Toc2158512_581953129"/>
      <w:bookmarkStart w:id="245" w:name="_Toc90"/>
      <w:bookmarkEnd w:id="244"/>
      <w:r>
        <w:rPr>
          <w:rtl w:val="true"/>
        </w:rPr>
        <w:t>إکمال البحث</w:t>
      </w:r>
      <w:r>
        <w:rPr>
          <w:rtl w:val="true"/>
        </w:rPr>
        <w:t>:</w:t>
      </w:r>
      <w:bookmarkEnd w:id="245"/>
    </w:p>
    <w:p>
      <w:pPr>
        <w:pStyle w:val="Heading3"/>
        <w:numPr>
          <w:ilvl w:val="2"/>
          <w:numId w:val="1"/>
        </w:numPr>
        <w:rPr/>
      </w:pPr>
      <w:bookmarkStart w:id="246" w:name="__RefHeading___Toc2158514_581953129"/>
      <w:bookmarkStart w:id="247" w:name="_Toc91"/>
      <w:bookmarkEnd w:id="246"/>
      <w:r>
        <w:rPr>
          <w:rtl w:val="true"/>
        </w:rPr>
        <w:t>دراسة للآیات الثلاث فی سورة الأنفال</w:t>
      </w:r>
      <w:r>
        <w:rPr>
          <w:rtl w:val="true"/>
        </w:rPr>
        <w:t>:</w:t>
      </w:r>
      <w:bookmarkEnd w:id="247"/>
    </w:p>
    <w:p>
      <w:pPr>
        <w:pStyle w:val="Heading4"/>
        <w:numPr>
          <w:ilvl w:val="3"/>
          <w:numId w:val="1"/>
        </w:numPr>
        <w:rPr/>
      </w:pPr>
      <w:bookmarkStart w:id="248" w:name="__RefHeading___Toc2158516_581953129"/>
      <w:bookmarkStart w:id="249" w:name="_Toc92"/>
      <w:bookmarkEnd w:id="248"/>
      <w:r>
        <w:rPr>
          <w:rtl w:val="true"/>
        </w:rPr>
        <w:t>اشارة</w:t>
      </w:r>
      <w:bookmarkEnd w:id="249"/>
    </w:p>
    <w:p>
      <w:pPr>
        <w:pStyle w:val="BookText"/>
        <w:rPr/>
      </w:pPr>
      <w:r>
        <w:rPr>
          <w:rFonts w:ascii="Amiri" w:hAnsi="Amiri" w:eastAsia="Amiri" w:cs="Amiri"/>
          <w:color w:val="111111"/>
          <w:sz w:val="28"/>
          <w:sz w:val="28"/>
          <w:szCs w:val="28"/>
          <w:rtl w:val="true"/>
          <w:lang w:bidi="ar-SA"/>
        </w:rPr>
        <w:t>یقول تعالی فی آیة أخری من سورة الأنفال ما 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فَکُلُوا مِمَّا غَنِمْتُمْ حَلالاً طَیِّباً وَاتَّقُوا اللهَ إِنَّ اللهَ غَفُورٌ رَحِیمٌ‌</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البحث الآخر المطروح هنا هو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الآیة الأولی من سورة الأنفال ناسخة للآیة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السورة نفسها أو لا؟</w:t>
      </w:r>
    </w:p>
    <w:p>
      <w:pPr>
        <w:pStyle w:val="BookText"/>
        <w:rPr/>
      </w:pPr>
      <w:r>
        <w:rPr>
          <w:rFonts w:ascii="IRNazanin" w:hAnsi="IRNazanin" w:eastAsia="IRNazanin"/>
          <w:color w:val="111111"/>
          <w:sz w:val="28"/>
          <w:sz w:val="28"/>
          <w:szCs w:val="28"/>
          <w:rtl w:val="true"/>
          <w:lang w:bidi="fa-IR"/>
        </w:rPr>
        <w:t xml:space="preserve">بما أن الآیة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الأنفال فإننا سوف نقوم بدراسة الرابط الذی یجمع الآیات الثلاثة فی سورة الأنفال والتی تتعلق بمسألة الغنیمة</w:t>
      </w:r>
      <w:r>
        <w:rPr>
          <w:rFonts w:eastAsia="IRNazanin" w:cs="IRNazanin"/>
          <w:color w:val="111111"/>
          <w:sz w:val="28"/>
          <w:szCs w:val="28"/>
          <w:rtl w:val="true"/>
          <w:lang w:bidi="fa-IR"/>
        </w:rPr>
        <w:t>.</w:t>
      </w:r>
    </w:p>
    <w:p>
      <w:pPr>
        <w:pStyle w:val="Heading4"/>
        <w:numPr>
          <w:ilvl w:val="3"/>
          <w:numId w:val="1"/>
        </w:numPr>
        <w:rPr/>
      </w:pPr>
      <w:bookmarkStart w:id="250" w:name="__RefHeading___Toc2158518_581953129"/>
      <w:bookmarkStart w:id="251" w:name="_Toc93"/>
      <w:bookmarkEnd w:id="250"/>
      <w:r>
        <w:rPr>
          <w:rtl w:val="true"/>
        </w:rPr>
        <w:t xml:space="preserve">- </w:t>
      </w:r>
      <w:r>
        <w:rPr>
          <w:rtl w:val="true"/>
        </w:rPr>
        <w:t>الآیة الأولی</w:t>
      </w:r>
      <w:r>
        <w:rPr>
          <w:rtl w:val="true"/>
        </w:rPr>
        <w:t>:</w:t>
      </w:r>
      <w:bookmarkEnd w:id="251"/>
    </w:p>
    <w:p>
      <w:pPr>
        <w:pStyle w:val="BookText"/>
        <w:rPr/>
      </w:pP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یَسْئَلُونَکَ عَنِ الأَنْفالِ قُلِ الأَنْفالُ للهِ وَالرَّسُولِ فَاتَّقُوا اللهَ وَأَصْلِحُوا ذاتَ بَیْنِکُمْ وَأَطِیعُوا اللهَ وَرَسُولَهُ إِنْ کُنْتُمْ مُؤْمِنِینَ‌</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2" w:name="__RefHeading___Toc2158520_581953129"/>
      <w:bookmarkStart w:id="253" w:name="_Toc94"/>
      <w:bookmarkEnd w:id="252"/>
      <w:r>
        <w:rPr>
          <w:rtl w:val="true"/>
        </w:rPr>
        <w:t xml:space="preserve">- </w:t>
      </w:r>
      <w:r>
        <w:rPr>
          <w:rtl w:val="true"/>
        </w:rPr>
        <w:t>الآیة الثانیة</w:t>
      </w:r>
      <w:r>
        <w:rPr>
          <w:rtl w:val="true"/>
        </w:rPr>
        <w:t>:</w:t>
      </w:r>
      <w:bookmarkEnd w:id="253"/>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أَنَّما غَنِمْتُمْ مِنْ شَیْ‌ءٍ فَأَنَّ للهِ خُمُسَهُ وَلِلرَّسُولِ وَلِذِی الْقُرْبی وَالْیَتامی وَالْمَساکِینِ وَابْنِ السَّبِیلِ إِنْ کُنْتُمْ آمَنْتُمْ بِاللهِ وَما أَنْزَلْنا عَلی عَبْدِنا یَوْمَ الْفُرْقانِ یَوْمَ الْتَقَی الْجَمْعانِ وَاللهُ عَلی کُلِّ شَیْ‌ءٍ قَدِیرٌ</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bookmarkStart w:id="254" w:name="pg5472_36511"/>
    </w:p>
    <w:p>
      <w:pPr>
        <w:pStyle w:val="Heading4"/>
        <w:numPr>
          <w:ilvl w:val="3"/>
          <w:numId w:val="1"/>
        </w:numPr>
        <w:rPr/>
      </w:pPr>
      <w:bookmarkStart w:id="255" w:name="__RefHeading___Toc2158522_581953129"/>
      <w:bookmarkStart w:id="256" w:name="_Toc95"/>
      <w:bookmarkEnd w:id="254"/>
      <w:bookmarkEnd w:id="255"/>
      <w:r>
        <w:rPr>
          <w:rtl w:val="true"/>
        </w:rPr>
        <w:t xml:space="preserve">- </w:t>
      </w:r>
      <w:r>
        <w:rPr>
          <w:rtl w:val="true"/>
        </w:rPr>
        <w:t>الآیة الثالثة</w:t>
      </w:r>
      <w:r>
        <w:rPr>
          <w:rtl w:val="true"/>
        </w:rPr>
        <w:t>:</w:t>
      </w:r>
      <w:bookmarkEnd w:id="256"/>
    </w:p>
    <w:p>
      <w:pPr>
        <w:pStyle w:val="BookText"/>
        <w:rPr/>
      </w:pP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فَکُلُوا مِمَّا غَنِمْتُمْ حَلالاً طَیِّباً وَاتَّقُوا اللهَ إِنَّ اللهَ غَفُورٌ رَحِیمٌ‌</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یتعلق بهذه الآیات الثلاث فإن هناک مطلبین یطرحان حولها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العلاقة والرابطة بین الآیة الأولی والآیة الثانیة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العلاقة والرابطة بین الآیة الأولی والآیة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سبق علمنا ما یجمع الآیتین الأولی والثانیة، وتتمثل خلاصته بأنه طبقاً للآیة الأولی فإن جمیع الأنفال یقع تحت تصرف الله ورسوله، وأما الآیة الحادیة والأربعین فإنها تذکر بأنه إذا أعطاکم رسول الله مالاً کغنیمة فیجب أن تقسموه إلی خمسة أقسام وتجعلوا القسم الخامس منه کخمس، ومن ثم عینت مصارف ذلک الخمس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بناءً علی ذلک لا اختلاف بین الآیتین حتی نقول إن إحداهما ناسخة للأخری، ومن هنا یتضح الارتباط بین الآیتین مع الآیة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فیصبح المعنی</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أن یقسم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الغنائم بینکم، وبعد أن تقوموا بتقسیم الغنائم التی أعطیت لکم وتفرزوا الخمس الأخیر منه، فإن بقیة ذلک یعتبر حلالاً طیباً لکم، فیقول تعالی فَکُلُوا مِمَّا غَنِمْتُمْ حَلالاً طَیِّباً ولذا لا یوجد أی اختلاف أو تناقض بین هذه الآیة والآیة الأولی حتی یطرح مسألة النسخ بینهما، وکذلک الأمر بین الآیات الثلاث حیث یوجد ترتیب منطقی بینها</w:t>
      </w:r>
      <w:r>
        <w:rPr>
          <w:rFonts w:eastAsia="IRNazanin" w:cs="IRNazanin"/>
          <w:color w:val="111111"/>
          <w:sz w:val="28"/>
          <w:szCs w:val="28"/>
          <w:rtl w:val="true"/>
          <w:lang w:bidi="fa-IR"/>
        </w:rPr>
        <w:t>).</w:t>
      </w:r>
      <w:bookmarkStart w:id="257" w:name="pg5472_36512"/>
    </w:p>
    <w:p>
      <w:pPr>
        <w:pStyle w:val="Heading3"/>
        <w:numPr>
          <w:ilvl w:val="2"/>
          <w:numId w:val="1"/>
        </w:numPr>
        <w:rPr/>
      </w:pPr>
      <w:bookmarkStart w:id="258" w:name="__RefHeading___Toc2158524_581953129"/>
      <w:bookmarkStart w:id="259" w:name="_Toc96"/>
      <w:bookmarkEnd w:id="257"/>
      <w:bookmarkEnd w:id="258"/>
      <w:r>
        <w:rPr>
          <w:rtl w:val="true"/>
        </w:rPr>
        <w:t>هل الآیة الأولی ناسخة للآیة الثالثة أو لا؟</w:t>
      </w:r>
      <w:bookmarkEnd w:id="259"/>
    </w:p>
    <w:p>
      <w:pPr>
        <w:pStyle w:val="BookText"/>
        <w:rPr/>
      </w:pPr>
      <w:r>
        <w:rPr>
          <w:rFonts w:ascii="IRNazanin" w:hAnsi="IRNazanin" w:eastAsia="IRNazanin"/>
          <w:color w:val="111111"/>
          <w:sz w:val="28"/>
          <w:sz w:val="28"/>
          <w:szCs w:val="28"/>
          <w:rtl w:val="true"/>
          <w:lang w:bidi="fa-IR"/>
        </w:rPr>
        <w:t>یقول البعض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الآیة الشریفة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فَکُلُوا مِمَّا غَنِمْتُمْ حَلالاً طَیِّباً وَاتَّقُوا اللهَ إِنَّ اللهَ غَفُورٌ رَحِیمٌ‌</w:t>
      </w:r>
      <w:r>
        <w:rPr>
          <w:rStyle w:val="FootnoteAnchor"/>
          <w:rtl w:val="true"/>
        </w:rPr>
        <w:footnoteReference w:id="154"/>
      </w:r>
      <w:r>
        <w:rPr>
          <w:rFonts w:ascii="IRNazanin" w:hAnsi="IRNazanin" w:eastAsia="IRNazanin"/>
          <w:color w:val="111111"/>
          <w:sz w:val="28"/>
          <w:sz w:val="28"/>
          <w:szCs w:val="28"/>
          <w:rtl w:val="true"/>
          <w:lang w:bidi="fa-IR"/>
        </w:rPr>
        <w:t>ظاهرة فی أن الغنائم ملک للمجاهدین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نسخت الآیة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الأَنْفالُ للهِ وَالرَّسُولِ‌</w:t>
      </w:r>
      <w:r>
        <w:rPr>
          <w:rStyle w:val="FootnoteAnchor"/>
          <w:rtl w:val="true"/>
        </w:rPr>
        <w:footnoteReference w:id="155"/>
      </w:r>
      <w:r>
        <w:rPr>
          <w:rFonts w:ascii="IRNazanin" w:hAnsi="IRNazanin" w:eastAsia="IRNazanin"/>
          <w:color w:val="111111"/>
          <w:sz w:val="28"/>
          <w:sz w:val="28"/>
          <w:szCs w:val="28"/>
          <w:rtl w:val="true"/>
          <w:lang w:bidi="fa-IR"/>
        </w:rPr>
        <w:t>التی ألغت ملکیتهم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ونظراً إلی ما ذکرنا فإنه قد توضح بطلان هذا الکلام</w:t>
      </w:r>
      <w:r>
        <w:rPr>
          <w:rFonts w:eastAsia="IRNazanin" w:cs="IRNazanin"/>
          <w:color w:val="111111"/>
          <w:sz w:val="28"/>
          <w:szCs w:val="28"/>
          <w:rtl w:val="true"/>
          <w:lang w:bidi="fa-IR"/>
        </w:rPr>
        <w:t>.</w:t>
      </w:r>
    </w:p>
    <w:p>
      <w:pPr>
        <w:pStyle w:val="Heading3"/>
        <w:numPr>
          <w:ilvl w:val="2"/>
          <w:numId w:val="1"/>
        </w:numPr>
        <w:rPr/>
      </w:pPr>
      <w:bookmarkStart w:id="260" w:name="__RefHeading___Toc2158526_581953129"/>
      <w:bookmarkStart w:id="261" w:name="_Toc97"/>
      <w:bookmarkEnd w:id="260"/>
      <w:r>
        <w:rPr>
          <w:rtl w:val="true"/>
        </w:rPr>
        <w:t>رأی المرحوم العلاّمة الطباطبائی</w:t>
      </w:r>
      <w:r>
        <w:rPr>
          <w:rtl w:val="true"/>
        </w:rPr>
        <w:t>:</w:t>
      </w:r>
      <w:bookmarkEnd w:id="261"/>
    </w:p>
    <w:p>
      <w:pPr>
        <w:pStyle w:val="BookText"/>
        <w:rPr/>
      </w:pPr>
      <w:r>
        <w:rPr>
          <w:rFonts w:ascii="IRNazanin" w:hAnsi="IRNazanin" w:eastAsia="IRNazanin"/>
          <w:color w:val="111111"/>
          <w:sz w:val="28"/>
          <w:sz w:val="28"/>
          <w:szCs w:val="28"/>
          <w:rtl w:val="true"/>
          <w:lang w:bidi="fa-IR"/>
        </w:rPr>
        <w:t>فقد ذکر رحمه الله فی تفسیره المیزان بأنه ینبغی ملاحظة منشأ السؤال ومن أین أتی، ولأجل أی شیء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وأصلحوا ذات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الجملة</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الآیة ظاهرة فی طروء اختلاف ومشاجرة بین المجاهدین حول الأنفال، لأن الله عز وجل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واصلحوا ذات بینکم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لم تکن أسباب نزول هذه الآیة مطروحة، لعلمنا من سیاق الآیات وجود هذا الاختلاف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ویضیف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ملکیة الغنائم للمجاهدین کانت موجودة فی أذهانهم علی نحو الإجمال، فإنه بناء علی الآیة الکریمة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فکلوا مما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یعلمون أن المجاهدین مالکون للغنائم، ولکنهم لم یکونوا یعرفون کیفیة الملکیة، هل یأخذون کل السهم والحصة أو قسماً خاصاً منها؟ أو أن مجموعة خاصة منهم تأخذه؟ وهذا الأمر کان سبب نشوء الاختلاف والمشاجرة بینهم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رحمه الله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الآیة الکریمة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فَکُلُوا مِمَّا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سبقت الآیة</w:t>
      </w:r>
      <w:bookmarkStart w:id="262" w:name="pg5472_36514"/>
    </w:p>
    <w:p>
      <w:pPr>
        <w:pStyle w:val="BookText"/>
        <w:rPr/>
      </w:pPr>
      <w:bookmarkEnd w:id="262"/>
      <w:r>
        <w:rPr>
          <w:rFonts w:ascii="Amiri" w:hAnsi="Amiri" w:eastAsia="Amiri" w:cs="Amiri"/>
          <w:color w:val="111111"/>
          <w:sz w:val="28"/>
          <w:sz w:val="28"/>
          <w:szCs w:val="28"/>
          <w:rtl w:val="true"/>
          <w:lang w:bidi="ar-SA"/>
        </w:rPr>
        <w:t xml:space="preserve">الکریمة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یَسْئَلُونَکَ عَنِ الأَنْفالِ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والآیة الأولی تفسیر للآیة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3" w:name="__RefHeading___Toc2158528_581953129"/>
      <w:bookmarkStart w:id="264" w:name="_Toc98"/>
      <w:bookmarkEnd w:id="263"/>
      <w:r>
        <w:rPr>
          <w:rtl w:val="true"/>
        </w:rPr>
        <w:t xml:space="preserve">إشکال علی کلام العلاّمة الطباطبائی </w:t>
      </w:r>
      <w:r>
        <w:rPr>
          <w:rtl w:val="true"/>
        </w:rPr>
        <w:t>(</w:t>
      </w:r>
      <w:r>
        <w:rPr>
          <w:rtl w:val="true"/>
        </w:rPr>
        <w:t>رضوان الله تعالی علیه</w:t>
      </w:r>
      <w:r>
        <w:rPr>
          <w:rtl w:val="true"/>
        </w:rPr>
        <w:t>):</w:t>
      </w:r>
      <w:bookmarkEnd w:id="264"/>
    </w:p>
    <w:p>
      <w:pPr>
        <w:pStyle w:val="BookText"/>
        <w:rPr/>
      </w:pPr>
      <w:r>
        <w:rPr>
          <w:rFonts w:ascii="IRNazanin" w:hAnsi="IRNazanin" w:eastAsia="IRNazanin"/>
          <w:color w:val="111111"/>
          <w:sz w:val="28"/>
          <w:sz w:val="28"/>
          <w:szCs w:val="28"/>
          <w:rtl w:val="true"/>
          <w:lang w:bidi="fa-IR"/>
        </w:rPr>
        <w:t xml:space="preserve">برأینا توجد عدة إشکالات علی ما ذکره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فی اعتبار الآیة الشریفة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فَکُلُوا مِمَّا غَنِمْتُمْ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سابقة للآیة الشریفة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یَسْئَلُونَکَ عَنِ الأَنْفالِ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إن الآیة الشریفة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فَکُلُوا مِمَّا غَنِمْتُمْ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فی آخر الآیات الثلاث، بمعنی أنه بعد أن تمت مراحل التقسیم والملکیة، وبعد أن جری التخمیس،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فَکُلُوا مِمَّا غَنِمْتُمْ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والذی هو فرع علی کونهم مالکین، ولم توجد شبهة أخری، ولذا أتی قوله تعالی بعد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حَلالاً طَیِّباً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یقول العلاّمة الطباطبائی فی بیان معنی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کنایة عن أصل التصرف</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واستناداً إلی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حمل کلمة ولفظ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أصل جواز التصرف علی نحو الإجمال، ونقول أن الآیة الشریفة کنایة علی أصل جواز التصرف، ولا ینبغی حملها علی الملکیة، فی حین إن هذا المعنی مشکل جداً، ولا نستطیع القول بأن الآیة الشریفة لا تحمل علی الملکیة، وأنهم لم یصبحوا مالکین، لأنه بملاحظة قید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حَلالاً 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القول بعدم الملکیة، وبعبارة أخری فإن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حَلالاً 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قرینة جیدة علی الملکیة، ولا تتناسب مع الإباحة والجواز الإجمالی، وهم یستعملون هذا التعبیر عادة فی مورد یکون الحلِّیة واضحاً وبصورة تفصیلیة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بناء علی ذلک، فإن ما ذکره المرحوم العلاّمة خلاف لظاهر الآیة الکریمة التی یقول فیها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فَکُلُوا مِمَّا غَنِمْتُمْ حَلالاً طَیِّباً</w:t>
      </w:r>
      <w:r>
        <w:rPr>
          <w:rStyle w:val="FootnoteAnchor"/>
          <w:rtl w:val="true"/>
        </w:rPr>
        <w:footnoteReference w:id="157"/>
      </w:r>
      <w:r>
        <w:rPr>
          <w:rFonts w:ascii="IRNazanin" w:hAnsi="IRNazanin" w:eastAsia="IRNazanin"/>
          <w:color w:val="111111"/>
          <w:sz w:val="28"/>
          <w:sz w:val="28"/>
          <w:szCs w:val="28"/>
          <w:rtl w:val="true"/>
          <w:lang w:bidi="fa-IR"/>
        </w:rPr>
        <w:t xml:space="preserve">، بل 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ظهور واضح فی الملکیة التامة، خصوصاً عندما یقول بأن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أخذتم الغنیمة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الصحیح أن الآیة الأولی تفسیر إجمالی للآیة الثانیة، لأن الآیة الأولی ذکرت فقط أن أمر الغنائم بید الله ورسوله، ولم تذکر شیئاً عن کیفیة تملکها ومقدار ذلک، فکیف یمکن جعلها تفسیراً للآیة الثالثة؟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استطعنا أن نثبت ذلک الأصل الذی یقوم علی أن ترتیب نزول الآیات فی السور المختلفة قائم علی أساس نفس ذلک الترتیب الذی لوحظ فی السور بالفعل، إلا ما خرج بالدلیل، إذ فی مثل هذه الموارد یتضح بشکل واضح مراد وتوضیح</w:t>
      </w:r>
    </w:p>
    <w:p>
      <w:pPr>
        <w:pStyle w:val="BookText"/>
        <w:rPr/>
      </w:pPr>
      <w:r>
        <w:rPr>
          <w:rFonts w:ascii="IRNazanin" w:hAnsi="IRNazanin" w:eastAsia="IRNazanin"/>
          <w:color w:val="111111"/>
          <w:sz w:val="28"/>
          <w:sz w:val="28"/>
          <w:szCs w:val="28"/>
          <w:rtl w:val="true"/>
          <w:lang w:bidi="fa-IR"/>
        </w:rPr>
        <w:t>الآیات الشریفة، ولکن إذا لم یکن هذا الأصل قابلاً للإثبات وکان ترتیب نزول الآیات مجهولاً بالنسبة إلینا، فإنه سوف یصبح إثبات هذا الموضوع مشکلاً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نستطیع بالاستناد علی أصالة عدم النسخ أن نسلم بصحة هذا الترتیب</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الاستفادة من القرائن الخارجیة لفهم تقدیم الآیات الکریمة وتأخیرها بعضها عن بعض أثناء النزول، وما ذکرناه فی الجمع بین الآیات الثلاث قرینة واضحة علی زمان نزول کل واحد منها</w:t>
      </w:r>
      <w:r>
        <w:rPr>
          <w:rFonts w:eastAsia="IRNazanin" w:cs="IRNazanin"/>
          <w:color w:val="111111"/>
          <w:sz w:val="28"/>
          <w:szCs w:val="28"/>
          <w:rtl w:val="true"/>
          <w:lang w:bidi="fa-IR"/>
        </w:rPr>
        <w:t>.</w:t>
      </w:r>
      <w:bookmarkStart w:id="265" w:name="pg5472_36518"/>
    </w:p>
    <w:p>
      <w:pPr>
        <w:pStyle w:val="Heading3"/>
        <w:numPr>
          <w:ilvl w:val="2"/>
          <w:numId w:val="1"/>
        </w:numPr>
        <w:rPr/>
      </w:pPr>
      <w:bookmarkStart w:id="266" w:name="__RefHeading___Toc2158530_581953129"/>
      <w:bookmarkStart w:id="267" w:name="_Toc99"/>
      <w:bookmarkEnd w:id="265"/>
      <w:bookmarkEnd w:id="266"/>
      <w:r>
        <w:rPr>
          <w:rtl w:val="true"/>
        </w:rPr>
        <w:t>نتیجة بحثنا حول الارتباط بین الآیات الثلاث فی سورة الأنفال</w:t>
      </w:r>
      <w:r>
        <w:rPr>
          <w:rtl w:val="true"/>
        </w:rPr>
        <w:t>:</w:t>
      </w:r>
      <w:bookmarkEnd w:id="267"/>
    </w:p>
    <w:p>
      <w:pPr>
        <w:pStyle w:val="BookText"/>
        <w:rPr/>
      </w:pPr>
      <w:r>
        <w:rPr>
          <w:rFonts w:ascii="IRNazanin" w:hAnsi="IRNazanin" w:eastAsia="IRNazanin"/>
          <w:color w:val="111111"/>
          <w:sz w:val="28"/>
          <w:sz w:val="28"/>
          <w:szCs w:val="28"/>
          <w:rtl w:val="true"/>
          <w:lang w:bidi="fa-IR"/>
        </w:rPr>
        <w:t xml:space="preserve">لقد حدث اختلاف ومشاجرة علی تقسیم غنائم غزوة بدر بین المجاهدین، ومن ثم حضروا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وسألوه عن ذلک فنزلت الآیة الأولی بأنه ما لم یتخذ القرار من الله ورسوله حولها فإن هذه الغنائم لیست ملکاً لأحد، ومن ثم 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بتقسیم الغنائم بینهم بالسویة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تقسیم الغنائم نزلت الآیة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الأنفال التی ذکرت وجوب دفع خمس ما قسم بینهم، وإن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الآیة لا تصدق إلا بعد أخذ الغنیمة، وما دام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یقسم الغنائم بعد فإن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یصدق فی هذا المورد، وإن قیل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إلی الجمع وبالنظر إلی أن جماعة المسلمین قد غنموا تلک الغنائم، فإن هذا الخطاب صحیح حتی ولو لم تکن هذه الغنائم فی تصرف بعض منهم فی الوقت 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ونقول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أنه وردت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ذلک، عندها ینبغی ذکر ظروف یستطیع من خلالها کل واحد أن یتصرف بشکل مستقل فیها، بعبارة أخری یجب أن یجعل ذلک فی اختیار کل فرد منهم بشکل کامل</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ثم نزلت الآیة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الأنفال حیث تذکر أنه ما بقی فی تصرفکم بعد المراحل السابقة فهو حلال طیب لکم تستفیدون منه حیث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فَکُلُوا مِمَّا غَنِمْتُمْ حَلالاً طَیِّباً وَاتَّقُوا اللهَ إِنَّ اللهَ غَفُورٌ رَحِیمٌ‌</w:t>
      </w:r>
      <w:r>
        <w:rPr>
          <w:rStyle w:val="FootnoteAnchor"/>
          <w:rtl w:val="true"/>
        </w:rPr>
        <w:footnoteReference w:id="158"/>
      </w:r>
      <w:r>
        <w:rPr>
          <w:rFonts w:ascii="IRNazanin" w:hAnsi="IRNazanin" w:eastAsia="IRNazanin"/>
          <w:color w:val="111111"/>
          <w:sz w:val="28"/>
          <w:sz w:val="28"/>
          <w:szCs w:val="28"/>
          <w:rtl w:val="true"/>
          <w:lang w:bidi="fa-IR"/>
        </w:rPr>
        <w:t xml:space="preserve">، ولذا برأینا فإن ترتیب الآیات هی کما وردت فی سورة الأنفال، أی قد نزلت فی البدایة الآیة الأولی ومن ثم الآیة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المرحلة الثالثة نزلت الآیة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ومع ما ذکر من</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تلاحظون أن ترتیب الآیات ترتیب منطقی بشکل کامل ولا دلیل أو وجه للقول بالنسخ بینها، بمعنی أن الآیة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ناسخة للآیة الأولی، والآیة الأولی لیست ناسخة للآیة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الخمس الثانیة</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لَیْسَ الْبِرَّ أَنْ تُوَلُّوا وُجُوهَکُمْ قِبَلَ الْمَشْرِقِ وَالْمَغْرِبِ وَلکِنَّ الْبِرَّ مَنْ آمَنَ بِاللهِ وَالْیَوْمِ الآخِرِ وَالْمَلائِکَةِ وَالْکِتابِ وَالنَّبِیِّینَ وَآتَی الْمالَ عَلی حُبِّهِ ذَوِی الْقُرْبی وَالْیَتامی وَالْمَساکِینَ وَابْنَ السَّبِیلِ وَالسَّائِلِینَ وَفِی الرِّقابِ وَأَقامَ الصَّلاةَ وَآتَی الزَّکاةَ وَالْمُوفُونَ بِعَهْدِهِمْ إِذا عاهَدُوا وَالصَّابِرِینَ فِی الْبَأْساءِ وَالضَّرَّاءِ وَحِینَ الْبَأْسِ أُولئِکَ الَّذِینَ صَدَقُوا وَأُولئِکَ هُمُ الْمُتَّقُونَ‌</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bookmarkStart w:id="268" w:name="pg5472_36528"/>
    </w:p>
    <w:p>
      <w:pPr>
        <w:pStyle w:val="Heading2"/>
        <w:numPr>
          <w:ilvl w:val="1"/>
          <w:numId w:val="1"/>
        </w:numPr>
        <w:rPr/>
      </w:pPr>
      <w:bookmarkStart w:id="269" w:name="__RefHeading___Toc2158532_581953129"/>
      <w:bookmarkStart w:id="270" w:name="_Toc100"/>
      <w:bookmarkEnd w:id="268"/>
      <w:bookmarkEnd w:id="269"/>
      <w:r>
        <w:rPr>
          <w:rtl w:val="true"/>
        </w:rPr>
        <w:t>آیة الخمس الثانیة</w:t>
      </w:r>
      <w:bookmarkEnd w:id="270"/>
    </w:p>
    <w:p>
      <w:pPr>
        <w:pStyle w:val="Heading3"/>
        <w:numPr>
          <w:ilvl w:val="2"/>
          <w:numId w:val="1"/>
        </w:numPr>
        <w:rPr/>
      </w:pPr>
      <w:bookmarkStart w:id="271" w:name="__RefHeading___Toc2158534_581953129"/>
      <w:bookmarkStart w:id="272" w:name="_Toc101"/>
      <w:bookmarkEnd w:id="271"/>
      <w:r>
        <w:rPr>
          <w:rtl w:val="true"/>
        </w:rPr>
        <w:t>اشارة</w:t>
      </w:r>
      <w:bookmarkEnd w:id="272"/>
    </w:p>
    <w:p>
      <w:pPr>
        <w:pStyle w:val="BookText"/>
        <w:rPr/>
      </w:pP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الْبِرَّ أَنْ تُوَلُّوا وُجُوهَکُمْ قِبَلَ الْمَشْرِقِ وَالْمَغْرِبِ وَلکِنَّ الْبِرَّ مَنْ آمَنَ بِاللهِ وَالْیَوْمِ الآخِرِ وَالْمَلائِکَةِ وَالْکِتابِ وَالنَّبِیِّینَ وَآتَی الْمالَ عَلی حُبِّهِ ذَوِی الْقُرْبی وَالْیَتامی وَالْمَساکِینَ وَابْنَ السَّبِیلِ وَالسَّائِلِینَ وَفِی الرِّقابِ وَأَقامَ الصَّلاةَ وَآتَی الزَّکاةَ وَالْمُوفُونَ بِعَهْدِهِمْ إِذا عاهَدُوا وَالصَّابِرِینَ فِی الْبَأْساءِ وَالضَّرَّاءِ وَحِینَ الْبَأْسِ أُولئِکَ الَّذِینَ صَدَقُوا وَأُولئِکَ هُمُ الْمُتَّقُونَ‌</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الخمس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الآیة الشریفة یمکن أن تطرح فی مبحث الخمس بالإضافة إلی أنه یمکن الاستفادة منها فی أصل مشروعیة الخمس، کما أنها قرینة علی عدم انحصار مصارف الخمس فی المجموعات الثلاثة أی الیتامی أو المساکین وابن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هذه الآیة الکریمة توجد احتمالات متعددة حول المراد من مخاطبی هذه الآیة وهی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الآیة خطاب إلی أهل 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خطاب إلی المسلمین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الاحتمال الثالث، أن الآیة عامة وتخاطب المسلمین وأهل الکتاب</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حیث تذکر الآیة الکریمة بأن البرّ لا یتمثل باتجاه قبلتکم بل إن البر یتمثل فی ثلاثة محاور اعتقادیة وأخلاقیة وعملیة، وهذه الآیة من أکثر الآیات جامعیة حیث ذکرت للإنسان ثلاثة محاور هی البر الاعتقادی والبر الأخلاقی والبر فی الأعمال، حیث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الْبِرَّ مَنْ آمَنَ بِاللهِ وَالْیَوْمِ الآخِرِ وَالْمَلائِکَةِ وَالْکِتابِ وَالنَّبِیِّینَ</w:t>
      </w:r>
    </w:p>
    <w:p>
      <w:pPr>
        <w:pStyle w:val="BookText"/>
        <w:rPr/>
      </w:pPr>
      <w:r>
        <w:rPr>
          <w:rFonts w:ascii="Amiri" w:hAnsi="Amiri" w:eastAsia="Amiri" w:cs="Amiri"/>
          <w:color w:val="111111"/>
          <w:sz w:val="28"/>
          <w:sz w:val="28"/>
          <w:szCs w:val="28"/>
          <w:rtl w:val="true"/>
          <w:lang w:bidi="ar-SA"/>
        </w:rPr>
        <w:t>إذ تعبّر هذه العبارة عن البر الاعتقادی، 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وَالْمُوفُونَ بِعَهْدِهِمْ إِذا عاهَدُوا وَالصَّابِرِینَ فِی الْبَأْساءِ وَالضَّرَّاءِ وَحِینَ الْبَأْسِ تعبّر عن البر الأخلاقی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شاهد بحثنا هو المحور الأخیر للبر والذی یتمثل بالبر العملی، وهو موجود فی هذا القسم من الآیة الشریفة حیث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وَآتَی الْمالَ عَلی حُبِّهِ ذَوِی الْقُرْبی وَالْیَتامی وَالْمَساکِینَ وَابْنَ السَّبِیلِ وَالسَّائِلِینَ وَفِی الرِّقابِ وَأَقامَ الصَّلاةَ وَآتَی الزَّکاةَ، حیث أشار تعالی بعد ذکر الأمور المالیة إلی إقامة الصلاة حیث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وَأَقامَ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أشار مرة أخری ورجع إلی الأمور المالیة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وَآتَی الزَّکاةَ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لم یکن فی هذا المحل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وَآتَی الزَّکاةَ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یصیر من المحتمل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وَآتَی الْمالَ عَلی حُبِّهِ ذَوِی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متعلقة بالزکاة، ولکن مع وجود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وَآتَی الزَّکاةَ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بعدها فهی قرینة علی أن المراد من قوله تعالی وَآتَی الْمالَ عَلی حُبِّهِ ذَوِی الْقُرْبی هو حق وواجب مالی آخر غیر الزکاة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أردنا أن نعطی رأینا بناء علی ظاهر الآیة الشریفة فإننا نستفید من ظاهرها أن من له مال یجب علیه أن یعطی زکاته إن تعلق به، وکذلک حقوقاً مالیة أخری یتحملها ینبغی علیه أن یدفعها، ومن طرف آخر نعلم أنه لا توجد حقوق مالیة أخری غیر الزکاة فی الأموال تکون واجبة إلا الخمس</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الآیة السابقة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أَنَّما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المتعلقة بالخمس ذکره تعالی ذوی القربی والمساکین وابن السبیل، وذکر فی هذه الآیة تلک الموارد لمصرف الخمس بالإضافة إلی عنوان جدید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یمکن أن یکون قرینة علی عدم انحصار مصارف الخمس الواردة فی آیة الخمس بالمصارف السابقة، نعم، إن ما یهمنا أن نری فی أنه هل یستفاد من هذه الآیة الکریمة وجوب الخمس أو لا؟</w:t>
      </w:r>
      <w:bookmarkStart w:id="273" w:name="pg5472_36531"/>
    </w:p>
    <w:p>
      <w:pPr>
        <w:pStyle w:val="Heading3"/>
        <w:numPr>
          <w:ilvl w:val="2"/>
          <w:numId w:val="1"/>
        </w:numPr>
        <w:rPr/>
      </w:pPr>
      <w:bookmarkStart w:id="274" w:name="__RefHeading___Toc2158536_581953129"/>
      <w:bookmarkStart w:id="275" w:name="_Toc102"/>
      <w:bookmarkEnd w:id="273"/>
      <w:bookmarkEnd w:id="274"/>
      <w:r>
        <w:rPr>
          <w:rtl w:val="true"/>
        </w:rPr>
        <w:t>هل یستفاد من هذه الآیة الشریفة وجوب الخمس أو لا؟</w:t>
      </w:r>
      <w:bookmarkEnd w:id="275"/>
    </w:p>
    <w:p>
      <w:pPr>
        <w:pStyle w:val="BookText"/>
        <w:rPr/>
      </w:pPr>
      <w:r>
        <w:rPr>
          <w:rFonts w:ascii="IRNazanin" w:hAnsi="IRNazanin" w:eastAsia="IRNazanin"/>
          <w:color w:val="111111"/>
          <w:sz w:val="28"/>
          <w:sz w:val="28"/>
          <w:szCs w:val="28"/>
          <w:rtl w:val="true"/>
          <w:lang w:bidi="fa-IR"/>
        </w:rPr>
        <w:t>یقول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یمکن حتی فهم وجوب الزکاة من هذه الآیة، لأن الآیة فی مقام الترغیب والتشجیع إلی أعمال البر والخیر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أن الآیة الشریفة فی مقام الترغیب وفی مقام بیان التکلیف معاً، ویبعد أن تکون فی مقام الترغیب فحسب، إذ أولاً لا یمکن القول بأن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وَأَقامَ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الترغیب إلی الصلاة، ولا یمکن القول أن مقصود الله عز وجل أن الصلاة عمل جید ولیس بعمل واجب، وکذلک الأمر بالنسبة للزکاة فی أن یکون مقصوده من ذلک بأن الزکاة عمل جید ولیس بواجب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بما أن الآیة الکریمة فی مقام الحصر وتعیین مصداق البر، ومن ناحیة أخری لا شک أن الواجبات من أبرز مصادیق البر، لذا ندّعی من هذه الجهة أن الآیة ظاهرة فی الوجوب، فعلی سبیل المثال علی الرغم من أنه توجد فی فقهنا قرائن کثیرة حیث أفتی الفقهاء بعدم وجوب الوفاء بالعهد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ما یستفاد من ظاهر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وَالْمُوفُونَ بِعَهْدِهِمْ إِذا عاهَدُوا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الوفاء بالعهد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نستنتج بأن کون الآیة فی مقام الحصر قرینة علی أن الموارد الوجوبیة علی الأقل لا تخرج من مصادیق البر</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قال قائل بأن الآیة الکریمة بشکل عام فی مقام الترغیب، لکن متعلق هذا الترغیب مختلف، حیث أتی الترغیب فی بعض الموارد بالنسبة للواجبات، وفی موارد أخری بالنسبة للمستحبات، کما أن النذر یکون أحیاناً متعلقاً بواجب</w:t>
      </w:r>
    </w:p>
    <w:p>
      <w:pPr>
        <w:pStyle w:val="BookText"/>
        <w:rPr/>
      </w:pPr>
      <w:r>
        <w:rPr>
          <w:rFonts w:ascii="IRNazanin" w:hAnsi="IRNazanin" w:eastAsia="IRNazanin"/>
          <w:color w:val="111111"/>
          <w:sz w:val="28"/>
          <w:sz w:val="28"/>
          <w:szCs w:val="28"/>
          <w:rtl w:val="true"/>
          <w:lang w:bidi="fa-IR"/>
        </w:rPr>
        <w:t>وأحیاناً بالمستحب، بناء علی هذا لا یمکن استفادة وجوب إعطاء المال لذی القربی من هذه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ونقول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عنوان الترغیب یُلحظ بحد ذاته لیس کعنوان مستقل، بخلاف النذر الذی یعدّ عنواناً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الروایات الواردة فی ذیل هذه الآیة التی یستفاد منها أن المراد من الحقوق فی هذه الآیة هی الحقوق الواجبة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ابن عباس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المال حقوق واجبة سوی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ما ورد فی تفسیر الطبری عن فاطمة بنت قیس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المال حق سوی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تلا الآیة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وردت فی الروایات المذکورة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إن الحق شیء للآخرین حیث یجد الآخرون فی مال الإنسان هذا حقاً، لا أن یکون صرفاً فی الترغیب، لأن الترغیب بمعنی أن هذا العمل جید، ولکن لا یوجد حق فی هذا المال للآخرین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إن التعبیر بالحق فی الروایات والاستشهاد بهذه الآیة الشریفة من قبل رسول الله بعد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المال حق سوی الزکاة</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قرینة صحیحة وتامة علی الوجوب واللزوم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 إن الجملة التی سبقت قوله تعالی وَآتَی الْمالَ عَلی حُبِّهِ والتی أتت بعده فی مقام بیان الواجبات، حیث یقول تعالی فی الجملة التی سبقتها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آمَنَ بِاللهِ وَالْیَوْمِ الآخِرِ وَالْمَلائِکَةِ وَالْکِتابِ وَالنَّبِیِّینَ</w:t>
      </w:r>
      <w:r>
        <w:rPr>
          <w:rFonts w:eastAsia="Amiri" w:cs="Amiri" w:ascii="Amiri" w:hAnsi="Amiri"/>
          <w:color w:val="111111"/>
          <w:sz w:val="28"/>
          <w:szCs w:val="28"/>
          <w:rtl w:val="true"/>
          <w:lang w:bidi="ar-SA"/>
        </w:rPr>
        <w:t>.</w:t>
      </w:r>
      <w:bookmarkStart w:id="276" w:name="pg5472_36535"/>
    </w:p>
    <w:p>
      <w:pPr>
        <w:pStyle w:val="BookText"/>
        <w:rPr/>
      </w:pPr>
      <w:bookmarkEnd w:id="276"/>
      <w:r>
        <w:rPr>
          <w:rFonts w:ascii="Amiri" w:hAnsi="Amiri" w:eastAsia="Amiri" w:cs="Amiri"/>
          <w:color w:val="111111"/>
          <w:sz w:val="28"/>
          <w:sz w:val="28"/>
          <w:szCs w:val="28"/>
          <w:rtl w:val="true"/>
          <w:lang w:bidi="ar-SA"/>
        </w:rPr>
        <w:t>من الواضح أن الإیمان واجب علیهم إما عقلاً أو شرعاً، وفی الجملة التی تلتها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وَأَقامَ الصَّلاةَ وَآتَی الزَّکاةَ، حیث إنه فی هذه الآیة بل فی کل مورد أتی فیه الصلاة والزکاة جنباً إلی جنب، یکون المراد منهما الصلاة والزکاة الواجبتان لا غیر الواجب منهما، ومن الواضح أن وحدة السیاق تقتضی أن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وَآتَی الْمالَ عَلی حُبِّهِ ذَوِی الْقُرْبی وَالْیَتامی وَالْمَساکِینَ وَابْنَ السَّبِیلِ وَالسَّائِلِینَ وَفِی الرِّقابِ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متعلقة بالواجبات کذلک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 مع هذه الشواهد الأربعة یتضح أن الآیة الشریفة فی مقام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قبلنا أن جملة قوله تعالی وَآتَی الْمالَ عَلی حُبِّهِ ذَوِی الْقُرْبی للترغیب فی الخمس فحسب، فإن هذا المقدار کذلک کاف لتکون قرینة علی أصل مشروعیة الخمس، وهذا المقدار یثبت ادّعاءنا أن الخمس قد جعل فی الإسلام کحق مالی مستقل، وبقبول هذا المقدار یمکن أن نستفید الوجوب واللزوم، من أدلة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فإن هذه الآیة الشریفة متعلقة بأصل مشروعیة الخمس أو بوجوب الخمس، وکذلک فإن ذکر الرقاب قرینة علی عدم انحصار سهم السادة بالیتامی والمساکین وابن السبیل</w:t>
      </w:r>
      <w:r>
        <w:rPr>
          <w:rFonts w:eastAsia="IRNazanin" w:cs="IRNazanin"/>
          <w:color w:val="111111"/>
          <w:sz w:val="28"/>
          <w:szCs w:val="28"/>
          <w:rtl w:val="true"/>
          <w:lang w:bidi="fa-IR"/>
        </w:rPr>
        <w:t>.</w:t>
      </w:r>
    </w:p>
    <w:p>
      <w:pPr>
        <w:pStyle w:val="Heading3"/>
        <w:numPr>
          <w:ilvl w:val="2"/>
          <w:numId w:val="1"/>
        </w:numPr>
        <w:rPr/>
      </w:pPr>
      <w:bookmarkStart w:id="277" w:name="__RefHeading___Toc2158538_581953129"/>
      <w:bookmarkStart w:id="278" w:name="_Toc103"/>
      <w:bookmarkEnd w:id="277"/>
      <w:r>
        <w:rPr>
          <w:rtl w:val="true"/>
        </w:rPr>
        <w:t>دراسة عبارات المفسرین فی استفادة الوجوب وعدمه</w:t>
      </w:r>
      <w:r>
        <w:rPr>
          <w:rtl w:val="true"/>
        </w:rPr>
        <w:t>:</w:t>
      </w:r>
      <w:bookmarkEnd w:id="278"/>
    </w:p>
    <w:p>
      <w:pPr>
        <w:pStyle w:val="BookText"/>
        <w:rPr/>
      </w:pPr>
      <w:r>
        <w:rPr>
          <w:rFonts w:ascii="IRNazanin" w:hAnsi="IRNazanin" w:eastAsia="IRNazanin"/>
          <w:color w:val="111111"/>
          <w:sz w:val="28"/>
          <w:sz w:val="28"/>
          <w:szCs w:val="28"/>
          <w:rtl w:val="true"/>
          <w:lang w:bidi="fa-IR"/>
        </w:rPr>
        <w:t>علی الرغم من أن بعض المفسرین مثل المحقق الأردبیلی</w:t>
      </w:r>
      <w:r>
        <w:rPr>
          <w:rStyle w:val="FootnoteAnchor"/>
          <w:rtl w:val="true"/>
        </w:rPr>
        <w:footnoteReference w:id="162"/>
      </w:r>
      <w:r>
        <w:rPr>
          <w:rFonts w:ascii="IRNazanin" w:hAnsi="IRNazanin" w:eastAsia="IRNazanin"/>
          <w:color w:val="111111"/>
          <w:sz w:val="28"/>
          <w:sz w:val="28"/>
          <w:szCs w:val="28"/>
          <w:rtl w:val="true"/>
          <w:lang w:bidi="fa-IR"/>
        </w:rPr>
        <w:t>یصرّون علی عدم دلالة الآیة علی الوجوب، ولکن کثیراً منهم یحملون الآیة علی الوجوب</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کلمات المفسرین تستفاد عدة عبارات للوجوب</w:t>
      </w:r>
      <w:r>
        <w:rPr>
          <w:rFonts w:eastAsia="IRNazanin" w:cs="IRNazanin"/>
          <w:color w:val="111111"/>
          <w:sz w:val="28"/>
          <w:szCs w:val="28"/>
          <w:rtl w:val="true"/>
          <w:lang w:bidi="fa-IR"/>
        </w:rPr>
        <w:t>:</w:t>
      </w:r>
      <w:bookmarkStart w:id="279" w:name="pg5472_36537"/>
    </w:p>
    <w:p>
      <w:pPr>
        <w:pStyle w:val="Heading3"/>
        <w:numPr>
          <w:ilvl w:val="2"/>
          <w:numId w:val="1"/>
        </w:numPr>
        <w:rPr/>
      </w:pPr>
      <w:bookmarkStart w:id="280" w:name="__RefHeading___Toc2158540_581953129"/>
      <w:bookmarkStart w:id="281" w:name="_Toc104"/>
      <w:bookmarkEnd w:id="279"/>
      <w:bookmarkEnd w:id="280"/>
      <w:r>
        <w:rPr>
          <w:rtl w:val="true"/>
        </w:rPr>
        <w:t>البیان الأول</w:t>
      </w:r>
      <w:r>
        <w:rPr>
          <w:rtl w:val="true"/>
        </w:rPr>
        <w:t>:</w:t>
      </w:r>
      <w:bookmarkEnd w:id="281"/>
    </w:p>
    <w:p>
      <w:pPr>
        <w:pStyle w:val="Heading4"/>
        <w:numPr>
          <w:ilvl w:val="3"/>
          <w:numId w:val="1"/>
        </w:numPr>
        <w:rPr/>
      </w:pPr>
      <w:bookmarkStart w:id="282" w:name="__RefHeading___Toc2158542_581953129"/>
      <w:bookmarkStart w:id="283" w:name="_Toc105"/>
      <w:bookmarkEnd w:id="282"/>
      <w:r>
        <w:rPr>
          <w:rtl w:val="true"/>
        </w:rPr>
        <w:t>استدلال الفخر الرازی علی الوجوب</w:t>
      </w:r>
      <w:bookmarkEnd w:id="283"/>
    </w:p>
    <w:p>
      <w:pPr>
        <w:pStyle w:val="BookText"/>
        <w:rPr/>
      </w:pPr>
      <w:r>
        <w:rPr>
          <w:rFonts w:ascii="IRNazanin" w:hAnsi="IRNazanin" w:eastAsia="IRNazanin"/>
          <w:color w:val="111111"/>
          <w:sz w:val="28"/>
          <w:sz w:val="28"/>
          <w:szCs w:val="28"/>
          <w:rtl w:val="true"/>
          <w:lang w:bidi="fa-IR"/>
        </w:rPr>
        <w:t>ذکر الفخر الرازی فی تفسیره فی ذیل الآیة الشریفة 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اختلفوا فی المراد من هذا الإیتاء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وآتی المال علی 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الزکاة وهذا ضعیف وذلک لأنه تعالی عطف الزکاة علیه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وأقام الصلاة وآتی الزکاة</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تلک النقطة التی أشیر إلیها سابقاً مع اشتراط التغایر بین المعطوف والمعطوف علیه، وعلیه فلا یمکن القول بأن المراد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وَآتَی الْمالَ عَلی حُبِّهِ والمقصود هی تلک الجملة التی تلتها أی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وَآتَی الْمالَ عَلی حُبِّهِ والمعطوفة علیها، حیث تصبح النتیجة أنه کرر الزکاة مرتین، ومن ثم یقول الفخر الرازی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فثبت أن المراد به غیر الزکاة ثم إنه لا یخلو إما أن یکون من التطوعات أو الواجبات، لا جائز أن یکون من التطوعات لأنه تعالی قال فی آخر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الَّذِینَ صَدَقُوا وَأُولئِکَ هُمُ الْمُتَّقُونَ ووقف التقوی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واستدلاله 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ذلک ندباً لما وقف التقوی علیه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التقوی لا یتوقف علی القیام بأداء الأمور المستحبة، بل أقل التقوی هو أداء الواجبات وترک المحرمات، وإذا أدی شخص واجبه فحسب وترک الحرام فهو متقٍ، وإن لم یأتِ بأمر مستحب، نعم یمکن القول بأن أداء المستحبات یلعب دوراً مهماً فی تعزیز وتقویة التقوی، ولکن لا یمکن القول بأنها مؤثرة فی أصلها، لذا فإنه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فثبت أن هذا الإیتاء وإن کان غیر الزکاة إلا أنه من الواجبات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النهایة، فإنه یصل إلی هذه النتیجة بأن قوله تعالی وَآتَی الْمالَ عَلی حُبِّهِ ذَوِی الْقُرْبی فی هذه الآیة الشریفة هو الإیتاء الواجب لا المستحب</w:t>
      </w:r>
      <w:r>
        <w:rPr>
          <w:rFonts w:eastAsia="IRNazanin" w:cs="IRNazanin"/>
          <w:color w:val="111111"/>
          <w:sz w:val="28"/>
          <w:szCs w:val="28"/>
          <w:rtl w:val="true"/>
          <w:lang w:bidi="fa-IR"/>
        </w:rPr>
        <w:t>.</w:t>
      </w:r>
      <w:bookmarkStart w:id="284" w:name="pg5472_36539"/>
    </w:p>
    <w:p>
      <w:pPr>
        <w:pStyle w:val="BookText"/>
        <w:rPr/>
      </w:pPr>
      <w:bookmarkEnd w:id="284"/>
      <w:r>
        <w:rPr>
          <w:rFonts w:ascii="IRNazanin" w:hAnsi="IRNazanin" w:eastAsia="IRNazanin"/>
          <w:color w:val="111111"/>
          <w:sz w:val="28"/>
          <w:sz w:val="28"/>
          <w:szCs w:val="28"/>
          <w:rtl w:val="true"/>
          <w:lang w:bidi="fa-IR"/>
        </w:rPr>
        <w:t>البیان الثانی للوجوب</w:t>
      </w:r>
    </w:p>
    <w:p>
      <w:pPr>
        <w:pStyle w:val="BookText"/>
        <w:rPr/>
      </w:pPr>
      <w:r>
        <w:rPr>
          <w:rFonts w:ascii="IRNazanin" w:hAnsi="IRNazanin" w:eastAsia="IRNazanin"/>
          <w:color w:val="111111"/>
          <w:sz w:val="28"/>
          <w:sz w:val="28"/>
          <w:szCs w:val="28"/>
          <w:rtl w:val="true"/>
          <w:lang w:bidi="fa-IR"/>
        </w:rPr>
        <w:t xml:space="preserve">لقد ذکر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الأحکام وفق المذهب الجعفری والمذاهب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الطباطبائی الیزدی ما 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استدل لوجوب الصلاة والزکاة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وَأَقامَ الصَّلاةَ وَآتَی الزَّکاةَ واتفق الکل من العامة والخاصة علی أن المراد بالزکاة فی الآیة الواجبة منها</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ونضیف، بأنه مع وجود قرینة وحدة السیاق، فیجب حمل بقیة الآیة علی الواجبات، بناءً علی هذا فإننا نستفید الوجوب فی هذا الإطار من وحدة السیاق</w:t>
      </w:r>
      <w:r>
        <w:rPr>
          <w:rFonts w:eastAsia="IRNazanin" w:cs="IRNazanin"/>
          <w:color w:val="111111"/>
          <w:sz w:val="28"/>
          <w:szCs w:val="28"/>
          <w:rtl w:val="true"/>
          <w:lang w:bidi="fa-IR"/>
        </w:rPr>
        <w:t>.</w:t>
      </w:r>
    </w:p>
    <w:p>
      <w:pPr>
        <w:pStyle w:val="Heading4"/>
        <w:numPr>
          <w:ilvl w:val="3"/>
          <w:numId w:val="1"/>
        </w:numPr>
        <w:rPr/>
      </w:pPr>
      <w:bookmarkStart w:id="285" w:name="__RefHeading___Toc2158544_581953129"/>
      <w:bookmarkStart w:id="286" w:name="_Toc106"/>
      <w:bookmarkEnd w:id="285"/>
      <w:r>
        <w:rPr>
          <w:rtl w:val="true"/>
        </w:rPr>
        <w:t>رأی المرحوم الطبرسی فی الوجوب</w:t>
      </w:r>
      <w:r>
        <w:rPr>
          <w:rtl w:val="true"/>
        </w:rPr>
        <w:t>:</w:t>
      </w:r>
      <w:bookmarkEnd w:id="286"/>
    </w:p>
    <w:p>
      <w:pPr>
        <w:pStyle w:val="BookText"/>
        <w:rPr/>
      </w:pPr>
      <w:r>
        <w:rPr>
          <w:rFonts w:ascii="IRNazanin" w:hAnsi="IRNazanin" w:eastAsia="IRNazanin"/>
          <w:color w:val="111111"/>
          <w:sz w:val="28"/>
          <w:sz w:val="28"/>
          <w:szCs w:val="28"/>
          <w:rtl w:val="true"/>
          <w:lang w:bidi="fa-IR"/>
        </w:rPr>
        <w:t xml:space="preserve">ممن صرح استفادة الوجوب من هذه الآیة، الطبرسی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الآیة دلالة علی وجوب إعطاء مال الزکاة المفروضة</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الواضح مع قرینة السیاق فإنه یجب حمل بقیة الآیة کذلک علی الوجوب</w:t>
      </w:r>
      <w:r>
        <w:rPr>
          <w:rFonts w:eastAsia="IRNazanin" w:cs="IRNazanin"/>
          <w:color w:val="111111"/>
          <w:sz w:val="28"/>
          <w:szCs w:val="28"/>
          <w:rtl w:val="true"/>
          <w:lang w:bidi="fa-IR"/>
        </w:rPr>
        <w:t>.</w:t>
      </w:r>
    </w:p>
    <w:p>
      <w:pPr>
        <w:pStyle w:val="Heading4"/>
        <w:numPr>
          <w:ilvl w:val="3"/>
          <w:numId w:val="1"/>
        </w:numPr>
        <w:rPr/>
      </w:pPr>
      <w:bookmarkStart w:id="287" w:name="__RefHeading___Toc2158546_581953129"/>
      <w:bookmarkStart w:id="288" w:name="_Toc107"/>
      <w:bookmarkEnd w:id="287"/>
      <w:r>
        <w:rPr>
          <w:rtl w:val="true"/>
        </w:rPr>
        <w:t>ما ذکره المحقق المرحوم الأردبیلی حول عدم الوجوب</w:t>
      </w:r>
      <w:r>
        <w:rPr>
          <w:rtl w:val="true"/>
        </w:rPr>
        <w:t>:</w:t>
      </w:r>
      <w:bookmarkEnd w:id="288"/>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المرحوم الأردبیلی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أنه لیس فی الآیة دلالة علی وجوب الزکاة، بل ولا علی وجوب شیء من المذکورات، نعم، فیها ترغیب وتحریص علی الأمور المذکورة، فیعلم الوجوب من موضع آخر فما کان فیها أحکام یعتد بها مع أن هذه الأحکام یفهم من غیرها مفصّله</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bookmarkStart w:id="289" w:name="pg5472_36541"/>
    </w:p>
    <w:p>
      <w:pPr>
        <w:pStyle w:val="Heading4"/>
        <w:numPr>
          <w:ilvl w:val="3"/>
          <w:numId w:val="1"/>
        </w:numPr>
        <w:rPr/>
      </w:pPr>
      <w:bookmarkStart w:id="290" w:name="__RefHeading___Toc2158548_581953129"/>
      <w:bookmarkStart w:id="291" w:name="_Toc108"/>
      <w:bookmarkEnd w:id="289"/>
      <w:bookmarkEnd w:id="290"/>
      <w:r>
        <w:rPr>
          <w:rtl w:val="true"/>
        </w:rPr>
        <w:t>إشکال علی المحقق الأردبیلی</w:t>
      </w:r>
      <w:bookmarkEnd w:id="291"/>
    </w:p>
    <w:p>
      <w:pPr>
        <w:pStyle w:val="BookText"/>
        <w:rPr/>
      </w:pPr>
      <w:r>
        <w:rPr>
          <w:rFonts w:ascii="IRNazanin" w:hAnsi="IRNazanin" w:eastAsia="IRNazanin"/>
          <w:color w:val="111111"/>
          <w:sz w:val="28"/>
          <w:sz w:val="28"/>
          <w:szCs w:val="28"/>
          <w:rtl w:val="true"/>
          <w:lang w:bidi="fa-IR"/>
        </w:rPr>
        <w:t>فی کلام المحقق الأردبیلی عدة إشکالات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الإشکال الأول، متعلق بهذه الجملة التی یقول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الأحکام یفهم من غیرها مفصّلة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ویتمثل بأنه إذا فهم الوجوب من آیات أخری، فهل هذا یعنی أنه لا یفهم الوجوب من هذه الآیة؟</w:t>
      </w:r>
    </w:p>
    <w:p>
      <w:pPr>
        <w:pStyle w:val="BookText"/>
        <w:rPr/>
      </w:pPr>
      <w:r>
        <w:rPr>
          <w:rFonts w:ascii="IRNazanin" w:hAnsi="IRNazanin" w:eastAsia="IRNazanin"/>
          <w:color w:val="111111"/>
          <w:sz w:val="28"/>
          <w:sz w:val="28"/>
          <w:szCs w:val="28"/>
          <w:rtl w:val="true"/>
          <w:lang w:bidi="fa-IR"/>
        </w:rPr>
        <w:t>الإشکال الثانی، ویتمثل فی النقطة التی أشرنا إلیها سابقاً، وأشیر إلیها فی کلمات بعض المفسرین وحتی فی کلمات المحقق المرحوم الأردبیلی نفسه، حیث ذکروا أن الآیة فی مقام الحصر، ولا معنیً واضحاً أو صحیحاً للحصر فی الأمور الترغیبیة، بل إن الحصر یتناسب مع الأمور الإلزامیة، نعم یمکن أن یجعل الحصر حصراً إضافیاً حتی لا یخطر هذا الإشکال فی الذهن، بأن الأمور الإلزامیة لا تنحصر بتلک التی ذکرت فی الآیة الشریفة</w:t>
      </w:r>
      <w:r>
        <w:rPr>
          <w:rFonts w:eastAsia="IRNazanin" w:cs="IRNazanin"/>
          <w:color w:val="111111"/>
          <w:sz w:val="28"/>
          <w:szCs w:val="28"/>
          <w:rtl w:val="true"/>
          <w:lang w:bidi="fa-IR"/>
        </w:rPr>
        <w:t>.</w:t>
      </w:r>
    </w:p>
    <w:p>
      <w:pPr>
        <w:pStyle w:val="Heading4"/>
        <w:numPr>
          <w:ilvl w:val="3"/>
          <w:numId w:val="1"/>
        </w:numPr>
        <w:rPr/>
      </w:pPr>
      <w:bookmarkStart w:id="292" w:name="__RefHeading___Toc2158550_581953129"/>
      <w:bookmarkStart w:id="293" w:name="_Toc109"/>
      <w:bookmarkEnd w:id="292"/>
      <w:r>
        <w:rPr>
          <w:rtl w:val="true"/>
        </w:rPr>
        <w:t>الدقة فی شأن نزول الآیة الشریفة</w:t>
      </w:r>
      <w:r>
        <w:rPr>
          <w:rtl w:val="true"/>
        </w:rPr>
        <w:t>:</w:t>
      </w:r>
      <w:bookmarkEnd w:id="293"/>
    </w:p>
    <w:p>
      <w:pPr>
        <w:pStyle w:val="BookText"/>
        <w:rPr/>
      </w:pPr>
      <w:r>
        <w:rPr>
          <w:rFonts w:ascii="IRNazanin" w:hAnsi="IRNazanin" w:eastAsia="IRNazanin"/>
          <w:color w:val="111111"/>
          <w:sz w:val="28"/>
          <w:sz w:val="28"/>
          <w:szCs w:val="28"/>
          <w:rtl w:val="true"/>
          <w:lang w:bidi="fa-IR"/>
        </w:rPr>
        <w:t>لقد ذکر لهذه الآیة الشریفة عدة أسباب للنزول من المناسب الدقة حولها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بعض الناس یعتقد أنه یکفی ذلک المقدار الذی یحوزه من الإیمان بالله ورسوله لیصبح من أهل الجنة، ولا یحتاج عندئذٍ لأداء الصلاة والزکاة والإنفاق، ونتیجة لهذا التخیل الواهی فقد نزلت الآیة الشریفة علی أنه علاوة علی الإیمان بالله ورسوله فینبغی لزوم القیام بأمور أخری</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شأن نزول الآیة الشریفة حول القبلة، إذ إن الیهود والنصاری کانوا یعتقدون بصحة وسلامة قبلتهم وبطلان قبلة الآخرین، فنزلت الآیة الشریفة حیث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الْبِرَّ أَنْ تُوَلُّوا وُجُوهَکُمْ قِبَلَ الْمَشْرِقِ وَالْمَغْرِبِ وَلکِنَّ الْبِرَّ مَنْ</w:t>
      </w:r>
    </w:p>
    <w:p>
      <w:pPr>
        <w:pStyle w:val="BookText"/>
        <w:rPr/>
      </w:pPr>
      <w:r>
        <w:rPr>
          <w:rFonts w:ascii="IRNazanin" w:hAnsi="IRNazanin" w:eastAsia="IRNazanin"/>
          <w:color w:val="111111"/>
          <w:sz w:val="28"/>
          <w:sz w:val="28"/>
          <w:szCs w:val="28"/>
          <w:rtl w:val="true"/>
          <w:lang w:bidi="fa-IR"/>
        </w:rPr>
        <w:t>آمَنَ بِاللهِ بأنه لیس ما تذکرونه من البر، وعندها فإنه تعالی یحصر البرَّ بهذه الأمور التی تتمثل بالواجبات الاعتقادیة والواجبات العملیة والأخلاقیة، حیث حصرها فی هذه الموارد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عندما یقول المرحوم الأردبیلی ما 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فیها ترغیب وتحریص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هذا القول لا ینسجم مع الحصر، بل الحصر ینسجم مع الأمور التکلیفیة والإلزامیة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بأن هذه الأمور المذکورة فی الآیة قد أُتی بها کمصادیق للبر، ولا یستفاد منها الحصر، فنقول فی الجواب، بأنه توجد قرینة واضحة علی أن الله عز وجل فی هذه الآیة فی مقام الحصر، وبعبارة أخری فإنه، وإن لم توجد فی الآیة ألفاظ وأدوات للحصر، لکننا نفهم مع القرینة بأن الله عز وجل فی مقام الحصر، لأنه عین البر فی ثلاث جهات اعتقادیة وعملیة وأخلاقیة، وعلاوة علی هذا الموضوع یمکن أن نستفید الحصر من ذیل الآیة الکریمة حیث یقول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هُمُ الْمُتَّقُونَ، فجعل التقوی منحصرة فی القیام بهذه الأعمال والأمور</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ثم فإن المرحوم المحقق الأردبیلی وکأنه فی جوابه علی هذا السؤال الذی یتمثل بما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ذکرتم هذه الآیة فی کتابکم حول آیات الأحکام؟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ذکرتها لمتابعة من تقدمنا کغیرها واشتمالها علی فوائد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یذکر الروایة المنقولة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بهذه الآیة فقد استکمل الإیمان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وآتی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یکون إشارة إلی غیر الزکاة الواجبة من المندوبات،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ویستمر فی کلامه وینقل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دلالة الآیة علی الزکاة الواجبة</w:t>
      </w:r>
    </w:p>
    <w:p>
      <w:pPr>
        <w:pStyle w:val="BookText"/>
        <w:rPr/>
      </w:pP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ضائراً عندی باعتبار حصر البر أو حصر الصدق والتقوی فی فاعل المذکورات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یختم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أیضاً غیر واضح</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الرغم من قوله فی عدم إمکانیة استفادة الوجوب من هذا الحصر، ولکن الأمر لیس کذلک، لأن الآیة بشکل واضح فی مقام بیان الإلزامیات فی الاعتقادات، والإلزامیات فی الأعمال، والإلزامیات فی الأخلاق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فی هذا المقام لسنا فی مقام البحث عن دلالة الآیة الکریمة عن التکلیفی الشرعی المولوی، بل نرید أن نعلم، أنه إذا خُلِّینا والآیة الشریفة، فهل یفهم من هذه الآیة الإلزام أو لا؟</w:t>
      </w:r>
    </w:p>
    <w:p>
      <w:pPr>
        <w:pStyle w:val="BookText"/>
        <w:rPr/>
      </w:pPr>
      <w:r>
        <w:rPr>
          <w:rFonts w:ascii="IRNazanin" w:hAnsi="IRNazanin" w:eastAsia="IRNazanin"/>
          <w:color w:val="111111"/>
          <w:sz w:val="28"/>
          <w:sz w:val="28"/>
          <w:szCs w:val="28"/>
          <w:rtl w:val="true"/>
          <w:lang w:bidi="fa-IR"/>
        </w:rPr>
        <w:t>وعندما یحصر الله عز وجل البر والتقوی فیها، فإنه لو خلینا وکلام الله عز وجل فهل یمکن فهم أصل الإلزام منها أو لا؟</w:t>
      </w:r>
    </w:p>
    <w:p>
      <w:pPr>
        <w:pStyle w:val="BookText"/>
        <w:rPr/>
      </w:pPr>
      <w:r>
        <w:rPr>
          <w:rFonts w:ascii="IRNazanin" w:hAnsi="IRNazanin" w:eastAsia="IRNazanin"/>
          <w:color w:val="111111"/>
          <w:sz w:val="28"/>
          <w:sz w:val="28"/>
          <w:szCs w:val="28"/>
          <w:rtl w:val="true"/>
          <w:lang w:bidi="fa-IR"/>
        </w:rPr>
        <w:t>فنقول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 فی رأینا أن للآیة ظهوراً جیداً فی الإلزام، إذ جعلنا أذهاننا فی الفقه والأصول مأنوسة بأنه کلما أرید إلزام فی مکان ما، فینبغی البحث عن الأمر أو الخبر فی مقام الإنشاء، وإن کان صحیحاً أنه کلما ورد صیغة الأمر فی مکان ما فهو ظاهر فی الوجوب، وکلما ذکر المولی شیئاً بعنوان الإنشاء اللزومی عندها یفهم منه الوجوب، ولکن ذلک لیس بمعنی أنه إذا لم یرد فی مورد صیغة الأمر فعند ذلک لا یمکن بشکل عام أن یدلّ علی الإلزام أو توجد دلالة علی الإلزام فیه، أو أن لا یکون فی مقام الإلزام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هذه الآیة الکریمة یمکن استفادة الإلزام من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الجملة الإسمیة بشکل جید، حیث یفهم منها الإلزام ویستفاد منها الوجوب، وبالتالی فإنه یستفاد</w:t>
      </w:r>
    </w:p>
    <w:p>
      <w:pPr>
        <w:pStyle w:val="BookText"/>
        <w:rPr/>
      </w:pPr>
      <w:r>
        <w:rPr>
          <w:rFonts w:ascii="IRNazanin" w:hAnsi="IRNazanin" w:eastAsia="IRNazanin"/>
          <w:color w:val="111111"/>
          <w:sz w:val="28"/>
          <w:sz w:val="28"/>
          <w:szCs w:val="28"/>
          <w:rtl w:val="true"/>
          <w:lang w:bidi="fa-IR"/>
        </w:rPr>
        <w:t>من الآیة الشریفة الوجوب وکذلک یفهم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وَآتَی الْمالَ عَلی حُبِّهِ ذَوِی الْقُرْبی بالنظر إلی أن الزکاة مذکورة بعدها أن المراد من قوله ذلک واجب مالی آخر غیر الزکاة وهو لیس إلا الخمس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نقطة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النقطة الأخری التی نصل إلیها فی البحث التالی وسوف نقوم ببحثها، یتمثل بأن المراد من ذوی القربی فی هذه الآیة الشریفة بالاستفادة من قرینة وجود المساکین وابن السبیل، أن هؤلاء ذوی القربی المذکورین هم أنفسهم المذکورون فی آیة الخمس فإن کان الأمر کذلک فیصبح ظهور قوله تعالی وَآتَی الْمالَ عَلی حُبِّهِ ذَوِی الْقُرْبی واضحاً فی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آخر فی استفادة الوجوب</w:t>
      </w:r>
    </w:p>
    <w:p>
      <w:pPr>
        <w:pStyle w:val="BookText"/>
        <w:rPr/>
      </w:pPr>
      <w:r>
        <w:rPr>
          <w:rFonts w:ascii="IRNazanin" w:hAnsi="IRNazanin" w:eastAsia="IRNazanin"/>
          <w:color w:val="111111"/>
          <w:sz w:val="28"/>
          <w:sz w:val="28"/>
          <w:szCs w:val="28"/>
          <w:rtl w:val="true"/>
          <w:lang w:bidi="fa-IR"/>
        </w:rPr>
        <w:t>إن بعض المفسرین الذین بحثوا فی آیات الأحکام ممن لم یجد بدّاً سوی استفادة الوجوب والإلزام من جمیع أقسام هذه الآیة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قوله تعالی وَآتَی الزَّکاةَ الذی یرتبط بشکل واضح بالزکاة، 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وَآتَی الْمالَ عَلی حُبِّهِ کذلک متعلق بالزکاة، ولکن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وَآتَی الْمالَ عَلی حُبِّهِ ذَوِی الْقُرْبی وَالْیَتامی وَالْمَساکِینَ وَابْنَ السَّبِیلِ وَالسَّائِلِینَ وَفِی الرِّقابِ قد ذکر ابتداءاً مصرف الزکاة، وثم ذکر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وَآتَی الزَّکاةَ أصل وجوب الزکاة وأدائها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الاستنتاج العجیب نوع من التکلف، ولیس مناسبا أبداً من حیث المعانی والبیان أن یتم ذکر موارد الصرف فی البدایة ثم یذکر أصل لزوم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مخالف للفصاحة والبلاغة</w:t>
      </w:r>
      <w:r>
        <w:rPr>
          <w:rFonts w:eastAsia="IRNazanin" w:cs="IRNazanin"/>
          <w:color w:val="111111"/>
          <w:sz w:val="28"/>
          <w:szCs w:val="28"/>
          <w:rtl w:val="true"/>
          <w:lang w:bidi="fa-IR"/>
        </w:rPr>
        <w:t>.</w:t>
      </w:r>
      <w:bookmarkStart w:id="294" w:name="pg5472_36549"/>
    </w:p>
    <w:p>
      <w:pPr>
        <w:pStyle w:val="Heading4"/>
        <w:numPr>
          <w:ilvl w:val="3"/>
          <w:numId w:val="1"/>
        </w:numPr>
        <w:rPr/>
      </w:pPr>
      <w:bookmarkStart w:id="295" w:name="__RefHeading___Toc2158552_581953129"/>
      <w:bookmarkStart w:id="296" w:name="_Toc110"/>
      <w:bookmarkEnd w:id="294"/>
      <w:bookmarkEnd w:id="295"/>
      <w:r>
        <w:rPr>
          <w:rtl w:val="true"/>
        </w:rPr>
        <w:t>الاستنتاجات الثلاثة للوجوب</w:t>
      </w:r>
      <w:bookmarkEnd w:id="296"/>
    </w:p>
    <w:p>
      <w:pPr>
        <w:pStyle w:val="BookText"/>
        <w:rPr/>
      </w:pPr>
      <w:r>
        <w:rPr>
          <w:rFonts w:ascii="Amiri" w:hAnsi="Amiri" w:eastAsia="Amiri" w:cs="Amiri"/>
          <w:color w:val="111111"/>
          <w:sz w:val="28"/>
          <w:sz w:val="28"/>
          <w:szCs w:val="28"/>
          <w:rtl w:val="true"/>
          <w:lang w:bidi="ar-SA"/>
        </w:rPr>
        <w:t>بعد دراسة کلمات المفسرین حول استفادة الوجوب من قوله تعالی وَآتَی الْمالَ عَلی حُبِّهِ ذَوِی الْقُرْبی یصبح لدینا بالمجموع ثلاث نظریات هی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وَآتَی الْمالَ عَلی حُبِّهِ فیه دلالة علی الحکم، والمراد منه الخمس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وَآتَی الْمالَ عَلی حُبِّهِ فیه وجوب، والمراد منه مصرف الزکاة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وَآتَی الْمالَ عَلی حُبِّهِ فیه وجوب، والمراد منه تلک الصدقات والإیتاءات الواجبة التی یجب علی الإنسان القیام بها عقلاً، فمثلاً إذا وقع إنسان فی معرض التلف والهلاک إثر جوع، عندها یجب علی الآخرین أن یساعدوه بإعداد الطعام له حتی یخرجوه من حالة الجوع، وبطلان هذه النظریة الثالثة واضحة ولایحتاج إلی توضیح، وبمثل هذا التفسیر، نفهم أنه إذا أردنا أن نفسر القرآن بدون الرجوع إلی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فإننا سوف نبتلی بمثل هذه المعانی والاحتمالات، إذ أی قسم من هذه الآیة تدل علی ذوی القربی الذین علی شرف الموت أو الیتامی الذین یقعون فی معرض التلف، ولماذا یجب ارتکاب مثل هذه التکلفات فی توضیح الآیة والوقوع فی التفسیر بالرأی؟</w:t>
      </w:r>
    </w:p>
    <w:p>
      <w:pPr>
        <w:pStyle w:val="BookText"/>
        <w:rPr/>
      </w:pPr>
      <w:r>
        <w:rPr>
          <w:rFonts w:ascii="IRNazanin" w:hAnsi="IRNazanin" w:eastAsia="IRNazanin"/>
          <w:color w:val="111111"/>
          <w:sz w:val="28"/>
          <w:sz w:val="28"/>
          <w:szCs w:val="28"/>
          <w:rtl w:val="true"/>
          <w:lang w:bidi="fa-IR"/>
        </w:rPr>
        <w:t>النتیجة</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النتیجة التی یمکن الوصول إلیها من نفس هذه الآیة من دون الرجوع إلی الروایات، وکذلک بالاستفادة من الروایات التی وردت فی ذیل هذه الآیة، تتمثل بأن أفضل بیان ذکر لها هی النظریة الأولی التی تذکر أن الآیة فیها دلالة علی وجود الخمس</w:t>
      </w:r>
      <w:r>
        <w:rPr>
          <w:rFonts w:eastAsia="IRNazanin" w:cs="IRNazanin"/>
          <w:color w:val="111111"/>
          <w:sz w:val="28"/>
          <w:szCs w:val="28"/>
          <w:rtl w:val="true"/>
          <w:lang w:bidi="fa-IR"/>
        </w:rPr>
        <w:t>.</w:t>
      </w:r>
      <w:bookmarkStart w:id="297" w:name="pg5472_36551"/>
    </w:p>
    <w:p>
      <w:pPr>
        <w:pStyle w:val="Heading4"/>
        <w:numPr>
          <w:ilvl w:val="3"/>
          <w:numId w:val="1"/>
        </w:numPr>
        <w:rPr/>
      </w:pPr>
      <w:bookmarkStart w:id="298" w:name="__RefHeading___Toc2158554_581953129"/>
      <w:bookmarkStart w:id="299" w:name="_Toc111"/>
      <w:bookmarkEnd w:id="297"/>
      <w:bookmarkEnd w:id="298"/>
      <w:r>
        <w:rPr>
          <w:rtl w:val="true"/>
        </w:rPr>
        <w:t>المراد من ذوی القربی فی هذه الآیة الشریفة</w:t>
      </w:r>
      <w:bookmarkEnd w:id="299"/>
    </w:p>
    <w:p>
      <w:pPr>
        <w:pStyle w:val="BookText"/>
        <w:rPr/>
      </w:pPr>
      <w:r>
        <w:rPr>
          <w:rFonts w:ascii="IRNazanin" w:hAnsi="IRNazanin" w:eastAsia="IRNazanin"/>
          <w:color w:val="111111"/>
          <w:sz w:val="28"/>
          <w:sz w:val="28"/>
          <w:szCs w:val="28"/>
          <w:rtl w:val="true"/>
          <w:lang w:bidi="fa-IR"/>
        </w:rPr>
        <w:t>إن النقطة الأخری فی هذه الآیة الشریفة تتمثل فی الاحتمالات الموجودة حول ذوی القربی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من ذوی القربی هم ذوو قربی المعطی وأقرباؤه، حیث توجد روایات فی هذا المجال وعلی هذا الصعید، منها روایة فاطمة بنت قیس التی قالت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لی سبعین مثقالاً من ذهب فأجابها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اجعلیها فی قرابتک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الرغم من أنه لا یُعلَم هذه الروایة متعلقة بهذه الآیة الشریفة، ولکن بشکل عام، فیها توصیة بإعطاء المال إلی ذوی قرباها، حیث إنه من المناسب للإنسان فی مورد الإنفاق وصرف صدقات أمواله أن یبتدئ بأقربائه وذوی قرباه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ویتمثل بأنه مع وجود قرینة الیتامی والمساکین وابن السبیل فی هذه الآیة، یستفاد أن ذوی القربی فیها هم أنفسهم ذوو القربی المذکورون فی آیة الخمس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وذوو القربی هؤلاء المذکورون فی هذه الآیة هم أنفسهم ذوو القربی الذین ذکرتهم الآیة الکریمة بقوله تعالی قُلْ لا أَسْئَلُکُمْ عَلَیْهِ أَجْراً إِلاَّ الْمَوَدَّةَ فِی الْقُرْبی</w:t>
      </w:r>
      <w:r>
        <w:rPr>
          <w:rStyle w:val="FootnoteAnchor"/>
          <w:rtl w:val="true"/>
        </w:rPr>
        <w:footnoteReference w:id="168"/>
      </w:r>
      <w:r>
        <w:rPr>
          <w:rFonts w:ascii="IRNazanin" w:hAnsi="IRNazanin" w:eastAsia="IRNazanin"/>
          <w:color w:val="111111"/>
          <w:sz w:val="28"/>
          <w:sz w:val="28"/>
          <w:szCs w:val="28"/>
          <w:rtl w:val="true"/>
          <w:lang w:bidi="fa-IR"/>
        </w:rPr>
        <w:t>، فإن کان الأمر کذلک، فعندئذ یکون ظهور هذه الآیة فی الخمس واضحاً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إننا نقول بأن الله عز وجل یصرّح بوجوب أن یعطی الإنسان ماله إلی ذوی القربی، أی هؤلاء المذکورین فی آیة الخمس، وکذلک الیتامی والمساکین وابن السبیل، والرقاب حیث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یعتبرون من مصارف الخمس الذین أضیفوا إلی المصارف السابقة</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بالنسبة لذوی قربی المعطی فإنه یدفع لهم من الزکاة، لأنه ورد بعد هذه الآیة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وَآتَی الزَّکاةَ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ولذلک عندما نضع هذه الآیة بجانب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أَنَّما غَنِمْتُمْ فإننا سوف نستفید هذه النقاط بشکل جید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وتوجد روایة کذلک عن الإمامین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تفسّر ذوی القربی فی هذه الآیة بذوی قربی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والفخر الرازی کذلک فی هذه الآیة یحتمل أن المراد من ذوی القربی فی هذه الآیة هم ذوو القربی المذکورون فی آیة الغنیمة الذین هم أنفسهم المذکورون فی آیة الخمس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ذوی القربی فمن الناس من حمل ذلک علی المذکور فی آیة النفل، والأکثرون من المفسرین علی هذا الرأی بأن المراد من ذوی القربی هم ذوو قربی المعطین،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الصحیح لأنهم به أخص</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ویأتی بدلیل علی ذلک، یتسم بعدم الصحة والسلامة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کانت قوله تعالی وَآتَی الْمالَ عَلی حُبِّهِ ذَوِی الْقُرْبی وَالْیَتامی وَالْمَساکِینَ وَابْنَ السَّبِیلِ وَالسَّائِلِینَ وَفِی الرِّقابِ متعلقة بالخمس، فلماذا لم یذکر تعالی سهمه وسهم رسوله وسهم الإمام فیها؟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ضرورة أن یذکر الشارع فی کل آیة جمیع جوانب القضیة، حیث اعتبر الله عز وجل فی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الیتامی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مصارف الخمس واعتبرهم منهم، وفی آیة أخری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فَللهِ وَلِلرَّسُولِ</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وَلِذِی الْقُرْبی قدّمهم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الیتامی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وخصّص سهماً له وللرسول فیها، وهاتان الآیتان قابلتان للجمع ولا منافاة بینهما</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الخمس الثالثة</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الَّذِینَ آمَنُوا أَنْفِقُوا مِنْ طَیِّباتِ ما کَسَبْتُمْ وَمِمَّا أَخْرَجْنا لَکُمْ مِنَ الأَرْضِ وَلا تَیَمَّمُوا الْخَبِیثَ مِنْهُ تُنْفِقُونَ وَلَسْتُمْ بِآخِذِیهِ إِلاَّ أَنْ تُغْمِضُوا فِیهِ وَاعْلَمُوا أَنَّ اللهَ غَنِیٌّ حَمِیدٌ</w:t>
      </w:r>
      <w:r>
        <w:rPr>
          <w:rStyle w:val="FootnoteAnchor"/>
          <w:rtl w:val="true"/>
        </w:rPr>
        <w:footnoteReference w:id="171"/>
      </w:r>
      <w:bookmarkStart w:id="300" w:name="pg5472_36559"/>
    </w:p>
    <w:p>
      <w:pPr>
        <w:pStyle w:val="Heading2"/>
        <w:numPr>
          <w:ilvl w:val="1"/>
          <w:numId w:val="1"/>
        </w:numPr>
        <w:rPr/>
      </w:pPr>
      <w:bookmarkStart w:id="301" w:name="__RefHeading___Toc2158556_581953129"/>
      <w:bookmarkStart w:id="302" w:name="_Toc112"/>
      <w:bookmarkEnd w:id="300"/>
      <w:bookmarkEnd w:id="301"/>
      <w:r>
        <w:rPr>
          <w:rtl w:val="true"/>
        </w:rPr>
        <w:t>آیة الخمس الثالثة</w:t>
      </w:r>
      <w:bookmarkEnd w:id="302"/>
    </w:p>
    <w:p>
      <w:pPr>
        <w:pStyle w:val="Heading3"/>
        <w:numPr>
          <w:ilvl w:val="2"/>
          <w:numId w:val="1"/>
        </w:numPr>
        <w:rPr/>
      </w:pPr>
      <w:bookmarkStart w:id="303" w:name="__RefHeading___Toc2158558_581953129"/>
      <w:bookmarkStart w:id="304" w:name="_Toc113"/>
      <w:bookmarkEnd w:id="303"/>
      <w:r>
        <w:rPr>
          <w:rtl w:val="true"/>
        </w:rPr>
        <w:t>اشارة</w:t>
      </w:r>
      <w:bookmarkEnd w:id="304"/>
    </w:p>
    <w:p>
      <w:pPr>
        <w:pStyle w:val="BookText"/>
        <w:rPr/>
      </w:pP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أَنْفِقُوا مِنْ طَیِّباتِ ما کَسَبْتُمْ وَمِمَّا أَخْرَجْنا لَکُمْ مِنَ الأَرْضِ وَلا تَیَمَّمُوا الْخَبِیثَ مِنْهُ تُنْفِقُونَ وَلَسْتُمْ بِآخِذِیهِ إِلاَّ أَنْ تُغْمِضُوا فِیهِ وَاعْلَمُوا أَنَّ اللهَ غَنِیٌّ حَمِیدٌ</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خلاصة هذه الآیة الشریفة تتمثل بأن المؤمنین ینفقون من طیبات حالتین من أموالهم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طیبات ما کسبوا، سواء عن طریق التجارة أو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طیبات ما تخرج لهم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حول هذه الآیة عدة أسباب للنزول 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لبعض الناس قبل الإسلام أموال ربویة، وبعد أن أسلموا أرادوا أن ینفقوا من تلک الأموال الربویة، فنزلت هذه الآیة أَنْفِقُوا مِنْ طَیِّباتِ ما رَزَقْناکُمْ، وبناءاً علی هذا یجب تفسیر الطیب فی هذه الآیة بمعنی الحلال، لأن الربا لیس بحلال، وأمر الله عز وجل بعدم الإنفاق من هذا المال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أراد بعض الأشخاص أن یزکّوا أو أن یعطوا زکاة من نخیلهم، حیث کانت ثمرات تلک النخیل وتمراتها تتصف بأن نواها کانت طویلة، وقلیلة اللحم، فکانوا یضمّون هذه التمور الردیئة غیر المرغوبة إلی مقدار من التمور الجیدة لیعطوها کزکاة، فنزلت هذه الآیة التی علی أساسها یجب تفسیر الطیب بمعنی الجید، لذا یمکن أن یفسّر الطیب بالحلال ویحتمل أن یفسر بالجید کذلک</w:t>
      </w:r>
      <w:r>
        <w:rPr>
          <w:rFonts w:eastAsia="IRNazanin" w:cs="IRNazanin"/>
          <w:color w:val="111111"/>
          <w:sz w:val="28"/>
          <w:szCs w:val="28"/>
          <w:rtl w:val="true"/>
          <w:lang w:bidi="fa-IR"/>
        </w:rPr>
        <w:t>.</w:t>
      </w:r>
      <w:bookmarkStart w:id="305" w:name="pg5472_36561"/>
    </w:p>
    <w:p>
      <w:pPr>
        <w:pStyle w:val="BookText"/>
        <w:rPr/>
      </w:pPr>
      <w:bookmarkEnd w:id="305"/>
      <w:r>
        <w:rPr>
          <w:rFonts w:ascii="IRNazanin" w:hAnsi="IRNazanin" w:eastAsia="IRNazanin"/>
          <w:color w:val="111111"/>
          <w:sz w:val="28"/>
          <w:sz w:val="28"/>
          <w:szCs w:val="28"/>
          <w:rtl w:val="true"/>
          <w:lang w:bidi="fa-IR"/>
        </w:rPr>
        <w:t>طبعاً، کما ذکر فی الموارد الأخری، فإنه لا تأثیر لشأن النزول، ومن الممکن أن تکون لآیة واحدة عدة أسباب للنزول، وبعبارة أخری، قد تکون نزلت هذه الآیة للإجابة علی عدة مناسبات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وتوجد فی هذه الآیة نقاط أخری نشیر إلیها فیما یلی</w:t>
      </w:r>
      <w:r>
        <w:rPr>
          <w:rFonts w:eastAsia="IRNazanin" w:cs="IRNazanin"/>
          <w:color w:val="111111"/>
          <w:sz w:val="28"/>
          <w:szCs w:val="28"/>
          <w:rtl w:val="true"/>
          <w:lang w:bidi="fa-IR"/>
        </w:rPr>
        <w:t>:</w:t>
      </w:r>
    </w:p>
    <w:p>
      <w:pPr>
        <w:pStyle w:val="Heading3"/>
        <w:numPr>
          <w:ilvl w:val="2"/>
          <w:numId w:val="1"/>
        </w:numPr>
        <w:rPr/>
      </w:pPr>
      <w:bookmarkStart w:id="306" w:name="__RefHeading___Toc2158560_581953129"/>
      <w:bookmarkStart w:id="307" w:name="_Toc114"/>
      <w:bookmarkEnd w:id="306"/>
      <w:r>
        <w:rPr>
          <w:rtl w:val="true"/>
        </w:rPr>
        <w:t>النقطة الأولی</w:t>
      </w:r>
      <w:r>
        <w:rPr>
          <w:rtl w:val="true"/>
        </w:rPr>
        <w:t xml:space="preserve">: </w:t>
      </w:r>
      <w:r>
        <w:rPr>
          <w:rtl w:val="true"/>
        </w:rPr>
        <w:t>هل یفهم الوجوب من هذه الآیة ؟</w:t>
      </w:r>
      <w:bookmarkEnd w:id="307"/>
    </w:p>
    <w:p>
      <w:pPr>
        <w:pStyle w:val="BookText"/>
        <w:rPr/>
      </w:pPr>
      <w:r>
        <w:rPr>
          <w:rFonts w:ascii="IRNazanin" w:hAnsi="IRNazanin" w:eastAsia="IRNazanin"/>
          <w:color w:val="111111"/>
          <w:sz w:val="28"/>
          <w:sz w:val="28"/>
          <w:szCs w:val="28"/>
          <w:rtl w:val="true"/>
          <w:lang w:bidi="fa-IR"/>
        </w:rPr>
        <w:t>الجواب</w:t>
      </w:r>
    </w:p>
    <w:p>
      <w:pPr>
        <w:pStyle w:val="BookText"/>
        <w:rPr/>
      </w:pPr>
      <w:r>
        <w:rPr>
          <w:rFonts w:ascii="IRNazanin" w:hAnsi="IRNazanin" w:eastAsia="IRNazanin"/>
          <w:color w:val="111111"/>
          <w:sz w:val="28"/>
          <w:sz w:val="28"/>
          <w:szCs w:val="28"/>
          <w:rtl w:val="true"/>
          <w:lang w:bidi="fa-IR"/>
        </w:rPr>
        <w:t>توجد ثلاث نظریات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یفهم منها الوجوب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تدلّ علی الصدقات المستحبة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تدل علی القدر الجامع بین الوجوب والاستحباب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ویذکر الفخر الرازی فی تفسیره فی ذیل هذه الآیة الکریمة ما 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أنفقوا أمر وظاهر الأمر للوجوب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ثم یذکر قولین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الواضح أن کلام الفخر الرازی صحیح، لذا فإنه، من هذه الجهة، لا شک فی ظهور الأمر فی الوجوب، فیجب حمل الآیة علی معناها الظاهری وهو الوجوب، إلا إذا وجدت قرینة تدل علی خلاف ذلک</w:t>
      </w:r>
      <w:r>
        <w:rPr>
          <w:rFonts w:eastAsia="IRNazanin" w:cs="IRNazanin"/>
          <w:color w:val="111111"/>
          <w:sz w:val="28"/>
          <w:szCs w:val="28"/>
          <w:rtl w:val="true"/>
          <w:lang w:bidi="fa-IR"/>
        </w:rPr>
        <w:t>.</w:t>
      </w:r>
    </w:p>
    <w:p>
      <w:pPr>
        <w:pStyle w:val="Heading3"/>
        <w:numPr>
          <w:ilvl w:val="2"/>
          <w:numId w:val="1"/>
        </w:numPr>
        <w:rPr/>
      </w:pPr>
      <w:bookmarkStart w:id="308" w:name="__RefHeading___Toc2158562_581953129"/>
      <w:bookmarkStart w:id="309" w:name="_Toc115"/>
      <w:bookmarkEnd w:id="308"/>
      <w:r>
        <w:rPr>
          <w:rtl w:val="true"/>
        </w:rPr>
        <w:t>النقطة الثانیة</w:t>
      </w:r>
      <w:r>
        <w:rPr>
          <w:rtl w:val="true"/>
        </w:rPr>
        <w:t xml:space="preserve">: </w:t>
      </w:r>
      <w:r>
        <w:rPr>
          <w:rtl w:val="true"/>
        </w:rPr>
        <w:t>هل الآیة الشریفة متعلقة بالزکاة ؟</w:t>
      </w:r>
      <w:bookmarkEnd w:id="309"/>
    </w:p>
    <w:p>
      <w:pPr>
        <w:pStyle w:val="Heading4"/>
        <w:numPr>
          <w:ilvl w:val="3"/>
          <w:numId w:val="1"/>
        </w:numPr>
        <w:rPr/>
      </w:pPr>
      <w:bookmarkStart w:id="310" w:name="__RefHeading___Toc2158564_581953129"/>
      <w:bookmarkStart w:id="311" w:name="_Toc116"/>
      <w:bookmarkEnd w:id="310"/>
      <w:r>
        <w:rPr>
          <w:rtl w:val="true"/>
        </w:rPr>
        <w:t>اشارة</w:t>
      </w:r>
      <w:bookmarkEnd w:id="311"/>
    </w:p>
    <w:p>
      <w:pPr>
        <w:pStyle w:val="BookText"/>
        <w:rPr/>
      </w:pPr>
      <w:r>
        <w:rPr>
          <w:rFonts w:ascii="IRNazanin" w:hAnsi="IRNazanin" w:eastAsia="IRNazanin"/>
          <w:color w:val="111111"/>
          <w:sz w:val="28"/>
          <w:sz w:val="28"/>
          <w:szCs w:val="28"/>
          <w:rtl w:val="true"/>
          <w:lang w:bidi="fa-IR"/>
        </w:rPr>
        <w:t>بناءً علی قول من یقولون بأن هذا الإنفاق واجب، فهل الآیة الشریفة تدل علی الزکاة الواجبة؟ یذکر الفخر الرازی ما 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الآیة یدل علی وجوب الزکاة</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کل ما یکتسبه الإنسان، فیدخل فیه زکاة التجارة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وزکاة الأموال وزکاة الذهب</w:t>
      </w:r>
      <w:bookmarkStart w:id="312" w:name="pg5472_36563"/>
    </w:p>
    <w:p>
      <w:pPr>
        <w:pStyle w:val="BookText"/>
        <w:rPr/>
      </w:pPr>
      <w:bookmarkEnd w:id="312"/>
      <w:r>
        <w:rPr>
          <w:rFonts w:ascii="IRNazanin" w:hAnsi="IRNazanin" w:eastAsia="IRNazanin"/>
          <w:color w:val="111111"/>
          <w:sz w:val="28"/>
          <w:sz w:val="28"/>
          <w:szCs w:val="28"/>
          <w:rtl w:val="true"/>
          <w:lang w:bidi="fa-IR"/>
        </w:rPr>
        <w:t>والفضة والأنعام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ذلک مما یوصف بأنه مکتسب ویدل علی وجوب الزکاة فی کل ما تنبته الأرض ومما أخرجنا لکم من الأرض</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حمل الآیة علی خصوص الزکاة مثل الفخر الرازی وغیره، وجدوا فیها تسعة أشیاء تتعلق بها الزکاة ذکروا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والفضة والأنعام الثلاثة من قوله تعالی ما کَسَبْتُمْ، والغلات الأربعة من قوله تعالی مِمَّا أَخْرَجْنا لَکُمْ مِنَ الأَرْضِ</w:t>
      </w:r>
      <w:r>
        <w:rPr>
          <w:rFonts w:eastAsia="Amiri" w:cs="Amiri" w:ascii="Amiri" w:hAnsi="Amiri"/>
          <w:color w:val="111111"/>
          <w:sz w:val="28"/>
          <w:szCs w:val="28"/>
          <w:rtl w:val="true"/>
          <w:lang w:bidi="ar-SA"/>
        </w:rPr>
        <w:t>.</w:t>
      </w:r>
    </w:p>
    <w:p>
      <w:pPr>
        <w:pStyle w:val="Heading4"/>
        <w:numPr>
          <w:ilvl w:val="3"/>
          <w:numId w:val="1"/>
        </w:numPr>
        <w:rPr/>
      </w:pPr>
      <w:bookmarkStart w:id="313" w:name="__RefHeading___Toc2158566_581953129"/>
      <w:bookmarkStart w:id="314" w:name="_Toc117"/>
      <w:bookmarkEnd w:id="313"/>
      <w:r>
        <w:rPr>
          <w:rtl w:val="true"/>
        </w:rPr>
        <w:t>معنی کلمة الإنفاق فی اللغة</w:t>
      </w:r>
      <w:bookmarkEnd w:id="314"/>
    </w:p>
    <w:p>
      <w:pPr>
        <w:pStyle w:val="BookText"/>
        <w:rPr/>
      </w:pPr>
      <w:r>
        <w:rPr>
          <w:rFonts w:ascii="IRNazanin" w:hAnsi="IRNazanin" w:eastAsia="IRNazanin"/>
          <w:color w:val="111111"/>
          <w:sz w:val="28"/>
          <w:sz w:val="28"/>
          <w:szCs w:val="28"/>
          <w:rtl w:val="true"/>
          <w:lang w:bidi="fa-IR"/>
        </w:rPr>
        <w:t>إذا فسرت کلمة الإنفاق فی اللغة بمعنی الزکاة فاللازم حمل الآیة الشریفة علیها، وکذلک إذا کان الإنفاق فی اصطلاح القرآن الکریم یطلق علی خصوص الزکاة فعند ذلک یجب حمل الآیة الشریفة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من الممکن أن یظهر الإنفاق أو حتی الصدقة فی کلمات الفقهاء أو فی اصطلاحات الروایات فی الزکاة الواجبة، ولکن عندما لا یکون الإنفاق فی اللغة مخصوصاً بالزکاة، أو لا یطلق فی القرآن الکریم علی خصوص الزکاة، و لا یوجد اصطلاح قرآنی به، فکیف یمکن القول بأن الإنفاق ظاهر فی الزکاة الواجبة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بالرجوع إلی اللغة یتضح أن الإنفاق بمعنی بذل المال فی سبیل الخیر، ولم یأت فی معناها اللغوی الزکاة</w:t>
      </w:r>
      <w:r>
        <w:rPr>
          <w:rFonts w:eastAsia="IRNazanin" w:cs="IRNazanin"/>
          <w:color w:val="111111"/>
          <w:sz w:val="28"/>
          <w:szCs w:val="28"/>
          <w:rtl w:val="true"/>
          <w:lang w:bidi="fa-IR"/>
        </w:rPr>
        <w:t>.</w:t>
      </w:r>
    </w:p>
    <w:p>
      <w:pPr>
        <w:pStyle w:val="Heading4"/>
        <w:numPr>
          <w:ilvl w:val="3"/>
          <w:numId w:val="1"/>
        </w:numPr>
        <w:rPr/>
      </w:pPr>
      <w:bookmarkStart w:id="315" w:name="__RefHeading___Toc2158568_581953129"/>
      <w:bookmarkStart w:id="316" w:name="_Toc118"/>
      <w:bookmarkEnd w:id="315"/>
      <w:r>
        <w:rPr>
          <w:rtl w:val="true"/>
        </w:rPr>
        <w:t xml:space="preserve">معنی کلمة </w:t>
      </w:r>
      <w:r>
        <w:rPr>
          <w:rtl w:val="true"/>
        </w:rPr>
        <w:t>(</w:t>
      </w:r>
      <w:r>
        <w:rPr>
          <w:rtl w:val="true"/>
        </w:rPr>
        <w:t>الإنفاق</w:t>
      </w:r>
      <w:r>
        <w:rPr>
          <w:rtl w:val="true"/>
        </w:rPr>
        <w:t xml:space="preserve">) </w:t>
      </w:r>
      <w:r>
        <w:rPr>
          <w:rtl w:val="true"/>
        </w:rPr>
        <w:t>فی القرآن</w:t>
      </w:r>
      <w:bookmarkEnd w:id="316"/>
    </w:p>
    <w:p>
      <w:pPr>
        <w:pStyle w:val="Heading5"/>
        <w:numPr>
          <w:ilvl w:val="4"/>
          <w:numId w:val="1"/>
        </w:numPr>
        <w:rPr/>
      </w:pPr>
      <w:bookmarkStart w:id="317" w:name="__RefHeading___Toc2158570_581953129"/>
      <w:bookmarkStart w:id="318" w:name="_Toc119"/>
      <w:bookmarkEnd w:id="317"/>
      <w:r>
        <w:rPr>
          <w:rtl w:val="true"/>
        </w:rPr>
        <w:t>اشارة</w:t>
      </w:r>
      <w:bookmarkEnd w:id="318"/>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الرغم من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الزکاة فی کثیر من الموارد فی آیات القرآن الکریم، ولکنه لیس منحصراً بهذا المعنی، لأنها استعملت فی موارد أخری من</w:t>
      </w:r>
    </w:p>
    <w:p>
      <w:pPr>
        <w:pStyle w:val="BookText"/>
        <w:rPr/>
      </w:pPr>
      <w:r>
        <w:rPr>
          <w:rFonts w:ascii="IRNazanin" w:hAnsi="IRNazanin" w:eastAsia="IRNazanin"/>
          <w:color w:val="111111"/>
          <w:sz w:val="28"/>
          <w:sz w:val="28"/>
          <w:szCs w:val="28"/>
          <w:rtl w:val="true"/>
          <w:lang w:bidi="fa-IR"/>
        </w:rPr>
        <w:t>الآیات القرآنیة فی غیر الزکاة، ولذا من هذه الجهة، یلزم أن نشیر إلی الآیات التی وردت فیها کلمة الإنفاق ولم یُرَدْ منها معنی الزکاة، وهی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وَسْئَلُوا ما أَنْفَقْتُمْ وَلْیَسْئَلُوا ما أَنْفَقُوا</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فَآتُوا الَّذِینَ ذَهَبَتْ أَزْواجُهُمْ مِثْلَ ما أَنْفَقُوا</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المراد من الإنفاق فی هاتین الآیتین الشریفتین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یحدد للزوجة، ففی الآیة الأولی یذکر تعالی بأنه إذا بقیت الزوجة عند أهل الردة فیجب علیکم أن تأخذوا منهن ما أعطیتموهن من المهر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فَأَنْفِقُوا عَلَیْهِنَّ حَتَّی یَضَعْنَ حَمْلَهُنَّ </w:t>
      </w:r>
      <w:r>
        <w:rPr>
          <w:rStyle w:val="FootnoteAnchor"/>
          <w:rtl w:val="true"/>
        </w:rPr>
        <w:footnoteReference w:id="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إن المراد منه تأمین مصارف الحیاة للزوجة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 الَّذِینَ یُنْفِقُونَ أَمْوالَهُمْ بِاللَّیْلِ وَالنَّهارِ سِرًّا وَعَلانِیَةً فَلَهُمْ أَجْرُهُمْ عِنْدَ رَبِّهِمْ وَلا خَوْفٌ عَلَیْهِمْ وَلا هُمْ یَحْزَنُونَ‌</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ویذکر ابن عباس فی سبب نزول هذه الآیة 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دراهم فأنفق درهما لیلاً وآخر نهاراً وآخر سراً وآخر علانیة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المجال أیضاً فإن مسألة الزکاة غیر مطروحة، بل مطلق بذل المال فی سبیل الخیر</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هذا، و بالرجوع إلی اللغة والقرآن، یتضح أن کلمة الانفاق لیست مختصة بالزکاة، ولیس بصحیح أن نفسِّر کلمة الإنفاق فی کل آیة وردت بالزکاة</w:t>
      </w:r>
      <w:r>
        <w:rPr>
          <w:rFonts w:eastAsia="IRNazanin" w:cs="IRNazanin"/>
          <w:color w:val="111111"/>
          <w:sz w:val="28"/>
          <w:szCs w:val="28"/>
          <w:rtl w:val="true"/>
          <w:lang w:bidi="fa-IR"/>
        </w:rPr>
        <w:t>.</w:t>
      </w:r>
      <w:bookmarkStart w:id="319" w:name="pg5472_36567"/>
    </w:p>
    <w:p>
      <w:pPr>
        <w:pStyle w:val="BookText"/>
        <w:rPr/>
      </w:pPr>
      <w:bookmarkEnd w:id="319"/>
      <w:r>
        <w:rPr>
          <w:rFonts w:ascii="Amiri" w:hAnsi="Amiri" w:eastAsia="Amiri" w:cs="Amiri"/>
          <w:color w:val="111111"/>
          <w:sz w:val="28"/>
          <w:sz w:val="28"/>
          <w:szCs w:val="28"/>
          <w:rtl w:val="true"/>
          <w:lang w:bidi="ar-SA"/>
        </w:rPr>
        <w:t>ومما سبق نستنتج أن الإنفاق فی الآیة الکریمة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أَنْفِقُوا مِنْ طَیِّباتِ ما کَسَبْتُمْ‌</w:t>
      </w:r>
      <w:r>
        <w:rPr>
          <w:rStyle w:val="FootnoteAnchor"/>
          <w:rtl w:val="true"/>
        </w:rPr>
        <w:footnoteReference w:id="178"/>
      </w:r>
      <w:r>
        <w:rPr>
          <w:rFonts w:ascii="IRNazanin" w:hAnsi="IRNazanin" w:eastAsia="IRNazanin"/>
          <w:color w:val="111111"/>
          <w:sz w:val="28"/>
          <w:sz w:val="28"/>
          <w:szCs w:val="28"/>
          <w:rtl w:val="true"/>
          <w:lang w:bidi="fa-IR"/>
        </w:rPr>
        <w:t>لا تظهر فی الزکاة ولا تختص بها</w:t>
      </w:r>
      <w:r>
        <w:rPr>
          <w:rFonts w:eastAsia="IRNazanin" w:cs="IRNazanin"/>
          <w:color w:val="111111"/>
          <w:sz w:val="28"/>
          <w:szCs w:val="28"/>
          <w:rtl w:val="true"/>
          <w:lang w:bidi="fa-IR"/>
        </w:rPr>
        <w:t>.</w:t>
      </w:r>
    </w:p>
    <w:p>
      <w:pPr>
        <w:pStyle w:val="Heading5"/>
        <w:numPr>
          <w:ilvl w:val="4"/>
          <w:numId w:val="1"/>
        </w:numPr>
        <w:rPr/>
      </w:pPr>
      <w:bookmarkStart w:id="320" w:name="__RefHeading___Toc2158572_581953129"/>
      <w:bookmarkStart w:id="321" w:name="_Toc120"/>
      <w:bookmarkEnd w:id="320"/>
      <w:r>
        <w:rPr>
          <w:rtl w:val="true"/>
        </w:rPr>
        <w:t>أقوال المفسرین فی معنی الإنفاق فی هذه الآیة الشریفة</w:t>
      </w:r>
      <w:bookmarkEnd w:id="321"/>
    </w:p>
    <w:p>
      <w:pPr>
        <w:pStyle w:val="Heading6"/>
        <w:numPr>
          <w:ilvl w:val="5"/>
          <w:numId w:val="1"/>
        </w:numPr>
        <w:rPr/>
      </w:pPr>
      <w:bookmarkStart w:id="322" w:name="__RefHeading___Toc2158574_581953129"/>
      <w:bookmarkStart w:id="323" w:name="_Toc121"/>
      <w:bookmarkEnd w:id="322"/>
      <w:r>
        <w:rPr>
          <w:rtl w:val="true"/>
        </w:rPr>
        <w:t xml:space="preserve">- </w:t>
      </w:r>
      <w:r>
        <w:rPr>
          <w:rtl w:val="true"/>
        </w:rPr>
        <w:t>رأی الفاضل الجواد</w:t>
      </w:r>
      <w:bookmarkEnd w:id="323"/>
    </w:p>
    <w:p>
      <w:pPr>
        <w:pStyle w:val="BookText"/>
        <w:rPr/>
      </w:pPr>
      <w:r>
        <w:rPr>
          <w:rFonts w:ascii="IRNazanin" w:hAnsi="IRNazanin" w:eastAsia="IRNazanin"/>
          <w:color w:val="111111"/>
          <w:sz w:val="28"/>
          <w:sz w:val="28"/>
          <w:szCs w:val="28"/>
          <w:rtl w:val="true"/>
          <w:lang w:bidi="fa-IR"/>
        </w:rPr>
        <w:t xml:space="preserve">یذکر الفاضل الجواد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الإفهام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إشارته إلی وجود اختلاف فی الآراء حول ماهیة المراد من الإنفاق فی هذه الآیة الشریفة ما 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قیل هو أمر بالزکاة الواجبة وقیل هو فی الصدقة المتطوع بها، وقیل أن المراد به الإنفاق فی سبیل الخیر وأعمال البر علی العموم، ویدخل فیه النفقة الواجبة والمتطوع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 ذکر هذه الاحتمالات الثلاثة فإنه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والمشهور بین الأصحاب أن المراد بها الإشارة إلی وجوب إخراج الخمس من الأمور المذکورة، ویراد بالمخرج من الأرض ما یعم المعادن والکنوز ونحوها مما یجب فیه الخمس فکذا فی المعطوف علیه کأرباح التجارات والصناعات والزراعات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ذلک علی الإجمال</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یذکر أن المشهور بین الفقهاء أن هذه الآیة تشیر إلی وجوب إخراج الخمس من هذین العنوانین، فعنوان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یخرج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یشمل المعادن والکنوز، أما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کسبتم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فیشمل أرباح التجارات والزراعات والصناعات، والله عز وجل مع هذین العنوانین فی هذه الآیة یشیر بنحو الإجمال إلی لزوم الخمس</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وبناءً علی 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الإفهام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المشهور بین فقهاء الإمامیة أن هذه الآیة متعلقة بوجوب إخراج الخمس من هذه الأمور المذکورة، وهی مجموع</w:t>
      </w:r>
      <w:bookmarkStart w:id="324" w:name="pg5472_36568"/>
    </w:p>
    <w:p>
      <w:pPr>
        <w:pStyle w:val="BookText"/>
        <w:rPr/>
      </w:pPr>
      <w:bookmarkEnd w:id="324"/>
      <w:r>
        <w:rPr>
          <w:rFonts w:ascii="IRNazanin" w:hAnsi="IRNazanin" w:eastAsia="IRNazanin"/>
          <w:color w:val="111111"/>
          <w:sz w:val="28"/>
          <w:sz w:val="28"/>
          <w:szCs w:val="28"/>
          <w:rtl w:val="true"/>
          <w:lang w:bidi="fa-IR"/>
        </w:rPr>
        <w:t xml:space="preserve">کل التجارات، المعادن، والزراعات، وتذکر بصورة مجملة بأن إخراج الخمس لازم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کسبتم ممّا أخرج من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یثیر الانتباه أنه درجت العادة عند فقهاء الإمامیة فی باب الخمس أثناء استدلالهم علی وجوبها تمسّکهم بآیة الغنیمة فحسب للاستدلال، ولا یذکرون عن هذه الآیة التی نبحث فیها شیئاً، عندها کیف یمکن لصاحب المسالک أن ینسب ذلک إلی مشهور الإمامیة، وللتحقیق فی هذا الموضوع یلزم دراسة وبحث کتب فقهیة أکثر، ولعل مراده من الأصحاب مفسّرو الإمامی لا فقهاؤهم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أهل السنة فیحملون هذه الآیة علی الزکاة سواء بنحو الوجوب أو بنحو الصدقة المستحبة أو بنحو أعم من الواجب والمستحب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کما ذکرنا سابقاً فإن کلمة الإنفاق لا تختص بالزکاة لا من الناحیة اللغویة ولا من الناحیة القرآنیة، بل لها معنی عام حیث تستعمل فی الزکاة والخمس کذلک</w:t>
      </w:r>
      <w:r>
        <w:rPr>
          <w:rFonts w:eastAsia="IRNazanin" w:cs="IRNazanin"/>
          <w:color w:val="111111"/>
          <w:sz w:val="28"/>
          <w:szCs w:val="28"/>
          <w:rtl w:val="true"/>
          <w:lang w:bidi="fa-IR"/>
        </w:rPr>
        <w:t>.</w:t>
      </w:r>
    </w:p>
    <w:p>
      <w:pPr>
        <w:pStyle w:val="Heading6"/>
        <w:numPr>
          <w:ilvl w:val="5"/>
          <w:numId w:val="1"/>
        </w:numPr>
        <w:rPr/>
      </w:pPr>
      <w:bookmarkStart w:id="325" w:name="__RefHeading___Toc2158576_581953129"/>
      <w:bookmarkStart w:id="326" w:name="_Toc122"/>
      <w:bookmarkEnd w:id="325"/>
      <w:r>
        <w:rPr>
          <w:rtl w:val="true"/>
        </w:rPr>
        <w:t xml:space="preserve">- </w:t>
      </w:r>
      <w:r>
        <w:rPr>
          <w:rtl w:val="true"/>
        </w:rPr>
        <w:t>رأی المحقق الأردبیلی</w:t>
      </w:r>
      <w:bookmarkEnd w:id="326"/>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ذکر الأردبیلی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المورد احتمالین 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یحتمل أن یکون إشارة إلی وجوب إخراج ما یجب فی الزکاة ویکون المکتسب عبارة عن المال الذی یجب فیه الزکاة من النقدین والمواشی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البقر والإبل والغنم وبعبارة أخری أن عنوان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کَسَبْتُمْ له مصداقان أحدهما النقدان والثانی المواشی لأنها جمیعاً یتم تحصیلها بالکسب والعمل، وحول الاحتمال الثانی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والخمس من جمیع ما یکتسب</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bookmarkStart w:id="327" w:name="pg5472_36570"/>
    </w:p>
    <w:p>
      <w:pPr>
        <w:pStyle w:val="BookText"/>
        <w:rPr/>
      </w:pPr>
      <w:bookmarkEnd w:id="327"/>
      <w:r>
        <w:rPr>
          <w:rFonts w:ascii="IRNazanin" w:hAnsi="IRNazanin" w:eastAsia="IRNazanin"/>
          <w:color w:val="111111"/>
          <w:sz w:val="28"/>
          <w:sz w:val="28"/>
          <w:szCs w:val="28"/>
          <w:rtl w:val="true"/>
          <w:lang w:bidi="fa-IR"/>
        </w:rPr>
        <w:t>ومن ثم یذکر احتمالاً ثالثاً کذلک بأن الآیة تدل علی الزکاة وعلی الخمس معاً علی سبیل الإجمال</w:t>
      </w:r>
      <w:r>
        <w:rPr>
          <w:rFonts w:eastAsia="IRNazanin" w:cs="IRNazanin"/>
          <w:color w:val="111111"/>
          <w:sz w:val="28"/>
          <w:szCs w:val="28"/>
          <w:rtl w:val="true"/>
          <w:lang w:bidi="fa-IR"/>
        </w:rPr>
        <w:t>.</w:t>
      </w:r>
    </w:p>
    <w:p>
      <w:pPr>
        <w:pStyle w:val="Heading5"/>
        <w:numPr>
          <w:ilvl w:val="4"/>
          <w:numId w:val="1"/>
        </w:numPr>
        <w:rPr/>
      </w:pPr>
      <w:bookmarkStart w:id="328" w:name="__RefHeading___Toc2158578_581953129"/>
      <w:bookmarkStart w:id="329" w:name="_Toc123"/>
      <w:bookmarkEnd w:id="328"/>
      <w:r>
        <w:rPr>
          <w:rtl w:val="true"/>
        </w:rPr>
        <w:t>دراسة نظریة أهل السنة حول خمس المعادن</w:t>
      </w:r>
      <w:bookmarkEnd w:id="329"/>
    </w:p>
    <w:p>
      <w:pPr>
        <w:pStyle w:val="Heading6"/>
        <w:numPr>
          <w:ilvl w:val="5"/>
          <w:numId w:val="1"/>
        </w:numPr>
        <w:rPr/>
      </w:pPr>
      <w:bookmarkStart w:id="330" w:name="__RefHeading___Toc2158580_581953129"/>
      <w:bookmarkStart w:id="331" w:name="_Toc124"/>
      <w:bookmarkEnd w:id="330"/>
      <w:r>
        <w:rPr>
          <w:rtl w:val="true"/>
        </w:rPr>
        <w:t>اشارة</w:t>
      </w:r>
      <w:bookmarkEnd w:id="331"/>
    </w:p>
    <w:p>
      <w:pPr>
        <w:pStyle w:val="BookText"/>
        <w:rPr/>
      </w:pPr>
      <w:r>
        <w:rPr>
          <w:rFonts w:ascii="IRNazanin" w:hAnsi="IRNazanin" w:eastAsia="IRNazanin"/>
          <w:color w:val="111111"/>
          <w:sz w:val="28"/>
          <w:sz w:val="28"/>
          <w:szCs w:val="28"/>
          <w:rtl w:val="true"/>
          <w:lang w:bidi="fa-IR"/>
        </w:rPr>
        <w:t>لقد أتینا سابقاً برأی أهل السنة حول بحث خمس المعادن حیث یوجد خمس فی المعادن طبقاً لفتاوی المذاهب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الرغم من أن أهل السنة یقولون بأن لفظة غنمتم فی آیة الغنیمة متعلقة بالغنائم الحربیة، ولکن طبقاً لبعض الروایات الواصلة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یوجد خمس فی المعادن والکنوز المدفونة الثمینة التی یدفنها الإنسان فی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الدفائن القیِّمة التی یقوم الإنسان بدفنها تحت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ونظراً إلی أن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أَخْرَجْنا لَکُمْ مِنَ الأَرْضِ فیه ظهور واضح فی المعادن والکنوز وأمثالها، ونظراً إلی رأی أهل السنة بالخمس فی مثل هذه المعادن عند ذلک یمکن أن یستفاد الخمس من هذه الآیة الکریمة فی هذه الأمور</w:t>
      </w:r>
      <w:r>
        <w:rPr>
          <w:rFonts w:eastAsia="IRNazanin" w:cs="IRNazanin"/>
          <w:color w:val="111111"/>
          <w:sz w:val="28"/>
          <w:szCs w:val="28"/>
          <w:rtl w:val="true"/>
          <w:lang w:bidi="fa-IR"/>
        </w:rPr>
        <w:t>.</w:t>
      </w:r>
    </w:p>
    <w:p>
      <w:pPr>
        <w:pStyle w:val="Heading6"/>
        <w:numPr>
          <w:ilvl w:val="5"/>
          <w:numId w:val="1"/>
        </w:numPr>
        <w:rPr/>
      </w:pPr>
      <w:bookmarkStart w:id="332" w:name="__RefHeading___Toc2158582_581953129"/>
      <w:bookmarkStart w:id="333" w:name="_Toc125"/>
      <w:bookmarkEnd w:id="332"/>
      <w:r>
        <w:rPr>
          <w:rtl w:val="true"/>
        </w:rPr>
        <w:t>استنتاج</w:t>
      </w:r>
      <w:r>
        <w:rPr>
          <w:rtl w:val="true"/>
        </w:rPr>
        <w:t>:</w:t>
      </w:r>
      <w:bookmarkEnd w:id="333"/>
    </w:p>
    <w:p>
      <w:pPr>
        <w:pStyle w:val="BookText"/>
        <w:rPr/>
      </w:pPr>
      <w:r>
        <w:rPr>
          <w:rFonts w:ascii="IRNazanin" w:hAnsi="IRNazanin" w:eastAsia="IRNazanin"/>
          <w:color w:val="111111"/>
          <w:sz w:val="28"/>
          <w:sz w:val="28"/>
          <w:szCs w:val="28"/>
          <w:rtl w:val="true"/>
          <w:lang w:bidi="fa-IR"/>
        </w:rPr>
        <w:t>یستفاد من هذه الآیة الشریفة بشکل إجمالی وجوب الخمس أو الزکاة، وینبغی البحث عن شروط وخصوصیات متعلقة بالخمس أو الزکاة من أدلة 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ولکن کما أشرنا سابقاً بأنه لا توجد قرینة فی هذه الآیة علی خصوص الزکاة، بل یجب حملها علی الخمس بقرینة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أَخْرَجْنا لَکُمْ مِنَ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کذلک فی باب مال التجارة، حیث وقع الاختلاف بین الفقهاء العامة والخاصة فی الفقه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إن مشهور أهل السنة القول بأن الزکاة واجبة فی مال التجارة، فی حین إن علماء الإمامیة یقولون بأن الزکاة مستحبة فی مال التجارة</w:t>
      </w:r>
      <w:r>
        <w:rPr>
          <w:rFonts w:eastAsia="IRNazanin" w:cs="IRNazanin"/>
          <w:color w:val="111111"/>
          <w:sz w:val="28"/>
          <w:szCs w:val="28"/>
          <w:rtl w:val="true"/>
          <w:lang w:bidi="fa-IR"/>
        </w:rPr>
        <w:t>.</w:t>
      </w:r>
      <w:bookmarkStart w:id="334" w:name="pg5472_36572"/>
    </w:p>
    <w:p>
      <w:pPr>
        <w:pStyle w:val="BookText"/>
        <w:rPr/>
      </w:pPr>
      <w:bookmarkEnd w:id="334"/>
      <w:r>
        <w:rPr>
          <w:rFonts w:ascii="IRNazanin" w:hAnsi="IRNazanin" w:eastAsia="IRNazanin"/>
          <w:color w:val="111111"/>
          <w:sz w:val="28"/>
          <w:sz w:val="28"/>
          <w:szCs w:val="28"/>
          <w:rtl w:val="true"/>
          <w:lang w:bidi="fa-IR"/>
        </w:rPr>
        <w:t>وإن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کَسَبْتُمْ فی الآیة لیست مختصة بمال التجارة، بأن یقال بأن الآیة الشریفة دالة علی وجوب الزکاة فی مال التجارة، بل إن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کَسَبْتُمْ یشمل ما هو أعم من مال التجارة، أی کل ما تکسبونه وتحصلون علیه من الذهب والفضة والأنعام وسائر الفوائد الأخری فإنها مشمولة بذلک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استفدنا أن الآیة الشریفة ظاهرة فی الخمس، وأن قوله تعالی ما کَسَبْتُمْ یشمل جمیع الفوائد، عندئذٍ فإنها تشمل الجوائز والهدایا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لم یحصل لدینا یقین وشککنا أن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کسبتم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تشمل الجوائز والهدایا أو لا، وبعبارة أخری إذا شککنا فی صدق عنوان الکسب علیها، عندها لا نستطیع أن نتمسک بهذه الآیة فی هذه الموارد، لأنها تصبح من موارد التمسک بالعام فی الشبهة المصداقیة، وفی مثل هذا الفرض یجب إجراء أصل البراءة عن وجوب الخمس</w:t>
      </w:r>
      <w:r>
        <w:rPr>
          <w:rFonts w:eastAsia="IRNazanin" w:cs="IRNazanin"/>
          <w:color w:val="111111"/>
          <w:sz w:val="28"/>
          <w:szCs w:val="28"/>
          <w:rtl w:val="true"/>
          <w:lang w:bidi="fa-IR"/>
        </w:rPr>
        <w:t>.</w:t>
      </w:r>
    </w:p>
    <w:p>
      <w:pPr>
        <w:pStyle w:val="Heading6"/>
        <w:numPr>
          <w:ilvl w:val="5"/>
          <w:numId w:val="1"/>
        </w:numPr>
        <w:rPr/>
      </w:pPr>
      <w:bookmarkStart w:id="335" w:name="__RefHeading___Toc2158584_581953129"/>
      <w:bookmarkStart w:id="336" w:name="_Toc126"/>
      <w:bookmarkEnd w:id="335"/>
      <w:r>
        <w:rPr>
          <w:rtl w:val="true"/>
        </w:rPr>
        <w:t>احتمالات خمسة</w:t>
      </w:r>
      <w:r>
        <w:rPr>
          <w:rtl w:val="true"/>
        </w:rPr>
        <w:t>:</w:t>
      </w:r>
      <w:bookmarkEnd w:id="336"/>
    </w:p>
    <w:p>
      <w:pPr>
        <w:pStyle w:val="BookText"/>
        <w:rPr/>
      </w:pPr>
      <w:r>
        <w:rPr>
          <w:rFonts w:ascii="IRNazanin" w:hAnsi="IRNazanin" w:eastAsia="IRNazanin"/>
          <w:color w:val="111111"/>
          <w:sz w:val="28"/>
          <w:sz w:val="28"/>
          <w:szCs w:val="28"/>
          <w:rtl w:val="true"/>
          <w:lang w:bidi="fa-IR"/>
        </w:rPr>
        <w:t>نستنتج من الآیة الشریفة وجود خمسة احتمالات منها ثلاثة مختصة بالوجوب، واثنان تشمل الاستحباب 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الآیة الکریمة متعلقة بخصوص الزکاة الواجبة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الآیة الشریفة متعلقة بخصوص الزکاة سواء الواجبة أو المستحبة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الآیة الشریفة متعلقة بخصوص الخمس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الآیة الشریفة متعلقة بالخمس والزکاة الواجبین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الآیة الشریفة متعلقة بالخمس والزکاة سواء الواجب منها والمستحب</w:t>
      </w:r>
      <w:r>
        <w:rPr>
          <w:rFonts w:eastAsia="IRNazanin" w:cs="IRNazanin"/>
          <w:color w:val="111111"/>
          <w:sz w:val="28"/>
          <w:szCs w:val="28"/>
          <w:rtl w:val="true"/>
          <w:lang w:bidi="fa-IR"/>
        </w:rPr>
        <w:t>.</w:t>
      </w:r>
      <w:bookmarkStart w:id="337" w:name="pg5472_36574"/>
    </w:p>
    <w:p>
      <w:pPr>
        <w:pStyle w:val="Heading5"/>
        <w:numPr>
          <w:ilvl w:val="4"/>
          <w:numId w:val="1"/>
        </w:numPr>
        <w:rPr/>
      </w:pPr>
      <w:bookmarkStart w:id="338" w:name="__RefHeading___Toc2158586_581953129"/>
      <w:bookmarkStart w:id="339" w:name="_Toc127"/>
      <w:bookmarkEnd w:id="337"/>
      <w:bookmarkEnd w:id="338"/>
      <w:r>
        <w:rPr>
          <w:rtl w:val="true"/>
        </w:rPr>
        <w:t>دراسة احتمال الاستحباب</w:t>
      </w:r>
      <w:r>
        <w:rPr>
          <w:rtl w:val="true"/>
        </w:rPr>
        <w:t>:</w:t>
      </w:r>
      <w:bookmarkEnd w:id="339"/>
    </w:p>
    <w:p>
      <w:pPr>
        <w:pStyle w:val="BookText"/>
        <w:rPr/>
      </w:pPr>
      <w:r>
        <w:rPr>
          <w:rFonts w:ascii="Amiri" w:hAnsi="Amiri" w:eastAsia="Amiri" w:cs="Amiri"/>
          <w:color w:val="111111"/>
          <w:sz w:val="28"/>
          <w:sz w:val="28"/>
          <w:szCs w:val="28"/>
          <w:rtl w:val="true"/>
          <w:lang w:bidi="ar-SA"/>
        </w:rPr>
        <w:t>من البعید والمشکل جداً احتمال کون الآیة متعلقة بالمستحبات، لورود الأمر والنهی فیها کذلک، ومن جهة أخری، فقد ذکر متعلق خاص ومحدَّد فیها، حیث إنها عبارة عن قوله تعالی ما کَسَبْتُمْ وقوله تعالی مِمَّا أَخْرَجْنا 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حیث یذکر تعالی فی البدایة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أَنْفِقُوا مِنْ طَیِّباتِ ما کَسَبْتُمْ وَمِمَّا أَخْرَجْنا لَکُمْ مِنَ الأَرْضِ وثم یقول وَلا تَیَمَّمُوا الْخَبِیثَ مِنْهُ تُنْفِقُونَ‌</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الجمع بین هذا الأمر والنهی توجد نقطة هامة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أمر المولی فی مورد ما بالقیام بشیء ونهی عن الترک، فإن هذا النهی عن الترک قرینة واضحة علی أن الأمر ظاهر فی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أُشکِل بأن هذا المطلب صحیح فی حال تعلق النهی فی الترک عن الإنفاق، أما فی هذه الآیة فإن النهی قد تعلق بنوع من الإنفاق، ویوجد فرق بینهما، 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القول بأن الآیة الکریمة لیست فی مقام بیان أصل الوجوب، وتفید معنیً آخر نظیر الآیة الشریفة إِنَّما یَتَقَبَّلُ اللهُ مِنَ الْمُتَّقِینَ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یرید أن یقول بأن إنفاقاتکم لا تکون مقبولة إلا من الأموال المحلّلة لا المحرّمة الصرفة أو المخلوطة بین الحلال والحرام، فالآیة الکریمة فی مقام بیان کیفیة الإنفاق الصحیح والمقبول عند الله، ولا ترید الآیة أن تبین أصل الوجوب أو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ونقول فی الجواب عن ذلک</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متعلق الإنفاق فی الأمر والنهی واحد، فإنه وإن لم یوجد القسم الثانی من الآیة أی النهی، فإن مفهوم صدر هذه الآیة یتمثل بعدم الإنفاق من غیر</w:t>
      </w:r>
    </w:p>
    <w:p>
      <w:pPr>
        <w:pStyle w:val="BookText"/>
        <w:rPr/>
      </w:pPr>
      <w:r>
        <w:rPr>
          <w:rFonts w:ascii="IRNazanin" w:hAnsi="IRNazanin" w:eastAsia="IRNazanin"/>
          <w:color w:val="111111"/>
          <w:sz w:val="28"/>
          <w:sz w:val="28"/>
          <w:szCs w:val="28"/>
          <w:rtl w:val="true"/>
          <w:lang w:bidi="fa-IR"/>
        </w:rPr>
        <w:t>الطیبات، وقد ذکر فی بحث المفاهیم فی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یجب اتحاد المنطوق والمفهوم من حیث المتعلق والموضوع، وفی هذه الآیة الکریمة وقع الإنفاق فی الطیبات مورداً للأمر، وفی ذیلها فقد وقع الإنفاق من الخبائث مورداً للنهی، وکلا الموردین متعلقان بقوله تعالی ما کَسَبْتُمْ، نعم إذا کان الأمر فی مورد الإنفاق متعلقاً بقوله تعالی ما کَسَبْتُمْ وکان النهی متعلقاً فی غیر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کَسَبْتُمْ ففی هذه الحالة یوجد اختلاف بین المتعلقین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القول بأن مفاد هذه الآیة الشریفة نظیر مفاد ومدلول قوله تعالی إِنَّما یَتَقَبَّلُ اللهُ مِنَ الْمُتَّقِینَ، لأنه من الواضح بأنه بعد أن ینفق المؤمنون من الطیبات من أموالهم، عندها یصل الدور إلی القبول أو عدم القبول لهذا العمل، فإن کان الأفراد من المتقین فإن هذا العمل قد تم بشروطه الکاملة ویقع مقبولاً عند الله عز وجل</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وبالنتیجة، فإن کانت صیغة الأمر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أَنْفِقُوا موجودة فحسب لقلنا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قد استعمل کثیراً فی المعنی الاستحبابی أیضاً،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أَنْفِقُوا مِمَّا رَزَقْناکُمْ مِنْ قَبْلِ أَنْ یَأْتِیَ یَوْمٌ لا بَیْعٌ فِیهِ وَلا خُلَّةٌ‌</w:t>
      </w:r>
      <w:r>
        <w:rPr>
          <w:rStyle w:val="FootnoteAnchor"/>
          <w:rtl w:val="true"/>
        </w:rPr>
        <w:footnoteReference w:id="182"/>
      </w:r>
      <w:r>
        <w:rPr>
          <w:rFonts w:ascii="Amiri" w:hAnsi="Amiri" w:eastAsia="Amiri" w:cs="Amiri"/>
          <w:color w:val="111111"/>
          <w:sz w:val="28"/>
          <w:sz w:val="28"/>
          <w:szCs w:val="28"/>
          <w:rtl w:val="true"/>
          <w:lang w:bidi="ar-SA"/>
        </w:rPr>
        <w:t>، أو قوله تعالی فی الآیة الشریفة وَأَنْفِقُوا مِنْ ما رَزَقْناکُمْ مِنْ قَبْلِ أَنْ یَأْتِیَ أَحَدَکُمُ الْمَوْتُ‌</w:t>
      </w:r>
      <w:r>
        <w:rPr>
          <w:rStyle w:val="FootnoteAnchor"/>
          <w:rtl w:val="true"/>
        </w:rPr>
        <w:footnoteReference w:id="183"/>
      </w:r>
      <w:r>
        <w:rPr>
          <w:rFonts w:ascii="IRNazanin" w:hAnsi="IRNazanin" w:eastAsia="IRNazanin"/>
          <w:color w:val="111111"/>
          <w:sz w:val="28"/>
          <w:sz w:val="28"/>
          <w:szCs w:val="28"/>
          <w:rtl w:val="true"/>
          <w:lang w:bidi="fa-IR"/>
        </w:rPr>
        <w:t>حیث یمکن حملها علی الاستحباب لا سیما مع وجود المتعلق الممیز بالعمومیة وهو قوله تعالی مِمَّا رَزَقْناکُمْ، وإن مثل هذه العمومیة لا تناسب الوجوب، وإن الحکم الوجوبی فی مثل هذه العمومیة غیر قابلة للامتثال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عندما یجتمع فی کلام واحد أمر ونهی لمتعلق واحد، عندها یعلم أن الله عز وجل فی مقام بیان حکم إلزامی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ونظراً للخصوصیات الموجودة فی الآیة الشریفة، فإنه یستفاد من ظاهرها أن هذا الإنفاق متعلق بالحقوق الواجبة لا مطلق الخیرات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ذلک، فإن الاحتمالین الثانی والخامس من بین الاحتمالات الخمسة المذکورة، غیر صحیحین ومرفوضان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دراسة احتمال الوجوب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أن اتضح أن الإنفاق فی الآیة الشریفة متعلق بالحقوق الواجبة، عندها یجب البحث فی أنه أی من الاحتمالات الثلاثة هو المراد من هذه الآیة؟</w:t>
      </w:r>
    </w:p>
    <w:p>
      <w:pPr>
        <w:pStyle w:val="BookText"/>
        <w:rPr/>
      </w:pPr>
      <w:r>
        <w:rPr>
          <w:rFonts w:ascii="IRNazanin" w:hAnsi="IRNazanin" w:eastAsia="IRNazanin"/>
          <w:color w:val="111111"/>
          <w:sz w:val="28"/>
          <w:sz w:val="28"/>
          <w:szCs w:val="28"/>
          <w:rtl w:val="true"/>
          <w:lang w:bidi="fa-IR"/>
        </w:rPr>
        <w:t>احتمال الزکاة الواجبة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استناداً إلی شأن نزول الآیة التی أشیر إلیها سابقاً، ونظراً إلی الروایة المذکورة عن أهل السنة فمن الممکن القول بأن متعلق هذا الوجوب هو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الرغم من أن هذه الروایة لم تذکر فی کتبنا الروائیة، ولکن أهل السنة ذکروا فی کتبهم الروائیة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وعبیدة بن السلمانی وابن سیرین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الزکاة المفروضة</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ذکر فی تفسیر البرهان عن الکلینی ما یلی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أبی بصیر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هذه الآیة الکریمة یا أَیُّهَا الَّذِینَ آمَنُوا أَنْفِقُوا مِمَّا رَزَقْناکُمْ، أنه سأل أبو بصیر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الآیة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w:t>
      </w:r>
    </w:p>
    <w:p>
      <w:pPr>
        <w:pStyle w:val="BookText"/>
        <w:rPr/>
      </w:pPr>
      <w:r>
        <w:rPr>
          <w:rFonts w:ascii="Amiri" w:hAnsi="Amiri" w:eastAsia="Amiri" w:cs="Amiri"/>
          <w:color w:val="111111"/>
          <w:sz w:val="28"/>
          <w:sz w:val="28"/>
          <w:szCs w:val="28"/>
          <w:rtl w:val="true"/>
          <w:lang w:bidi="ar-SA"/>
        </w:rPr>
        <w:t xml:space="preserve">أمر بالنخل أن یزکی یجیء قوم بألوان من التمر، وهو من أردأ التمر، یؤدونه من زکاتهم تمراً یقال له الجعرور والمعافأرة قلیلة اللحاء عظیمة النواة وکان بعضهم یجیء بها عن التمر الجید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تخرجوا هاتین التمرتین ولا تجیئوا منها بشیء وفی ذلک نزل وَلا تَیَمَّمُوا الْخَبِیثَ مِنْهُ تُنْفِقُونَ وَلَسْتُمْ بِآخِذِیهِ إِلاَّ أَنْ تُغْمِضُوا فِیهِ‌</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 هذا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الرغم من أن هذا المطلب یتطابق مع شأن نزول هذه الآیة الشریفة، ولکن النقطة التی أشرنا إلیها سابقاً بأن شأن النزول لا یمکن أن تکون مخصِّصة،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الممکن أن یکون شأن نزول هذه الآیة متعلقاً بالزکاة ولکن الآیة فیها عموم، وبما أن شأن النزول عبارة عن الزکاة فإنه لا یمکن أن یکون مخصِّصاً، وهذا المطلب هو نفسه الذی یدور علی ألسنة أکابر من العلماء بأن شأن النزول لیس مخصصاً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الفرق بین هذه الروایة، والروایة التی ذکرها أهل السنة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روایة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لیست ذکراً لشأن النزول بل تفسیراً للآیة حیث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الزکاة المفروضة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سند هذه الروایة عندنا معتبرة، لقلنا کذلک بأن الآیة متعلقة بالزکاة، ولکن سندها غیر معتبر بالإضافة إلی أنها لم تذکر فی کتبنا الروائیة، لذا لا یمکن التمسک بها</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عدم وجود الروایة فی کتبنا الروائیة لا تضرّ باعتبار الروایة، حیث توجد روایات لم تذکر فی کتبنا کالحدیث المعروف علی الید ما أخذت حتی تؤدیه</w:t>
      </w:r>
      <w:bookmarkStart w:id="340" w:name="pg5472_36582"/>
    </w:p>
    <w:p>
      <w:pPr>
        <w:pStyle w:val="BookText"/>
        <w:rPr/>
      </w:pPr>
      <w:bookmarkEnd w:id="340"/>
      <w:r>
        <w:rPr>
          <w:rFonts w:ascii="IRNazanin" w:hAnsi="IRNazanin" w:eastAsia="IRNazanin"/>
          <w:color w:val="111111"/>
          <w:sz w:val="28"/>
          <w:sz w:val="28"/>
          <w:szCs w:val="28"/>
          <w:rtl w:val="true"/>
          <w:lang w:bidi="fa-IR"/>
        </w:rPr>
        <w:t xml:space="preserve">حیث لم یذکره إلاّ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اللآلی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بما أن مشهور الفقهاء العمل طبقها، فلذا حصل علی درجة الاعتبار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ذلک فلیس لدینا دلیل واضح ومعتبر علی أن المراد من الإنفاق فی هذه الآیة خصوص الزکاة الواجبة، وفی الآیة نفسها لا قرینة علی اختصاصها بالزکاة من قوله تعالی ما کَسَبْتُمْ أو قوله تعالی مِمَّا أَخْرَجْنا لَکُمْ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بالإضافة إلی ذلک، ربما یستفاد العموم من قوله تعالی فی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کَسَبْتُمْ و مِمَّا أَخْرَجْنا لَکُمْ الذی یشمل الخمس، وإن مدّعانا النهائی هو ذلک أیضاً</w:t>
      </w:r>
      <w:r>
        <w:rPr>
          <w:rFonts w:eastAsia="Amiri" w:cs="Amiri" w:ascii="Amiri" w:hAnsi="Amiri"/>
          <w:color w:val="111111"/>
          <w:sz w:val="28"/>
          <w:szCs w:val="28"/>
          <w:rtl w:val="true"/>
          <w:lang w:bidi="ar-SA"/>
        </w:rPr>
        <w:t>.</w:t>
      </w:r>
    </w:p>
    <w:p>
      <w:pPr>
        <w:pStyle w:val="Heading5"/>
        <w:numPr>
          <w:ilvl w:val="4"/>
          <w:numId w:val="1"/>
        </w:numPr>
        <w:rPr/>
      </w:pPr>
      <w:bookmarkStart w:id="341" w:name="__RefHeading___Toc2158588_581953129"/>
      <w:bookmarkStart w:id="342" w:name="_Toc128"/>
      <w:bookmarkEnd w:id="341"/>
      <w:r>
        <w:rPr>
          <w:rtl w:val="true"/>
        </w:rPr>
        <w:t>رأی الاسترآبادی</w:t>
      </w:r>
      <w:r>
        <w:rPr>
          <w:rtl w:val="true"/>
        </w:rPr>
        <w:t>:</w:t>
      </w:r>
      <w:bookmarkEnd w:id="342"/>
    </w:p>
    <w:p>
      <w:pPr>
        <w:pStyle w:val="BookText"/>
        <w:rPr/>
      </w:pPr>
      <w:r>
        <w:rPr>
          <w:rFonts w:ascii="IRNazanin" w:hAnsi="IRNazanin" w:eastAsia="IRNazanin"/>
          <w:color w:val="111111"/>
          <w:sz w:val="28"/>
          <w:sz w:val="28"/>
          <w:szCs w:val="28"/>
          <w:rtl w:val="true"/>
          <w:lang w:bidi="fa-IR"/>
        </w:rPr>
        <w:t xml:space="preserve">لقد ذکر الاستر آبادی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الخمس فی هذه الآیة کأحد الاحتمالات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کَسَبْتُمْ إشارة إلی غیر المخرج من الأرض مما یتعلق به الزکاة، کالنقدین والمواشی من الغنم والبقر والإبل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وعندما یصل إلی قوله تعالی مِمَّا أَخْرَجْنا لَکُمْ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وما أخرجنا لکم من الحب والتمر والمعادن وغیرها</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وباعتبار قوله تعالی مِمَّا أَخْرَجْنا لَکُمْ یشمل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الحب والثمر والمعادن وغیرها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یشمل معنی الزکاة والخمس أیضاً</w:t>
      </w:r>
      <w:r>
        <w:rPr>
          <w:rFonts w:eastAsia="Amiri" w:cs="Amiri" w:ascii="Amiri" w:hAnsi="Amiri"/>
          <w:color w:val="111111"/>
          <w:sz w:val="28"/>
          <w:szCs w:val="28"/>
          <w:rtl w:val="true"/>
          <w:lang w:bidi="ar-SA"/>
        </w:rPr>
        <w:t>.</w:t>
      </w:r>
    </w:p>
    <w:p>
      <w:pPr>
        <w:pStyle w:val="Heading5"/>
        <w:numPr>
          <w:ilvl w:val="4"/>
          <w:numId w:val="1"/>
        </w:numPr>
        <w:rPr/>
      </w:pPr>
      <w:bookmarkStart w:id="343" w:name="__RefHeading___Toc2158590_581953129"/>
      <w:bookmarkStart w:id="344" w:name="_Toc129"/>
      <w:bookmarkEnd w:id="343"/>
      <w:r>
        <w:rPr>
          <w:rtl w:val="true"/>
        </w:rPr>
        <w:t>دراسة إحدی النظریات</w:t>
      </w:r>
      <w:r>
        <w:rPr>
          <w:rtl w:val="true"/>
        </w:rPr>
        <w:t>:</w:t>
      </w:r>
      <w:bookmarkEnd w:id="344"/>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حصر البعض قوله تعالی وَمِمَّا أَخْرَجْنا لَکُمْ مِنَ الأَرْضِ بالغلات الأربع، ولا یُعلَم من أین أتوا بهذا الحصر؟ وذکروا بأن قوله تعالی ما کَسَبْتُمْ متعلق بالذهب والفضة والأنعام، وقوله تعالی وَمِمَّا أَخْرَجْنا لَکُمْ مِنَ الأَرْضِ متعلق</w:t>
      </w:r>
    </w:p>
    <w:p>
      <w:pPr>
        <w:pStyle w:val="BookText"/>
        <w:rPr/>
      </w:pPr>
      <w:r>
        <w:rPr>
          <w:rFonts w:ascii="Amiri" w:hAnsi="Amiri" w:eastAsia="Amiri" w:cs="Amiri"/>
          <w:color w:val="111111"/>
          <w:sz w:val="28"/>
          <w:sz w:val="28"/>
          <w:szCs w:val="28"/>
          <w:rtl w:val="true"/>
          <w:lang w:bidi="ar-SA"/>
        </w:rPr>
        <w:t>بالغلات الأربع، فی حین إن قوله تعالی وَمِمَّا أَخْرَجْنا لَکُمْ مِنَ الأَرْضِ أعم من الغلات الأربع وتشمل الثمار والمعادن والرکاز وکل ما یخرج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شمل قوله تعالی وَمِمَّا أَخْرَجْنا لَکُمْ مِنَ الأَرْضِ الغلات الأربع فحسب، 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کَسَبْتُمْ للذهب والفضة والأنعام فحسب، فإن الآیة عندها تکون محصورة بالزکاة فحسب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ولکن مع قرینة قوله تعالی وَمِمَّا أَخْرَجْنا لَکُمْ مِنَ الأَرْضِ فإن المراد من قوله تعالی ما کَسَبْتُمْ یکون بمعنی ومدلول غیر المخرج من الأرض، ویصبح المراد منه ما حصلتم بأیدیکم، ویستفاد من هذه القرینة المقابلة بأن الآیة الشریفة فی مقام ذکره تعالی لقسمین من الطیبات یتم الإنفاق منهما، 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المخرج من الأرض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مما أخرجنا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هذه الحالة لا یختص غیر المخرج من الأرض بالذهب والفضة والأنعام، بل یشمل موارد أخری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وبالاستناد إلی القرائن التی ذکرت فی الآیة الشریفة فإنها فی مقام الوجوب، وقوله تعالی ما کَسَبْتُمْ لها مصادیق منها مصادیق الزکاة الواجبة مثل الذهب والفضة والمواشی، وکما أنها تشمل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کَسَبْتُمْ الذی یأتی فی باب الخمس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أَخْرَجْنا لَکُمْ مِنَ الأَرْضِ له مصادیق کثیرة کذلک، بحیث یشمل مصادیق الزکاة الواجبة مثل الغلات الأربعة وکذلک مصادیق الخمس مثل المعادن والرکاز</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أهل السنة أنفسهم فی تفاسیرهم لقوله تعالی وَمِمَّا أَخْرَجْنا لَکُمْ مِنَ الأَرْضِ ذکروا مسألة المعادن أیضاً</w:t>
      </w:r>
      <w:r>
        <w:rPr>
          <w:rFonts w:eastAsia="Amiri" w:cs="Amiri" w:ascii="Amiri" w:hAnsi="Amiri"/>
          <w:color w:val="111111"/>
          <w:sz w:val="28"/>
          <w:szCs w:val="28"/>
          <w:rtl w:val="true"/>
          <w:lang w:bidi="ar-SA"/>
        </w:rPr>
        <w:t>.</w:t>
      </w:r>
      <w:bookmarkStart w:id="345" w:name="pg5472_36586"/>
    </w:p>
    <w:p>
      <w:pPr>
        <w:pStyle w:val="Heading5"/>
        <w:numPr>
          <w:ilvl w:val="4"/>
          <w:numId w:val="1"/>
        </w:numPr>
        <w:rPr/>
      </w:pPr>
      <w:bookmarkStart w:id="346" w:name="__RefHeading___Toc2158592_581953129"/>
      <w:bookmarkStart w:id="347" w:name="_Toc130"/>
      <w:bookmarkEnd w:id="345"/>
      <w:bookmarkEnd w:id="346"/>
      <w:r>
        <w:rPr>
          <w:rtl w:val="true"/>
        </w:rPr>
        <w:t>رأی القرطبی</w:t>
      </w:r>
      <w:r>
        <w:rPr>
          <w:rtl w:val="true"/>
        </w:rPr>
        <w:t>:</w:t>
      </w:r>
      <w:bookmarkEnd w:id="347"/>
    </w:p>
    <w:p>
      <w:pPr>
        <w:pStyle w:val="BookText"/>
        <w:rPr/>
      </w:pPr>
      <w:r>
        <w:rPr>
          <w:rFonts w:ascii="Amiri" w:hAnsi="Amiri" w:eastAsia="Amiri" w:cs="Amiri"/>
          <w:color w:val="111111"/>
          <w:sz w:val="28"/>
          <w:sz w:val="28"/>
          <w:szCs w:val="28"/>
          <w:rtl w:val="true"/>
          <w:lang w:bidi="ar-SA"/>
        </w:rPr>
        <w:t>حیث اختار القرطبی فی تفسیره هذا المعنی العام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تعالی وَمِمَّا أَخْرَجْنا لَکُمْ مِنَ الأَرْضِ یعنی النبات والمعادن والرکاز</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ذکر القرطبی روایات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الرکاز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نقل السنة أنفسهم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الرکاز خمس، وقد ذکر بعضهم أن فی المعادن زکاة، وذکر بعضهم الآخر أن فی المعادن کذلک الخمس</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علی رأی القرطبی، فإن هذه الآیة الشریفة تدل علی نحو الإجمال، بأنه یوجد فی قوله تعالی ما کَسَبْتُمْ وقوله تعالی وَمِمَّا أَخْرَجْنا لَکُمْ مِنَ الأَرْضِ موضوع حق واجب زکاتی وحق واجب خمسی کذلک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آیتا الخمس الثالثة والرابعة</w:t>
      </w:r>
    </w:p>
    <w:p>
      <w:pPr>
        <w:pStyle w:val="BookText"/>
        <w:rPr/>
      </w:pPr>
      <w:r>
        <w:rPr>
          <w:rFonts w:ascii="Amiri" w:hAnsi="Amiri" w:eastAsia="Amiri" w:cs="Amiri"/>
          <w:color w:val="111111"/>
          <w:sz w:val="28"/>
          <w:sz w:val="28"/>
          <w:szCs w:val="28"/>
          <w:rtl w:val="true"/>
          <w:lang w:bidi="ar-SA"/>
        </w:rPr>
        <w:t>وَما أَفاءَ اللهُ عَلی رَسُولِهِ مِنْهُمْ فَما أَوْجَفْتُمْ عَلَیْهِ مِنْ خَیْلٍ وَلا رِکابٍ وَلکِنَّ اللهَ یُسَلِّطُ رُسُلَهُ عَلی مَنْ یَشاءُ وَاللهُ عَلی کُلِّ شَیْ‌ءٍ قَدِیرٌ</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أَفاءَ اللهُ عَلی رَسُولِهِ مِنْ أَهْلِ الْقُری فَللهِ وَلِلرَّسُولِ وَلِذِی الْقُرْبی وَالْیَتامی وَالْمَساکِینِ وَابْنِ السَّبِیلِ کَیْ لا یَکُونَ دُولَةً بَیْنَ الأَغْنِیاءِ مِنْکُمْ وَما آتاکُمُ الرَّسُولُ فَخُذُوهُ وَما نَهاکُمْ عَنْهُ فَانْتَهُوا وَاتَّقُوا اللهَ إِنَّ اللهَ شَدِیدُ الْعِقابِ</w:t>
      </w:r>
      <w:bookmarkStart w:id="348" w:name="pg5472_36594"/>
    </w:p>
    <w:p>
      <w:pPr>
        <w:pStyle w:val="Heading2"/>
        <w:numPr>
          <w:ilvl w:val="1"/>
          <w:numId w:val="1"/>
        </w:numPr>
        <w:rPr/>
      </w:pPr>
      <w:bookmarkStart w:id="349" w:name="__RefHeading___Toc2158594_581953129"/>
      <w:bookmarkStart w:id="350" w:name="_Toc131"/>
      <w:bookmarkEnd w:id="348"/>
      <w:bookmarkEnd w:id="349"/>
      <w:r>
        <w:rPr>
          <w:rtl w:val="true"/>
        </w:rPr>
        <w:t>آیتا الخمس الثالثة والرابعة</w:t>
      </w:r>
      <w:bookmarkEnd w:id="350"/>
    </w:p>
    <w:p>
      <w:pPr>
        <w:pStyle w:val="Heading3"/>
        <w:numPr>
          <w:ilvl w:val="2"/>
          <w:numId w:val="1"/>
        </w:numPr>
        <w:rPr/>
      </w:pPr>
      <w:bookmarkStart w:id="351" w:name="__RefHeading___Toc2158596_581953129"/>
      <w:bookmarkStart w:id="352" w:name="_Toc132"/>
      <w:bookmarkEnd w:id="351"/>
      <w:r>
        <w:rPr>
          <w:rtl w:val="true"/>
        </w:rPr>
        <w:t>اشارة</w:t>
      </w:r>
      <w:bookmarkEnd w:id="352"/>
    </w:p>
    <w:p>
      <w:pPr>
        <w:pStyle w:val="BookText"/>
        <w:rPr/>
      </w:pPr>
      <w:r>
        <w:rPr>
          <w:rFonts w:ascii="IRNazanin" w:hAnsi="IRNazanin" w:eastAsia="IRNazanin"/>
          <w:color w:val="111111"/>
          <w:sz w:val="28"/>
          <w:sz w:val="28"/>
          <w:szCs w:val="28"/>
          <w:rtl w:val="true"/>
          <w:lang w:bidi="fa-IR"/>
        </w:rPr>
        <w:t>من الآیات التی ینبغی الاهتمام بها فی البحث حول آیات الخمس، آیتان من سورة الحشر، وهما من حیث الألفاظ شبیهتان ببعضهما ویمکن ملاحظة اختلاف قلیل بینهما، ولکنهما متحدتان من حیث الموضوع تقریباً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أَفاءَ اللهُ عَلی رَسُولِهِ مِنْهُمْ فَما أَوْجَفْتُمْ عَلَیْهِ مِنْ خَیْلٍ وَلا رِکابٍ وَلکِنَّ اللهَ یُسَلِّطُ رُسُلَهُ عَلی مَنْ یَشاءُ وَاللهُ عَلی کُلِّ شَیْ‌ءٍ قَدِیرٌ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3" w:name="__RefHeading___Toc2158598_581953129"/>
      <w:bookmarkStart w:id="354" w:name="_Toc133"/>
      <w:bookmarkEnd w:id="353"/>
      <w:r>
        <w:rPr>
          <w:rtl w:val="true"/>
        </w:rPr>
        <w:t xml:space="preserve">- </w:t>
      </w:r>
      <w:r>
        <w:rPr>
          <w:rtl w:val="true"/>
        </w:rPr>
        <w:t>دراسة ألفاظ الآیة الشریفة</w:t>
      </w:r>
      <w:r>
        <w:rPr>
          <w:rtl w:val="true"/>
        </w:rPr>
        <w:t>:</w:t>
      </w:r>
      <w:bookmarkEnd w:id="354"/>
    </w:p>
    <w:p>
      <w:pPr>
        <w:pStyle w:val="BookText"/>
        <w:rPr/>
      </w:pPr>
      <w:r>
        <w:rPr>
          <w:rFonts w:ascii="IRNazanin" w:hAnsi="IRNazanin" w:eastAsia="IRNazanin"/>
          <w:color w:val="111111"/>
          <w:sz w:val="28"/>
          <w:sz w:val="28"/>
          <w:szCs w:val="28"/>
          <w:rtl w:val="true"/>
          <w:lang w:bidi="fa-IR"/>
        </w:rPr>
        <w:t>الفیء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تعنی الرجوع والعودة لغویاً</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ویوجد شعر معروف منسوب إلی بنت سیبویه حیث دخل أشخاص إلی دهلیز باب سیبویه وسألوا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سیبویه؟ فأجابت ابنته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فاء إلی الفیفاء إذا فاء الفیء 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إنه ذهب إلی الصحراء وعندما یعود الظل فإنه سوف یرجع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ویطلق الفیء علی الظل الشاخص بعد الزوال والمتطاول نحو المشرق کذلک، لأن ظل الشاخص قبل الزوال متجهاً نحو المغرب وبعد الزوال یتجه نحو المشرق، هی العودة لذلک الظل السابق ویطلقون علی الظل الثانی اسم الفیء</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والإفاءة بمعنی الإرجاع وقوله تعالی ما أفاء الله أی ما أرجع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أوجفتم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ما أَوْجَفْتُمْ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سرعة السیر، ووجفت الخیل وجفاً أو وجفت الإبل وجفاً بمعنی إسراع الخیل والإبل</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فی الآیة الشریفة قوله تعالی وَما أَفاءَ اللهُ عَلی رَسُولِهِ مِنْهُمْ أی وما أرجعه الله عز وجل منهم علی رسوله، فإن کثیراً من المفسرین أعادوا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قوم بنی النضیر الذین کانوا یعیشون قریب المدینة حیث توجه المسلمون إلیهم، بدون الحاجة إلی الخیل والإبل وفتحوا منطقتهم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فتذکر الآیة الشریفة بالنسبة إلی الأموال التی أعادها الله عز وجل لرسوله من یهود بنی النضیر والتی لم یوجفوا علیها بخیل ولا رکاب، بأن هذه الأموال التی لم تبذلوا فیها جهداً أو مشقة للحصول علیها، یسلط الله فیها رسله علی من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 صحابة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وقعة بنی النضیر طالبوه بالأموال، فأراد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یقسمها کما فی سائر الغزوات بین المجاهدین، حیث أراد أن یقسم ما غنمه من بنی النضیر بینهم، عندها نزلت هذه الآیة الشریفة التی خصت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بتلک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ویطلق الفیء فی الفقه علی الأموال التی أخذت من العدو بدون قتال وسفک دماء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إشکال</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النقطة التی توجد فی هذا المقام، بما أن بنی النضیر کانوا یعیشون قریب المدینة ولم یتوجه المجاهدون إلیهم بخیل ولا رکاب، ولکنهم قاتلوهم یوماً، حیث</w:t>
      </w:r>
    </w:p>
    <w:p>
      <w:pPr>
        <w:pStyle w:val="BookText"/>
        <w:rPr/>
      </w:pPr>
      <w:r>
        <w:rPr>
          <w:rFonts w:ascii="Amiri" w:hAnsi="Amiri" w:eastAsia="Amiri" w:cs="Amiri"/>
          <w:color w:val="111111"/>
          <w:sz w:val="28"/>
          <w:sz w:val="28"/>
          <w:szCs w:val="28"/>
          <w:rtl w:val="true"/>
          <w:lang w:bidi="ar-SA"/>
        </w:rPr>
        <w:t>حاصروهم، وبعد الحصار تمت المصالحة علی جزء من أموالهم، ولکن لماذا تقول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أَوْجَفْتُمْ عَلَیْهِ مِنْ خَیْلٍ وَلا رِکابٍ؟</w:t>
      </w:r>
    </w:p>
    <w:p>
      <w:pPr>
        <w:pStyle w:val="BookText"/>
        <w:rPr/>
      </w:pPr>
      <w:r>
        <w:rPr>
          <w:rFonts w:ascii="IRNazanin" w:hAnsi="IRNazanin" w:eastAsia="IRNazanin"/>
          <w:color w:val="111111"/>
          <w:sz w:val="28"/>
          <w:sz w:val="28"/>
          <w:szCs w:val="28"/>
          <w:rtl w:val="true"/>
          <w:lang w:bidi="fa-IR"/>
        </w:rPr>
        <w:t xml:space="preserve">علی هذا الأساس، فإن بعض المفسرین یعتقدون بأن الآیة الشریفة، وضمیر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متعلقة بقضیة بنی النضیر بل متعلقة بقضیة فدک لأنه تم جعل فدک تحت تصرف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استعمال خیل ولا رکاب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 یوجد مجال فیما ذکر سابقاً، إذا لم تکن الآیة الشریفة الثانیة متعلقة بهذه الآیة فی حین نلاحظ أن جمیع أهل السنة قد جعلوا الآیة الثانیة تفسیریة للآیة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التوجیه الذی یمکن ذکره فی العلاقة بین هذه الآیة وقصة بنی النضیر أن نقول بأن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یعود إلی بنی النضیر، ولکن ما یقال هنا بأنه لم تقع مواجهة فی قصة بنی النضیر ولم یتم القیام بأعمال صعبة بل تمت محاصرتهم ولجؤوا إلی الصلح بدون تأخیر، فإن هذه السهولة بحکم عدم القتال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أَفاءَ اللهُ عَلی رَسُولِهِ مِنْ أَهْلِ الْقُری فَللهِ وَلِلرَّسُولِ وَلِذِی الْقُرْبی وَالْیَتامی وَالْمَساکِینِ وَابْنِ السَّبِیلِ کَیْ لا یَکُونَ دُولَةً بَیْنَ الأَغْنِیاءِ مِنْکُمْ وَما آتاکُمُ الرَّسُولُ فَخُذُوهُ وَما نَهاکُمْ عَنْهُ فَانْتَهُوا وَاتَّقُوا اللهَ إِنَّ اللهَ شَدِیدُ الْعِقابِ‌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الآیة الثانیة لا توجد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صدرها، حیث یقول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أَفاءَ اللهُ عَلی رَسُولِهِ مِنْ أَهْلِ الْقُری، حیث رأینا أن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السابقة تعود إلی بنی النضیر، أما فی هذه الآیة فإن الله عز وجل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الْقُری وفیها عموم وتشمل بنی النضیر وغیرهم</w:t>
      </w:r>
      <w:r>
        <w:rPr>
          <w:rFonts w:eastAsia="IRNazanin" w:cs="IRNazanin"/>
          <w:color w:val="111111"/>
          <w:sz w:val="28"/>
          <w:szCs w:val="28"/>
          <w:rtl w:val="true"/>
          <w:lang w:bidi="fa-IR"/>
        </w:rPr>
        <w:t>.</w:t>
      </w:r>
      <w:bookmarkStart w:id="355" w:name="pg5472_36600"/>
    </w:p>
    <w:p>
      <w:pPr>
        <w:pStyle w:val="BookText"/>
        <w:rPr/>
      </w:pPr>
      <w:bookmarkEnd w:id="355"/>
      <w:r>
        <w:rPr>
          <w:rFonts w:ascii="IRNazanin" w:hAnsi="IRNazanin" w:eastAsia="IRNazanin"/>
          <w:color w:val="111111"/>
          <w:sz w:val="28"/>
          <w:sz w:val="28"/>
          <w:szCs w:val="28"/>
          <w:rtl w:val="true"/>
          <w:lang w:bidi="fa-IR"/>
        </w:rPr>
        <w:t xml:space="preserve">بالإضافة إلی ذلک توجد فی هذه الآیة نفس تلک التعابیر التی وردت فی آیة الغنیمة وکما ذکرت فی تلک الآیة ستّ طوائف ودخلت علی الثلاثة الأولی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تدخل علی الثلاث الأخری، فقد تکرر ذلک فی هذه الآیة کذلک</w:t>
      </w:r>
      <w:r>
        <w:rPr>
          <w:rFonts w:eastAsia="IRNazanin" w:cs="IRNazanin"/>
          <w:color w:val="111111"/>
          <w:sz w:val="28"/>
          <w:szCs w:val="28"/>
          <w:rtl w:val="true"/>
          <w:lang w:bidi="fa-IR"/>
        </w:rPr>
        <w:t>.</w:t>
      </w:r>
    </w:p>
    <w:p>
      <w:pPr>
        <w:pStyle w:val="Heading3"/>
        <w:numPr>
          <w:ilvl w:val="2"/>
          <w:numId w:val="1"/>
        </w:numPr>
        <w:rPr/>
      </w:pPr>
      <w:bookmarkStart w:id="356" w:name="__RefHeading___Toc2158600_581953129"/>
      <w:bookmarkStart w:id="357" w:name="_Toc134"/>
      <w:bookmarkEnd w:id="356"/>
      <w:r>
        <w:rPr>
          <w:rtl w:val="true"/>
        </w:rPr>
        <w:t>کیفیة العلاقة بین الآیة الأولی والآیة الثانیة</w:t>
      </w:r>
      <w:bookmarkEnd w:id="357"/>
    </w:p>
    <w:p>
      <w:pPr>
        <w:pStyle w:val="Heading3"/>
        <w:numPr>
          <w:ilvl w:val="2"/>
          <w:numId w:val="1"/>
        </w:numPr>
        <w:rPr/>
      </w:pPr>
      <w:bookmarkStart w:id="358" w:name="__RefHeading___Toc2158602_581953129"/>
      <w:bookmarkStart w:id="359" w:name="_Toc135"/>
      <w:bookmarkEnd w:id="358"/>
      <w:r>
        <w:rPr>
          <w:rtl w:val="true"/>
        </w:rPr>
        <w:t>هل الآیة الثانیة مفسرة للأولی ؟</w:t>
      </w:r>
      <w:bookmarkEnd w:id="359"/>
    </w:p>
    <w:p>
      <w:pPr>
        <w:pStyle w:val="Heading4"/>
        <w:numPr>
          <w:ilvl w:val="3"/>
          <w:numId w:val="1"/>
        </w:numPr>
        <w:rPr/>
      </w:pPr>
      <w:bookmarkStart w:id="360" w:name="__RefHeading___Toc2158604_581953129"/>
      <w:bookmarkStart w:id="361" w:name="_Toc136"/>
      <w:bookmarkEnd w:id="360"/>
      <w:r>
        <w:rPr>
          <w:rtl w:val="true"/>
        </w:rPr>
        <w:t>اشارة</w:t>
      </w:r>
      <w:bookmarkEnd w:id="361"/>
    </w:p>
    <w:p>
      <w:pPr>
        <w:pStyle w:val="BookText"/>
        <w:rPr/>
      </w:pPr>
      <w:r>
        <w:rPr>
          <w:rFonts w:ascii="IRNazanin" w:hAnsi="IRNazanin" w:eastAsia="IRNazanin"/>
          <w:color w:val="111111"/>
          <w:sz w:val="28"/>
          <w:sz w:val="28"/>
          <w:szCs w:val="28"/>
          <w:rtl w:val="true"/>
          <w:lang w:bidi="fa-IR"/>
        </w:rPr>
        <w:t>یعتقد الکثیر من مفسری أهل السنة وعلماء العامة أن الآیة الثانیة تذکر مصادیق ومستحقی الآیة الأولی</w:t>
      </w:r>
      <w:r>
        <w:rPr>
          <w:rFonts w:eastAsia="IRNazanin" w:cs="IRNazanin"/>
          <w:color w:val="111111"/>
          <w:sz w:val="28"/>
          <w:szCs w:val="28"/>
          <w:rtl w:val="true"/>
          <w:lang w:bidi="fa-IR"/>
        </w:rPr>
        <w:t>.</w:t>
      </w:r>
    </w:p>
    <w:p>
      <w:pPr>
        <w:pStyle w:val="Heading4"/>
        <w:numPr>
          <w:ilvl w:val="3"/>
          <w:numId w:val="1"/>
        </w:numPr>
        <w:rPr/>
      </w:pPr>
      <w:bookmarkStart w:id="362" w:name="__RefHeading___Toc2158606_581953129"/>
      <w:bookmarkStart w:id="363" w:name="_Toc137"/>
      <w:bookmarkEnd w:id="362"/>
      <w:r>
        <w:rPr>
          <w:rtl w:val="true"/>
        </w:rPr>
        <w:t>کلام الزمخشری</w:t>
      </w:r>
      <w:r>
        <w:rPr>
          <w:rtl w:val="true"/>
        </w:rPr>
        <w:t>:</w:t>
      </w:r>
      <w:bookmarkEnd w:id="363"/>
    </w:p>
    <w:p>
      <w:pPr>
        <w:pStyle w:val="BookText"/>
        <w:rPr/>
      </w:pPr>
      <w:r>
        <w:rPr>
          <w:rFonts w:ascii="IRNazanin" w:hAnsi="IRNazanin" w:eastAsia="IRNazanin"/>
          <w:color w:val="111111"/>
          <w:sz w:val="28"/>
          <w:sz w:val="28"/>
          <w:szCs w:val="28"/>
          <w:rtl w:val="true"/>
          <w:lang w:bidi="fa-IR"/>
        </w:rPr>
        <w:t>ذکر الزمخشری بأن سبب عدم ذکر الواو العاطفة فی الآیة الثانیة، أنه أراد أن یقول إن هذه الآیة مرتبطة بالآیة السابقة، لأنه إن کانت الواو مذکورة فیها، فمن الممکن أن یظن البعض أن هذه الواو استئنافیة، لذلک لم یأت بالواو فیها حتی یعلم أن هذه الآیة متعلقة بالآیة التی سبقتها، ووجه الارتباط أنه فی الآیة السابقة لم یُذکر مستحقوا الفیء وفی هذه الآیة ذُکر مستحقوهم</w:t>
      </w:r>
      <w:r>
        <w:rPr>
          <w:rFonts w:eastAsia="IRNazanin" w:cs="IRNazanin"/>
          <w:color w:val="111111"/>
          <w:sz w:val="28"/>
          <w:szCs w:val="28"/>
          <w:rtl w:val="true"/>
          <w:lang w:bidi="fa-IR"/>
        </w:rPr>
        <w:t>.</w:t>
      </w:r>
      <w:r>
        <w:rPr>
          <w:rStyle w:val="FootnoteAnchor"/>
          <w:rtl w:val="true"/>
        </w:rPr>
        <w:footnoteReference w:id="190"/>
      </w:r>
    </w:p>
    <w:p>
      <w:pPr>
        <w:pStyle w:val="Heading4"/>
        <w:numPr>
          <w:ilvl w:val="3"/>
          <w:numId w:val="1"/>
        </w:numPr>
        <w:rPr/>
      </w:pPr>
      <w:bookmarkStart w:id="364" w:name="__RefHeading___Toc2158608_581953129"/>
      <w:bookmarkStart w:id="365" w:name="_Toc138"/>
      <w:bookmarkEnd w:id="364"/>
      <w:r>
        <w:rPr>
          <w:rtl w:val="true"/>
        </w:rPr>
        <w:t>کلام العلاّمة الطباطبائی</w:t>
      </w:r>
      <w:r>
        <w:rPr>
          <w:rtl w:val="true"/>
        </w:rPr>
        <w:t>:</w:t>
      </w:r>
      <w:bookmarkEnd w:id="365"/>
    </w:p>
    <w:p>
      <w:pPr>
        <w:pStyle w:val="Heading5"/>
        <w:numPr>
          <w:ilvl w:val="4"/>
          <w:numId w:val="1"/>
        </w:numPr>
        <w:rPr/>
      </w:pPr>
      <w:bookmarkStart w:id="366" w:name="__RefHeading___Toc2158610_581953129"/>
      <w:bookmarkStart w:id="367" w:name="_Toc139"/>
      <w:bookmarkEnd w:id="366"/>
      <w:r>
        <w:rPr>
          <w:rtl w:val="true"/>
        </w:rPr>
        <w:t>اشارة</w:t>
      </w:r>
      <w:bookmarkEnd w:id="367"/>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ذکر من مفسِّری الإمامیة نفس هذا البیان کذلک، العلاّمة الطباطبائی، یذکر بعد ذکر الآیة الثانیة ما 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ظاهره أنه بیان لموارد مصرف الفیء المذکور فی الآیة السابقة مع تعمیم الفیء لفیء أهل القری، ویذکر حول الآیة الأولی ما یلی</w:t>
      </w:r>
      <w:r>
        <w:rPr>
          <w:rFonts w:eastAsia="IRNazanin" w:cs="IRNazanin"/>
          <w:color w:val="111111"/>
          <w:sz w:val="28"/>
          <w:szCs w:val="28"/>
          <w:rtl w:val="true"/>
          <w:lang w:bidi="fa-IR"/>
        </w:rPr>
        <w:t>:</w:t>
      </w:r>
      <w:bookmarkStart w:id="368" w:name="pg5472_36602"/>
    </w:p>
    <w:p>
      <w:pPr>
        <w:pStyle w:val="BookText"/>
        <w:rPr/>
      </w:pPr>
      <w:bookmarkEnd w:id="368"/>
      <w:r>
        <w:rPr>
          <w:rFonts w:ascii="IRNazanin" w:hAnsi="IRNazanin" w:eastAsia="IRNazanin"/>
          <w:color w:val="111111"/>
          <w:sz w:val="28"/>
          <w:sz w:val="28"/>
          <w:szCs w:val="28"/>
          <w:rtl w:val="true"/>
          <w:lang w:bidi="fa-IR"/>
        </w:rPr>
        <w:t xml:space="preserve">فإن الفیء طبقاً للآیة الأولی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یتصرف فیه کیف یشاء وقد سلط النبی علی بنی النضیر حیث تقول الآیة وَلکِنَّ اللهَ یُسَلِّطُ رُسُلَهُ، فله فیئوهم یفعل فیه ما یشاء</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9" w:name="__RefHeading___Toc2158612_581953129"/>
      <w:bookmarkStart w:id="370" w:name="_Toc140"/>
      <w:bookmarkEnd w:id="369"/>
      <w:r>
        <w:rPr>
          <w:rtl w:val="true"/>
        </w:rPr>
        <w:t>الإشکال فی کلام العلاّمة الطباطبائی</w:t>
      </w:r>
      <w:r>
        <w:rPr>
          <w:rtl w:val="true"/>
        </w:rPr>
        <w:t>:</w:t>
      </w:r>
      <w:bookmarkEnd w:id="370"/>
    </w:p>
    <w:p>
      <w:pPr>
        <w:pStyle w:val="BookText"/>
        <w:rPr/>
      </w:pPr>
      <w:r>
        <w:rPr>
          <w:rFonts w:ascii="IRNazanin" w:hAnsi="IRNazanin" w:eastAsia="IRNazanin"/>
          <w:color w:val="111111"/>
          <w:sz w:val="28"/>
          <w:sz w:val="28"/>
          <w:szCs w:val="28"/>
          <w:rtl w:val="true"/>
          <w:lang w:bidi="fa-IR"/>
        </w:rPr>
        <w:t xml:space="preserve">إن قیل إن الآیة الأولی قد جعلت الفیء من مختصات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الآیة الثانیة فهی فی مقام بیان مصارف الفیء ومستحقیه، فإن لهذا الکلام تهافتاً وعدم انسجام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إن قلنا بأن الآیة الأولی لیست فی مقام بیان لمن یعود الفیء، بل فی مقام بیان إرجاع الفیء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وتسلّطه علیه، لأن الله عز وجل قد جعله بتصرفه، والآیة التی تلتها تذکر مصارف الفیء ومستحقیه، عندئذٍ لا یوجد ذلک التهافت وعدم الانسجام، وأکثر أهل السنة قالوا بذلک</w:t>
      </w:r>
      <w:r>
        <w:rPr>
          <w:rFonts w:eastAsia="IRNazanin" w:cs="IRNazanin"/>
          <w:color w:val="111111"/>
          <w:sz w:val="28"/>
          <w:szCs w:val="28"/>
          <w:rtl w:val="true"/>
          <w:lang w:bidi="fa-IR"/>
        </w:rPr>
        <w:t>.</w:t>
      </w:r>
    </w:p>
    <w:p>
      <w:pPr>
        <w:pStyle w:val="Heading4"/>
        <w:numPr>
          <w:ilvl w:val="3"/>
          <w:numId w:val="1"/>
        </w:numPr>
        <w:rPr/>
      </w:pPr>
      <w:bookmarkStart w:id="371" w:name="__RefHeading___Toc2158614_581953129"/>
      <w:bookmarkStart w:id="372" w:name="_Toc141"/>
      <w:bookmarkEnd w:id="371"/>
      <w:r>
        <w:rPr>
          <w:rtl w:val="true"/>
        </w:rPr>
        <w:t xml:space="preserve">کلام الوالد </w:t>
      </w:r>
      <w:r>
        <w:rPr>
          <w:rtl w:val="true"/>
        </w:rPr>
        <w:t>(</w:t>
      </w:r>
      <w:r>
        <w:rPr>
          <w:rtl w:val="true"/>
        </w:rPr>
        <w:t>رضوان الله تعالی علیه</w:t>
      </w:r>
      <w:r>
        <w:rPr>
          <w:rtl w:val="true"/>
        </w:rPr>
        <w:t>):</w:t>
      </w:r>
      <w:bookmarkEnd w:id="372"/>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ذکر والدنا المحقق الراحل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کلام العلامة ما 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عن التهافت والتناقض فإنه بعدما فرض اشتراک الآیتین فی ما أفاء الله علی رسوله وعدم الایجاف بخیل ولا رکاب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کلام العلاّمة أن موضوع الآیة السابعة هی نفس موضوع الآیة السادسة أی عدم الایجاف بخیل ولا رکاب، والعلاّمة کذلک یعتبر موضوع هاتین الآیتین فی غنائم القتال بدون خیل ولا رکاب</w:t>
      </w:r>
      <w:r>
        <w:rPr>
          <w:rFonts w:eastAsia="IRNazanin" w:cs="IRNazanin"/>
          <w:color w:val="111111"/>
          <w:sz w:val="28"/>
          <w:szCs w:val="28"/>
          <w:rtl w:val="true"/>
          <w:lang w:bidi="fa-IR"/>
        </w:rPr>
        <w:t>.</w:t>
      </w:r>
      <w:bookmarkStart w:id="373" w:name="pg5472_36605"/>
    </w:p>
    <w:p>
      <w:pPr>
        <w:pStyle w:val="BookText"/>
        <w:rPr/>
      </w:pPr>
      <w:bookmarkEnd w:id="3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ثم یذکر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المراد اختصاص الفیء بالرسول فی الآیة الأولی الواردة فی بنی النضیر یفعل به ما یشاء کما هو ظاهر صدر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فقط ظاهر العبارة بل صریح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فیئهم یفعل فیه ما یشاء فلا معنی لأن یقال أن مصرفه هی الموارد الستة المذکورة فی الآیة الثانیة واختصاص سهم الله تعالی به ینفق به فی سبیل الله وإن کان المراد أن المصرف فی کلا الفیئین هی الموارد الستة فلا مجال لدعوی اختصاص الأول بالرسول، فالظاهر أنه لم یتمکن من الجمع بین الآیتین</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 ومن ثم فإن والدنا الراحل قد ذکر فی هذا البحث مطالب مهمة جداً حول القرآن وتفسیره فی هذا البحث</w:t>
      </w:r>
      <w:r>
        <w:rPr>
          <w:rFonts w:eastAsia="IRNazanin" w:cs="IRNazanin"/>
          <w:color w:val="111111"/>
          <w:sz w:val="28"/>
          <w:szCs w:val="28"/>
          <w:rtl w:val="true"/>
          <w:lang w:bidi="fa-IR"/>
        </w:rPr>
        <w:t>.</w:t>
      </w:r>
    </w:p>
    <w:p>
      <w:pPr>
        <w:pStyle w:val="Heading4"/>
        <w:numPr>
          <w:ilvl w:val="3"/>
          <w:numId w:val="1"/>
        </w:numPr>
        <w:rPr/>
      </w:pPr>
      <w:bookmarkStart w:id="374" w:name="__RefHeading___Toc2158616_581953129"/>
      <w:bookmarkStart w:id="375" w:name="_Toc142"/>
      <w:bookmarkEnd w:id="374"/>
      <w:r>
        <w:rPr>
          <w:rtl w:val="true"/>
        </w:rPr>
        <w:t>کلام الشیخ الطوسی</w:t>
      </w:r>
      <w:r>
        <w:rPr>
          <w:rtl w:val="true"/>
        </w:rPr>
        <w:t>:</w:t>
      </w:r>
      <w:bookmarkEnd w:id="375"/>
    </w:p>
    <w:p>
      <w:pPr>
        <w:pStyle w:val="BookText"/>
        <w:rPr/>
      </w:pPr>
      <w:r>
        <w:rPr>
          <w:rFonts w:ascii="IRNazanin" w:hAnsi="IRNazanin" w:eastAsia="IRNazanin"/>
          <w:color w:val="111111"/>
          <w:sz w:val="28"/>
          <w:sz w:val="28"/>
          <w:szCs w:val="28"/>
          <w:rtl w:val="true"/>
          <w:lang w:bidi="fa-IR"/>
        </w:rPr>
        <w:t xml:space="preserve">للشیخ الطوسی کذلک فی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رأی العلاّمة رحمه الله فیذکر بأن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هاتین الآیتین مال واحد وهو الفیء، أما الآیة الأولی فتقول بأن الفیء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ومسلط علیه أما الآیة الثانیة فتقول بأن مصرف الفیء ومستحقیه تتمثل فی هذه الطوائف الثلاث</w:t>
      </w:r>
      <w:r>
        <w:rPr>
          <w:rFonts w:eastAsia="IRNazanin" w:cs="IRNazanin"/>
          <w:color w:val="111111"/>
          <w:sz w:val="28"/>
          <w:szCs w:val="28"/>
          <w:rtl w:val="true"/>
          <w:lang w:bidi="fa-IR"/>
        </w:rPr>
        <w:t>.</w:t>
      </w:r>
      <w:r>
        <w:rPr>
          <w:rStyle w:val="FootnoteAnchor"/>
          <w:rtl w:val="true"/>
        </w:rPr>
        <w:footnoteReference w:id="193"/>
      </w:r>
    </w:p>
    <w:p>
      <w:pPr>
        <w:pStyle w:val="Heading4"/>
        <w:numPr>
          <w:ilvl w:val="3"/>
          <w:numId w:val="1"/>
        </w:numPr>
        <w:rPr/>
      </w:pPr>
      <w:bookmarkStart w:id="376" w:name="__RefHeading___Toc2158618_581953129"/>
      <w:bookmarkStart w:id="377" w:name="_Toc143"/>
      <w:bookmarkEnd w:id="376"/>
      <w:r>
        <w:rPr>
          <w:rtl w:val="true"/>
        </w:rPr>
        <w:t>کلام المحقق الأردبیلی</w:t>
      </w:r>
      <w:r>
        <w:rPr>
          <w:rtl w:val="true"/>
        </w:rPr>
        <w:t>:</w:t>
      </w:r>
      <w:bookmarkEnd w:id="377"/>
    </w:p>
    <w:p>
      <w:pPr>
        <w:pStyle w:val="BookText"/>
        <w:rPr/>
      </w:pPr>
      <w:r>
        <w:rPr>
          <w:rFonts w:ascii="IRNazanin" w:hAnsi="IRNazanin" w:eastAsia="IRNazanin"/>
          <w:color w:val="111111"/>
          <w:sz w:val="28"/>
          <w:sz w:val="28"/>
          <w:szCs w:val="28"/>
          <w:rtl w:val="true"/>
          <w:lang w:bidi="fa-IR"/>
        </w:rPr>
        <w:t>لقد ذکر المحقق الأردبیلی فی هذا الصعید احتمالات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المراد من الآیة الثانیة مطلق الفیء، لأن کل ما له عنوان الفیء هو ملک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بعده للإمام وهو یتصرف فیه بما یراه صالحاً، بل المراد هو فیء خاص ذکر حکمه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إن الآیة الثانیة منسوخة بالآیة الأولی من سورة الأنفال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الفیء ملک لرسول الله وتقسیمه بین هذه الفئات الخمس أو الست تفضّل منه، ولا لزوم أو تعیُّنَ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عبارته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المشهور بین الفقهاء أن الفیء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وبعده للقائم مقامه یفعل به ما یشاء کما هو ظاهر الآیة الأولی، والآیة الثانیة تدل علی أنه یقسم کالخمس، فإما أن یجعل هذا غیر مطلق الفیء بلا فیئاً خاصاً کان حکمه هکذا، أو منسوخاً، أو یکون تفضلاً منه</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خلاصة الآراء حول ارتباط هاتین الآیتین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دراسة الاحتمالات الموجودة حول ارتباط هاتین الآیتین یتضح وجود ست نظریات 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لیست الآیة الأولی فی مقام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الفیء؟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تقول بإرجاع الفیء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فحسب، والآیة الشریفة الثانیة تبیّن مصارف الفیء ومستحقیه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الفیء فی الآیة الأولی من مختصات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والآیة الثانیة فی مقام بیان مصارف الفیء ومستحقیه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الفیء ملک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وتقسیمه بین هذه الفئات الخمس أو الست تفضّل منه، ولا من أن یکون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یعطی لله ولرسوله تفضلاً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الآیة الثانیة منسوخة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المراد فی الآیة الثانیة مطلق الفیء بل المراد فیء خاص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یوجد احتمال آخر وهو سوف یکون مختارنا</w:t>
      </w:r>
      <w:r>
        <w:rPr>
          <w:rFonts w:eastAsia="IRNazanin" w:cs="IRNazanin"/>
          <w:color w:val="111111"/>
          <w:sz w:val="28"/>
          <w:szCs w:val="28"/>
          <w:rtl w:val="true"/>
          <w:lang w:bidi="fa-IR"/>
        </w:rPr>
        <w:t>.</w:t>
      </w:r>
      <w:bookmarkStart w:id="378" w:name="pg5472_36609"/>
    </w:p>
    <w:p>
      <w:pPr>
        <w:pStyle w:val="BookText"/>
        <w:rPr/>
      </w:pPr>
      <w:bookmarkEnd w:id="378"/>
      <w:r>
        <w:rPr>
          <w:rFonts w:ascii="IRNazanin" w:hAnsi="IRNazanin" w:eastAsia="IRNazanin"/>
          <w:color w:val="111111"/>
          <w:sz w:val="28"/>
          <w:sz w:val="28"/>
          <w:szCs w:val="28"/>
          <w:rtl w:val="true"/>
          <w:lang w:bidi="fa-IR"/>
        </w:rPr>
        <w:t xml:space="preserve">إن الإیرادات التی فی هذه النظریات، تتمثل بأنه لم یذکر شیء فی هاتین الآیتین عن الإجمال والتفصیل أیضاً، بمعنی لو خُلِّینا والآیة الأولی، فإنها تذکر بأن الفیء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حق اتخاذ القرار حول مصرفه، بناء علی ذلک فإن الآیة الأولی لا یوجد فیها إجمال أصلاً حتی تکون الآیة الثانیة مفسرة ومفصلة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لم تکن الآیة الثانیة موجودة فإن الآیة الأولی دالة علی أن الفیء معناه عدم الایجاف بدون خیل ولا رکاب ولا قتال وتکون تحت تصرف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والعکس صحیح أیضاً، بمعنی أنه لو لم تکن الآیة الأولی موجودة فإن الآیة الثانیة فیها دلالة بشکل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ذکره الزمخشری فی الکشاف لیس بصحیح من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تدخل علی الآیة الثانیة، لأن الآیة الثانیة متعلقة بها، بل تدل علی عکس هذا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توصل شبهة الارتباط وشبهة العطف، وعدم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دلالة علی أن الآیة الشریفة الثانیة مستقلة موضوعاً وحکماً، لا أنها تفسیریة للآیة السابقة، لذا فإن عدم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قرینة علی استقلال الآیة</w:t>
      </w:r>
      <w:r>
        <w:rPr>
          <w:rFonts w:eastAsia="IRNazanin" w:cs="IRNazanin"/>
          <w:color w:val="111111"/>
          <w:sz w:val="28"/>
          <w:szCs w:val="28"/>
          <w:rtl w:val="true"/>
          <w:lang w:bidi="fa-IR"/>
        </w:rPr>
        <w:t>.</w:t>
      </w:r>
    </w:p>
    <w:p>
      <w:pPr>
        <w:pStyle w:val="Heading4"/>
        <w:numPr>
          <w:ilvl w:val="3"/>
          <w:numId w:val="1"/>
        </w:numPr>
        <w:rPr/>
      </w:pPr>
      <w:bookmarkStart w:id="379" w:name="__RefHeading___Toc2158620_581953129"/>
      <w:bookmarkStart w:id="380" w:name="_Toc144"/>
      <w:bookmarkEnd w:id="379"/>
      <w:r>
        <w:rPr>
          <w:rtl w:val="true"/>
        </w:rPr>
        <w:t>ما ذکره المحقق الخوئی</w:t>
      </w:r>
      <w:r>
        <w:rPr>
          <w:rtl w:val="true"/>
        </w:rPr>
        <w:t>:</w:t>
      </w:r>
      <w:bookmarkEnd w:id="380"/>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ذکر المحقق الخوئی رأیاً آخر یتمثل بأنه یمکن القول بقرینة المقابلة بین الآیتین باختلاف موضوع الآیة الثانیة عن موضوع الآیة الأولی، إذ موضوع الآیة الأولی هی تلک الأموال التی أوجفت من غیر خیل ولا رکاب، وإن قرینة المقابلة تقتضی القول بأن الآیة الثانیة أی الأموال التی تم تحصیلها بالخیل والرکاب والقتال والجهد، وتصبح النتیجة أن الآیة الأولی متعلقة بالفیء والأنفال والآیة الثانیة متعلقة بالغنائم</w:t>
      </w:r>
      <w:r>
        <w:rPr>
          <w:rFonts w:eastAsia="IRNazanin" w:cs="IRNazanin"/>
          <w:color w:val="111111"/>
          <w:sz w:val="28"/>
          <w:szCs w:val="28"/>
          <w:rtl w:val="true"/>
          <w:lang w:bidi="fa-IR"/>
        </w:rPr>
        <w:t>.</w:t>
      </w:r>
      <w:bookmarkStart w:id="381" w:name="pg5472_36611"/>
    </w:p>
    <w:p>
      <w:pPr>
        <w:pStyle w:val="BookText"/>
        <w:rPr/>
      </w:pPr>
      <w:bookmarkEnd w:id="381"/>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الآیة الثانیة تذکر أصل الموضوع فحسب، أی کل ما تم الحصول علیه بخیل ورکاب فیجب أن یعطی مقدار منه لهم، ولکن توضیحه وخصوصیاته ذکرت فی آیة الخمس الشریفة حیث یقول تعالی وَاعْلَمُوا أَنَّما غَنِمْتُمْ مِنْ شَیْ‌ءٍ فَأَنَّ للهِ خُمُسَهُ وَلِلرَّسُولِ وَلِذِی الْقُرْبی وَالْیَتامی وَالْمَساکِینِ وَابْنِ السَّبِیلِ‌</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رأیه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یرتکز علی أساس أن موضوع الآیة الثانیة الأموال التی تم الحصول علیها بالقتال، أما الأموال التی تم الحصول علیها بقتال فقد تکفلت آیة الغنیمة فی سورة الأنفال بذکر کیفیتها وخصوصیتها، بأنه یجب بإعطاء أربعة أخماسها للمجاهدین وخمس الآخر لله وللرسول ولذی القربی والیتامی والمساکین وابن السبیل</w:t>
      </w:r>
      <w:r>
        <w:rPr>
          <w:rFonts w:eastAsia="IRNazanin" w:cs="IRNazanin"/>
          <w:color w:val="111111"/>
          <w:sz w:val="28"/>
          <w:szCs w:val="28"/>
          <w:rtl w:val="true"/>
          <w:lang w:bidi="fa-IR"/>
        </w:rPr>
        <w:t>.</w:t>
      </w:r>
    </w:p>
    <w:p>
      <w:pPr>
        <w:pStyle w:val="Heading4"/>
        <w:numPr>
          <w:ilvl w:val="3"/>
          <w:numId w:val="1"/>
        </w:numPr>
        <w:rPr/>
      </w:pPr>
      <w:bookmarkStart w:id="382" w:name="__RefHeading___Toc2158622_581953129"/>
      <w:bookmarkStart w:id="383" w:name="_Toc145"/>
      <w:bookmarkEnd w:id="382"/>
      <w:r>
        <w:rPr>
          <w:rtl w:val="true"/>
        </w:rPr>
        <w:t>وإن شواهد السید الخوئی علی ذلک عبارة عن</w:t>
      </w:r>
      <w:r>
        <w:rPr>
          <w:rtl w:val="true"/>
        </w:rPr>
        <w:t>:</w:t>
      </w:r>
      <w:bookmarkEnd w:id="3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قرینة المقابلة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الاشتراک فی تعابیر الآیة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الأنفال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الغنیمة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الآیة الشریفة، لأن التعابیر التی وردت فی آیة الغنیمة تتشابه مع التعابیر الواردة بهذه الآیة، حیث دخلت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الآیة الشریفة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الأمر هنا، وهناک لم تدخل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الیتامی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الأمر هنا</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تغییر الضمیر حیث جاءت فی الآیة الأولی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الآیة الثانیة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القری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الآیة الأولی یرجع الضمیر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مرجع معین وهم قوم بنی النضیر، أما فی الآیة الثانیة فهو کلّی وعام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القری</w:t>
      </w:r>
      <w:r>
        <w:rPr>
          <w:rFonts w:eastAsia="IRNazanin" w:cs="IRNazanin"/>
          <w:color w:val="111111"/>
          <w:sz w:val="28"/>
          <w:szCs w:val="28"/>
          <w:rtl w:val="true"/>
          <w:lang w:bidi="fa-IR"/>
        </w:rPr>
        <w:t>).</w:t>
      </w:r>
      <w:bookmarkStart w:id="384" w:name="pg5472_36613"/>
    </w:p>
    <w:p>
      <w:pPr>
        <w:pStyle w:val="BookText"/>
        <w:rPr/>
      </w:pPr>
      <w:bookmarkEnd w:id="384"/>
      <w:r>
        <w:rPr>
          <w:rFonts w:ascii="IRNazanin" w:hAnsi="IRNazanin" w:eastAsia="IRNazanin"/>
          <w:color w:val="111111"/>
          <w:sz w:val="28"/>
          <w:sz w:val="28"/>
          <w:szCs w:val="28"/>
          <w:rtl w:val="true"/>
          <w:lang w:bidi="fa-IR"/>
        </w:rPr>
        <w:t>طبعاً، ذکر بعض المفسرین أنه بما أن القریة صغیرة فإن السیطرة علی القریة وعلی أموال المشرکین الذین کانوا فیها، کان سهلاً ولا یحتاج إلی خیل ولا رکاب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إن القریة فی الاصطلاح القرآنی واللغوی لیست بمعنی القریة الصغیرة بل یشمل المدینة والعمران الکبیر، حیث عبّر عن مکة بأم القری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هذا فلیس یصحّ القول بما أنه ذکرت لفظة القریة وباعتبارها صغیرة یمکن السیطرة علیها بدون قتال</w:t>
      </w:r>
      <w:r>
        <w:rPr>
          <w:rFonts w:eastAsia="IRNazanin" w:cs="IRNazanin"/>
          <w:color w:val="111111"/>
          <w:sz w:val="28"/>
          <w:szCs w:val="28"/>
          <w:rtl w:val="true"/>
          <w:lang w:bidi="fa-IR"/>
        </w:rPr>
        <w:t>.</w:t>
      </w:r>
    </w:p>
    <w:p>
      <w:pPr>
        <w:pStyle w:val="Heading4"/>
        <w:numPr>
          <w:ilvl w:val="3"/>
          <w:numId w:val="1"/>
        </w:numPr>
        <w:rPr/>
      </w:pPr>
      <w:bookmarkStart w:id="385" w:name="__RefHeading___Toc2158624_581953129"/>
      <w:bookmarkStart w:id="386" w:name="_Toc146"/>
      <w:bookmarkEnd w:id="385"/>
      <w:r>
        <w:rPr>
          <w:rtl w:val="true"/>
        </w:rPr>
        <w:t xml:space="preserve">صحیحة محمد بن مسلم عن أبی جعفر </w:t>
      </w:r>
      <w:r>
        <w:rPr>
          <w:rtl w:val="true"/>
        </w:rPr>
        <w:t>(</w:t>
      </w:r>
      <w:r>
        <w:rPr>
          <w:rtl w:val="true"/>
        </w:rPr>
        <w:t>علیه السلام</w:t>
      </w:r>
      <w:r>
        <w:rPr>
          <w:rtl w:val="true"/>
        </w:rPr>
        <w:t>).</w:t>
      </w:r>
      <w:bookmarkEnd w:id="386"/>
    </w:p>
    <w:p>
      <w:pPr>
        <w:pStyle w:val="BookText"/>
        <w:rPr/>
      </w:pPr>
      <w:r>
        <w:rPr>
          <w:rFonts w:ascii="IRNazanin" w:hAnsi="IRNazanin" w:eastAsia="IRNazanin"/>
          <w:color w:val="111111"/>
          <w:sz w:val="28"/>
          <w:sz w:val="28"/>
          <w:szCs w:val="28"/>
          <w:rtl w:val="true"/>
          <w:lang w:bidi="fa-IR"/>
        </w:rPr>
        <w:t xml:space="preserve">فقد وردت فی هذه الروایة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الفیء والأنفال ما کان من أرض لم یکن فیها هراقة الدماء وقوم صولحوا وأعطوا بأیدیهم وما کان من أرض خربة أو بطون أودیة فهو کله من الفیء فهذا لله ولرسوله فما کان لله فهو لرسوله یضعه حیث شاء وهو للإمام بعد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أفاء الله علی رسوله منهم فما أوجفتم علیه من خیل ولا رکاب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ألا تری هو هذا و 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أفاء الله علی رسوله من أهل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بمنزلة المغنم</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حیث یذکر رحمه الله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الآیة الأولی تطلق الفیء والأنفال علی کل ما تم الحصول علیه بدون سفک دماء وبنحو المصالحة والاستسلام وما سلموه بأنفسهم من أموال، أما الآیة الثانیة فتذکر بأن هذه الأموال التی حصلتم علیها هی بمنزلة الغنیمة</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یستشهد بهذه الروایة علی اختلاف موضوع الآیة الثانیة عن موضوع الآیة الأولی، فالآیة الثانیة موضوعها الأموال التی تم الحصول علیها بالقتال والقهر</w:t>
      </w:r>
      <w:bookmarkStart w:id="387" w:name="pg5472_36615"/>
    </w:p>
    <w:p>
      <w:pPr>
        <w:pStyle w:val="BookText"/>
        <w:rPr/>
      </w:pPr>
      <w:bookmarkEnd w:id="387"/>
      <w:r>
        <w:rPr>
          <w:rFonts w:ascii="IRNazanin" w:hAnsi="IRNazanin" w:eastAsia="IRNazanin"/>
          <w:color w:val="111111"/>
          <w:sz w:val="28"/>
          <w:sz w:val="28"/>
          <w:szCs w:val="28"/>
          <w:rtl w:val="true"/>
          <w:lang w:bidi="fa-IR"/>
        </w:rPr>
        <w:t xml:space="preserve">والغلبة، وإن النقطة التی توجد هنا هی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المذکورة فی هذه الروایة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فهذا بمنزلة المغنم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ذکر رحمه الله فی توجیه هذه الکلمة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ینافیه التعبیر بالمنزلة المشعر بالمغایرة لجواز کون التغایر من أجل اختلاف المورد، نظراً إلی أن الغالب فی الغنائم الاستیلاء علیها فی دار الحرب ومیدان القتال لا من أهل القری فأشیر إلی تنزیل إحدی الغنیمتین منزلة الأخری</w:t>
      </w:r>
      <w:r>
        <w:rPr>
          <w:rFonts w:eastAsia="IRNazanin" w:cs="IRNazanin"/>
          <w:color w:val="111111"/>
          <w:sz w:val="28"/>
          <w:szCs w:val="28"/>
          <w:rtl w:val="true"/>
          <w:lang w:bidi="fa-IR"/>
        </w:rPr>
        <w:t>).</w:t>
      </w:r>
    </w:p>
    <w:p>
      <w:pPr>
        <w:pStyle w:val="Heading4"/>
        <w:numPr>
          <w:ilvl w:val="3"/>
          <w:numId w:val="1"/>
        </w:numPr>
        <w:rPr/>
      </w:pPr>
      <w:bookmarkStart w:id="388" w:name="__RefHeading___Toc2158626_581953129"/>
      <w:bookmarkStart w:id="389" w:name="_Toc147"/>
      <w:bookmarkEnd w:id="388"/>
      <w:r>
        <w:rPr>
          <w:rtl w:val="true"/>
        </w:rPr>
        <w:t>ما ذکره الوالد المعظم والمحقق</w:t>
      </w:r>
      <w:r>
        <w:rPr>
          <w:rtl w:val="true"/>
        </w:rPr>
        <w:t>:</w:t>
      </w:r>
      <w:bookmarkEnd w:id="389"/>
    </w:p>
    <w:p>
      <w:pPr>
        <w:pStyle w:val="Heading5"/>
        <w:numPr>
          <w:ilvl w:val="4"/>
          <w:numId w:val="1"/>
        </w:numPr>
        <w:rPr/>
      </w:pPr>
      <w:bookmarkStart w:id="390" w:name="__RefHeading___Toc2158628_581953129"/>
      <w:bookmarkStart w:id="391" w:name="_Toc148"/>
      <w:bookmarkEnd w:id="390"/>
      <w:r>
        <w:rPr>
          <w:rtl w:val="true"/>
        </w:rPr>
        <w:t>اشارة</w:t>
      </w:r>
      <w:bookmarkEnd w:id="391"/>
    </w:p>
    <w:p>
      <w:pPr>
        <w:pStyle w:val="BookText"/>
        <w:rPr/>
      </w:pPr>
      <w:r>
        <w:rPr>
          <w:rFonts w:ascii="IRNazanin" w:hAnsi="IRNazanin" w:eastAsia="IRNazanin"/>
          <w:color w:val="111111"/>
          <w:sz w:val="28"/>
          <w:sz w:val="28"/>
          <w:szCs w:val="28"/>
          <w:rtl w:val="true"/>
          <w:lang w:bidi="fa-IR"/>
        </w:rPr>
        <w:t xml:space="preserve">وقد قبل والدنا الراحل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النهایة جمع المرحوم السید الخوئی ذاک وقال</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یوجد طریق غیر هذا، ومن ثم یضیف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الرغم من وجود مقرِّبات لهذا الجمع نظیر الاشتراک فی التعبیر ودخول اللام علی بعض الکلمات وعدم دخولها علی البعض الآخر، ووجود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أوجفتم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الأولی وعدم وجودها فی الآیة الثانیة، ولکن مع ذلک توجد مبعّدات أیضاً لهذا الجمع بقوله تعالی فی الآیتین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أَفاءَ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الفیء، ولا یمکن القول فی الآیة الثانیة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بواسطة القتال، وأن فی الآیة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قتال، فی حین جاء فی الآیة الأولی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والوحدة فی التعبیر ظاهر فی أن موضوع الآیتین نوع واحد من المال وبنفس النحو،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ثم یذکر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أن هذه الروایة مؤیدة له، ولکن لهذه الروایة ذیلاً حیث یوجد فی هذا الذیل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والصحیحة مذیلة بقوله علیه السلام کان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ولیس لنا فیه غیر سهمین سهم الرسول وسهم القربی ثم نحن شرکاء الناس فی مابقی</w:t>
      </w:r>
      <w:r>
        <w:rPr>
          <w:rFonts w:eastAsia="IRNazanin" w:cs="IRNazanin"/>
          <w:color w:val="111111"/>
          <w:sz w:val="28"/>
          <w:szCs w:val="28"/>
          <w:rtl w:val="true"/>
          <w:lang w:bidi="fa-IR"/>
        </w:rPr>
        <w:t>).</w:t>
      </w:r>
      <w:bookmarkStart w:id="392" w:name="pg5472_36617"/>
    </w:p>
    <w:p>
      <w:pPr>
        <w:pStyle w:val="BookText"/>
        <w:rPr/>
      </w:pPr>
      <w:bookmarkEnd w:id="392"/>
      <w:r>
        <w:rPr>
          <w:rFonts w:ascii="IRNazanin" w:hAnsi="IRNazanin" w:eastAsia="IRNazanin"/>
          <w:color w:val="111111"/>
          <w:sz w:val="28"/>
          <w:sz w:val="28"/>
          <w:szCs w:val="28"/>
          <w:rtl w:val="true"/>
          <w:lang w:bidi="fa-IR"/>
        </w:rPr>
        <w:t>ویوجد تنافٍ بین ذیل هذه الروایة وصدرها لأنه ورد فی صدر الروایة ما 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الفیء لله وما کان لله فهو للرسول وما کان للرسول فهو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ولذا یجب أن یکون سهم الله لهم کذلک، وتوجد روایات أخری أیضاً تدلّ علی هذا المعنی، وذیل هذه الروایة تتنافی مع کثیر من الروایات الأخری التی تقسم المال إلی قسمین، وتجعل نصفه للإمام والنصف الآخر للآخرین، وبناء علی هذا یوجد تنافٍ بین ذیل هذه الروایة مع صدرها وکذلک مع روایات أخری کثیرة أوردت فی هذا الصعید</w:t>
      </w:r>
      <w:r>
        <w:rPr>
          <w:rFonts w:eastAsia="IRNazanin" w:cs="IRNazanin"/>
          <w:color w:val="111111"/>
          <w:sz w:val="28"/>
          <w:szCs w:val="28"/>
          <w:rtl w:val="true"/>
          <w:lang w:bidi="fa-IR"/>
        </w:rPr>
        <w:t>.</w:t>
      </w:r>
    </w:p>
    <w:p>
      <w:pPr>
        <w:pStyle w:val="Heading5"/>
        <w:numPr>
          <w:ilvl w:val="4"/>
          <w:numId w:val="1"/>
        </w:numPr>
        <w:rPr/>
      </w:pPr>
      <w:bookmarkStart w:id="393" w:name="__RefHeading___Toc2158630_581953129"/>
      <w:bookmarkStart w:id="394" w:name="_Toc149"/>
      <w:bookmarkEnd w:id="393"/>
      <w:r>
        <w:rPr>
          <w:rtl w:val="true"/>
        </w:rPr>
        <w:t>خمسة إشکالات علی المحقق الخوئی</w:t>
      </w:r>
      <w:r>
        <w:rPr>
          <w:rtl w:val="true"/>
        </w:rPr>
        <w:t>:</w:t>
      </w:r>
      <w:bookmarkEnd w:id="394"/>
    </w:p>
    <w:p>
      <w:pPr>
        <w:pStyle w:val="BookText"/>
        <w:rPr/>
      </w:pPr>
      <w:r>
        <w:rPr>
          <w:rFonts w:ascii="IRNazanin" w:hAnsi="IRNazanin" w:eastAsia="IRNazanin"/>
          <w:color w:val="111111"/>
          <w:sz w:val="28"/>
          <w:sz w:val="28"/>
          <w:szCs w:val="28"/>
          <w:rtl w:val="true"/>
          <w:lang w:bidi="fa-IR"/>
        </w:rPr>
        <w:t>یوجد علی ما ذکره المحققان الکبیران خمسة إشکالات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الرجوع إلی التواریخ ینبغی ملاحظة أنه هل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یصرف الفیء علی نفسه بشکل کامل أو لا؟</w:t>
      </w:r>
    </w:p>
    <w:p>
      <w:pPr>
        <w:pStyle w:val="BookText"/>
        <w:rPr/>
      </w:pPr>
      <w:r>
        <w:rPr>
          <w:rFonts w:ascii="IRNazanin" w:hAnsi="IRNazanin" w:eastAsia="IRNazanin"/>
          <w:color w:val="111111"/>
          <w:sz w:val="28"/>
          <w:sz w:val="28"/>
          <w:szCs w:val="28"/>
          <w:rtl w:val="true"/>
          <w:lang w:bidi="fa-IR"/>
        </w:rPr>
        <w:t xml:space="preserve">ینقل الفخر الرازی حول کیفیة صرف الفیء فی زمن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الفیء فی زمان رسول الله مقسوماً علی خمسة أسهم أربعة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ولذا یتضح بأنه لم یکن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یصرف الفیء بشکل کامل علی نفسه، وإن کان مفاد الآیة الأولی بأن الفیء مختص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عندئذ فإن هذا لا ینسجم مع کیفیة التقسیم هذه، نعم إذا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یصرف کامل الفیء علی نفسه ففی هذه الحالة یکون هذا الأمر شاهداً لکلام هذین العَلَمین، وحتی هنا نستنتج أنه لا یمکن أن تکون هذه الروایة قابلة للاستدلال، وهذا هو الإشکال الأول علی العلاّمة السید الخوئی والوالد المحقق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 سابقاً فإن أحد شواهد نظریته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قرینة المقابلة، وما نلاحظه عدم وجود مقابلة بین الآیتین، لأن المقابلة تتم بعد أن نکون</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قبلنا بشکل مسلم أن هاتین الآیتین لهما موضوعان مختلفان، فی حین لم یثبت</w:t>
      </w:r>
    </w:p>
    <w:p>
      <w:pPr>
        <w:pStyle w:val="BookText"/>
        <w:rPr/>
      </w:pPr>
      <w:r>
        <w:rPr>
          <w:rFonts w:ascii="IRNazanin" w:hAnsi="IRNazanin" w:eastAsia="IRNazanin"/>
          <w:color w:val="111111"/>
          <w:sz w:val="28"/>
          <w:sz w:val="28"/>
          <w:szCs w:val="28"/>
          <w:rtl w:val="true"/>
          <w:lang w:bidi="fa-IR"/>
        </w:rPr>
        <w:t xml:space="preserve">اختلاف موضوعیهما کما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 دلیلاً للمقابلة، وکما أشار والدنا الراحل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خلِّینا والآیتین الشریفتین فإن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فی الآیة الأولی وکذلک فی الآیة الثانیة، أی إنه بحسب الظاهر فإن موضوع الآیتین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قیل أن المراد الحقیقی من الآیة الثانیة هو تلک الغنائم، عندها کیف تذکر الروایة هذا بمنزلة المغنم، بل کان ینبغی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مصادیق الغنیمة، وإن السبب فی ذلک أنه یتم تقسیم الغنیمة ابتداءً إلی خمسة أقسام، وخُمسٌ منه یقسم بین هذه الطوائف، ولکن فی آیة الفیء فإنه یتم تقسیمه ابتداء بین جمیع هذه الطوائف، ونقول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المطلب خلاف مدّعی القائل بأنه لا فرق بین هذه الغنیمة وسائر الغنائم الأخری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الإشکال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تعالی فی نفس سورة الحشر فی الآیة الثامنة ما 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لِلْفُقَراءِ الْمُهاجِرِینَ الَّذِینَ أُخْرِجُوا مِنْ دِیارِهِمْ ففی هذه الآیة یوجد احتمالان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علی أن هذه الآیة بدل من الطوائف الثلاث المذکورة فی الآیة التی سبقتها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علی أن الله عز وجل أضاف فی هذه الآیة مجموعة أخری، وبالتالی یصبح مجموع الأصناف 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علی الاحتمال الثانی فإن من البعید جداً أن یکون موضوع الآیة السابقة نفس موضوع آیة الخمس فی سورة الأنفال، لأنه حصر مصرف الخمس فی تلک الآیة بستة موارد فحسب</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قلنا بأنه لا یوجد حصر بالموارد الستة فی تلک الآیة کما ذکر سابقاً فی مورد البحث عندئذ فلا إشکال فی هذه الحالة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روایة 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الأخری التی یمکن طرحها فی الرد علی العَلَمَین، أنه علی الرغم من وجود هذا المطلب فی صحیحة محمد بن مسلم الذی ذکروه حسب ظاهرها، ولکن توجد روایات أخری تجعل هاتین الآیتین الشریفتین بجنب بعضهما بعضاً، وتربطهما بالأنفال والفیء، ففی هذه الحالة تتعارض تلک الروایات مع صحیحة محمد بن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وعنه عن محمد بن علی عن أبی جمیلة وعن محمد بن الحسن عن أبیه عن أبی جمیلة عن محمد بن علی الحلبی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الأنفال فقال ما کان فی الأرض باد أهلها وفی غیر ذلک الأنفال هو لنا وقال سورة الأنفال فیها جدع الأنف وقال ما أفاء الله علی رسوله من أهل القری فما أوجفتم علیه من خیل ولا رکاب ولکن الله یسلط رسوله علی من یشاء قال الفیء ما کان من أموال لم یکن فیها هراقة دم أو قتل والأنفال مثل ذلک هو بمنزلته</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ذکروا لجدع الأنف احتمالین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لعل المراد أن أحکام هذه السورة شاقة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لأن فیها إرغاماً لأنوف المخالفین والمشرکین لما فی اختصاص النبی وأولی القربی بأشیاء لا توجد فی غیرها من السور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ویلاحظ أن الاحتمال الثانی هو الصحیح، لأن آیة الخمس المهمة وَاعْلَمُوا أَنَّما غَنِمْتُمْ وردت فی سورة الأنفال نفسها، وقد ذکر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الروایة ما</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سورة الأنفال فیها جدع الأنف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مؤید للمعنی الثانی، لأن الأحکام التی تعتبر من مختصات النبی وأولی القربی ذکرت فیها، وفیه إرغام للمخالفین والمنافقین</w:t>
      </w:r>
      <w:r>
        <w:rPr>
          <w:rFonts w:eastAsia="IRNazanin" w:cs="IRNazanin"/>
          <w:color w:val="111111"/>
          <w:sz w:val="28"/>
          <w:szCs w:val="28"/>
          <w:rtl w:val="true"/>
          <w:lang w:bidi="fa-IR"/>
        </w:rPr>
        <w:t>.</w:t>
      </w:r>
      <w:bookmarkStart w:id="395" w:name="pg5472_36624"/>
    </w:p>
    <w:p>
      <w:pPr>
        <w:pStyle w:val="Heading4"/>
        <w:numPr>
          <w:ilvl w:val="3"/>
          <w:numId w:val="1"/>
        </w:numPr>
        <w:rPr/>
      </w:pPr>
      <w:bookmarkStart w:id="396" w:name="__RefHeading___Toc2158632_581953129"/>
      <w:bookmarkStart w:id="397" w:name="_Toc150"/>
      <w:bookmarkEnd w:id="395"/>
      <w:bookmarkEnd w:id="396"/>
      <w:r>
        <w:rPr>
          <w:rtl w:val="true"/>
        </w:rPr>
        <w:t>الشاهد علی وحدة الموضوع فی الآیتین الکریمتین</w:t>
      </w:r>
      <w:r>
        <w:rPr>
          <w:rtl w:val="true"/>
        </w:rPr>
        <w:t>:</w:t>
      </w:r>
      <w:bookmarkEnd w:id="397"/>
    </w:p>
    <w:p>
      <w:pPr>
        <w:pStyle w:val="BookText"/>
        <w:rPr/>
      </w:pPr>
      <w:r>
        <w:rPr>
          <w:rFonts w:ascii="IRNazanin" w:hAnsi="IRNazanin" w:eastAsia="IRNazanin"/>
          <w:color w:val="111111"/>
          <w:sz w:val="28"/>
          <w:sz w:val="28"/>
          <w:szCs w:val="28"/>
          <w:rtl w:val="true"/>
          <w:lang w:bidi="fa-IR"/>
        </w:rPr>
        <w:t xml:space="preserve">إن شاهدنا یتمثل بأنه وردت فی هذه الروایة الآیة السابعة من سورة الحشر فی البدایة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أفاء الله علی رسوله من أهل القری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وثم ذکر الآیة السادسة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أوجفتم علیهم من خیل ولا رکاب ولکن الله یسلط رسله علی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 الآیتین فی روایة واحدة یدل علی وحدة موضوع الآیتین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یمکن القول بأن الآیة الأولی متعلقة بالفیء والآیة الثانیة متعلقة بالغنائم، نعم إن هذا الاحتمال موجود فی حالة واحدة وهی أن یکون الراوی قد أخطأ فی قراءة الآیة وتلاوتها فجاء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ففی هذه الحالة فقط نخرج من محل الشاهد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طبعاً، فإن لکلمتی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الفقه معنیین أی لکل منهما معنی خاصاً بهما، وإن قال البعض بأن الفیء أخصّ من الأنفال، لأن الفیء هی الأموال التی تم الحصول علیها من الإیجاف بالخیل والرکاب، حیث یقول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أوجفتم علیهم من خیل ولا رکاب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الأنفال تشمل سائر الموارد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الأراضی الموات والغابات ورؤوس الجبال والمعادن وبطون الأودیة ومیراث من لا وارث له، حیث ذکر فی الفقه للأنفال اثنا عشر مورداً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الظاهر فهو أن للأنفال وللفیء معنیً واحداً، حیث فصّلنا ما یتعلق بالأنفال من قبل، وفی هذه الروایة کذلک 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والأنفال مثل ذلک هو مثل بمنزلته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بمنزلة الفیء</w:t>
      </w:r>
      <w:r>
        <w:rPr>
          <w:rFonts w:eastAsia="IRNazanin" w:cs="IRNazanin"/>
          <w:color w:val="111111"/>
          <w:sz w:val="28"/>
          <w:szCs w:val="28"/>
          <w:rtl w:val="true"/>
          <w:lang w:bidi="fa-IR"/>
        </w:rPr>
        <w:t>.</w:t>
      </w:r>
    </w:p>
    <w:p>
      <w:pPr>
        <w:pStyle w:val="Heading4"/>
        <w:numPr>
          <w:ilvl w:val="3"/>
          <w:numId w:val="1"/>
        </w:numPr>
        <w:rPr/>
      </w:pPr>
      <w:bookmarkStart w:id="398" w:name="__RefHeading___Toc2158634_581953129"/>
      <w:bookmarkStart w:id="399" w:name="_Toc151"/>
      <w:bookmarkEnd w:id="398"/>
      <w:r>
        <w:rPr>
          <w:rtl w:val="true"/>
        </w:rPr>
        <w:t>خلاصة الإشکالات فی التمسک بروایة محمد بن مسلم</w:t>
      </w:r>
      <w:r>
        <w:rPr>
          <w:rtl w:val="true"/>
        </w:rPr>
        <w:t>:</w:t>
      </w:r>
      <w:bookmarkEnd w:id="399"/>
    </w:p>
    <w:p>
      <w:pPr>
        <w:pStyle w:val="Heading5"/>
        <w:numPr>
          <w:ilvl w:val="4"/>
          <w:numId w:val="1"/>
        </w:numPr>
        <w:rPr/>
      </w:pPr>
      <w:bookmarkStart w:id="400" w:name="__RefHeading___Toc2158636_581953129"/>
      <w:bookmarkStart w:id="401" w:name="_Toc152"/>
      <w:bookmarkEnd w:id="400"/>
      <w:r>
        <w:rPr>
          <w:rtl w:val="true"/>
        </w:rPr>
        <w:t>اشارة</w:t>
      </w:r>
      <w:bookmarkEnd w:id="401"/>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ما نستنتجه مما مضی من البحث بأن تمسک هذین العلمین بروایة محمد بن مسلم فیه عدة إشکالات هی</w:t>
      </w:r>
      <w:r>
        <w:rPr>
          <w:rFonts w:eastAsia="IRNazanin" w:cs="IRNazanin"/>
          <w:color w:val="111111"/>
          <w:sz w:val="28"/>
          <w:szCs w:val="28"/>
          <w:rtl w:val="true"/>
          <w:lang w:bidi="fa-IR"/>
        </w:rPr>
        <w:t>:</w:t>
      </w:r>
      <w:bookmarkStart w:id="402" w:name="pg5472_36625"/>
    </w:p>
    <w:p>
      <w:pPr>
        <w:pStyle w:val="BookText"/>
        <w:rPr/>
      </w:pPr>
      <w:bookmarkEnd w:id="402"/>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یوجد تناسب بین صدر صحیحة محمد بن مسلم وذیلها، إذ إن ذیلها معارض بکثیر من الروایات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توجد قرینة علی وجود المقابلة بین الآیة السادسة والآیة السابعة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لزوم توجیه معنی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المغنم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لیست منسجمة ومتناسبة مع الآیة الثامنة من سورة الحشر المبارکة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للفقراء المهاجرین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إنها معارضة بصحیحة الحلبی</w:t>
      </w:r>
      <w:r>
        <w:rPr>
          <w:rFonts w:eastAsia="IRNazanin" w:cs="IRNazanin"/>
          <w:color w:val="111111"/>
          <w:sz w:val="28"/>
          <w:szCs w:val="28"/>
          <w:rtl w:val="true"/>
          <w:lang w:bidi="fa-IR"/>
        </w:rPr>
        <w:t>.</w:t>
      </w:r>
    </w:p>
    <w:p>
      <w:pPr>
        <w:pStyle w:val="Heading5"/>
        <w:numPr>
          <w:ilvl w:val="4"/>
          <w:numId w:val="1"/>
        </w:numPr>
        <w:rPr/>
      </w:pPr>
      <w:bookmarkStart w:id="403" w:name="__RefHeading___Toc2158638_581953129"/>
      <w:bookmarkStart w:id="404" w:name="_Toc153"/>
      <w:bookmarkEnd w:id="403"/>
      <w:r>
        <w:rPr>
          <w:rtl w:val="true"/>
        </w:rPr>
        <w:t>النتیجة والرأی المختار</w:t>
      </w:r>
      <w:r>
        <w:rPr>
          <w:rtl w:val="true"/>
        </w:rPr>
        <w:t>:</w:t>
      </w:r>
      <w:bookmarkEnd w:id="404"/>
    </w:p>
    <w:p>
      <w:pPr>
        <w:pStyle w:val="BookText"/>
        <w:rPr/>
      </w:pPr>
      <w:r>
        <w:rPr>
          <w:rFonts w:ascii="IRNazanin" w:hAnsi="IRNazanin" w:eastAsia="IRNazanin"/>
          <w:color w:val="111111"/>
          <w:sz w:val="28"/>
          <w:sz w:val="28"/>
          <w:szCs w:val="28"/>
          <w:rtl w:val="true"/>
          <w:lang w:bidi="fa-IR"/>
        </w:rPr>
        <w:t xml:space="preserve">بناء علی ذلک، فلا نستطیع القول بأن موضوع الآیة الثانیة هو الغنیمة، بل ینبغی القول بأن الفیء کالغنیمة، لأنّ الله عز وجل جعل الفیء بتصرف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ولکنه بهذه الآیة الکریمة کلّف رسوله بلزوم دفع خمس الفیء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أن الفیء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ولله ولرسول الله، وأما الآیة الثانیة فتبین لزوم استفادة هذه الأصناف الثلاثة من مقدار هذا الفیء، وبقرینة آیة الخمس نقول بأن الأصناف الثلاثة ینالون خمسه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الفیء الذی جعل أربعة أخماسه بتصرف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جعل خمس منه کذلک سهماً له، وسهم لذی القربی وثلاثة أسهم أخری للیتامی والمساکین وابن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ورد فی صحیحة محمد بن مسلم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فهذا بمنزلة المغنم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کما یحصل المجاهدون علی الأموال بالقتال، ویجب علیهم تقسیمها، ولکن هناک یکون أربعة أخماسها للمقاتلین وخمس للأصناف الثلاثة</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وتذکر هاتان الآیتان الکریمتان بأن أربعة أخماس الفیء للرسول وخمس منه للأصناف الثلاثة، فإن کان الأمر کذلک فإن موضوع الآیتین الکریمتین واحد ولا ترد فیه إشکالات حینئذٍ</w:t>
      </w:r>
      <w:r>
        <w:rPr>
          <w:rFonts w:eastAsia="IRNazanin" w:cs="IRNazanin"/>
          <w:color w:val="111111"/>
          <w:sz w:val="28"/>
          <w:szCs w:val="28"/>
          <w:rtl w:val="true"/>
          <w:lang w:bidi="fa-IR"/>
        </w:rPr>
        <w:t>.</w:t>
      </w:r>
      <w:bookmarkStart w:id="405" w:name="pg5472_36627"/>
    </w:p>
    <w:p>
      <w:pPr>
        <w:pStyle w:val="BookText"/>
        <w:rPr/>
      </w:pPr>
      <w:bookmarkEnd w:id="40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هذا المبنی بوحدة موضوع کلتا آیتی الفیء، فإنه یطرح هذا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لماذا أتت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الآیة الأولی بعد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أفاء الله علی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تعود طبقاً لکل المفسرین إلی بنی النضیر، وجاءت فی الآیة الثانیة بعد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أفاء الله علی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القری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وهل یکمن الفرق بینهما بأن أحدهما للعموم والآخر للخصوص کما ذکر أکثر المفسرین أو یوجد احتمال آخر؟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الاحتمال الذی یخطر فی الذهن هو ما 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الرغم من کون موضوع کلتا الآیتین هو الفیء ولکن متعلقهما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فالفیء فی الآیة الأولی هی تلک الأموال التی تم اغتنامها بدون قتال أو سفک دماء من العدو، حیث جعلت فی تصرف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والفیء فی الآیة الثانیة فهی تلک الأموال التی کانت فی تلک القری التی هجرها أهلها وبقیت خلف من هاجرها، حیث تصل إلی رسول الله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إرث من لا وارث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وعندنا فی الروایات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من الأرضین باد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کان یوجد فی ذلک العصر موارد کثیر لها، وهذا بمعنی من المعانی یعدّ فیئاً، وله حکم خاص به ویتمثل بلزوم تقسیمه بین ستة أصناف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وبالنسبة للاحتمال الأخیر الذی یتوافق ویناسب ظاهر الآیة الکریمة یمکن أن یستفاد مثل ذلک من بعض الروایات أیضاً</w:t>
      </w:r>
      <w:r>
        <w:rPr>
          <w:rFonts w:eastAsia="IRNazanin" w:cs="IRNazanin"/>
          <w:color w:val="111111"/>
          <w:sz w:val="28"/>
          <w:szCs w:val="28"/>
          <w:rtl w:val="true"/>
          <w:lang w:bidi="fa-IR"/>
        </w:rPr>
        <w:t>.</w:t>
      </w:r>
    </w:p>
    <w:p>
      <w:pPr>
        <w:pStyle w:val="Heading4"/>
        <w:numPr>
          <w:ilvl w:val="3"/>
          <w:numId w:val="1"/>
        </w:numPr>
        <w:rPr/>
      </w:pPr>
      <w:bookmarkStart w:id="406" w:name="__RefHeading___Toc2158640_581953129"/>
      <w:bookmarkStart w:id="407" w:name="_Toc154"/>
      <w:bookmarkEnd w:id="406"/>
      <w:r>
        <w:rPr>
          <w:rtl w:val="true"/>
        </w:rPr>
        <w:t>دراسة روایة</w:t>
      </w:r>
      <w:r>
        <w:rPr>
          <w:rtl w:val="true"/>
        </w:rPr>
        <w:t>:</w:t>
      </w:r>
      <w:bookmarkEnd w:id="407"/>
    </w:p>
    <w:p>
      <w:pPr>
        <w:pStyle w:val="Heading5"/>
        <w:numPr>
          <w:ilvl w:val="4"/>
          <w:numId w:val="1"/>
        </w:numPr>
        <w:rPr/>
      </w:pPr>
      <w:bookmarkStart w:id="408" w:name="__RefHeading___Toc2158642_581953129"/>
      <w:bookmarkStart w:id="409" w:name="_Toc155"/>
      <w:bookmarkEnd w:id="408"/>
      <w:r>
        <w:rPr>
          <w:rtl w:val="true"/>
        </w:rPr>
        <w:t>اشارة</w:t>
      </w:r>
      <w:bookmarkEnd w:id="409"/>
    </w:p>
    <w:p>
      <w:pPr>
        <w:pStyle w:val="BookText"/>
        <w:rPr/>
      </w:pPr>
      <w:r>
        <w:rPr>
          <w:rFonts w:ascii="IRNazanin" w:hAnsi="IRNazanin" w:eastAsia="IRNazanin"/>
          <w:color w:val="111111"/>
          <w:sz w:val="28"/>
          <w:sz w:val="28"/>
          <w:szCs w:val="28"/>
          <w:rtl w:val="true"/>
          <w:lang w:bidi="fa-IR"/>
        </w:rPr>
        <w:t>ورد فی کتاب الوسائل فی روایة مرفوعة ومرسلة حول الأنفال ما یلی</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من فتح لم یقاتل علیه ولم یوجف علیه بخیل ولا رکاب إلا أن أصحابنا یأتونه</w:t>
      </w:r>
    </w:p>
    <w:p>
      <w:pPr>
        <w:pStyle w:val="BookText"/>
        <w:rPr/>
      </w:pPr>
      <w:r>
        <w:rPr>
          <w:rFonts w:ascii="IRNazanin" w:hAnsi="IRNazanin" w:eastAsia="IRNazanin"/>
          <w:color w:val="111111"/>
          <w:sz w:val="28"/>
          <w:sz w:val="28"/>
          <w:szCs w:val="28"/>
          <w:rtl w:val="true"/>
          <w:lang w:bidi="fa-IR"/>
        </w:rPr>
        <w:t xml:space="preserve">فیعاملون علیه فکیف عاملهم علیه النصف أو الثلث أو الربع أو ما کان یسهم منه خاصة ولیس لأحد فیه شیء إلا ما أعطاه هو منه وبطون الأودیة ورؤوس الجبال والموات کلها هی له وهو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یسألونک عن الأنفال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نعطیهم منه،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الأنفال لله وللرسول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هو یسألونک عن الأنفال وما کان من القری ومیراث من لا وارث له فهو له خاصة‌وهو قوله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أفاء الله علی رسوله من أهل القری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فأما الخمس فیقسم علی ستة أسهم سهم لله وسهم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وسهم لذی القربی وسهم للیتامی وسهم للمساکین وسهم لأبناء السبیل فالذی لله ولرسول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فرسول الله أحق به فهو له خاصة والذی للرسول هو لذی القربی والحجة فی زمانه والنصف له خاصة والنصف للیتامی والمساکین وأبناء السبیل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لا تحل لهم الصدقة ولا الزکاة عوضهم الله مکان ذلک بالخمس فهو یعطیهم علی قدر کفایتهم فإن فضل منه شیء فهو له وإن نقص عنه ولم یکفهم أتمه لهم من عنده کما صار له الفضل کذلک یلزمه النقصان</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بطون الأودیة ورؤوس الجبال وأراضی الموات، یذکر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جمیعاً مصداق الآیة الکریمة یَسْئَلُونَکَ عَنِ الأَنْفالِ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ذکرنا سابقاً حول هذه الآیة الکریمة بأنه بما أن کلمة الأنفال کررت فی الآیة فالأولی منها متعلقة بغنائم بدر والثانیة فمطلقة، وهذه الروایة کذلک مؤیدة لهذا المعنی</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ینبغی ملاحظة أنه فیما یتعلق بالقری فلیس الحدیث عن القتال بأنه کان بخیل ورکاب أو بدونهما، بل إن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بأن أهالیها قد ترکوها بإرادتهم دون أن یجبرهم أحد علی ذلک وبقیت بدون أهل حالیاً، وبالتالی فإن</w:t>
      </w:r>
      <w:bookmarkStart w:id="410" w:name="pg5472_36632"/>
    </w:p>
    <w:p>
      <w:pPr>
        <w:pStyle w:val="BookText"/>
        <w:rPr/>
      </w:pPr>
      <w:bookmarkEnd w:id="410"/>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من لا وارث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عنوان کلی من قبیل عطف العام علی الخاص بمعنی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من لا وارث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ذکرت فی الروایة کما 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کان من القری ومیراث من لا وارث له فله خاصة</w:t>
      </w:r>
      <w:r>
        <w:rPr>
          <w:rFonts w:eastAsia="IRNazanin" w:cs="IRNazanin"/>
          <w:color w:val="111111"/>
          <w:sz w:val="28"/>
          <w:szCs w:val="28"/>
          <w:rtl w:val="true"/>
          <w:lang w:bidi="fa-IR"/>
        </w:rPr>
        <w:t>).</w:t>
      </w:r>
    </w:p>
    <w:p>
      <w:pPr>
        <w:pStyle w:val="Heading5"/>
        <w:numPr>
          <w:ilvl w:val="4"/>
          <w:numId w:val="1"/>
        </w:numPr>
        <w:rPr/>
      </w:pPr>
      <w:bookmarkStart w:id="411" w:name="__RefHeading___Toc2158644_581953129"/>
      <w:bookmarkStart w:id="412" w:name="_Toc156"/>
      <w:bookmarkEnd w:id="411"/>
      <w:r>
        <w:rPr>
          <w:rtl w:val="true"/>
        </w:rPr>
        <w:t>شاهد المطلب فی تتمة الروایة</w:t>
      </w:r>
      <w:r>
        <w:rPr>
          <w:rtl w:val="true"/>
        </w:rPr>
        <w:t>:</w:t>
      </w:r>
      <w:bookmarkEnd w:id="412"/>
    </w:p>
    <w:p>
      <w:pPr>
        <w:pStyle w:val="BookText"/>
        <w:rPr/>
      </w:pPr>
      <w:r>
        <w:rPr>
          <w:rFonts w:ascii="Amiri" w:hAnsi="Amiri" w:eastAsia="Amiri" w:cs="Amiri"/>
          <w:color w:val="111111"/>
          <w:sz w:val="28"/>
          <w:sz w:val="28"/>
          <w:szCs w:val="28"/>
          <w:rtl w:val="true"/>
          <w:lang w:bidi="ar-SA"/>
        </w:rPr>
        <w:t>وهو قوله عز وجل ما أَفاءَ اللهُ عَلی رَسُولِهِ مِنْ أَهْلِ الْقُری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الروایة جعلت مصداق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أَفاءَ اللهُ عَلی رَسُولِهِ مِنْ أَهْلِ الْقُری مجموع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میراث من لا وارث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حیث اعتبر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مصادیق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میراث من لاوارث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وعندما یترک أهل قریة محل استقرارهم ویهجرونها، فإن الأموال التی تبقی عنهم تحمل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من لا وارث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إذا حصرنا هذا العنوان فی حالة الموت؛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الحالة التی یموت فیه شخص ولا وارث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نستنتج أن الآیة الکریمة الثانیة فی مقام بیان فیء خاص، وبالتالی یوجد فرق بین متعلقهما من هذه الجهة، والإنصاف أنه لا یمکن التمییز بین الآیتین الأولی والثانیة من جهة العموم والخصوص فقط بمعنی أن نقول بأن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الأولی عام، وفی الآیة الثانیة فی خصوص أهل القری</w:t>
      </w:r>
      <w:r>
        <w:rPr>
          <w:rFonts w:eastAsia="IRNazanin" w:cs="IRNazanin"/>
          <w:color w:val="111111"/>
          <w:sz w:val="28"/>
          <w:szCs w:val="28"/>
          <w:rtl w:val="true"/>
          <w:lang w:bidi="fa-IR"/>
        </w:rPr>
        <w:t>.</w:t>
      </w:r>
    </w:p>
    <w:p>
      <w:pPr>
        <w:pStyle w:val="Heading4"/>
        <w:numPr>
          <w:ilvl w:val="3"/>
          <w:numId w:val="1"/>
        </w:numPr>
        <w:rPr/>
      </w:pPr>
      <w:bookmarkStart w:id="413" w:name="__RefHeading___Toc2158646_581953129"/>
      <w:bookmarkStart w:id="414" w:name="_Toc157"/>
      <w:bookmarkEnd w:id="413"/>
      <w:r>
        <w:rPr>
          <w:rtl w:val="true"/>
        </w:rPr>
        <w:t xml:space="preserve">کلام </w:t>
      </w:r>
      <w:r>
        <w:rPr>
          <w:rtl w:val="true"/>
        </w:rPr>
        <w:t>(</w:t>
      </w:r>
      <w:r>
        <w:rPr>
          <w:rtl w:val="true"/>
        </w:rPr>
        <w:t>الفاضل الجواد</w:t>
      </w:r>
      <w:r>
        <w:rPr>
          <w:rtl w:val="true"/>
        </w:rPr>
        <w:t>):</w:t>
      </w:r>
      <w:bookmarkEnd w:id="414"/>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الفاضل الجواد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الافهام إلی آیات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ویمکن أن یقال بتغایر القضیتین کما ذکره بعض المفسرین من أن ما لم یوجف بخیل ولا رکاب نزلت فی أموال بنی النضیر وأنها کانت لرسول الله وکان ینفق منها علی</w:t>
      </w:r>
      <w:bookmarkStart w:id="415" w:name="pg5472_36634"/>
    </w:p>
    <w:p>
      <w:pPr>
        <w:pStyle w:val="BookText"/>
        <w:rPr/>
      </w:pPr>
      <w:bookmarkEnd w:id="415"/>
      <w:r>
        <w:rPr>
          <w:rFonts w:ascii="IRNazanin" w:hAnsi="IRNazanin" w:eastAsia="IRNazanin"/>
          <w:color w:val="111111"/>
          <w:sz w:val="28"/>
          <w:sz w:val="28"/>
          <w:szCs w:val="28"/>
          <w:rtl w:val="true"/>
          <w:lang w:bidi="fa-IR"/>
        </w:rPr>
        <w:t xml:space="preserve">أهله وأما أهل القری المذکورون فی هذه الآیة فهو أهل الصفراء وینبع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کانتا قریتین ترکها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هنالک من قبیل الغرب التی تسمی قری غریبة</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القری عن بنی النضیر، ولکنه طبّق روایة محمد بن مسلم الذی مرّ البحث حولها سابقاً علی هذا المعنی</w:t>
      </w:r>
      <w:r>
        <w:rPr>
          <w:rFonts w:eastAsia="IRNazanin" w:cs="IRNazanin"/>
          <w:color w:val="111111"/>
          <w:sz w:val="28"/>
          <w:szCs w:val="28"/>
          <w:rtl w:val="true"/>
          <w:lang w:bidi="fa-IR"/>
        </w:rPr>
        <w:t>.</w:t>
      </w:r>
    </w:p>
    <w:p>
      <w:pPr>
        <w:pStyle w:val="Heading4"/>
        <w:numPr>
          <w:ilvl w:val="3"/>
          <w:numId w:val="1"/>
        </w:numPr>
        <w:rPr/>
      </w:pPr>
      <w:bookmarkStart w:id="416" w:name="__RefHeading___Toc2158648_581953129"/>
      <w:bookmarkStart w:id="417" w:name="_Toc158"/>
      <w:bookmarkEnd w:id="416"/>
      <w:r>
        <w:rPr>
          <w:rtl w:val="true"/>
        </w:rPr>
        <w:t>دراسة کلام الفخر الرازی</w:t>
      </w:r>
      <w:r>
        <w:rPr>
          <w:rtl w:val="true"/>
        </w:rPr>
        <w:t>:</w:t>
      </w:r>
      <w:bookmarkEnd w:id="417"/>
    </w:p>
    <w:p>
      <w:pPr>
        <w:pStyle w:val="BookText"/>
        <w:rPr/>
      </w:pPr>
      <w:r>
        <w:rPr>
          <w:rFonts w:ascii="IRNazanin" w:hAnsi="IRNazanin" w:eastAsia="IRNazanin"/>
          <w:color w:val="111111"/>
          <w:sz w:val="28"/>
          <w:sz w:val="28"/>
          <w:szCs w:val="28"/>
          <w:rtl w:val="true"/>
          <w:lang w:bidi="fa-IR"/>
        </w:rPr>
        <w:t>لقد احتمل الفخر الرازی نقلاً عن بعض المفسرین أن الآیة الشریفة فی قوله تعالی ما أفاء الله علی رسوله منهم فما اوجفتم علیه من خیل ولا رکاب غیر مرتبطة ببنی النضیر</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وقد ذُکِرَ سابقاً أنه لم یکن ما جری فی قضیة بنی النضیر من دون خیل ولا رکاب، بل حوصر بنو النضیر أیاماً ومن ثم استسلموا وتصالحوا، ویعتقد الکثیرون بأنه قد کان خیل ورکاب هناک ولکنها لم تستخدم لسرعة تحقق الهدف الذی جعله المسلمون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لم یقدر علی حل هذه المشکلة اعتبر هذه الآیة متعلقة بفدک وذکر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هذه الآیة ما نزلت فی قری بنی النضیر، لأنهم أوجفوا علیهم بالخیل والرکاب بل نزلت فی فدک، وذلک لأن أهل فدک انجلوا عنه فصارت تلک القری والأموال فی ید الرسول من غیر حرب فکان علیه الصلاة والسلام یأخذ من غلة فدک نفقته ونفقة من یعوله ولما مات ادّعت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ینحلها فدکاً</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هذه الحالة بما أن الفخر الرازی قد خرج علی الإنصاف وأطال الحدیث، بناء علی اعتقاده الباطل یلزم فی خاتمة الکتاب أن ندرس بشکل مجمل حقیقة قضیة فدک حتی تتضح أحقیة ادّعاء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bookmarkStart w:id="418" w:name="pg5472_36636"/>
    </w:p>
    <w:p>
      <w:pPr>
        <w:pStyle w:val="Heading4"/>
        <w:numPr>
          <w:ilvl w:val="3"/>
          <w:numId w:val="1"/>
        </w:numPr>
        <w:rPr/>
      </w:pPr>
      <w:bookmarkStart w:id="419" w:name="__RefHeading___Toc2158650_581953129"/>
      <w:bookmarkStart w:id="420" w:name="_Toc159"/>
      <w:bookmarkEnd w:id="418"/>
      <w:bookmarkEnd w:id="419"/>
      <w:r>
        <w:rPr>
          <w:rtl w:val="true"/>
        </w:rPr>
        <w:t>العلاقة بین آیات سورة الحشر مع الآیة الأولی من سورة الأنفال</w:t>
      </w:r>
      <w:r>
        <w:rPr>
          <w:rtl w:val="true"/>
        </w:rPr>
        <w:t>:</w:t>
      </w:r>
      <w:bookmarkEnd w:id="420"/>
    </w:p>
    <w:p>
      <w:pPr>
        <w:pStyle w:val="BookText"/>
        <w:rPr/>
      </w:pPr>
      <w:r>
        <w:rPr>
          <w:rFonts w:ascii="IRNazanin" w:hAnsi="IRNazanin" w:eastAsia="IRNazanin"/>
          <w:color w:val="111111"/>
          <w:sz w:val="28"/>
          <w:sz w:val="28"/>
          <w:szCs w:val="28"/>
          <w:rtl w:val="true"/>
          <w:lang w:bidi="fa-IR"/>
        </w:rPr>
        <w:t>کما ذکرنا تفصیلاً فی السابق أن الآیة الأولی من سورة الأنفال متعلقة بغنائم بدر، وذکرنا ترتیب آیات الغنیمة کذلک حیث کانت ترتیباً دقیقاً جداً، وهنا سوف ندرس العلاقة بین هاتین الآیتین الکریمتین من سورة الحشر مع الآیة الأولی من سورة الأنفال</w:t>
      </w:r>
      <w:r>
        <w:rPr>
          <w:rFonts w:eastAsia="IRNazanin" w:cs="IRNazanin"/>
          <w:color w:val="111111"/>
          <w:sz w:val="28"/>
          <w:szCs w:val="28"/>
          <w:rtl w:val="true"/>
          <w:lang w:bidi="fa-IR"/>
        </w:rPr>
        <w:t>.</w:t>
      </w:r>
    </w:p>
    <w:p>
      <w:pPr>
        <w:pStyle w:val="Heading4"/>
        <w:numPr>
          <w:ilvl w:val="3"/>
          <w:numId w:val="1"/>
        </w:numPr>
        <w:rPr/>
      </w:pPr>
      <w:bookmarkStart w:id="421" w:name="__RefHeading___Toc2158652_581953129"/>
      <w:bookmarkStart w:id="422" w:name="_Toc160"/>
      <w:bookmarkEnd w:id="421"/>
      <w:r>
        <w:rPr>
          <w:rtl w:val="true"/>
        </w:rPr>
        <w:t>مقارنة بین آیة الأنفال وآیة الفیء</w:t>
      </w:r>
      <w:r>
        <w:rPr>
          <w:rtl w:val="true"/>
        </w:rPr>
        <w:t>:</w:t>
      </w:r>
      <w:bookmarkEnd w:id="422"/>
    </w:p>
    <w:p>
      <w:pPr>
        <w:pStyle w:val="BookText"/>
        <w:rPr/>
      </w:pPr>
      <w:r>
        <w:rPr>
          <w:rFonts w:ascii="IRNazanin" w:hAnsi="IRNazanin" w:eastAsia="IRNazanin"/>
          <w:color w:val="111111"/>
          <w:sz w:val="28"/>
          <w:sz w:val="28"/>
          <w:szCs w:val="28"/>
          <w:rtl w:val="true"/>
          <w:lang w:bidi="fa-IR"/>
        </w:rPr>
        <w:t>بمراجعة معنی کلمتی الأنفال والفیء الذی تم فی محله، علمنا أن المعنی اللغوی لهاتین الکلمتین یختلفان بعضهما عن بعض، ولکن لا فرق بینهما فی المصداق الخارجی لکل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الفقه کذلک فإن الفقهاء لا یفرقون من حیث المصداق بین الفیء والأنفال، وکذلک فی القرآن الکریم لا یمکن أن نقول بالفرق کذلک من حیث المصداق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حین نری أن الله عزوجل فی الآیة الکریمة من سورة الأنفال یقول بأن الأنفال لاثنین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وللرسول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إنه لم یذکر حتی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الآیة الکریمة للفیء یذکر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الفیء لثلاث طوائف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وللرسول ولذی القربی والیتامی والمساکین وابن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السؤال المطروح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لوحدة معنی الأنفال والفیء فی الفقه والقرآن کیف تم التمییز والتفریق بین موارد صرفهما فی هاتین الآیتین؟ ویجب البحث فی کیفیة الجمع بین هاتین الآیتین</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للحصول علی الإجابة اللازمة یجب أن نوضح العلاقة بین الآیة السابعة من سورة الحشر مع الآیة الثامنة من نفس السورة</w:t>
      </w:r>
      <w:r>
        <w:rPr>
          <w:rFonts w:eastAsia="IRNazanin" w:cs="IRNazanin"/>
          <w:color w:val="111111"/>
          <w:sz w:val="28"/>
          <w:szCs w:val="28"/>
          <w:rtl w:val="true"/>
          <w:lang w:bidi="fa-IR"/>
        </w:rPr>
        <w:t>.</w:t>
      </w:r>
      <w:bookmarkStart w:id="423" w:name="pg5472_36638"/>
    </w:p>
    <w:p>
      <w:pPr>
        <w:pStyle w:val="Heading4"/>
        <w:numPr>
          <w:ilvl w:val="3"/>
          <w:numId w:val="1"/>
        </w:numPr>
        <w:rPr/>
      </w:pPr>
      <w:bookmarkStart w:id="424" w:name="__RefHeading___Toc2158654_581953129"/>
      <w:bookmarkStart w:id="425" w:name="_Toc161"/>
      <w:bookmarkEnd w:id="423"/>
      <w:bookmarkEnd w:id="424"/>
      <w:r>
        <w:rPr>
          <w:rtl w:val="true"/>
        </w:rPr>
        <w:t>العلاقة بین الآیة الثامنة من سورة الحشر مع الآیة السابقة لها</w:t>
      </w:r>
      <w:r>
        <w:rPr>
          <w:rtl w:val="true"/>
        </w:rPr>
        <w:t>:</w:t>
      </w:r>
      <w:bookmarkEnd w:id="425"/>
    </w:p>
    <w:p>
      <w:pPr>
        <w:pStyle w:val="Heading5"/>
        <w:numPr>
          <w:ilvl w:val="4"/>
          <w:numId w:val="1"/>
        </w:numPr>
        <w:rPr/>
      </w:pPr>
      <w:bookmarkStart w:id="426" w:name="__RefHeading___Toc2158656_581953129"/>
      <w:bookmarkStart w:id="427" w:name="_Toc162"/>
      <w:bookmarkEnd w:id="426"/>
      <w:r>
        <w:rPr>
          <w:rtl w:val="true"/>
        </w:rPr>
        <w:t>اشارة</w:t>
      </w:r>
      <w:bookmarkEnd w:id="427"/>
    </w:p>
    <w:p>
      <w:pPr>
        <w:pStyle w:val="BookText"/>
        <w:rPr/>
      </w:pPr>
      <w:r>
        <w:rPr>
          <w:rFonts w:ascii="Amiri" w:hAnsi="Amiri" w:eastAsia="Amiri" w:cs="Amiri"/>
          <w:color w:val="111111"/>
          <w:sz w:val="28"/>
          <w:sz w:val="28"/>
          <w:szCs w:val="28"/>
          <w:rtl w:val="true"/>
          <w:lang w:bidi="ar-SA"/>
        </w:rPr>
        <w:t>یقول تعالی فی الآیة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لِلْفُقَراءِ الْمُهاجِرِینَ الَّذِینَ أُخْرِجُوا مِنْ دِیارِهِمْ‌</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وفیما یتعلق بالعلاقة بین الآیة الثامنة مع الآیات السابقة لها توجد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یقوم علی أساس أن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لِلْفُقَراءِ الْمُهاجِرِینَ بدل من الطوائف الثلاثة المذکورة فی الآیة التی سبقتها أی الیتامی والمساکین وابن السبیل، وهذه الآیة مفسرّة للآیة التی سبقتها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یعتقد البعض أن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لِلْفُقَراءِ الْمُهاجِرِینَ بالإضافة إلی أنها بدل عن الطوائف الثلاثة المذکورة فی الآیة السابقة أی الیتامی والمساکین وابن السبیل، فإنها کذلک بدل عن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واتفق أغلب مفسِّری أهل السنة بل اتفقوا جمیعاً بشکل تقریبی علی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من الأصناف الأربعة المذکورة فی الآیة السابقة لها أی ذی القربی والیتامی والمساکین وابن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الفخر الرازی الذی یذکر فی تفسیره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اعلم أن هذا بدل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ولذی القربی والیتامی والمساکین وابن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قیل أعنی بأولئک الأربعة هؤلاء الفقراء والمهاجرین الذین من صفتهم کذا وکذا</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ورد فی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الفقراء بدل من ذی القربی والجمل التی بعدها</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bookmarkStart w:id="428" w:name="pg5472_36640"/>
    </w:p>
    <w:p>
      <w:pPr>
        <w:pStyle w:val="Heading5"/>
        <w:numPr>
          <w:ilvl w:val="4"/>
          <w:numId w:val="1"/>
        </w:numPr>
        <w:rPr/>
      </w:pPr>
      <w:bookmarkStart w:id="429" w:name="__RefHeading___Toc2158658_581953129"/>
      <w:bookmarkStart w:id="430" w:name="_Toc163"/>
      <w:bookmarkEnd w:id="428"/>
      <w:bookmarkEnd w:id="429"/>
      <w:r>
        <w:rPr>
          <w:rtl w:val="true"/>
        </w:rPr>
        <w:t xml:space="preserve">- </w:t>
      </w:r>
      <w:r>
        <w:rPr>
          <w:rtl w:val="true"/>
        </w:rPr>
        <w:t>إشکالات علی هذین الاحتمالین</w:t>
      </w:r>
      <w:r>
        <w:rPr>
          <w:rtl w:val="true"/>
        </w:rPr>
        <w:t>:</w:t>
      </w:r>
      <w:bookmarkEnd w:id="430"/>
    </w:p>
    <w:p>
      <w:pPr>
        <w:pStyle w:val="BookText"/>
        <w:rPr/>
      </w:pP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الإشکالات المطروحة هنا بأن هذین الاحتمالین لا ینسجمان مع الروایات التی تذکر بلزوم کون الیتامی والمساکین وابن السبیل من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الإشکال الآخر المطروح هنا یتمثل بأن جعلها بدلاً مخلّ بالفصاحة، إذ عندما یذکر الله عز وجل فی البدایة عنوان ذی القربی، ومن ثم یذکر عنوان المساکین بعد ذکر الیتامی، عند ذلک یستنتج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أعم من الفقیر والغنی، بل إنه حتی من الناحیة الفقهیة کذلک فإن فتوی الفقهاء ترتکز علی هذا الأساس بأن الفیء عندما یصل إلی الإمام فإنه لا یفرق فی وجود الحاجة إلیه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الناحیة الأدبیة یجب ألا یفصل بین البدل والمبدل فی حین نلاحظ أنه توجد فاصلة طویلة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الإشکال الآخر الذی یطرح هنا یتمثل فی عدم تناسب البدل والمبدل منه، لأن أحد الأمور الذی تذکر فی باب البدل والمبدل منه یتمثل فی وجود تناسب بینهما، حیث نلاحظ فی هذه الآیة عدم وجود تناسب أصلاً، حیث یجب أن نبحث هل إن قوله تعالی لِلْفُقَراءِ الْمُهاجِرِینَ بدل من ذی القربی أو الیتامی أو المساکین أو بدل من ابن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مستقل بحد ذاته والعناوین الأخری کذلک لکل منه عنوان مستقل فی نفسه</w:t>
      </w:r>
      <w:r>
        <w:rPr>
          <w:rFonts w:eastAsia="IRNazanin" w:cs="IRNazanin"/>
          <w:color w:val="111111"/>
          <w:sz w:val="28"/>
          <w:szCs w:val="28"/>
          <w:rtl w:val="true"/>
          <w:lang w:bidi="fa-IR"/>
        </w:rPr>
        <w:t>.</w:t>
      </w:r>
      <w:bookmarkStart w:id="431" w:name="pg5472_36642"/>
    </w:p>
    <w:p>
      <w:pPr>
        <w:pStyle w:val="BookText"/>
        <w:rPr/>
      </w:pPr>
      <w:bookmarkEnd w:id="431"/>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المسلّم فی التاریخ أنه لم یوجد بین الفقراء المهاجرین ابن 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فابن السبیل هو المسافر الذی لیس فقیراً فی الواقع ولکن تقطعت به السبل، ویحتاج لذلک مساعدة لیعود إلی محل استقراره، لا أنه کان قد قرر أن یستقر فی مکان فی طریق سفره، فإن کان فقیراً کذلک فیحمل عنوان الفقیر، ولا یمکن القول أن یحمل شخص ما عنوان ابن السبیل وکذلک عنوان الفقیر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والفقراء المهاجرون کانوا ممن هجّروا من بیوتهم وأملاکهم، وأتوا إلی المدینة لیستقروا فیها، حیث أعطاهم أهل المدینة مکاناً للاستقرار ودعموهم وحموهم، ولم یکن أی واحد منهم یحمل عنوان ابن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هذا فإن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لو أمکن أن یکون بدلاً لذی القربی والیتامی والمساکین ولکنه لا یمکن أن یکون بدلاً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السبیل</w:t>
      </w:r>
      <w:r>
        <w:rPr>
          <w:rFonts w:eastAsia="IRNazanin" w:cs="IRNazanin"/>
          <w:color w:val="111111"/>
          <w:sz w:val="28"/>
          <w:szCs w:val="28"/>
          <w:rtl w:val="true"/>
          <w:lang w:bidi="fa-IR"/>
        </w:rPr>
        <w:t>).</w:t>
      </w:r>
    </w:p>
    <w:p>
      <w:pPr>
        <w:pStyle w:val="Heading4"/>
        <w:numPr>
          <w:ilvl w:val="3"/>
          <w:numId w:val="1"/>
        </w:numPr>
        <w:rPr/>
      </w:pPr>
      <w:bookmarkStart w:id="432" w:name="__RefHeading___Toc2158660_581953129"/>
      <w:bookmarkStart w:id="433" w:name="_Toc164"/>
      <w:bookmarkEnd w:id="432"/>
      <w:r>
        <w:rPr>
          <w:rtl w:val="true"/>
        </w:rPr>
        <w:t>ما ذکره العلاّمة الطباطبائی</w:t>
      </w:r>
      <w:r>
        <w:rPr>
          <w:rtl w:val="true"/>
        </w:rPr>
        <w:t>:</w:t>
      </w:r>
      <w:bookmarkEnd w:id="433"/>
    </w:p>
    <w:p>
      <w:pPr>
        <w:pStyle w:val="BookText"/>
        <w:rPr/>
      </w:pPr>
      <w:r>
        <w:rPr>
          <w:rFonts w:ascii="IRNazanin" w:hAnsi="IRNazanin" w:eastAsia="IRNazanin"/>
          <w:color w:val="111111"/>
          <w:sz w:val="28"/>
          <w:sz w:val="28"/>
          <w:szCs w:val="28"/>
          <w:rtl w:val="true"/>
          <w:lang w:bidi="fa-IR"/>
        </w:rPr>
        <w:t>ذکر العلامة الطباطبائی فی ذیل تفسیره للآیة الثامنة من سورة الحشر ما 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للفقراء المهاجرین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مصداق لصرف رسول الله</w:t>
      </w:r>
    </w:p>
    <w:p>
      <w:pPr>
        <w:pStyle w:val="BookText"/>
        <w:rPr/>
      </w:pPr>
      <w:r>
        <w:rPr>
          <w:rFonts w:ascii="IRNazanin" w:hAnsi="IRNazanin" w:eastAsia="IRNazanin"/>
          <w:color w:val="111111"/>
          <w:sz w:val="28"/>
          <w:sz w:val="28"/>
          <w:szCs w:val="28"/>
          <w:rtl w:val="true"/>
          <w:lang w:bidi="fa-IR"/>
        </w:rPr>
        <w:t xml:space="preserve">الذی أشیر إلیه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للفقراء المهاجرین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السهماء فی الفیء، بل بأن یکون صرفه فیهم وإعطاؤهم إیاه صرفاً له فی سبیل الله</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 فی رأیه أن الله عز وجل الذی جعل الفیء بتصرف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صرفه فی سبیل الله وسائر الموارد المذکورة، فإنه سبحانه وتعالی لم یذکر هؤلاء الفقراء المهاجرین کعنوان خاص، بل وجّه رسوله وأرشده إلی أحد مصادیق سبیل الله حیث یمکن أن یکونوا الفقراء المهاجرین</w:t>
      </w:r>
      <w:r>
        <w:rPr>
          <w:rFonts w:eastAsia="IRNazanin" w:cs="IRNazanin"/>
          <w:color w:val="111111"/>
          <w:sz w:val="28"/>
          <w:szCs w:val="28"/>
          <w:rtl w:val="true"/>
          <w:lang w:bidi="fa-IR"/>
        </w:rPr>
        <w:t>.</w:t>
      </w:r>
      <w:bookmarkStart w:id="434" w:name="pg5472_36644"/>
    </w:p>
    <w:p>
      <w:pPr>
        <w:pStyle w:val="Heading4"/>
        <w:numPr>
          <w:ilvl w:val="3"/>
          <w:numId w:val="1"/>
        </w:numPr>
        <w:rPr/>
      </w:pPr>
      <w:bookmarkStart w:id="435" w:name="__RefHeading___Toc2158662_581953129"/>
      <w:bookmarkStart w:id="436" w:name="_Toc165"/>
      <w:bookmarkEnd w:id="434"/>
      <w:bookmarkEnd w:id="435"/>
      <w:r>
        <w:rPr>
          <w:rtl w:val="true"/>
        </w:rPr>
        <w:t>إیراد علی ما ذکره العلاّمة</w:t>
      </w:r>
      <w:r>
        <w:rPr>
          <w:rtl w:val="true"/>
        </w:rPr>
        <w:t>:</w:t>
      </w:r>
      <w:bookmarkEnd w:id="436"/>
    </w:p>
    <w:p>
      <w:pPr>
        <w:pStyle w:val="BookText"/>
        <w:rPr/>
      </w:pPr>
      <w:r>
        <w:rPr>
          <w:rFonts w:ascii="IRNazanin" w:hAnsi="IRNazanin" w:eastAsia="IRNazanin"/>
          <w:color w:val="111111"/>
          <w:sz w:val="28"/>
          <w:sz w:val="28"/>
          <w:szCs w:val="28"/>
          <w:rtl w:val="true"/>
          <w:lang w:bidi="fa-IR"/>
        </w:rPr>
        <w:t>علی الرغم من متانة کلامه وحسنه، ولکن فی رأینا فإن هذا المعنی خلاف ظاهر الآیات، إذ عندما یقول تعالی بعد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وللرسول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للفقراء المهاجرین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فالظاهر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یقع فی مصافِّ المجموعات السابقة وفی مصافّ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بمعنی أنه یوجد سهم لله وسهم للرسول وسهم لذی القربی، ولکل من هذه الطوائف التی تلتها کذلک سهام، بحیث جعل أحد السهام لفقراء المهاجرین، وفی الحقیقة فإن هذه المجموعة معطوفة علی سائر المجموعات، ولا حاجة إلی حرف العطف، وفی مثل هذه الحالات التی لا تحتاج إلی حرف العطف فإن معنی العطف مراد فیها، وله فی کلام العرب أمثال وموارد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التصرف بسهم الله قد جعل بید رسوله، إذ إنه یستطیع أن یعطی سهم الله جمیعاً لفقراء غیر المدینة ومکة، أو أن یصرفها فی سائر الموارد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ما ذکره المرحوم العلاّمة علی الرغم مما یکنّه من معنی لطیف، لکنه تحمیل علی الآیات حیث خوطب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السهم الذی جعل لله، وإن تم جعله تحت تصرفک، ولکن الله هو الذی یوجهک بأنک تستطیع أن تعطیه لفقراء المهاجرین</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ذکرت حکمة هذا الحکم فی الآیة السابقة حیث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لا یَکُونَ دُولَةً بَیْنَ الأَغْنِیاءِ مِنْکُمْ وهذه العبارة کذلک لیست أوسع من ذلک التعبیر، بناء علی هذا فإن الآیة الثامنة ظاهرة فی اللزوم والتعین، بمعنی أنه یلزم علی رسول الله أن یعطی من هذا السهم مقداراً لفقراء المهاجرین، وهذا علی خلاف ما ذکر من جعل سلطة التصرف وصرف سهم الله بشکل کامل بید رسوله، فإن احتمل أحدُ أن الآیة الثانیة جاءت لرفع التهمة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لا یظن الناس بأنه یتصرف مثل الحکام الآخرین الذین یشنون الحروب ویقدمون الضحایا ولکنهم فی النهایة</w:t>
      </w:r>
      <w:bookmarkStart w:id="437" w:name="pg5472_36646"/>
    </w:p>
    <w:p>
      <w:pPr>
        <w:pStyle w:val="BookText"/>
        <w:rPr/>
      </w:pPr>
      <w:bookmarkEnd w:id="437"/>
      <w:r>
        <w:rPr>
          <w:rFonts w:ascii="IRNazanin" w:hAnsi="IRNazanin" w:eastAsia="IRNazanin"/>
          <w:color w:val="111111"/>
          <w:sz w:val="28"/>
          <w:sz w:val="28"/>
          <w:szCs w:val="28"/>
          <w:rtl w:val="true"/>
          <w:lang w:bidi="fa-IR"/>
        </w:rPr>
        <w:t xml:space="preserve">یجعلون الغنائم من ذلک القتال بتصرّفهم ویضعونها فی جیوبهم، فجاءت تلک الآیة لتقول بأن ما جعل تحت تصرف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الباری یصرف بشکل متعین أو غیر متعین فی هذه الموارد، فإننا نقول فی الجواب بأن مثل هذا الاحتمال أثناء نزول الآیة لم یکن موجوداً بالإضافة إلی أن الناس کانوا یعلمون بأنه إذا جعل جمیع ذلک تحت تصرف رسوله فإنه سیصرف أکثره علی الفقراء</w:t>
      </w:r>
      <w:r>
        <w:rPr>
          <w:rFonts w:eastAsia="IRNazanin" w:cs="IRNazanin"/>
          <w:color w:val="111111"/>
          <w:sz w:val="28"/>
          <w:szCs w:val="28"/>
          <w:rtl w:val="true"/>
          <w:lang w:bidi="fa-IR"/>
        </w:rPr>
        <w:t>.</w:t>
      </w:r>
    </w:p>
    <w:p>
      <w:pPr>
        <w:pStyle w:val="Heading4"/>
        <w:numPr>
          <w:ilvl w:val="3"/>
          <w:numId w:val="1"/>
        </w:numPr>
        <w:rPr/>
      </w:pPr>
      <w:bookmarkStart w:id="438" w:name="__RefHeading___Toc2158664_581953129"/>
      <w:bookmarkStart w:id="439" w:name="_Toc166"/>
      <w:bookmarkEnd w:id="438"/>
      <w:r>
        <w:rPr>
          <w:rtl w:val="true"/>
        </w:rPr>
        <w:t>رأی القرطبی</w:t>
      </w:r>
      <w:r>
        <w:rPr>
          <w:rtl w:val="true"/>
        </w:rPr>
        <w:t>:</w:t>
      </w:r>
      <w:bookmarkEnd w:id="439"/>
    </w:p>
    <w:p>
      <w:pPr>
        <w:pStyle w:val="BookText"/>
        <w:rPr/>
      </w:pPr>
      <w:r>
        <w:rPr>
          <w:rFonts w:ascii="Amiri" w:hAnsi="Amiri" w:eastAsia="Amiri" w:cs="Amiri"/>
          <w:color w:val="111111"/>
          <w:sz w:val="28"/>
          <w:sz w:val="28"/>
          <w:szCs w:val="28"/>
          <w:rtl w:val="true"/>
          <w:lang w:bidi="ar-SA"/>
        </w:rPr>
        <w:t>لقد ذکر القرطبی فی تفسیره عدة احتمالات لقوله تعالی لِلْفُقَراءِ الْمُهاجِرِینَ وهی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الفیء والغنائم للفقراء المهاجرین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نظراً إلی الجملة الواردة فی الآیة السابقة حیث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 لا یَکُونَ دُولَةً بَیْنَ الأَغْنِیاءِ مِنْکُمْ، فإن معنی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ولکن یکون للفقراء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عطف علی ما مضی لم یأت بواو العطف</w:t>
      </w:r>
      <w:r>
        <w:rPr>
          <w:rFonts w:eastAsia="IRNazanin" w:cs="IRNazanin"/>
          <w:color w:val="111111"/>
          <w:sz w:val="28"/>
          <w:szCs w:val="28"/>
          <w:rtl w:val="true"/>
          <w:lang w:bidi="fa-IR"/>
        </w:rPr>
        <w:t>.</w:t>
      </w:r>
      <w:r>
        <w:rPr>
          <w:rStyle w:val="FootnoteAnchor"/>
          <w:rtl w:val="true"/>
        </w:rPr>
        <w:footnoteReference w:id="205"/>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ذکر للاحتمال الثالث مثالاً بأن العرب أحیاناً یقولون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المال لزید، لعمرو، ولبکر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یکونوا یذکرون الواو، وهذه الآیة من هذا القبیل، ویجب ملاحظة عدم الفرق فی هذا الاستعمال بأن یأتی حرف العطف فی الذیل أو قبله أو، أن لا یأتی قبل ذلک کالمثال المذکور، أو أن تعطف عدة موارد بعضها علی بعض مع حرف عطف و لا یؤتی فی الأخیر بحرف العطف، والدلیل علی ذلک استظهار العطف فی جمیع تلک الموارد ولو لم یوجد حرف العطف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الاحتمال الآخر لذلک یتمثل بأنه تضاف مجموعة أخری إلی المجموعات السابقة فی الآیة الثامنة فیصبح مجموع موارد مصرف الفیء سبع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وتأیید لهذا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أفضل ما یمکن ذکره فی هذا المجال هو أن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علی ما قبله بواو العطف المقدرة، وهذا بنفسه أقرب إلی الفصاحة من أن یکون بدلاً مع ما یحمله من إشکالات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هذا یصبح معنی الآیة الکریمة بشکل واضح وسلس وبدون أی تکلف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المجموعة الأخری التی یُصرَف علیها هذا الفیء، هم الفقراء المهاجرون الذین یتمتعون بصفات أربع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مهاجرین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أخرجوا من دیارهم وأموالهم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ابتغاء فضل الله ورحمته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بمعنی أن هذه المجموعة تحمل من الخصال التی لا توجد فی ابن السبیل، وما یدعو للتعجب أنه إذا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ابن سبیل یمکن أن یحمل مثل هذه الخصائص والصفات؟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هذا فقد أضیفت إلی المجموعات والأصناف السابقة مجموعة جدیدة فی الآیة الثامنة، حیث جُعِل بها مجموع مصارف الفیء سبع طوائف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بالإضافة إلی ذلک، فإن الآیة التی أتت بعدها قرینة جیدة علی ما نقول، لأن الله عز وجل یذکر بعد ذلک ما 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تَبَوَّؤُا الدَّارَ وَالإِیمانَ مِنْ قَبْلِهِمْ‌</w:t>
      </w:r>
      <w:r>
        <w:rPr>
          <w:rStyle w:val="FootnoteAnchor"/>
          <w:rtl w:val="true"/>
        </w:rPr>
        <w:footnoteReference w:id="206"/>
      </w:r>
      <w:r>
        <w:rPr>
          <w:rFonts w:ascii="IRNazanin" w:hAnsi="IRNazanin" w:eastAsia="IRNazanin"/>
          <w:color w:val="111111"/>
          <w:sz w:val="28"/>
          <w:sz w:val="28"/>
          <w:szCs w:val="28"/>
          <w:rtl w:val="true"/>
          <w:lang w:bidi="fa-IR"/>
        </w:rPr>
        <w:t xml:space="preserve">والذی یتعلق بالأنصار، فذکرت مجموعة ثامنة أیضاً، وقد ورد فی شأن نزولها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أعطی من هذا الفیء لثلاثة أشخاص من الأنصار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فی المجموع فإن الشارع المقدس ذکر ثمانیة أصناف لمصارف الفیء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والشاهد القوی علی هذا القول فعل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یتعلق بفیء بنی النضیر حیث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سهم الله فی ذلک الفیء علی الفقراء المهاجرین وثلاثة أشخاص من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المفسرون الذین لا یقولون بالعطف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الممکن أن یکون ذلک لجهة أن یؤدی ذلک إلی قولهم بتقدیر الواو، والتقدیر خلاف للأصل والقاعدة، لذا التجؤوا إلی البدلیة للقبول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رأوا فی البدل عدم إمکانیة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وللرسول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فجعلوه بدلاً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للیتامی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وبعض آخر جعلوه بدلاً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للیتامی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بالإضافة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إشکال</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من یذکرون بأن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من أربع مجموعات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الیتامی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یرد علیهم هذا الإشکال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فُصِل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وللرسول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یجعلوا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بدلاً من جمیع المجموعات الست تلک؟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إعطاء سهم الله کذلک لهؤلاء الفقراء، بالإضافة إلی سهم رسوله الذی ینبغی أن یعطی لهم؟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توجیه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ذکر البیضاوی من مفسِّری أهل السنة فی توجیه هذا الإشکال ما 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الرسول لا یسمی فقیراً</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الزمخشری ما 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 یترفع برسول الله عن التسمیة بالفقیر</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والحق أن مثل هذا التوجیهات غیر مقبولة، لأنه إذا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إشکال بأن یتم التفسیر کما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یعطی سهم الله من قبل رسوله للفقراء أو أن یعطی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سهمه للفقراء، حتی یبتلی المفسرون ویضطروا لهذه التوجیهات التی لا معنی لها، فی الحقیقة فإن هذه الجملة شیء فی مقام التعلیل، بمعنی إذا قررنا الفیء لله وللرسول، وخصصنا سهماً لهم، فإن الله عز وجل غیر محتاج مطلقاً، وکذلک فإن شأن رسوله أعلی من أن یُتَلقَّی فقیراً، فإذا</w:t>
      </w:r>
    </w:p>
    <w:p>
      <w:pPr>
        <w:pStyle w:val="BookText"/>
        <w:rPr/>
      </w:pPr>
      <w:r>
        <w:rPr>
          <w:rFonts w:ascii="IRNazanin" w:hAnsi="IRNazanin" w:eastAsia="IRNazanin"/>
          <w:color w:val="111111"/>
          <w:sz w:val="28"/>
          <w:sz w:val="28"/>
          <w:szCs w:val="28"/>
          <w:rtl w:val="true"/>
          <w:lang w:bidi="fa-IR"/>
        </w:rPr>
        <w:t>أعطی ما اختصّ بهما من أسهم للفقراء فإنه اختص تلک السهام لهما للإیصال إلی الفقراء والذین تبؤوا الدار والإیمان أی لکی ینتفع الفقراء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حال فإن هذه العبارة رفع للتهمة عن الرسول لا تکثیر للأصناف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تصبح نتیجة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فی الآیات الکریمة السابعة حتی التاسعة من سورة الحشر ذکر لمصرف الفیء ثمانیة موارد 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للرسول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لذی القربی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للیتامی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للمساکین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السبیل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للفقراء المهاجرین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للذین تبؤوا الدار والإیمان</w:t>
      </w:r>
      <w:r>
        <w:rPr>
          <w:rFonts w:eastAsia="IRNazanin" w:cs="IRNazanin"/>
          <w:color w:val="111111"/>
          <w:sz w:val="28"/>
          <w:szCs w:val="28"/>
          <w:rtl w:val="true"/>
          <w:lang w:bidi="fa-IR"/>
        </w:rPr>
        <w:t>.</w:t>
      </w:r>
      <w:bookmarkStart w:id="440" w:name="pg5472_36654"/>
    </w:p>
    <w:p>
      <w:pPr>
        <w:pStyle w:val="Heading4"/>
        <w:numPr>
          <w:ilvl w:val="3"/>
          <w:numId w:val="1"/>
        </w:numPr>
        <w:rPr/>
      </w:pPr>
      <w:bookmarkStart w:id="441" w:name="__RefHeading___Toc2158666_581953129"/>
      <w:bookmarkStart w:id="442" w:name="_Toc167"/>
      <w:bookmarkEnd w:id="440"/>
      <w:bookmarkEnd w:id="441"/>
      <w:r>
        <w:rPr>
          <w:rtl w:val="true"/>
        </w:rPr>
        <w:t>کیفیة الجمع بین آیات سورة الحشر والآیة الأولی من سورة الأنفال</w:t>
      </w:r>
      <w:r>
        <w:rPr>
          <w:rtl w:val="true"/>
        </w:rPr>
        <w:t>:</w:t>
      </w:r>
      <w:bookmarkEnd w:id="442"/>
    </w:p>
    <w:p>
      <w:pPr>
        <w:pStyle w:val="BookText"/>
        <w:rPr/>
      </w:pPr>
      <w:r>
        <w:rPr>
          <w:rFonts w:ascii="IRNazanin" w:hAnsi="IRNazanin" w:eastAsia="IRNazanin"/>
          <w:color w:val="111111"/>
          <w:sz w:val="28"/>
          <w:sz w:val="28"/>
          <w:szCs w:val="28"/>
          <w:rtl w:val="true"/>
          <w:lang w:bidi="fa-IR"/>
        </w:rPr>
        <w:t xml:space="preserve">علی الرغم من أنه قد توضّح بالرجوع إلی معنی کلمتی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فی محلِّه، بأن المعنی اللغوی لهاتین الکلمتین مختلف، ولکن لا فرق بینهما من حیث المصداق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والفقهاء کذلک لا یفرِّقون فی الفقه بین الفیء والأنفال من حیث المصداق، وفی القرآن أیضاً لا یمکن ملاحظة فرق بینهما من حیث المصداق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نری أن الله عز وجل یذکر فی آیة الأنفال أنها مختصَّة لاثنین، لله وللرسول، ولم تُذکَر فی تلک الآیة حتی کلمة ذی القربی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ذکرنا سابقاً فقد تم ذکر ثمانیة موارد للصرف فی الآیات الشریفة حول الفیء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هو مسلّم بأنه إذا استفید من آیة الأنفال الحصر یصبح الجمع بین هذه الآیات مشکلة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یلاحظ أنه لا یفهم الحصر من تلک الآیة، وأن الله عز وجل بذکره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یرید نفی ذی القربی، وکذلک لا ینفی الیتامی وسائر الموارد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بالإضافة إلی ذلک فإن الآیة الکریمة متعلقة بغنائم بدر، وقد ذکر فی شأن نزولها، کما ذکر سابقاً، بأن المقاتلین المسلمین اختلفوا فیما بینهم فی کیفیة تقسیم غنائم بدر، فنزلت هذه الآیة الشریفة التی یقول فیها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الأَنْفالُ للهِ وَالرَّسُولِ، وإن شأن النزول هذا یوضح شیئاً من مسألة عدم الحصر</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ما ذکر سابقاً عندما نضع هذه الآیات الکریمة فی صف واحد تصبح النتیجة بأن الحق یتمثل بقول ما یلی</w:t>
      </w:r>
      <w:r>
        <w:rPr>
          <w:rFonts w:eastAsia="IRNazanin" w:cs="IRNazanin"/>
          <w:color w:val="111111"/>
          <w:sz w:val="28"/>
          <w:szCs w:val="28"/>
          <w:rtl w:val="true"/>
          <w:lang w:bidi="fa-IR"/>
        </w:rPr>
        <w:t>:</w:t>
      </w:r>
      <w:bookmarkStart w:id="443" w:name="pg5472_36656"/>
    </w:p>
    <w:p>
      <w:pPr>
        <w:pStyle w:val="BookText"/>
        <w:rPr/>
      </w:pPr>
      <w:bookmarkEnd w:id="443"/>
      <w:r>
        <w:rPr>
          <w:rFonts w:ascii="IRNazanin" w:hAnsi="IRNazanin" w:eastAsia="IRNazanin"/>
          <w:color w:val="111111"/>
          <w:sz w:val="28"/>
          <w:sz w:val="28"/>
          <w:szCs w:val="28"/>
          <w:rtl w:val="true"/>
          <w:lang w:bidi="fa-IR"/>
        </w:rPr>
        <w:t xml:space="preserve">إن اللام التی دخلت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الموارد الأخری، لیست لام الملکیة، بل بمعنی أن الله عز وجل قد جعل التصرف فی الأنفال والفیء بید رسوله، وذکر فی سورة الحشر موارد کعناوین للصرف، وذلک بحسب ما یراه رسول الله من مصلحة، وهو لیس محصوراً بهم أیضاً، فمثلاً یجوز الإعطاء لطالب العلم الذی لیس بیتیم أو مسکین أو من الفقراء المهاجرین شیئاً من الأنفال حتی یستمر فی دراسته وتحصیله العلمی</w:t>
      </w:r>
      <w:r>
        <w:rPr>
          <w:rFonts w:eastAsia="IRNazanin" w:cs="IRNazanin"/>
          <w:color w:val="111111"/>
          <w:sz w:val="28"/>
          <w:szCs w:val="28"/>
          <w:rtl w:val="true"/>
          <w:lang w:bidi="fa-IR"/>
        </w:rPr>
        <w:t>.</w:t>
      </w:r>
    </w:p>
    <w:p>
      <w:pPr>
        <w:pStyle w:val="Heading4"/>
        <w:numPr>
          <w:ilvl w:val="3"/>
          <w:numId w:val="1"/>
        </w:numPr>
        <w:rPr/>
      </w:pPr>
      <w:bookmarkStart w:id="444" w:name="__RefHeading___Toc2158668_581953129"/>
      <w:bookmarkStart w:id="445" w:name="_Toc168"/>
      <w:bookmarkEnd w:id="444"/>
      <w:r>
        <w:rPr>
          <w:rtl w:val="true"/>
        </w:rPr>
        <w:t xml:space="preserve">العلاقة بین الآیة السابعة من سورة الحشر والآیة </w:t>
      </w:r>
      <w:r>
        <w:rPr/>
        <w:t>41</w:t>
      </w:r>
      <w:r>
        <w:rPr>
          <w:rtl w:val="true"/>
        </w:rPr>
        <w:t xml:space="preserve"> </w:t>
      </w:r>
      <w:r>
        <w:rPr>
          <w:rtl w:val="true"/>
        </w:rPr>
        <w:t>من سورة الأنفال</w:t>
      </w:r>
      <w:r>
        <w:rPr>
          <w:rtl w:val="true"/>
        </w:rPr>
        <w:t>:</w:t>
      </w:r>
      <w:bookmarkEnd w:id="445"/>
    </w:p>
    <w:p>
      <w:pPr>
        <w:pStyle w:val="BookText"/>
        <w:rPr/>
      </w:pPr>
      <w:r>
        <w:rPr>
          <w:rFonts w:ascii="IRNazanin" w:hAnsi="IRNazanin" w:eastAsia="IRNazanin"/>
          <w:color w:val="111111"/>
          <w:sz w:val="28"/>
          <w:sz w:val="28"/>
          <w:szCs w:val="28"/>
          <w:rtl w:val="true"/>
          <w:lang w:bidi="fa-IR"/>
        </w:rPr>
        <w:t xml:space="preserve">کما ذکر سابقاً فإن الآیة السابعة من سورة الحشر متحدة مع الآیة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الأنفال من حیث التعبیر والألفاظ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جاء فی آیة الفیء ما 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الفیء لثلاث طوائف للهِ وَلِلرَّسُولِ وَلِذِی الْقُرْبی وَالْیَتامی وَالْمَساکِینِ وَابْنِ السَّبِیلِ وقد ذکر فی الآیة الشریفة للأنفال ما</w:t>
      </w:r>
    </w:p>
    <w:p>
      <w:pPr>
        <w:pStyle w:val="BookText"/>
        <w:rPr/>
      </w:pPr>
      <w:r>
        <w:rPr>
          <w:rFonts w:ascii="Amiri" w:hAnsi="Amiri" w:eastAsia="Amiri" w:cs="Amiri"/>
          <w:color w:val="111111"/>
          <w:sz w:val="28"/>
          <w:sz w:val="28"/>
          <w:szCs w:val="28"/>
          <w:rtl w:val="true"/>
          <w:lang w:bidi="ar-SA"/>
        </w:rPr>
        <w:t>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خمس الغنائم لستّ طوائف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خُمُسَهُ وَلِلرَّسُولِ وَلِذِی الْقُرْبی وَالْیَتامی وَالْمَساکِینِ وَابْنِ السَّبِیلِ</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إن موارد الصرف فی آیة الخمس منحصرة بتلک الطوائف الست، ولکن بالنظر إلی الموارد الثمانیة المذکورة فی الآیات الشریفة من سورة الحشر، حیث ذکر تفصیله سابقاً، یعلم أن الآیة السابعة من سورة الحشر علی الرغم من أنها تشترک مع آیة الخمس فی موارد الصرف ولکن لیست لها علاقة مع خمس الغنائم الاصطلاحیة التی سوف یتم البحث عنها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نقطة ختامیة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القسم الختامی لبحثنا سوف تکون إشارة إلی استدلال من الفخر الرازی، علی الرغم من أن ذلک الاستدلال لیس متعلقاً بالبحث السابق، ولکن بما أنه ذکر ذلک فی ذیل الآیة الشریفة لِلْفُقَراءِ الْمُهاجِرِینَ من المناسب أن نشیر إلیه بشکل إجمالی، حتی یتضح الحق للمنصفین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من الفخر الرازی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فی ذیل الآیة الشریفة فی تأیید أحقیة خلافة أبی بکر وعلی وجوب الاعتقاد بها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وتمسک بعض العلماء بهذه الآیة علی إمامة أبی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الفقراء من المهاجرین والأنصار کانوا یقولون لأبی بکر خلیفة رسول الله والله یشهد علی کونهم صادقین، فوجب أن یکونوا صادقین فی قولهم، یا خلیفة رسول الله، وحتی کان الأمر کذلک وجب الجزم بصحة إمامته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استدلال الفخر الرازی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 الآیة الشریفة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لِلْفُقَراءِ الْمُهاجِرِینَ الَّذِینَ أُخْرِجُوا مِنْ دِیارِهِمْ وَأَمْوالِهِمْ یَبْتَغُونَ فَضْلاً مِنَ اللهِ وَرِضْواناً وَیَنْصُرُونَ اللهَ وَرَسُولَهُ أُولئِکَ هُمُ الصَّادِقُونَ‌</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قوله تعالی أُولئِکَ هُمُ الصَّادِقُونَ لیس معناه أنهم صادقون فی جمیع أعمالهم وأقوالهم وأمورهم، ویعلم بالرجوع إلی التاریخ أنه لم تکن توجد مثل هذه الحقیقة بأنهم کانوا صادقین فی جمیع أمورهم، لأنه وجد بین هؤلاء المهاجرین أشخاص ممن کانوا یرتکبون أخطاء، ووجد أفراد کانوا یتنازعون فیما بینهم، وکانوا</w:t>
      </w:r>
    </w:p>
    <w:p>
      <w:pPr>
        <w:pStyle w:val="BookText"/>
        <w:rPr/>
      </w:pPr>
      <w:r>
        <w:rPr>
          <w:rFonts w:ascii="IRNazanin" w:hAnsi="IRNazanin" w:eastAsia="IRNazanin"/>
          <w:color w:val="111111"/>
          <w:sz w:val="28"/>
          <w:sz w:val="28"/>
          <w:szCs w:val="28"/>
          <w:rtl w:val="true"/>
          <w:lang w:bidi="fa-IR"/>
        </w:rPr>
        <w:t>یلجؤون إلی رسول الله لحل اختلافاتهم ونزاعاتهم، فهل یمکن أن یکون طرفا الدعوة بنظر الفخر الرازی صادقین فی قولهما؟</w:t>
      </w:r>
    </w:p>
    <w:p>
      <w:pPr>
        <w:pStyle w:val="BookText"/>
        <w:rPr/>
      </w:pPr>
      <w:r>
        <w:rPr>
          <w:rFonts w:ascii="IRNazanin" w:hAnsi="IRNazanin" w:eastAsia="IRNazanin"/>
          <w:color w:val="111111"/>
          <w:sz w:val="28"/>
          <w:sz w:val="28"/>
          <w:szCs w:val="28"/>
          <w:rtl w:val="true"/>
          <w:lang w:bidi="fa-IR"/>
        </w:rPr>
        <w:t>ویتعجب الإنسان من الفخر الرازی هذا الاستدلال الذی لا یقبل به أی عاقل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هُمُ الصَّادِقُونَ بمعنی أولئک الأفراد الصادقون فی خصوص نصرة رسول الله وفی خصوص دعمهم له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هذه الآیة لا تدل علی أنهم کانوا صادقین فی جمیع أمورهم، واستدلاله واهن وضعیف</w:t>
      </w:r>
      <w:r>
        <w:rPr>
          <w:rFonts w:eastAsia="IRNazanin" w:cs="IRNazanin"/>
          <w:color w:val="111111"/>
          <w:sz w:val="28"/>
          <w:szCs w:val="28"/>
          <w:rtl w:val="true"/>
          <w:lang w:bidi="fa-IR"/>
        </w:rPr>
        <w:t>.</w:t>
      </w:r>
      <w:bookmarkStart w:id="446" w:name="pg5472_36664"/>
    </w:p>
    <w:p>
      <w:pPr>
        <w:pStyle w:val="Heading2"/>
        <w:numPr>
          <w:ilvl w:val="1"/>
          <w:numId w:val="1"/>
        </w:numPr>
        <w:rPr/>
      </w:pPr>
      <w:bookmarkStart w:id="447" w:name="__RefHeading___Toc2158670_581953129"/>
      <w:bookmarkStart w:id="448" w:name="_Toc169"/>
      <w:bookmarkEnd w:id="446"/>
      <w:bookmarkEnd w:id="447"/>
      <w:r>
        <w:rPr>
          <w:rtl w:val="true"/>
        </w:rPr>
        <w:t>خاتمة</w:t>
      </w:r>
      <w:r>
        <w:rPr>
          <w:rtl w:val="true"/>
        </w:rPr>
        <w:t xml:space="preserve">: </w:t>
      </w:r>
      <w:r>
        <w:rPr>
          <w:rtl w:val="true"/>
        </w:rPr>
        <w:t>مأساة فدک</w:t>
      </w:r>
      <w:bookmarkEnd w:id="448"/>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9" w:name="__RefHeading___Toc2158672_581953129"/>
      <w:bookmarkStart w:id="450" w:name="_Toc170"/>
      <w:bookmarkEnd w:id="449"/>
      <w:r>
        <w:rPr>
          <w:rtl w:val="true"/>
        </w:rPr>
        <w:t>اشارة</w:t>
      </w:r>
      <w:bookmarkStart w:id="451" w:name="pg5472_36668"/>
      <w:bookmarkEnd w:id="450"/>
    </w:p>
    <w:p>
      <w:pPr>
        <w:pStyle w:val="Heading3"/>
        <w:numPr>
          <w:ilvl w:val="2"/>
          <w:numId w:val="1"/>
        </w:numPr>
        <w:rPr/>
      </w:pPr>
      <w:bookmarkStart w:id="452" w:name="__RefHeading___Toc2158674_581953129"/>
      <w:bookmarkStart w:id="453" w:name="_Toc171"/>
      <w:bookmarkEnd w:id="451"/>
      <w:bookmarkEnd w:id="452"/>
      <w:r>
        <w:rPr>
          <w:rtl w:val="true"/>
        </w:rPr>
        <w:t>إشارة موجزة إلی قصة فدک</w:t>
      </w:r>
      <w:bookmarkEnd w:id="453"/>
    </w:p>
    <w:p>
      <w:pPr>
        <w:pStyle w:val="BookText"/>
        <w:rPr/>
      </w:pPr>
      <w:r>
        <w:rPr>
          <w:rFonts w:ascii="IRNazanin" w:hAnsi="IRNazanin" w:eastAsia="IRNazanin"/>
          <w:color w:val="111111"/>
          <w:sz w:val="28"/>
          <w:sz w:val="28"/>
          <w:szCs w:val="28"/>
          <w:rtl w:val="true"/>
          <w:lang w:bidi="fa-IR"/>
        </w:rPr>
        <w:t>یعتقد جمیع محدثی الشیعة ومفسریهم، وکثیر من محدثی العامة ومؤرخیهم بأن الآیتین التالیتین نزلتا فی قضیة فدک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 ذَا الْقُرْبی حَقَّهُ وَالْمِسْکِینَ وَابْنَ السَّبِیلِ وَلا تُبَذِّرْ تَبْذِیراً</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الآیة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فَآتِ ذَا الْقُرْبی حَقَّهُ وَالْمِسْکِینَ وَابْنَ السَّبِیلِ ذلِکَ خَیْرٌ لِلَّذِینَ یُرِیدُونَ وَجْهَ اللهِ وَأُولئِکَ هُمُ الْمُفْلِحُونَ‌</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کانت فدک أرضاً خصبة تقع خارج المدینة علی طریق تبوک، ولمّا فتح المسلمون خیبر فی السنة السابعة للهجرة وکانت قریبة من فدک ووصل ذلک الخبر المفاجئ إلی أهلها، ولم یکونوا یصدّقون سقوط خیبر الذی کان یتمترس فیه عشرة آلاف مقاتل ویتمتع باستحکامات حصینة، ورغم ذلک کلّه سقط بید المسلمین، عند ذلک نالهم الرعب من المسلمین، وبناء علی ما ینقل، فقد أرسلوا شخصاً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لیصالحهم علیها بجعل قسم واسع من بساتین فدک تحت تصرف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ویعیشوا فی ظل الحکومة الإسلامیة</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وبناء علی نقل آخر فقد أعطی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رایة فی فتح خیبر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إلی أهل فدک، فذهب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إلیهم فجعلوا فدک تحت تصرف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bookmarkStart w:id="454" w:name="pg5472_36670"/>
    </w:p>
    <w:p>
      <w:pPr>
        <w:pStyle w:val="Heading3"/>
        <w:numPr>
          <w:ilvl w:val="2"/>
          <w:numId w:val="1"/>
        </w:numPr>
        <w:rPr/>
      </w:pPr>
      <w:bookmarkStart w:id="455" w:name="__RefHeading___Toc2158676_581953129"/>
      <w:bookmarkStart w:id="456" w:name="_Toc172"/>
      <w:bookmarkEnd w:id="454"/>
      <w:bookmarkEnd w:id="455"/>
      <w:r>
        <w:rPr>
          <w:rtl w:val="true"/>
        </w:rPr>
        <w:t>تعصب وإنکار حقائق</w:t>
      </w:r>
      <w:r>
        <w:rPr>
          <w:rtl w:val="true"/>
        </w:rPr>
        <w:t>:</w:t>
      </w:r>
      <w:bookmarkEnd w:id="456"/>
    </w:p>
    <w:p>
      <w:pPr>
        <w:pStyle w:val="BookText"/>
        <w:rPr/>
      </w:pPr>
      <w:r>
        <w:rPr>
          <w:rFonts w:ascii="Amiri" w:hAnsi="Amiri" w:eastAsia="Amiri" w:cs="Amiri"/>
          <w:color w:val="111111"/>
          <w:sz w:val="28"/>
          <w:sz w:val="28"/>
          <w:szCs w:val="28"/>
          <w:rtl w:val="true"/>
          <w:lang w:bidi="ar-SA"/>
        </w:rPr>
        <w:t xml:space="preserve">إن ما یدعو للتعجب أن الفخر الرازی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التفسیر الکبیر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للقرآن، مع ما یتمتع به من مکانة، کیف ینکر الحقائق تعصباً وعناداً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یشیر فی ذیل الآیة الکریمة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أَفاءَ اللهُ عَلی رَسُولِهِ مِنْهُمْ فَما أَوْجَفْتُمْ عَلَیْهِ مِنْ خَیْلٍ وَلا رِکابٍ‌</w:t>
      </w:r>
      <w:r>
        <w:rPr>
          <w:rStyle w:val="FootnoteAnchor"/>
          <w:rtl w:val="true"/>
        </w:rPr>
        <w:footnoteReference w:id="212"/>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البعض أن هذه الآیة متعلقة بفدک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إنه لا یقول بأن فدک کانت لرسول الله 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جعلها لابنته فاطمة، بل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لقد کانت تحت رسول الله، وکان رسول الله یأخذ مخارجه ومخارج عائلته منها ویعطی الباقی للمسلمین، وقد ادعت ابنته ذلک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ولکنه عندما یصل إلی الآیة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الإسراء لا یشیر إلی هذه القضیة وسبب نزولها، بل یعتبرها مجملة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 ذا القربی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 ولا یبین ما هو ذلک الحق، وعند الشافعی أنه لا یجب الإنفاق إلا علی الولد والوالدین وقال قوم یجب الانفاق علی المحارم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حین إن ابن أبی الحدید ینقل قضیة فدک عن محمد بن إسحق کما 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فرغ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خیبر قذف الله الرعب فی قلوب أهل فدک فبعثوا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فصالحوه علی النصف من فدک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فکانت فدک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خالصة له لم یوجف علیها بخیل ولا رکاب</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أن فدک قد جعلت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خیل ولا رکاب، ولکن ابن أبی الحدید نفسه یعتقد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فدک لفاطمة حیث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فدک نحلة لفاطمة أنحلها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وینقل المتقی الهندی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یعتبر من الکتب الهامة عند أهل السنة عن أبی سعید الخدری ما 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 ذا القربی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فدک</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لقد ورد فی بعض ما نقلناه نحن الشیعة ما 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نزلت هذه الآیة انشغل فکر النبی بذی القربی من هم وما حقهم فنزل جبرئیل ثانیاً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سبحانه وتعالی یأمرک أن تؤتی فدکاً فاطمة فطلب النبی ابنته فاطمة فقال إن الله أمرنی أن أدفع إلیک فدکاً فمنحها وتصرفت هی فیها وأخذت حاصلها وأخذت تنفقها علی المساکین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 هذا المقدار الذی یقوم علی أساس أن فدک قد جعلت فی زمن رسول الله تحت تصرف فاطمة مدة ثلاث سنوات، ولم یکن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مباشر فی حاصل فدک ولمن یعطی، بل کانت الصلاحیة التامة لفاطمة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ذکر فی تواریخ الشیعة وکذلک فی تواریخ السنة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للحاکم،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وکذلک فی کنز العمال للمتقی الهندی،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ویصرِّح ابن کثیر کذلک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کانت فدک فی زمن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عمالها ووکلاؤها فی ذلک المکان</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العجیب أن الفخر الرازی یذکر فی موضع آخر بدون مناسبة ما 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وبعد أن توفی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خلیفة ذلک الوقت أخرج العمال والأفراد الذین کانوا</w:t>
      </w:r>
      <w:bookmarkStart w:id="457" w:name="pg5472_36674"/>
    </w:p>
    <w:p>
      <w:pPr>
        <w:pStyle w:val="BookText"/>
        <w:rPr/>
      </w:pPr>
      <w:bookmarkEnd w:id="457"/>
      <w:r>
        <w:rPr>
          <w:rFonts w:ascii="IRNazanin" w:hAnsi="IRNazanin" w:eastAsia="IRNazanin"/>
          <w:color w:val="111111"/>
          <w:sz w:val="28"/>
          <w:sz w:val="28"/>
          <w:szCs w:val="28"/>
          <w:rtl w:val="true"/>
          <w:lang w:bidi="fa-IR"/>
        </w:rPr>
        <w:t>یعملون فیها، حیث تذکر کثیر من التواریخ أنهم کانوا وکلاء للزهراء فی العمل من قبلها، حیث غصب فدک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الرغم من أن کثیراً من مؤرخی أهل السنة ذکروا هذا الأمر وورد فی کثیر من کتبهم التفسیریة عند ذکرهم سبب نزول هذه الآیة وَآتِ ذَا الْقُرْبی حَقَّهُ، ولکن الفخر الرازی یتجاوز ذلک بدون أیة إشارة إلی قصة فدک لیقول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الآیة مجملة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الآیتین السادسة والسابعة من سورة الحشر، فإنه یذکر بأن الآیة السادسة متعلقة بقصة فدک لإثبات نظریته بأن الآیة السابعة شرح وتفصیل للآیة السادسة وبیان المستحقین، وقد طرحت نظریتان حول کیفیة جعل فدک تحت تصرف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لفدک عنوان النحلة والعطیة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عبّر فی بعض الکلمات عن فدک بالنحلة والعطیة التی منحها رسول الله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بقرینة شأن نزول هذه الآیة فإنها کانت کذلک بأمر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مسألة الید فی بحث فدک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کانت للسیدة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علی فدک لمدة ثلاث سنوات وجعلت وکلاء لها هناک وکانت تأخذ من فوائد فدک بشکل مستقل، حتی بدون الرجوع إلی رسول الله، مقداراً لنفقتها ونفقة أولادها وتصرف الباقی علی فقراء المسلمین</w:t>
      </w:r>
      <w:r>
        <w:rPr>
          <w:rFonts w:eastAsia="IRNazanin" w:cs="IRNazanin"/>
          <w:color w:val="111111"/>
          <w:sz w:val="28"/>
          <w:szCs w:val="28"/>
          <w:rtl w:val="true"/>
          <w:lang w:bidi="fa-IR"/>
        </w:rPr>
        <w:t>.</w:t>
      </w:r>
    </w:p>
    <w:p>
      <w:pPr>
        <w:pStyle w:val="Heading3"/>
        <w:numPr>
          <w:ilvl w:val="2"/>
          <w:numId w:val="1"/>
        </w:numPr>
        <w:rPr/>
      </w:pPr>
      <w:bookmarkStart w:id="458" w:name="__RefHeading___Toc2158678_581953129"/>
      <w:bookmarkStart w:id="459" w:name="_Toc173"/>
      <w:bookmarkEnd w:id="458"/>
      <w:r>
        <w:rPr>
          <w:rtl w:val="true"/>
        </w:rPr>
        <w:t>روایة حول فدک</w:t>
      </w:r>
      <w:r>
        <w:rPr>
          <w:rtl w:val="true"/>
        </w:rPr>
        <w:t>:</w:t>
      </w:r>
      <w:bookmarkEnd w:id="459"/>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تفسیر علی بن إبراهیم القمی فی ذیل الآیة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الروم، توجد روایة معتبرة مفصلة تحوز علی أهمیة کبری وفیها نقاط هامة حیث یقول علی بن إبراهیم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أبی عن ابن أبی عمیر عن عثمان بن عیسی وحماد بن عثمان عن أبی عبد</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لما بویع لأبی بکر واستقام له الأمر علی جمیع المهاجرین والأنصار بعث إلی فدک فأخرج وکیل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فجاءت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أبی بکر فقالت یا أبا بکر منعتنی عن میراثی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وأخرجت وکیلی من فدک، فقد جعلها 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الله، فقال لها هاتی علی ذلک شهوداً، فجاءت بأم أیمن فقالت لا أشهد حتی أحتج یا أبا بکر علیک بما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أنشدک الله ألست تعلم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 أم أیمن من أهل الجنة قال بلی قالت فأشهد أن الله أوحی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فآت ذا القربی حقه فجعل فدک لفاطمة بأمر الله، وجاء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بمثل ذلک فکتب لها کتاباً بفدک ودفعه إلیها فدخل عمر وقال ما هذا الکتاب فقال أبو بکر إن فاطمة ادعت لفدک وشهدت لها أم أیمن وعلی فکتبت لها بفدک فأخذ عمر الکتاب من فاطمة فمزقه وقال هذا فیء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أوس الحدثان وعائشة وحفصة یشهدون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معاشر الأنبیاء لا نورث ما ترکناه صدقة فإن علیاً زوجها یجر إلی نفسه وأم أیمن فهی امرأة صالحة لو کان معها غیرها لنظرنا فیه فخرجت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عندهما باکیة حزینة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کان بعد هذا جاء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أبی بکر وهو فی المسجد وحوله المهاجرون والأنصار فقال یا ابا بکر لم منعت فاطمة میراثها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ملکته فی حیاة رسول الله فقال أبو بکر هذا فیء المسلمین فإن أقامت شهوداً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لها وإلا فلا حق لها فیه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بکر تحکم فینا بخلاف حکم الله فی المسلمین، قال لا قال فإن کان ید المسلمین شیء یملکونه ادعیت أنا فیه من تسأل البینة قال إیاک کنت أسأل البینة علی ما تدّعیه علی المسلمین قال فإذا کان فی یدی شیء وادعی فیه</w:t>
      </w:r>
    </w:p>
    <w:p>
      <w:pPr>
        <w:pStyle w:val="BookText"/>
        <w:rPr/>
      </w:pPr>
      <w:r>
        <w:rPr>
          <w:rFonts w:ascii="IRNazanin" w:hAnsi="IRNazanin" w:eastAsia="IRNazanin"/>
          <w:color w:val="111111"/>
          <w:sz w:val="28"/>
          <w:sz w:val="28"/>
          <w:szCs w:val="28"/>
          <w:rtl w:val="true"/>
          <w:lang w:bidi="fa-IR"/>
        </w:rPr>
        <w:t xml:space="preserve">المسلمون فتسألنی البینة علی ما فی یدی وقد ملّکته فی حیاة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وبعده ولم تسأل المسلمین البینة علی ما ادّعوا علی شهوداً کما سألتنی علی ما ادعیت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فسکت أبو بکر ثم قال عمر یا علی دعنا من کلامک فإنا لا نقوی علی حججک فإن أتیت بشهود عدول وإلاّ فهو فیء المسلمین لا حق لک ولا لفاطمة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بکر تقرأ کتاب الله فقال نعم فقال أخبرنی عن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 نزلت أفینا أم فی غیرنا، قال بل فیکم قال فلو أن شاهدین شهدا علی فاطمة بفاحشة ما کنت صانعاً قال کنت أقیم علیها الحد کما أقیم علی سائر المسلمین قال کنت إذاً عند الله من الکافرین، قال ولم، لأنک رددت شهادة الله لها وقبلت شهادة الناس علیها، کما رددت حکم الله وحکم رسول الله أن جعل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فدک وقبضته فی حیاته ثم قبلت شهادة أعرابی بائل علی عقبه علیها فأخذت منها فدک، وزعمت أنه فیء المسلمین وقد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البینة علی من ادّعی والیمین علی من ادّعی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فدمدم الناس وبکی بعضهم فقالوا صدق والله علی ورجع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منزله قال ودخلت فاطمة إلی المسجد وطافت بقبر أبیها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تبکی وتقول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فقدناک فقد الأرض وابها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ورددت أشعاراً</w:t>
      </w:r>
    </w:p>
    <w:p>
      <w:pPr>
        <w:pStyle w:val="BookText"/>
        <w:rPr/>
      </w:pPr>
      <w:r>
        <w:rPr>
          <w:rFonts w:ascii="IRNazanin" w:hAnsi="IRNazanin" w:eastAsia="IRNazanin"/>
          <w:color w:val="111111"/>
          <w:sz w:val="28"/>
          <w:sz w:val="28"/>
          <w:szCs w:val="28"/>
          <w:rtl w:val="true"/>
          <w:lang w:bidi="fa-IR"/>
        </w:rPr>
        <w:t>قال فرجع أبو بکر إلی منزله وبعث إلی عمر فدعاه ثم قال أما رأیت مجلس علی منّا الیوم والله لئن قعد مقعداً مثله لیفسدن أمرنا فما الرأی قال عمر الرأی أن تأمر بقتله قال فمن یقتله قال خالد بن الولید، قالا فهو ذاک فقال خالد متی أقتله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بکر إذا حضر المسجد فقم فی جنبه فی الصلاة فإذا أنا سلمت فقم إلیه فاضرب عنقه قال نعم</w:t>
      </w:r>
      <w:r>
        <w:rPr>
          <w:rFonts w:eastAsia="IRNazanin" w:cs="IRNazanin"/>
          <w:color w:val="111111"/>
          <w:sz w:val="28"/>
          <w:szCs w:val="28"/>
          <w:rtl w:val="true"/>
          <w:lang w:bidi="fa-IR"/>
        </w:rPr>
        <w:t>.</w:t>
      </w:r>
      <w:bookmarkStart w:id="460" w:name="pg5472_36680"/>
    </w:p>
    <w:p>
      <w:pPr>
        <w:pStyle w:val="BookText"/>
        <w:rPr/>
      </w:pPr>
      <w:bookmarkEnd w:id="460"/>
      <w:r>
        <w:rPr>
          <w:rFonts w:ascii="IRNazanin" w:hAnsi="IRNazanin" w:eastAsia="IRNazanin"/>
          <w:color w:val="111111"/>
          <w:sz w:val="28"/>
          <w:sz w:val="28"/>
          <w:szCs w:val="28"/>
          <w:rtl w:val="true"/>
          <w:lang w:bidi="fa-IR"/>
        </w:rPr>
        <w:t xml:space="preserve">فسمعت أسماء بنت عمیس ذلک وکانت تحت أبی بکر فقال لجاریتها اذهبی إلی منزل علی وفاطمة فأقرأهما السلام وقولی لعلی إن الملأ یأتمرون بک لیقتلوک فاخرج إنی لک من الناصحین، فجاءت الجاریة إلیهما فقالت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أسماء بنت عمیس تقرأ علیکما السلام وتقول إن الملأ یأتمرون بک لیقتلوک فاخرج إنی لک من الناصحین، 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لها إن الله یحیل بینهم وبین ما یریدون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وتهیأ للصلاة وحضر المسجد ووقف خلف أبی بکر وصلی لنفسه وخالد بن الولید إلی جنبه ومعه السیف فلما جلس أبو کبر فی التشهد ندم علی ما قال وخاف الفتنة وشدة علی وبأسه فلم یزل متفکراً لا یجسر أن یسلم حتی ظن الناس أنه قد سها ثم التفت إلی خالد فقال یا خالد لا تفعل ما أمرتک به السلام علیکم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خالد ما الذی أمرک به، قال أمرنی بضرب عنقک قال وکنت تفعل قال إی والله لولا إنه قال لی لا تفعل لقتلتک بعد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فأخذه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به الأرض واجتمع الناس علیه فقال عمر یقتله ورب الکعبة فقال الناس یا أبا الحسن الله الله بحق صاحب هذا القبر فخلّی عنه قال فالتفت إلی عمر وأخذ بتلابیبه وقال یا ابن الصهاک لولا عهد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وکتاب من الله سبق لعلمت أینا أضعف ناصراً وأقل عدداً ثم دخل منزله</w:t>
      </w:r>
      <w:r>
        <w:rPr>
          <w:rFonts w:eastAsia="IRNazanin" w:cs="IRNazanin"/>
          <w:color w:val="111111"/>
          <w:sz w:val="28"/>
          <w:szCs w:val="28"/>
          <w:rtl w:val="true"/>
          <w:lang w:bidi="fa-IR"/>
        </w:rPr>
        <w:t>.</w:t>
      </w:r>
      <w:r>
        <w:rPr>
          <w:rStyle w:val="FootnoteAnchor"/>
          <w:rtl w:val="true"/>
        </w:rPr>
        <w:footnoteReference w:id="215"/>
      </w:r>
    </w:p>
    <w:p>
      <w:pPr>
        <w:pStyle w:val="Heading3"/>
        <w:numPr>
          <w:ilvl w:val="2"/>
          <w:numId w:val="1"/>
        </w:numPr>
        <w:rPr/>
      </w:pPr>
      <w:bookmarkStart w:id="461" w:name="__RefHeading___Toc2158680_581953129"/>
      <w:bookmarkStart w:id="462" w:name="_Toc174"/>
      <w:bookmarkEnd w:id="461"/>
      <w:r>
        <w:rPr>
          <w:rtl w:val="true"/>
        </w:rPr>
        <w:t>دراسة سند الروایة</w:t>
      </w:r>
      <w:r>
        <w:rPr>
          <w:rtl w:val="true"/>
        </w:rPr>
        <w:t>:</w:t>
      </w:r>
      <w:bookmarkEnd w:id="462"/>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للمرحوم المحقق البروجردی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أسلوب فی البحث الرجالی، حیث عیَّن طبقات من الرواة، وهذا التقسیم یشمل الرواة ابتداء من عصر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وبالترتیب مروراً بزمن التابعین ومن ثمَّ تابعی التابعین وهکذا حتی</w:t>
      </w:r>
      <w:bookmarkStart w:id="463" w:name="pg5472_36682"/>
    </w:p>
    <w:p>
      <w:pPr>
        <w:pStyle w:val="BookText"/>
        <w:rPr/>
      </w:pPr>
      <w:bookmarkEnd w:id="463"/>
      <w:r>
        <w:rPr>
          <w:rFonts w:ascii="IRNazanin" w:hAnsi="IRNazanin" w:eastAsia="IRNazanin"/>
          <w:color w:val="111111"/>
          <w:sz w:val="28"/>
          <w:sz w:val="28"/>
          <w:szCs w:val="28"/>
          <w:rtl w:val="true"/>
          <w:lang w:bidi="fa-IR"/>
        </w:rPr>
        <w:t>المرحلة المعاصرة حیث استمر هذا التقسیم، وإن فائدة هذا التقسیم علی طبقات یکمن فی أن من یوجد فی الطبقة التاسعة لا یستطیع أن ینقل مباشرة ممن یقع فی الطبقة السابعة، أو إن من یقع فی الطبقة الثامنة لا یستطیع أن یروی عمن هو فی الطبقة الخامسة مباشرة، وقد حدّد المرحوم البروجردی الوسائط الموجودة بین الطبقات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ویقع المرحوم الکلینی فی الطبقة التاسعة، أما علی بن إبراهیم القمی فیقع فی الطبقة الثامنة، ویقع أبوه إبراهیم بن هاشم فی الطبقة السابعة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وینقل المرحوم الکلینی هذه الروایة عن علی بن إبراهیم، والذی نقله بدوره عن أبیه إبراهیم بن هاشم، وبدوره روی هذه الروایة عن ابن أبی عمیر الذی رواها عن عثمان بن عیسی وحماد بن عثمان، وإن عثمان بن عیسی من رؤساء الواقفیة ولکنه من الواقفیة الذین یستند الرجالیون إلی أقواله وروایاته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ویقع عثمان بن عیسی وابن أبی عمیر کلاهما فی الطبقة السادسة، حیث یرویان 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بما أن حماد بن عثمان من الطبقة الخامسة ویقع عثمان بن عیسی فی الطبقة السادسة لذا یوجد هذا الاحتمال بأن هذا الشخص قد وقع سهواً فی سند الروایة،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عیسی عن حماد بن عیسی، فإن کان فی عثمان بن عیسی بعنوان واقفیته إشکال، فلا إشکال فی حماد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استفید فی ذکر هذه المطالب من بعض کتب تلامذة المحقق الکبیر البروجردی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ولذا فإن سند هذه الروایة معتبر</w:t>
      </w:r>
      <w:r>
        <w:rPr>
          <w:rFonts w:eastAsia="IRNazanin" w:cs="IRNazanin"/>
          <w:color w:val="111111"/>
          <w:sz w:val="28"/>
          <w:szCs w:val="28"/>
          <w:rtl w:val="true"/>
          <w:lang w:bidi="fa-IR"/>
        </w:rPr>
        <w:t>.</w:t>
      </w:r>
    </w:p>
    <w:p>
      <w:pPr>
        <w:pStyle w:val="Heading3"/>
        <w:numPr>
          <w:ilvl w:val="2"/>
          <w:numId w:val="1"/>
        </w:numPr>
        <w:rPr/>
      </w:pPr>
      <w:bookmarkStart w:id="464" w:name="__RefHeading___Toc2158682_581953129"/>
      <w:bookmarkStart w:id="465" w:name="_Toc175"/>
      <w:bookmarkEnd w:id="464"/>
      <w:r>
        <w:rPr>
          <w:rtl w:val="true"/>
        </w:rPr>
        <w:t>دراسة مضمون الروایة</w:t>
      </w:r>
      <w:r>
        <w:rPr>
          <w:rtl w:val="true"/>
        </w:rPr>
        <w:t>:</w:t>
      </w:r>
      <w:bookmarkEnd w:id="465"/>
    </w:p>
    <w:p>
      <w:pPr>
        <w:pStyle w:val="BookText"/>
        <w:rPr/>
      </w:pPr>
      <w:r>
        <w:rPr>
          <w:rFonts w:ascii="IRNazanin" w:hAnsi="IRNazanin" w:eastAsia="IRNazanin"/>
          <w:color w:val="111111"/>
          <w:sz w:val="28"/>
          <w:sz w:val="28"/>
          <w:szCs w:val="28"/>
          <w:rtl w:val="true"/>
          <w:lang w:bidi="fa-IR"/>
        </w:rPr>
        <w:t xml:space="preserve">یقول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بویع لأبی بکر واستقام له الأمر علی جمیع المهاجرین والأنصار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المقام هو الحکم، بمعنی أنه عندما استتب</w:t>
      </w:r>
    </w:p>
    <w:p>
      <w:pPr>
        <w:pStyle w:val="BookText"/>
        <w:rPr/>
      </w:pPr>
      <w:r>
        <w:rPr>
          <w:rFonts w:ascii="IRNazanin" w:hAnsi="IRNazanin" w:eastAsia="IRNazanin"/>
          <w:color w:val="111111"/>
          <w:sz w:val="28"/>
          <w:sz w:val="28"/>
          <w:szCs w:val="28"/>
          <w:rtl w:val="true"/>
          <w:lang w:bidi="fa-IR"/>
        </w:rPr>
        <w:t xml:space="preserve">أمر حکمه، واطمأن أبو بکر من هذه الناحیة،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إلی فدک فأخرج وکیل فاطمة بنت رسول الله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أنه لم یکن قد مضی علی بیعته عدة أیام وبالنظر إلی جمیع المشکلات التی کان یواجهها المسلمون آنذاک، فإن من الأمور الأولی التی قام بها أثناء استلامه الحکم، باعتراف الشیعة والسنة، غصب فدک من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لماذا أقدم أبو بکر فور استلامه الخلافة علی أخذ فدک من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ضرورة ذلک أصلاً بالنسبة إلیه؟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ما نعتقد به أنه کان لفدک دخل عظیم، بل ورد فی بعض التواریخ ما 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کان وارد فدک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دینار سنویاً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الحجم الکبیر من الأموال، کان منشأ خوف وذعر فی أن یتحول إلی وسیلة لمعارضة الحاکم وإسقاطه، وإن تم صرف تلک الأموال علی ذلک لتحقق، ومن جهة أخری فإن قلوب الناس کانت تمیل لأهل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أمِّنت أمور دنیاهم من قبلهم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لوقفوا جمیعاً إلی جانبهم، ولبقی بنو تمیم وبنو عدی وبنو أمیة بلا داعم أو سند، لذا عملوا علی استغلال نقطة ضعف عوامّ الناس الذین وصفهم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حلیت الدنیا فی أعینهم وراق زبرجها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وصفهم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عبید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فکانوا یعرفون نقاط ضعف هؤلاء الناس، وأرادوا أن یبعدوهم عن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بذل الأموال والعطایا، حیث وصف ذلک دعبل الخزاعی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أری فیئهم فی غیرهم متقسّماً وأیدیهم من فیئهم صفرات</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فقاموا بهذا العمل عبر الاستیلاء السریع علی فدک، وقد ذکرت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احتجاجها علی أبی بکر 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أصرف دخل ووارد هذا المکان علی فقراء</w:t>
      </w:r>
      <w:bookmarkStart w:id="466" w:name="pg5472_36685"/>
    </w:p>
    <w:p>
      <w:pPr>
        <w:pStyle w:val="BookText"/>
        <w:rPr/>
      </w:pPr>
      <w:bookmarkEnd w:id="466"/>
      <w:r>
        <w:rPr>
          <w:rFonts w:ascii="IRNazanin" w:hAnsi="IRNazanin" w:eastAsia="IRNazanin"/>
          <w:color w:val="111111"/>
          <w:sz w:val="28"/>
          <w:sz w:val="28"/>
          <w:szCs w:val="28"/>
          <w:rtl w:val="true"/>
          <w:lang w:bidi="fa-IR"/>
        </w:rPr>
        <w:t>المسلمین فحسب فکن مطمئناً من هذه الناحیة لأنی لن استغل هذا الأمر لمواجهة حکمک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الأمر المهم الذی ینبغی ملاحظته أنهم کانوا یریدون أن یقهروا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الظاهر علی أمر ما، وذلک عبر القول بأن فدک للمسلمین، وأنک قد أخذتِه بدون وجه شرعی، فقاموا بهذا الأمر حتی لا یصل الأمر إلی ادّعاءات أصل الخلافة وأصل الولایة، وبما أن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عالمة بأن أبا بکر قد أخرجت وکلاءها من فدک، فقد أتت إلیه وقالت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بکر تحرمنی من میراث وصلنی من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وأخرجت وکیلی منها فی حین أن رسول الله قد جعله لی بأمر من الله 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العبارات تکشف أنها کانت مالکة لهذا المکان وبأمر من الله عز وجل، وقد طلب أبو بکر شاهداً فأحضرت أم أیمن</w:t>
      </w:r>
      <w:r>
        <w:rPr>
          <w:rFonts w:eastAsia="IRNazanin" w:cs="IRNazanin"/>
          <w:color w:val="111111"/>
          <w:sz w:val="28"/>
          <w:szCs w:val="28"/>
          <w:rtl w:val="true"/>
          <w:lang w:bidi="fa-IR"/>
        </w:rPr>
        <w:t>.</w:t>
      </w:r>
    </w:p>
    <w:p>
      <w:pPr>
        <w:pStyle w:val="Heading3"/>
        <w:numPr>
          <w:ilvl w:val="2"/>
          <w:numId w:val="1"/>
        </w:numPr>
        <w:rPr/>
      </w:pPr>
      <w:bookmarkStart w:id="467" w:name="__RefHeading___Toc2158684_581953129"/>
      <w:bookmarkStart w:id="468" w:name="_Toc176"/>
      <w:bookmarkEnd w:id="467"/>
      <w:r>
        <w:rPr>
          <w:rtl w:val="true"/>
        </w:rPr>
        <w:t>شاهد من أهل الجنة علی فدک</w:t>
      </w:r>
      <w:r>
        <w:rPr>
          <w:rtl w:val="true"/>
        </w:rPr>
        <w:t>:</w:t>
      </w:r>
      <w:bookmarkEnd w:id="468"/>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کانت أم أیمن جاریة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تحظی باهتمامه، وقد حرَّرها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وتزوجت بعد تحریرها، وبعد مدة مات زوجها فرغبت بالزواج مجدداً فجاءت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عندها عن أم أیمن ما 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أن یتزوج امرأة من أهل الجنة فلیتزوج من أم أیمن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فتزوجها زید بن حارثة، وهنا استفادت أم أیمن من هذه الحادثة من کلام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حقها مقابل أبی بکر، وخاطبته بأنها لن تشهد حتی تحاجَّه بما قال عنها رسول الله، فأقسمت علی أبی بکر وقالت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تعلم أن رسول الله قال عنی أنی من أهل الجنة؟ فأجابها أبو بکر بالإیجاب، وقد أرادت أم أیمن بذکر هذا الأمر أن تبین بأنها لا تکذب فی قولها لأن أهل الجنة لا یکذبون ولا یشهدون زوراً، ومن ثم شهدت أن الله عز وجل قد أوحی</w:t>
      </w:r>
    </w:p>
    <w:p>
      <w:pPr>
        <w:pStyle w:val="BookText"/>
        <w:rPr/>
      </w:pPr>
      <w:r>
        <w:rPr>
          <w:rFonts w:ascii="IRNazanin" w:hAnsi="IRNazanin" w:eastAsia="IRNazanin"/>
          <w:color w:val="111111"/>
          <w:sz w:val="28"/>
          <w:sz w:val="28"/>
          <w:szCs w:val="28"/>
          <w:rtl w:val="true"/>
          <w:lang w:bidi="fa-IR"/>
        </w:rPr>
        <w:t xml:space="preserve">هذه الآیة إلی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فدک لفاطمة بأمر من الله، ومن ثم جاء 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وشهد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فقبل أبو بکر ذلک، وکتب شیئاً به للزهراء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بعمر یأتی ویسأله عمّا کتب،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ادّعت فدکاً وشهد لها أم أیمن وعلی، فأخذ عمر ما کتبه أبو بکر للزهراء ومزّقه،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فیء المسلمین، وهو ما یذکره أهل السنة حول فدک بأنها کانت فیئاً للمسلمین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یحدّد وضع الفیء؟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 وجل من یحدّد وضع الفیء وتکلیفه، حیث یقول حول ذلک فی الآیة الشریفة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أَفاءَ اللهُ عَلی رَسُولِهِ مِنْ أَهْلِ الْقُری فَللهِ وَلِلرَّسُولِ وَلِذِی الْقُرْبی وَالْیَتامی وَالْمَساکِینِ وَابْنِ السَّبِیلِ کَیْ لا یَکُونَ دُولَةً بَیْنَ الأَغْنِیاءِ مِنْکُمْ وَما آتاکُمُ الرَّسُولُ فَخُذُوهُ وَما نَهاکُمْ عَنْهُ فَانْتَهُوا وَاتَّقُوا اللهَ إِنَّ اللهَ شَدِیدُ الْعِقابِ‌</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جعل الله عز وجل فی هذه الآیة ذی القربی من مصارف الفیء ومستحقیه، وأمر الله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یجعل هذا الفیء الخاص تحت تصرف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وذلک بعنوان حقها لا أن یجعل تحت تصرفها حتی تقوم بإیصالها إلی مستحقیها بشکل صحیح، وتلاحظون أن التعبیر المذکور فی الآیة الکریمة ما یلی</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فَآتِ ذَا الْقُرْبی حَقَّهُ أی إن فدک جمیعاً للزهراء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طبعاً إن أهل هذا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یکونوا یسعون وراء حطام الدنیا، بل إنها کانت تأخذ شیئاً من</w:t>
      </w:r>
    </w:p>
    <w:p>
      <w:pPr>
        <w:pStyle w:val="BookText"/>
        <w:rPr/>
      </w:pPr>
      <w:r>
        <w:rPr>
          <w:rFonts w:ascii="IRNazanin" w:hAnsi="IRNazanin" w:eastAsia="IRNazanin"/>
          <w:color w:val="111111"/>
          <w:sz w:val="28"/>
          <w:sz w:val="28"/>
          <w:szCs w:val="28"/>
          <w:rtl w:val="true"/>
          <w:lang w:bidi="fa-IR"/>
        </w:rPr>
        <w:t>محاصیلها لها وتصرف قسماً کبیراً منها للفقراء، ولکن مع ذلک فإنها لو لم تکن تصرف علی الفقراء لم یکن فیه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ما یدَّعی أن فدک فیء للمسلمین یعتبر اجتهاداً مقابل أمر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کان موجوداً حتی ذلک الوقت کان یمثل اجتهاداً مقابل نص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ذکره أهل السنة أنفسهم فعلی سبیل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قد أحلّ المتعة، فحرّم عمر متعتی الحج والنساء، فی مظهر للاجتهاد مقابل النص، ولکن فی قصة فدک فإن هذا الأمر اجتهاد مقابل أمر الله عز وجل، وهنا شهدت أم أیمن بأن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فدک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إنه توجد فی کثیر من الکتب الروائیة والتاریخیة عند أهل السنة حول شأن نزول هذه الآیة، أنه بعد أن نزل قوله تعالی فَآتِ ذَا الْقُرْبی حَقَّهُ أعطی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أمر الله عز وجل کیف یمکن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فیء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یستمر الخلیفة فی کلامه وینقل شیئاً من أوس وعائشة وحفصة بأن الرسول قد قال إنا معاشر الأنبیاء لا نورث ما ترکناه 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لماذا ترکّز البحث حول عنوان الإرث؟</w:t>
      </w:r>
    </w:p>
    <w:p>
      <w:pPr>
        <w:pStyle w:val="BookText"/>
        <w:rPr/>
      </w:pPr>
      <w:r>
        <w:rPr>
          <w:rFonts w:ascii="IRNazanin" w:hAnsi="IRNazanin" w:eastAsia="IRNazanin"/>
          <w:color w:val="111111"/>
          <w:sz w:val="28"/>
          <w:sz w:val="28"/>
          <w:szCs w:val="28"/>
          <w:rtl w:val="true"/>
          <w:lang w:bidi="fa-IR"/>
        </w:rPr>
        <w:t xml:space="preserve">علی الرغم من أن البحث حول فدک مطروح علی أساس أنها کانت نحلة وعطیة وبأمر من الله عز وجل، وأن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تصرفت فی فدک لمدة ثلاث سنوات وأکثر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لماذا تمحور البحث فی هذه الحادثة علی الإرث؟</w:t>
      </w:r>
    </w:p>
    <w:p>
      <w:pPr>
        <w:pStyle w:val="BookText"/>
        <w:rPr/>
      </w:pPr>
      <w:r>
        <w:rPr>
          <w:rFonts w:ascii="IRNazanin" w:hAnsi="IRNazanin" w:eastAsia="IRNazanin"/>
          <w:color w:val="111111"/>
          <w:sz w:val="28"/>
          <w:sz w:val="28"/>
          <w:szCs w:val="28"/>
          <w:rtl w:val="true"/>
          <w:lang w:bidi="fa-IR"/>
        </w:rPr>
        <w:t>للإجابة علی ذلک توجد احتمالات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لم یکن المراد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کلمات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استعملته فی خطابها لأبی بکر وقالت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بکر منعتنی عن</w:t>
      </w:r>
    </w:p>
    <w:p>
      <w:pPr>
        <w:pStyle w:val="BookText"/>
        <w:rPr/>
      </w:pPr>
      <w:r>
        <w:rPr>
          <w:rFonts w:ascii="IRNazanin" w:hAnsi="IRNazanin" w:eastAsia="IRNazanin"/>
          <w:color w:val="111111"/>
          <w:sz w:val="28"/>
          <w:sz w:val="28"/>
          <w:szCs w:val="28"/>
          <w:rtl w:val="true"/>
          <w:lang w:bidi="fa-IR"/>
        </w:rPr>
        <w:t>میراثی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 المیراث المصطلح علیه فقهیاً فی الأموال التی یترکها المیت بعد وفاته، بل المراد منه المعنی اللغوی، وهو أعم وأشمل بحیث یستوعب زمن حیاة صاحب المیراث لا بعد مماته فحسب، بمعنی ما عندنا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ذکری منه جعل تحت تصرفنا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زمن الحیاة أحیاناً یعبر العرف بأن الأخلاق الفلانیة والسلوک الفلانی ورثناها من أبینا، وفی بعض الأحیان فإنها فی الأموال أیضاً لیست مقیدة بالموت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إشکالات الاحتمال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الاحتمال إشکالات کثیرة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السیدة الزهراء نفسها فی خطبتها المعروفة قد أشارت إلی الإرث بالاصطلاح الفقهی، وخاطبت أبا بکر قائلة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أترث أباک ولا أرث 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وتمسکت کذلک بآیات متعددة من القرآن الکریم تتعلق بالبحث حول الإرث الاصطلاحی، والعجب أنها أتت تقریباً بجمیع الکلیات والضوابط المتعلقة بالإرث واستدلت به واحتجت، وهذه الآیات 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وَأُولُوا الأَرْحامِ بَعْضُهُمْ أَوْلی بِبَعْضٍ‌</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یُوصِیکُمُ اللهُ فِی أَوْلادِکُمْ لِلذَّکَرِ مِثْلُ حَظِّ الأُنْثَیَیْنِ‌</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لِلرِّجالِ نَصِیبٌ مِمَّا تَرَکَ الْوالِدانِ وَالأَقْرَبُونَ وَلِلنِّساءِ نَصِیبٌ مِمَّا تَرَکَ الْوالِدانِ وَالأَقْرَبُونَ مِمَّا قَلَّ مِنْهُ أَوْ کَثُرَ نَصِیباً مَفْرُوضاً</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فَهَبْ لِی مِنْ لَدُنْکَ وَلِیًّا یَرِثُنِی وَیَرِثُ مِنْ آلِ یَعْقُوبَ وَاجْعَلْهُ رَبِّ رَضِیًّا</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وَوَرِثَ سُلَیْمانُ داوُدَ</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تلک آیات متعلقة بالإرث الاصطلاحی، لذا لا یمکن القول بأن کلمة المیراث والإرث التی وردت فی کلام الزهراء یراد منها المعنی اللغوی أو معنی أشمل من المعنی الاصطلاحی وأعمّ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هذا الاحتمال أقوی من سابقه ویتمثل بأن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تعلم أنها لو طرحت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لما کان هذا الأمر مقبولاً عند عموم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ادّعت بأن هذا شیء أعطاه الله لی ووکلنی إیاه رسوله، وشهدت أم أیمن وأمیر المؤمنین وأسماء علی ذلک، والآیة الشریفة التی نزلت یأمر الله عزّ وجلّ جبرئیل فیها أن یقول لرسول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فدک للزهراء، وشهد هؤلاء علی النحلة،</w:t>
      </w:r>
    </w:p>
    <w:p>
      <w:pPr>
        <w:pStyle w:val="BookText"/>
        <w:rPr/>
      </w:pPr>
      <w:r>
        <w:rPr>
          <w:rFonts w:ascii="IRNazanin" w:hAnsi="IRNazanin" w:eastAsia="IRNazanin"/>
          <w:color w:val="111111"/>
          <w:sz w:val="28"/>
          <w:sz w:val="28"/>
          <w:szCs w:val="28"/>
          <w:rtl w:val="true"/>
          <w:lang w:bidi="fa-IR"/>
        </w:rPr>
        <w:t>لکانت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مقبولیة هذا الطرح عند عموم الناس، وعلی الرغم من أن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عقلائیة وأمر یتمتع باستحکام فقهی وحقوقی وقانونی، ولکنه عند عموم الناس غیر قابل للفهم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 ما یمکن للناس أن یفهموه یتمثل بمسألة الإرث، وهی من القوانین المسلَّمة التی کانت موجودة قبل الإسلام وقَبِلَها الإسلام بعد ظهوره وعیّن حدوده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فقد دخلت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للمحاجّة عبر هذا الطریق، لأنها کانت مؤثرة فی عموم الناس، ولأنها أوسع دائرة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یذکر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للمفضل فی روایة أنه عندما تمت البیعة، اقترح الخلیفة الثانی فی تلک اللحظات الأولی علی الخلیفة الأول بوجوب أخذ کل ما هو عند علی وفاطمة من خمس وفدک وفیء، مستدلاًّ بأنه إذا بقیت فدک والفیء والخمس عندهم فإن الناس سوف یلتفون حولهم ویبتعدون عنک، وإن هؤلاء الناس ممن إذا رأوا المال تحت تصرفک أتوا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والنقطة الثانیة المطروحة هنا بأن الزهراء لو طرحت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لحُصر ذلک بفدک فحسب، فی حین أنها کانت تعلم أنهم کانوا بصدد خطط أوسع یریدون من خلالها أن یستولوا علی جمیع الأموال التی بأیدیهم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طرحت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یبقی جمیع ماکان فی أیدیهم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فدک وغیر فدک، وتمنع غصبها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الاحتمال قابل للجمع مع الاحتمال الثانی، بأن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رأت أن الخلیفة الأول طرح حدیثاً مزوراً ومجعولاً وقام بالبدعة فی الدین، لذا توجهت إلی آیات الإرث وردّت علیه بها، وفی نظرنا ورأینا فإن الاحتمال الثانی هو الأفضل والأقوی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الخلیفة الأول والحدیث المجعول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مرّ فی هذه الروایة، فقد ذکر الخلیفة الأول عن رسول الله أنه قال</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معاشر الأنبیاء 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الحدیث مجعول، بغضِّ النظر عن مناقضته لظواهر القرآن بل لصریحه، إذ لم یرو أحد قبل أبی بکر مثل هذا الحدیث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ویعتقد محدِّثوا أهل السنة أنفسهم بأنه إذا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مثل هذا الحدیث حقیقة فلماذا لَمْ ینقل هذا الحدیث من قبل؟</w:t>
      </w:r>
    </w:p>
    <w:p>
      <w:pPr>
        <w:pStyle w:val="BookText"/>
        <w:rPr/>
      </w:pPr>
      <w:r>
        <w:rPr>
          <w:rFonts w:ascii="IRNazanin" w:hAnsi="IRNazanin" w:eastAsia="IRNazanin"/>
          <w:color w:val="111111"/>
          <w:sz w:val="28"/>
          <w:sz w:val="28"/>
          <w:szCs w:val="28"/>
          <w:rtl w:val="true"/>
          <w:lang w:bidi="fa-IR"/>
        </w:rPr>
        <w:t>لماذا لَمْ ینقل هذا الحدیث کل هؤلاء الصحابة واکتفی بنقله أوس وعائشة وحفصة؟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الواضح أن مثل هذا الحدیث مجعول ومردود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بالإضافة إلی ما ذکر سابقاً هناک سؤال یطرح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مکّن الخلیفة الأول زوجات الرسول من البقاء فی حجرات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إن دفن الخلیفة الأول تمّ فیها، وقد طلب الخلیفة الثانی الذی کان من مؤیدی هذه النظریة فی زمن حیاته من عائشة أن یدفن فی جنب أبی بکر، مع أنه یلزم أن تقول طبقاً لاستدلاله وادعائه 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قد ترک الدنیا دون أن یرث أرضاً ولا بیتاً ولا حجرة، ویجب علیکم أن تهیئوا مکاناً لأنفسکم، إذاً، لماذا استفادوا من هذا الحدیث فقط ضد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ولماذا لم یتمسکوا بهذا الحدیث بالنسبة إلی أزواج رسول الله وأبقوهم هناک؟</w:t>
      </w:r>
    </w:p>
    <w:p>
      <w:pPr>
        <w:pStyle w:val="BookText"/>
        <w:rPr/>
      </w:pPr>
      <w:r>
        <w:rPr>
          <w:rFonts w:ascii="IRNazanin" w:hAnsi="IRNazanin" w:eastAsia="IRNazanin"/>
          <w:color w:val="111111"/>
          <w:sz w:val="28"/>
          <w:sz w:val="28"/>
          <w:szCs w:val="28"/>
          <w:rtl w:val="true"/>
          <w:lang w:bidi="fa-IR"/>
        </w:rPr>
        <w:t>إکمال للروایة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فی إکمال هذه الروایة 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طعن عمر فی الشهود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علیاً زوجها یجرّ إلی 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إشکال</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النقطة المهمة تکمن فی أنه إذا کانت فدک فیئاً للمسلمین، وجاؤوا بآلاف الشهود علی ذلک، فإن ذلک غیر مؤثر، بل یجب أن یجعل الفیء تحت تصرّف الحاکم الإسلامی، فی حین إن عمر، هنا، حصر إشکاله فی شهادة أمیر المؤمنین بأنه زوج الزهراء ویشهد لنفعه، وأم أیمن کذلک فإنها، وإن کانت امرأة مؤمنة لکنها تحتاج إلی شاهدة أخری إلی جانبها لتعطی رأیها حول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ذکر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أم أیمن، کما ذکر سابقاً، بأنها من أهل الجنة، بناء علی هذا فإن شهادتها تعادل شهادة عدة أشخاص وتوجب القطع، وإن الإتیان بشهادة شخصین لازم عندما لا توجد قرائن علمیة، ویشبه ذلک المعنی ما حدث فی زمن رسول الله حول خزیمة ذی الشهادتین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الإشکال یکمن، بأنه حتی لو انضم آلاف الشهود الآخرین، فإنه إذا کانت فدک فیئاً للمسلمین عندها لا ینبغی أن یجعل فی تصرف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لماذا قال عمر ذلک؟ وما جواب أهل السنة علی هذا التهافت؟</w:t>
      </w:r>
    </w:p>
    <w:p>
      <w:pPr>
        <w:pStyle w:val="BookText"/>
        <w:rPr/>
      </w:pPr>
      <w:r>
        <w:rPr>
          <w:rFonts w:ascii="IRNazanin" w:hAnsi="IRNazanin" w:eastAsia="IRNazanin"/>
          <w:color w:val="111111"/>
          <w:sz w:val="28"/>
          <w:sz w:val="28"/>
          <w:szCs w:val="28"/>
          <w:rtl w:val="true"/>
          <w:lang w:bidi="fa-IR"/>
        </w:rPr>
        <w:t>جهل الخلیفة بأحکام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عندما یقول الخلیفة الثانی بأنه إذا انضم شاهد آخر إلی أم أیمن فعند ذلک تکون شهادتها مقبولة، من ذلک یعلم أن هذین الشخصین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 جاهلین بأحکام القضاء فی الإسلام، لأن جمیع المذاهب الأربعة عند أهل السنة اتفقت علی أن شهادة امرأة منضمّةً إلی قَسَم المدّعی کافٍ فی الأمور المالیة، عندها کانا یستطیعان أن یقولا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 أیمن شاهدة، وعلیک أن تقسمی علی ذلک لکی تحلّ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یعلم أنهما لم یکونا یسعیان للعمل بناء علی أحکام القضاء الإسلامیة، فلو أنهما کانا یریدان العمل بذلک لاکتفیا بالشاهد والیمین، وقد تکرر مثل هذا الأمر فی زمن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فلماذا لَمْ یریدا فی هذه الحالة أن یطّبقا ما تکرر فی زمن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یعملا به؟</w:t>
      </w:r>
    </w:p>
    <w:p>
      <w:pPr>
        <w:pStyle w:val="BookText"/>
        <w:rPr/>
      </w:pPr>
      <w:r>
        <w:rPr>
          <w:rFonts w:ascii="IRNazanin" w:hAnsi="IRNazanin" w:eastAsia="IRNazanin"/>
          <w:color w:val="111111"/>
          <w:sz w:val="28"/>
          <w:sz w:val="28"/>
          <w:szCs w:val="28"/>
          <w:rtl w:val="true"/>
          <w:lang w:bidi="fa-IR"/>
        </w:rPr>
        <w:t>أهمیة فدک</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القضایا الهامة التی ینبغی طرحها، وطبقاً لما نقله أبو هلال العسکری أن أول شخص ردَّ فدک هو عمر بن عبد العزیز، حتی اجتمع فی زمنه جمع من قضاة العامّة</w:t>
      </w:r>
    </w:p>
    <w:p>
      <w:pPr>
        <w:pStyle w:val="BookText"/>
        <w:rPr/>
      </w:pPr>
      <w:r>
        <w:rPr>
          <w:rFonts w:ascii="IRNazanin" w:hAnsi="IRNazanin" w:eastAsia="IRNazanin"/>
          <w:color w:val="111111"/>
          <w:sz w:val="28"/>
          <w:sz w:val="28"/>
          <w:szCs w:val="28"/>
          <w:rtl w:val="true"/>
          <w:lang w:bidi="fa-IR"/>
        </w:rPr>
        <w:t>وأشکلوا علیه فعله وقراره، فأجابهم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لوجود بینة، بالإضافة إلی أن الزهراء کانت لها ید علیه، عندها یتضح أن فدک کانت للزهراء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قال عمر بن عبد العزیز 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أقوم بذلک تقرباً إلی الله عز وجل حتی أکون مشمولاً یوم القیامة بشفاعة الحسنین بهذا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نفذ ذلک الأمر وردّ فدک وجعله تحت تصرف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غصب فدک یزید بن عبد الملک مرتین، فردّها أبو العباس السفاح، فغصبها یزید بن عبد الملک مرة أخری وردّها أبو العباس السفاح، فغصبها المنصور العباسی وبقیت تحت بنی العباس حتی زمن المأمون، فشکل المأمون مجلس مناظرة وجمع فیها قضاة العامّة وعلماءهم، وأخذ من جمیعهم إقراراً بأن فدک للزهراء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ردّها المأمون، وبعد ذلک غصبها المتوکل مرة أخری، وکل هذا کاشف عن أن موضوع فدک کان موضوعاً مهماً وکل حاکم یصل إلی الحکم إذا کان یمتلک ذرة إیمان کان یردّ فدک، وإن لم یکن فیه ذرة إیمان کان یستولی علیها فوراً حتی یجنی محاصیلها ومواردها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أشنع من غصب فدک</w:t>
      </w:r>
    </w:p>
    <w:p>
      <w:pPr>
        <w:pStyle w:val="BookText"/>
        <w:rPr/>
      </w:pPr>
      <w:r>
        <w:rPr>
          <w:rFonts w:ascii="IRNazanin" w:hAnsi="IRNazanin" w:eastAsia="IRNazanin"/>
          <w:color w:val="111111"/>
          <w:sz w:val="28"/>
          <w:sz w:val="28"/>
          <w:szCs w:val="28"/>
          <w:rtl w:val="true"/>
          <w:lang w:bidi="fa-IR"/>
        </w:rPr>
        <w:t xml:space="preserve">ورد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الموحدین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یعدّ من الکتب الجیدة جداً ما یلی</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رفض شهادة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الخلیفة الثانی أشنع وأقبح من أصل غصب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الحق إذ إن تصرّفهم هذا أقبح من غصب فدک، إذ کیف یتجرّأ شخص أن یردّ شهادة شخص مثل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شهادته غیر مقبولة؟</w:t>
      </w:r>
    </w:p>
    <w:p>
      <w:pPr>
        <w:pStyle w:val="BookText"/>
        <w:rPr/>
      </w:pPr>
      <w:r>
        <w:rPr>
          <w:rFonts w:ascii="IRNazanin" w:hAnsi="IRNazanin" w:eastAsia="IRNazanin"/>
          <w:color w:val="111111"/>
          <w:sz w:val="28"/>
          <w:sz w:val="28"/>
          <w:szCs w:val="28"/>
          <w:rtl w:val="true"/>
          <w:lang w:bidi="fa-IR"/>
        </w:rPr>
        <w:t xml:space="preserve">تلک الشخصیة التی لم تبدر منها معصیة، أو یصدر منها کذب، وإن تقواه وزهده معروف ومشهور بین العام والخاص، ولکن مع الأسف فإنهم تعاملوا معه بمثل هذه الطریقة، وردّ ورفض ادّعاء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من قبیل هذا الأمر، لأنها، باعتراف أهل السنة کذلک، من مصادیق أهل البیت الذین نزلت فیهم آیة التطهیر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احتجاج 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إکمال الروایة یذکر 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کلام عمر، رجعت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مغمومة محزونة باکیة من عند هذین الشخصین، ومن ثم جاء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أبی بکر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منعت فاطمة من میراث رسول الله؟ فأجابه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فیء المسلمین، فإن أتت فاطمة بشهود بأنها لها سأقبل ذلک وإلا فلا، عند ذلک 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معترضاً علی کیفیة قضاء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ترید أن تقضی فینا أهل البیت علی خلاف حکم الله بین المسلمین؟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فی ید مسلم شیء مثل بیت وادعیته لنفسی فممّن ترید البینة؟ من ذلک الشخص الذی له ید؟ أو منی حیث أدّعی؟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أرید منک البینة، عند ذلک طرح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ذلک السؤال علیه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فی یدی شیء وادّعی سائر المسلمین أنه لهم فممّن ترید البینة؟ 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البینة من المدّعی،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لماذا تطالب شهوداً من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حین إنها تصرفت أن فدک کانت تحت یدها لمدة ثلاث سنوات وکان لها ید علیها وتحت تصرفها</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فسکت أبو بکر ومن ثم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عُلِم أنه کان موجوداً 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تجادلنا فلا طاقة لنا علی مجادلتک، فکرّر عمر وأبو بکر قولهما السابق وقالا إن أتیت بشهود عدول بأن فدک لکم فهو لکم وإلا فهو فیء للمسلمین ولا حق لک أو لفاطمة فیها، 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بکر أقرأت القرآن؟ فقال نعم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w:t>
      </w:r>
    </w:p>
    <w:p>
      <w:pPr>
        <w:pStyle w:val="BookText"/>
        <w:rPr/>
      </w:pPr>
      <w:r>
        <w:rPr>
          <w:rFonts w:ascii="Amiri" w:hAnsi="Amiri" w:eastAsia="Amiri" w:cs="Amiri"/>
          <w:color w:val="111111"/>
          <w:sz w:val="28"/>
          <w:sz w:val="28"/>
          <w:szCs w:val="28"/>
          <w:rtl w:val="true"/>
          <w:lang w:bidi="ar-SA"/>
        </w:rPr>
        <w:t>من نزلت آیة التطهیر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وَیُطَهِّرَکُمْ تَطْهِیراً ألم تنزل فینا؟ قال 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نزلت فیکم،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أتی شهود وشهدوا أن فاطمة ارتکبت فاحشة والعیاذ بالله فماذا تفعل؟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أجری علیها الحدّ کسائر نساء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کافر فی هذه الحالة،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لأنک رددت شهادة الله بطهارة فاطمة وقبلت شهادة هؤلاء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ثم 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فی قضیة فدک رددت حکم الله وحکم رسوله، حیث جعل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الله فدک لفاطمة وتحت تصرفها وقبلتَ شهادة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أنه أوس بن حدثان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یبول واقفاً، وعلی هذا الأساس أخذت فدک من فاطمة وادعیت أنه فیء المسلمین، وأضاف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تسمع رسول الله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من ادّعی والقسم علی المدّعی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ردّ فعل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ذیل الروایة یعلم أن هذه الحادثة جرت فی المسجد وسط حضور الناس، إذ ورد فی الروایة أنه حدثت همهمة وضجیج بین الناس وبکی بعضهم وقالوا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إن علیاً یقول الحق</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هذا الاحتجاج لم یدخل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الإرث، بل من باب الید وقال إن فاطمة ذو الید علیها، وکل من یدّعی خلاف ذلک فیجب علیه أن یقیم البینة، ولذلک فإن أبا بکر حسب إقراره یجب أن یطلب البینة من المدّعی فلِمَ یطلب من الزهراء البینة مع أنها ذو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آخر من کتاب کفایة الموحدین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النقطة الأخری التی توجد فی هذا الکتاب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أغمضنا العین عن مسألة الید، ووضعنا جانباً مسألة کونها من ذی الید، فإنه بمحض أن الزهراء معصومة بمقتضی آیة التطهیر، ألا ینبغی لأبی بکر أن یقبل قولها؟ مع أنه کان یعلم أنها مبرِّءة من الکذب وهذا الموضوع أظهر من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عناد وتعصّب وإنکار لعصمة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أحیاناً یجرّ العناد والتعصب الإنسان إلی مکان شاذّ، بحیث أدی ببعض علماء العامة إلی إنکار عصمة الأنبیاء لتوجیه عمل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واقعة أنه ادّعی أعرابی فی زمن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أنه باعه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 ولم یقبض ثمنه،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أعطیت لک ثمن الجمل، عند ذلک قال خزیمة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أشهد أن رسول الله أعطاه ثمن الجمل، عند ذلک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لم تکن أثناء الصفقة معنا فکیف تشهد؟ فقال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مقام العصمة التی لکم یجعلنا علی یقین بأنک صادق القول، ولذا لم یردّ رسول الله شهادته وسماه خزیمة ذا الشهادتین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النقطة المهمة فی هذه الحالة أن شهادة خزیمة لم تکن من حسٍّ بل عن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عذر أقبح من 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طرح بعض من کبار أهل السنة مثل الملاّ سعد التفتازانی والمیر سید شریف الجرجانی وبعض من شارحی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مطلبین فی توجیههم لکلام أبی بکر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هؤلاء من علماء أهل السنة فی رد عقیدة الشیعة المبنیة علی عصمة الأنبیاء ما یلی</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تقولون بأن فاطمة الزهراء معصومة فی حین إننا لا نقبل أصلاً عصمة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 إنهم أنکروا عصمة الأنبیاء بشکل کامل لتبریر فعل أبی بکر فی تلک الواقعة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إذا لم یکن الأنبیاء معصومین فکیف یستطیع الناس أن یعلموا ویصدّقوا أن ما یقول هؤلاء صحیح من عند الله؟</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ما یؤکد علیه هؤلاء یتمثل فیما 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باب القضاء لا فرق فیمن یکون أحد طرفی المرافعة سواء کان رسولاً أو ملائکةً أو إماماً، إذ یجب فی باب القضاء العمل علی أساس موازین القضاء وأحکامه، ومن موازین القضاء وأحکامه أن البینة للمدعی والیمین علی من أنکر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ونطرح فی الردّ علیهم هذین السؤالین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الأمر کذلک فعلی أی أساس قضائی طالب بالبینة من ذی الید؟ وأی فقیه مسلم یقول بلزوم إقامة البینة علی ذی الیدّ؟</w:t>
      </w:r>
    </w:p>
    <w:p>
      <w:pPr>
        <w:pStyle w:val="BookText"/>
        <w:rPr/>
      </w:pPr>
      <w:r>
        <w:rPr>
          <w:rFonts w:ascii="IRNazanin" w:hAnsi="IRNazanin" w:eastAsia="IRNazanin"/>
          <w:color w:val="111111"/>
          <w:sz w:val="28"/>
          <w:sz w:val="28"/>
          <w:szCs w:val="28"/>
          <w:rtl w:val="true"/>
          <w:lang w:bidi="fa-IR"/>
        </w:rPr>
        <w:t>وبغضِّ النظر عن الشرع المقدس، فإن من غیر المقبول لدی العقلاء أن یقال لذی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أثبت ملکک علی ما جعلت یدک علیه بإقامة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إن هذا العمل مخالف لأسلوب العقلاء، بل إن من یدّعی مالکیة ذی الید یجب علیه أن یقیم البینة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موازین القضاء بناء علی رأی أکثر الفقهاء حجیة القطع والعلم، فإن حصل لدی القاضی قطع وعلم من أی طریق، عندها یجب علیه أن یعمل طبقاً لهما، وإن اعتبره البعض شرطاً فی حقوق الله فحسب، ولکن البعض الآخر یقول باعتبار شرط علم القاضی فی حقوق الناس بالإضافة إلی حقوق الله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طبعاً هناک تفاصیل أخری، بنحو الاجمال، فی نفس موازین القضاء بأن قطع القاضی وعلمه من الأشیاء التی یجب علی القاضی العمل طبقه ولها 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فلماذا لم یعمل هؤلاء بهذا المیزان؟</w:t>
      </w:r>
    </w:p>
    <w:p>
      <w:pPr>
        <w:pStyle w:val="BookText"/>
        <w:rPr/>
      </w:pPr>
      <w:r>
        <w:rPr>
          <w:rFonts w:ascii="IRNazanin" w:hAnsi="IRNazanin" w:eastAsia="IRNazanin"/>
          <w:color w:val="111111"/>
          <w:sz w:val="28"/>
          <w:sz w:val="28"/>
          <w:szCs w:val="28"/>
          <w:rtl w:val="true"/>
          <w:lang w:bidi="fa-IR"/>
        </w:rPr>
        <w:t>بناء علی هذا، فإن ما یدّعونه نوع من التکلّفات لما ارتکبوه من مخالفة للشرع وما عملوه من مخالفة لموازین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کان رسول الله مستهیناً بالنسبة إلی بیت المال؟</w:t>
      </w:r>
    </w:p>
    <w:p>
      <w:pPr>
        <w:pStyle w:val="BookText"/>
        <w:rPr/>
      </w:pPr>
      <w:r>
        <w:rPr>
          <w:rFonts w:ascii="IRNazanin" w:hAnsi="IRNazanin" w:eastAsia="IRNazanin"/>
          <w:color w:val="111111"/>
          <w:sz w:val="28"/>
          <w:sz w:val="28"/>
          <w:szCs w:val="28"/>
          <w:rtl w:val="true"/>
          <w:lang w:bidi="fa-IR"/>
        </w:rPr>
        <w:t xml:space="preserve">إن الإشکال الآخر الذی یرد علی هؤلاء المدّعین یتمثل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یقول مراراً فیما یتعلق بوصیة الأفراد فی أموالهم الشخصیة مایلی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 المسلم فی نفسه آثار الموت فیجب علیه أن یوصی لئلا یتصرف ورثته فی حق الآخرین الباقی فی أمواله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لم تکن فدک للزهراء حقاً ألا یقتضی ذلک أن یکون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 فیما یتعلق بذلک، لِئَلاّ یضیع حق من بیت مال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یعتبر الخلیفة الأول نفسه مقدماً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إحقاق حقوق المسلمین حتی یوضح بنفسه وضع فدک؟ وهل ترک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w:t>
      </w:r>
    </w:p>
    <w:p>
      <w:pPr>
        <w:pStyle w:val="BookText"/>
        <w:rPr/>
      </w:pPr>
      <w:r>
        <w:rPr>
          <w:rFonts w:ascii="IRNazanin" w:hAnsi="IRNazanin" w:eastAsia="IRNazanin"/>
          <w:color w:val="111111"/>
          <w:sz w:val="28"/>
          <w:sz w:val="28"/>
          <w:szCs w:val="28"/>
          <w:rtl w:val="true"/>
          <w:lang w:bidi="fa-IR"/>
        </w:rPr>
        <w:t xml:space="preserve">فإن کان فدک بزعمکم الباطل فیئاً للمسلمین، ولم یذکر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شیئاً حوله فمعنی ذلک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ترک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حول الروایة المجعولة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ما یخطر فی الذهن من سؤال حول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معاشر الأنبیاء 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لماذا لم یطرح مثل هذا الأمر قبل عصر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الشرائع الأخری؟</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لم یورّث الأنبیاء، عندها یجب أن یطرح هذا الأمر کذلک فی شریعة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والشرائع السابقة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هو مسلّم أنه لم یطرح أحد مثل هذه الروایة قبل أن یختلقها أبو بکر فی تلک الحادثة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ویصرِّح ابن أبی الحدید فی شرح نهج البلاغة مایلی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من ذکر هذه الروایة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صرّح محدّثو العامة بل أکثرهم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فإن فی هذه الروایة إشکالاً من حیث السند ومن حیث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إشکال آخر علی هذه الروایة المجعولة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ذکر ابن حجر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وأحمد بن حنبل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لم تذکر فی أی من کتب الشیعة وهو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والعباس عمّ النبی حول بعض أموال رسول الله،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السیف والدرع لی لأنی أکبر سناً وعم رسول الله، 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لک نصیب فیهما، فقضی أبو بکر فی هذه الحالة، وأعطی الحقّ لعلی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کانت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معاشر الأنبیاء 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فکیف قضی أبو بکر بذلک وحکم؟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حضور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مسجد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محاجّة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أبی بکر وعمر فی مسجد النبی ارتفعت همهمة وصوت وضجیج بین الناس وأقسم الناس فی تلک الحالة أن الحق مع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وبعد ذلک 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منزله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ثم حضرت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المسجد وتوجهت إلی قبر أبیها باکیة وتمثلت أبیاتاً من الشعر تخاطب فیها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ثم خطبت خطبتها المعروفة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أن انتهی المجلس ورجع أبو بکر إلی منزله، أرسل شخصاً فی طلب عمر، ولما رأی أبو بکر عمر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ماذا فعل علی فی المسجد هذا الیوم؟ والله لو کررها علیّ</w:t>
      </w:r>
    </w:p>
    <w:p>
      <w:pPr>
        <w:pStyle w:val="BookText"/>
        <w:rPr/>
      </w:pPr>
      <w:r>
        <w:rPr>
          <w:rFonts w:ascii="IRNazanin" w:hAnsi="IRNazanin" w:eastAsia="IRNazanin"/>
          <w:color w:val="111111"/>
          <w:sz w:val="28"/>
          <w:sz w:val="28"/>
          <w:szCs w:val="28"/>
          <w:rtl w:val="true"/>
          <w:lang w:bidi="fa-IR"/>
        </w:rPr>
        <w:t>مرة أخری لأفسد علینا حکمنا، فانظر ماذا نفعل به؟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اقتراحی علیک أن تأمر بقتله،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یقتله؟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الولید، وکان فی قلب خالد حقد شدید علی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فطلب أبو بکر وعمر خالداً، وأخبراه بخطة قتل علی، فقال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أنفّذ کل ماتریدونه حتی لو کان قتل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العمل أردناک، واتفقا علی أنه عندما یدخل علی المسجد للصلاة، یجلس خالد بجانبه وبعد ذلک عندما یسلّم أبو بکر تکون تلک إشارة لخالد لیقتل علیاً ویضربه بالسیف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سمعت أسماء بنت عمیس التی کانت فی منزل أبی بکر تلک المؤامرة وعلمت به أرسلت جاریتها إلی منزل علی وفاطمة وقالت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اذهبی إلی منزل علی وفاطمة وأبلغیهما السلام وقولی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الملأ یأتمرون بک لیقتلوک فاخرج إنی لک من الناصحین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فقامت تلک الجاریة بعملها، وأخبرت علیاً برسالة أسماء بنت عمیس فأجابها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سوف یحبط هذه المؤامرة ولن یستطیعوا أن یعملوا شیئاً، وقد ورد فی بعض الروایات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أقاتل الناکثین والمارقین والقاسطین وأقتلهم ولم تحن ساعتی بعد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ثم ذهب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المسجد وصلّی لنفسه خلف أبی بکر، وفی هذا کنایة أنه کان فی الظاهر یصلی معهم جماعة، ولکنه کان فی الواقع یصلّی فرادی، ولمّا همّ خالد بن الولید بسلّ سیفه لقتل علی عند الإشارة المتفقة، وکان أبو بکر یتشهد فی</w:t>
      </w:r>
    </w:p>
    <w:p>
      <w:pPr>
        <w:pStyle w:val="BookText"/>
        <w:rPr/>
      </w:pPr>
      <w:r>
        <w:rPr>
          <w:rFonts w:ascii="IRNazanin" w:hAnsi="IRNazanin" w:eastAsia="IRNazanin"/>
          <w:color w:val="111111"/>
          <w:sz w:val="28"/>
          <w:sz w:val="28"/>
          <w:szCs w:val="28"/>
          <w:rtl w:val="true"/>
          <w:lang w:bidi="fa-IR"/>
        </w:rPr>
        <w:t>صلاته ندم علی ما خطط له، وتذکّر شجاعة علی وخاف الفتنة وسفک الدماء، وبقی سارحاً فی فکره وأطال الصلاة حتی ظنّ الناس أنه سها، عندها بدون إدراک</w:t>
      </w:r>
    </w:p>
    <w:p>
      <w:pPr>
        <w:pStyle w:val="BookText"/>
        <w:rPr/>
      </w:pPr>
      <w:r>
        <w:rPr>
          <w:rFonts w:ascii="IRNazanin" w:hAnsi="IRNazanin" w:eastAsia="IRNazanin"/>
          <w:color w:val="111111"/>
          <w:sz w:val="28"/>
          <w:sz w:val="28"/>
          <w:szCs w:val="28"/>
          <w:rtl w:val="true"/>
          <w:lang w:bidi="fa-IR"/>
        </w:rPr>
        <w:t>وبلا إرادة وأثناء الصلاة توجّه إلی خالد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تقم بما أمرتک به، ومن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وسلم للصلاة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نهایة مؤامرة القتل والخروج من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والعجب کل العجب کیف أثّرت تلک الانحرافات فی الفقه بحیث إن جمیع فقهاء الأحناف یقولون بجواز الخروج من الصلاة بکلام آدمی وإن لم یکن قد سلّم بعد، مع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الصلاة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کما رأیتمونی أصلی أولها التکبیر وآخرها التسلیم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فترکوا أوامر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تبریراً لسلوک أبی بکر وابتدعوا فی الشریعة لذلک، وینقل ابن أبی الحدید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معلمه أبی جعفر النقیب أنه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ماروی من قصة خالد صحیح أو لا؟ فقال نعم، وقد ذکر جماعة هذا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أستاذ ابن أبی الحدید ومعلّمه لم ینفِ تلک القصة، ولکن عندما یُسأل علماء العامة عن قصة خالد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عمل أبو بکر ذلک، ولکن بما أنه لم یقع القتل، فعند ذلک فلا مجال للإشکال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نحن نقبل بأن أبا بکر وعمر قاما بذلک، ولکن لا إشکال فیما قاما به لأن أبا بکر کان قد اجتهد ومن ثم تنبه إلی خطئه فقال فی صلاته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تفعل ما أمرتک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بعض آخر من علماء السنة مایلی</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إشکال فی فعل أبی بکر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لأنهما کانا خلیفتین یریان أن من یبغی شقّ عصا المسلمین یجب أن یقتل، وبناء علی ذلک فلو قام خالد بذلک لم یکن 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الختامی للروایة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فی ذیل الروایة 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سأل خالداً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أمرک بقتلی؟ فأجاب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أمرنی أبو بکر أن أضرب عنقک، 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کنت لتقوم 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فأخذ علی بتلابیبه ورماه علی الأرض، فاجتمع الناس حولهما فأقسم عمر علی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 الکعبة أن لا یقتل خالداً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وأثناء ذلک أقسم الناس علی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وبصاحب القبر أن یخلی سبیله، عند ذلک ترکه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وتوجه نحو عمر وأخذ بتلابیبه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الصهاک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یکن عهد إلی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أسکت مقابل ظلمک لعلمت من أضعف وأقل قوة</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 لله رب العالمین وصلی الله علی سیدنا محمد وآله الطاهرین</w:t>
      </w:r>
      <w:r>
        <w:rPr>
          <w:rFonts w:eastAsia="IRNazanin" w:cs="IRNazanin"/>
          <w:color w:val="111111"/>
          <w:sz w:val="28"/>
          <w:szCs w:val="28"/>
          <w:rtl w:val="true"/>
          <w:lang w:bidi="fa-IR"/>
        </w:rPr>
        <w:t>.</w:t>
      </w:r>
      <w:bookmarkStart w:id="469" w:name="pg5472_36724"/>
    </w:p>
    <w:p>
      <w:pPr>
        <w:pStyle w:val="Heading2"/>
        <w:numPr>
          <w:ilvl w:val="1"/>
          <w:numId w:val="1"/>
        </w:numPr>
        <w:rPr/>
      </w:pPr>
      <w:bookmarkStart w:id="470" w:name="__RefHeading___Toc2158686_581953129"/>
      <w:bookmarkStart w:id="471" w:name="_Toc177"/>
      <w:bookmarkEnd w:id="469"/>
      <w:bookmarkEnd w:id="470"/>
      <w:r>
        <w:rPr>
          <w:rtl w:val="true"/>
        </w:rPr>
        <w:t>فهرس المصادر</w:t>
      </w:r>
      <w:bookmarkEnd w:id="4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محمد باقر الأیروانی، تفسیر آیات الأحکام، دار کمیل، البحرین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الذهبی، شمس الدین محمد بن أحمد بن عثمان، سیر اعلام النبلاء، دار الفکربیروت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الطوسی، محمد بن الحسن، الفهرست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الطهرانی، العلامة الشیخ آغا بزرگ، الذریعة إلی تصانیف الشیعة، مؤسسة مطبوعاتی اسماعیلیان،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العاملی، الشیخ محمد بن الحسن الحر، تفصیل وسائل الشیعة إلی تحصیل مسائل الشریعة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الیزدی، سید محمد کاظم الطباطبائی، العروة الوثقی مؤسسة النشر الإسلامی، قم،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الکلینی، محمد بن یعقوب، الکافی، دار الکتب الإسلامیة، طهران،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محمد رشید رضا، المنار، دار إحیاء التراث العربی، بیروت، </w:t>
      </w:r>
      <w:r>
        <w:rPr>
          <w:rFonts w:eastAsia="IRNazanin" w:cs="IRNazanin"/>
          <w:color w:val="111111"/>
          <w:sz w:val="28"/>
          <w:szCs w:val="28"/>
          <w:lang w:bidi="fa-IR"/>
        </w:rPr>
        <w:t>1423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القرطبی، أبی عبد الله محمد بن أحمد الأنصاری، الجامع لأحکام القرآن، بیروت، دار إحیاء التراث العربی،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الفراهیدی، الخلیل بن أحمد، العین، باقری، قم،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منظور، أبی الفضل جمال الدین محمد بن مکرم، لسان العرب، دار المکتبة الهلال،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الفیروز آبادی، مجد الدین محمد بن یعقوب بن محمد بن إبراهیم، القاموس المحیط، دار الکتب العلمیة، بیروت، </w:t>
      </w:r>
      <w:r>
        <w:rPr>
          <w:rFonts w:eastAsia="IRNazanin" w:cs="IRNazanin"/>
          <w:color w:val="111111"/>
          <w:sz w:val="28"/>
          <w:szCs w:val="28"/>
          <w:lang w:bidi="fa-IR"/>
        </w:rPr>
        <w:t>1420</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الزبیدی، محب الدین أبی فیض السید محمد مرتضی الواسطی، تاج العروس من جواهر القاموس، دار الفکر، بیروت،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الفیومی، أحمد بن محمد بن علی المقری، المصباح المنیر فی غریب الشرح الکبیر للرافعی، دار الهجرة، قم،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فارس، أبی الحسین أحمد، معجم مقاییس اللغة، مکتب الإعلام الإسلامی، قم،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الفخر الرازی، التفسیر الکبیر، دار إحیاء التراث العربی، بیروت، </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لویس معلوف، المنجد فی اللغة، نشر بلاغت، قم،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المصطفوی، حسن، التحقیق فی کلمات القرآن الکریم، دار وزارة الإرشاد الإسلامی، طهران،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الآلوسی، شهاب الدین السید محمود، روح المعانی فی تفسیر القرآن العظیم والسبع المثانی، دار إحیاء التراث العربی ومؤسسة التاریخ العربی، بیروت،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الشریف الرضی، محمد بن حسین، نهج البلاغة، موعود إسلام، بوشهر،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 الرضا، مؤسسة آل البیت لإحیاء التراث، قم،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الطوسی، محمد بن حسن، کتاب الخلاف، مؤسسة النشر الإسلامی، قم،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الأردبیلی، المولی أحمد، زبدة البیان فی أحکام القرآن، مؤتمر المقدس الأردبیلی، قم،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الطوسی، محمد بن الحسن، التبیان، مؤسسة الأعلمی للمطبوعات،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الکاسانی، علاء الدین أبی بکر بن مسعود، بدائع الصنائع فی ترتیب الشرائع، دار إحیاء التراث العربی ومؤسسة التاریخ العربی، بیروت، </w:t>
      </w:r>
      <w:r>
        <w:rPr>
          <w:rFonts w:eastAsia="IRNazanin" w:cs="IRNazanin"/>
          <w:color w:val="111111"/>
          <w:sz w:val="28"/>
          <w:szCs w:val="28"/>
          <w:lang w:bidi="fa-IR"/>
        </w:rPr>
        <w:t>1417</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القرطبی، محمد بن أحمد بن رشد، بدایة المجتهد ونهایة المقتصد، منشورات الرضی، قم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زحیلی، وهبة، الفقه المالکی المیسر، دار الکلم الطیب، دمشق، </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الحلی، الحسن بن یوسف بن مطهر، مختلف الشیعة، مؤسسة النشر الإسلامی، قم،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الصدوق، محمد بن علی بن الحسین، المقنع، باب الخمس، مؤسسة الإمام الهادی، قم،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الصدوق، محمد بن علی بن الحسین، من لا یحضره الفقیه، دار الأضواء، بیروت،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الطباطبائی، السید محمد حسین، المیزان فی تفسیر القرآن، مؤسسة الأعلمی للمطبوعات، بیروت،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المحقق الحلی، جعفر بن الحسن، شرائع الإسلام فی مسائل الحلال والحرام، دار الهدی للطباعة والنشر، قم،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الجزائری، الشیخ أحمد، قلائد الدرر فی بیان آیات الأحکام بالأثر، مطبعة الآداب، النجف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الطوسی، أبو جعفر محمد بن الحسن، تهذیب الأحکام فی شرح المقنعة، دار الأضواء، بیروت،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العیاشی أبی نضر محمد بن مسعود، کتاب التفسیر، المکتبة العلمیة الإسلامیة،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الحرانی، أبو محمد محمد بن الحسن بن علی بن الحسین، تحف العقول، مؤسسة النشر الإسلامی،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حنبل، مسند أحمد، دار صادر،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البیهقی، أبو بکر، أحمد بن الحسین بن علی، السنن الکبری، دار الفکر، بیروت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الصدوق، أبو جعفر محمد بن الحسن، کمال الدین وتمام النعمة، دار الحدیث، قم،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البحرانی، الشیخ یوسف، الحدائق الناضرة فی أحکام العترة الطاهرة، مؤسسة النشر الإسلام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الخمینی، الإمام روح الله الموسوی، تحریر الوسیلة، مؤسسة النشر الإسلامی، قم،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الحلی، ابن ادریس، محمد بن منصور بن أحمد، السرائر الحاوی لتحریر الفتاوی، مؤسسة النشر الإسلامی، قم، </w:t>
      </w:r>
      <w:r>
        <w:rPr>
          <w:rFonts w:eastAsia="IRNazanin" w:cs="IRNazanin"/>
          <w:color w:val="111111"/>
          <w:sz w:val="28"/>
          <w:szCs w:val="28"/>
          <w:lang w:bidi="fa-IR"/>
        </w:rPr>
        <w:t>1410</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تحریر الوسیلة، کتاب الخمس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الصدوق، أبو جعفر محمد بن علی بن الحسین بن بابویه القمی، عیون أخبار الرضا، رضا مشهدی، الطبعة الثانیة، قم،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النجفی، محمد حسن، جواهر الکلام فی شرح شرائع الإسلام، مؤسسة النشر الإسلامی، قم، </w:t>
      </w:r>
      <w:r>
        <w:rPr>
          <w:rFonts w:eastAsia="IRNazanin" w:cs="IRNazanin"/>
          <w:color w:val="111111"/>
          <w:sz w:val="28"/>
          <w:szCs w:val="28"/>
          <w:lang w:bidi="fa-IR"/>
        </w:rPr>
        <w:t>1427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الطوسی، أبو جعفر محمد بن الحسن، المبسوط فی فقه الإمامیة، مؤسسة النشر الإسلامی، قم،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الجصاص، أبو بکر أحمد بن علی الرازی، أحکام القرآن، دار إحیاء التراث العربی، بیروت،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الطبرسی، أبو علی الفضل بن الحسن، مجمع البیان فی تفسیر القرآن، انتشارات ناصر خسرو،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السیوری، أبو عبد الله المقداد بن عبد الله، کنز العرفان فی فقه القرآن، کتاب الخمس، المجمع العالمی للتقریب بین المذاهب الإسلامیة،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المحقق الأردبیلی، زبدة البیان فی براهین أحکام القرآن، کتاب الزکاة، مؤمنین، قم، </w:t>
      </w:r>
      <w:r>
        <w:rPr>
          <w:rFonts w:eastAsia="IRNazanin" w:cs="IRNazanin"/>
          <w:color w:val="111111"/>
          <w:sz w:val="28"/>
          <w:szCs w:val="28"/>
          <w:lang w:bidi="fa-IR"/>
        </w:rPr>
        <w:t>1421</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الطباطبائی الیزدی، السید حسین، تفسیر آیات الأحکام وفق المذهب الجعفری والمذاهب الأربعة، مکتبة الداوری،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الطبرسی، أمین الإسلام أبی علی الفضل بن الحسن، مجمع البیان فی تفسیر القرآن، مؤسسة الأعلمی للمطبوعات، بیروت،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الکاظمی، الفاضل الجواد، مسالک الإفهام إلی آیات الأحکام، مکتبة المرتضویة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الاستر آبادی، محمد بن علی بن ابراهیم، آیات الأحکام، مکتبة المعراجی،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الزمخشری، جار الله محمود بن عمر، الکشاف عن حقائق غوامض التنزیل، دار الکتاب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اللنکرانی، الشیخ محمد الفاضل، تفصیل الشریعة فی شرح تحریر الوسیلة، مرکز فقه الأئمة الأطهار، قم، </w:t>
      </w:r>
      <w:r>
        <w:rPr>
          <w:rFonts w:eastAsia="IRNazanin" w:cs="IRNazanin"/>
          <w:color w:val="111111"/>
          <w:sz w:val="28"/>
          <w:szCs w:val="28"/>
          <w:lang w:bidi="fa-IR"/>
        </w:rPr>
        <w:t>1423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الخوئی، السید أبو القاسم، المستند فی شرح العروة الوثقی، مؤسسة إحیاء آثار الإمام الخوئی، قم، </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أبو السعود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البیضاوی، ناصر الدین أبی سعید، عبد الله بن عمر بن محمد الشیرازی، تفسیر البیضاوی، الأعلمی،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المعتزلی، ابن أبی الحدید، شرح نهج البلاغة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المتقی الهندی، کنز العمال، دار الرسالة،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القمی، أبو الحسن علی بن ابراهیم، تفسیر القمی، قم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تفسیر آیات الأحکام للأیروانی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الذریعة للطهرانی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424/8</w:t>
      </w:r>
      <w:r>
        <w:rPr>
          <w:rFonts w:ascii="IRNazanin" w:hAnsi="IRNazanin" w:eastAsia="IRNazanin"/>
          <w:b w:val="false"/>
          <w:b w:val="false"/>
          <w:bCs w:val="false"/>
          <w:i w:val="false"/>
          <w:i w:val="false"/>
          <w:iCs w:val="false"/>
          <w:color w:val="333333"/>
          <w:sz w:val="20"/>
          <w:sz w:val="20"/>
          <w:szCs w:val="20"/>
          <w:rtl w:val="true"/>
        </w:rPr>
        <w:t xml:space="preserve">، یقول النمازی فی المستدرک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بالکوفة سنة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صاحب التفسیر الکبیر المعروف</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تصانیف الشیعة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تفسیر آیات الأحکام للأیروانی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357/8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تصنیف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مؤسسة مطبوعاتی اسماعیلیان، قم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وسائل الشیعة إلی تحصیل مسائل الشریعة،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33556</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مؤسسة آل البیت لإحیاء التراث، بیروت،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362/2</w:t>
      </w:r>
      <w:r>
        <w:rPr>
          <w:rFonts w:ascii="IRNazanin" w:hAnsi="IRNazanin" w:eastAsia="IRNazanin"/>
          <w:b w:val="false"/>
          <w:b w:val="false"/>
          <w:bCs w:val="false"/>
          <w:i w:val="false"/>
          <w:i w:val="false"/>
          <w:iCs w:val="false"/>
          <w:color w:val="333333"/>
          <w:sz w:val="20"/>
          <w:sz w:val="20"/>
          <w:szCs w:val="20"/>
          <w:rtl w:val="true"/>
        </w:rPr>
        <w:t xml:space="preserve">، کتاب الصلاة، مکان المصلی، مؤسسة النشر الإسلامی، قم،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الأصول، تقریر أبحاث السید حسین الطباطبائی البروجردی،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362/2</w:t>
      </w:r>
      <w:r>
        <w:rPr>
          <w:rFonts w:ascii="IRNazanin" w:hAnsi="IRNazanin" w:eastAsia="IRNazanin"/>
          <w:b w:val="false"/>
          <w:b w:val="false"/>
          <w:bCs w:val="false"/>
          <w:i w:val="false"/>
          <w:i w:val="false"/>
          <w:iCs w:val="false"/>
          <w:color w:val="333333"/>
          <w:sz w:val="20"/>
          <w:sz w:val="20"/>
          <w:szCs w:val="20"/>
          <w:rtl w:val="true"/>
        </w:rPr>
        <w:t xml:space="preserve">، کتاب الصلاة، مکان المصلی، مؤسسة النشر الإسلامی، قم،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2185/27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33556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الکافی، ج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دار الکتب الإسلامیة، طهران،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دار الکتب الإسلامیة، طهران،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eastAsia="IRNazanin" w:cs="IRNazanin"/>
          <w:b w:val="false"/>
          <w:bCs w:val="false"/>
          <w:i w:val="false"/>
          <w:iCs w:val="false"/>
          <w:color w:val="333333"/>
          <w:sz w:val="20"/>
          <w:szCs w:val="20"/>
        </w:rPr>
        <w:t>50/10</w:t>
      </w:r>
      <w:r>
        <w:rPr>
          <w:rFonts w:ascii="IRNazanin" w:hAnsi="IRNazanin" w:eastAsia="IRNazanin"/>
          <w:b w:val="false"/>
          <w:b w:val="false"/>
          <w:bCs w:val="false"/>
          <w:i w:val="false"/>
          <w:i w:val="false"/>
          <w:iCs w:val="false"/>
          <w:color w:val="333333"/>
          <w:sz w:val="20"/>
          <w:sz w:val="20"/>
          <w:szCs w:val="20"/>
          <w:rtl w:val="true"/>
        </w:rPr>
        <w:t>، دار إحیاء التراث العربی</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بیروت، دار إحیاء التراث العربی،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ج </w:t>
      </w:r>
      <w:r>
        <w:rPr>
          <w:rFonts w:eastAsia="IRNazanin" w:cs="IRNazanin"/>
          <w:b w:val="false"/>
          <w:bCs w:val="false"/>
          <w:i w:val="false"/>
          <w:iCs w:val="false"/>
          <w:color w:val="333333"/>
          <w:sz w:val="20"/>
          <w:szCs w:val="20"/>
        </w:rPr>
        <w:t>1359/2</w:t>
      </w:r>
      <w:r>
        <w:rPr>
          <w:rFonts w:ascii="IRNazanin" w:hAnsi="IRNazanin" w:eastAsia="IRNazanin"/>
          <w:b w:val="false"/>
          <w:b w:val="false"/>
          <w:bCs w:val="false"/>
          <w:i w:val="false"/>
          <w:i w:val="false"/>
          <w:iCs w:val="false"/>
          <w:color w:val="333333"/>
          <w:sz w:val="20"/>
          <w:sz w:val="20"/>
          <w:szCs w:val="20"/>
          <w:rtl w:val="true"/>
        </w:rPr>
        <w:t xml:space="preserve">، باقری، قم،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93/11</w:t>
      </w:r>
      <w:r>
        <w:rPr>
          <w:rFonts w:ascii="IRNazanin" w:hAnsi="IRNazanin" w:eastAsia="IRNazanin"/>
          <w:b w:val="false"/>
          <w:b w:val="false"/>
          <w:bCs w:val="false"/>
          <w:i w:val="false"/>
          <w:i w:val="false"/>
          <w:iCs w:val="false"/>
          <w:color w:val="333333"/>
          <w:sz w:val="20"/>
          <w:sz w:val="20"/>
          <w:szCs w:val="20"/>
          <w:rtl w:val="true"/>
        </w:rPr>
        <w:t>، دار المکتبة الهلال، بیروت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ج </w:t>
      </w:r>
      <w:r>
        <w:rPr>
          <w:rFonts w:eastAsia="IRNazanin" w:cs="IRNazanin"/>
          <w:b w:val="false"/>
          <w:bCs w:val="false"/>
          <w:i w:val="false"/>
          <w:iCs w:val="false"/>
          <w:color w:val="333333"/>
          <w:sz w:val="20"/>
          <w:szCs w:val="20"/>
        </w:rPr>
        <w:t>123/4</w:t>
      </w:r>
      <w:r>
        <w:rPr>
          <w:rFonts w:ascii="IRNazanin" w:hAnsi="IRNazanin" w:eastAsia="IRNazanin"/>
          <w:b w:val="false"/>
          <w:b w:val="false"/>
          <w:bCs w:val="false"/>
          <w:i w:val="false"/>
          <w:i w:val="false"/>
          <w:iCs w:val="false"/>
          <w:color w:val="333333"/>
          <w:sz w:val="20"/>
          <w:sz w:val="20"/>
          <w:szCs w:val="20"/>
          <w:rtl w:val="true"/>
        </w:rPr>
        <w:t xml:space="preserve">، دار الکتب العلمیة، بیروت،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من جواهر القاموس،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دار الفکر، بیروت،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فی غریب الشرح الکبیر للرافعی، ج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دار الهجرة، قم،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ج </w:t>
      </w:r>
      <w:r>
        <w:rPr>
          <w:rFonts w:eastAsia="IRNazanin" w:cs="IRNazanin"/>
          <w:b w:val="false"/>
          <w:bCs w:val="false"/>
          <w:i w:val="false"/>
          <w:iCs w:val="false"/>
          <w:color w:val="333333"/>
          <w:sz w:val="20"/>
          <w:szCs w:val="20"/>
        </w:rPr>
        <w:t>397/4</w:t>
      </w:r>
      <w:r>
        <w:rPr>
          <w:rFonts w:ascii="IRNazanin" w:hAnsi="IRNazanin" w:eastAsia="IRNazanin"/>
          <w:b w:val="false"/>
          <w:b w:val="false"/>
          <w:bCs w:val="false"/>
          <w:i w:val="false"/>
          <w:i w:val="false"/>
          <w:iCs w:val="false"/>
          <w:color w:val="333333"/>
          <w:sz w:val="20"/>
          <w:sz w:val="20"/>
          <w:szCs w:val="20"/>
          <w:rtl w:val="true"/>
        </w:rPr>
        <w:t xml:space="preserve">، باب الغین والنون وما یثلثها، مکتب الإعلام الإسلامی، قم،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مج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484/15</w:t>
      </w:r>
      <w:r>
        <w:rPr>
          <w:rFonts w:ascii="IRNazanin" w:hAnsi="IRNazanin" w:eastAsia="IRNazanin"/>
          <w:b w:val="false"/>
          <w:b w:val="false"/>
          <w:bCs w:val="false"/>
          <w:i w:val="false"/>
          <w:i w:val="false"/>
          <w:iCs w:val="false"/>
          <w:color w:val="333333"/>
          <w:sz w:val="20"/>
          <w:sz w:val="20"/>
          <w:szCs w:val="20"/>
          <w:rtl w:val="true"/>
        </w:rPr>
        <w:t xml:space="preserve">، دار إحیاء التراث العربی، بیروت،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فی اللغة، 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نشر بلاغت، قم،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الکریم، 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دار وزارة الإرشاد الإسلامی، طهران،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فی تفسیر القرآن العظیم والسبع المثانی،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دار إحیاء التراث العربی ومؤسسة التاریخ العربی، بیروت،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الرسالة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موعود إسلام، بوشهر،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کتاب الطهارة، باب الجبائر والقروح،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دار الکتب الإسلامیة، طهران،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کتاب الطهارة، باب مسح الرأس،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دار الکتب الإسلامیة، طهران،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من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باب الفیء والأنفال، دار الکتب الإسلامیة، طهران،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مؤسسة آل البیت لإحیاء التراث، قم،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الخلاف،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138138</w:t>
      </w:r>
      <w:r>
        <w:rPr>
          <w:rFonts w:ascii="IRNazanin" w:hAnsi="IRNazanin" w:eastAsia="IRNazanin"/>
          <w:b w:val="false"/>
          <w:b w:val="false"/>
          <w:bCs w:val="false"/>
          <w:i w:val="false"/>
          <w:i w:val="false"/>
          <w:iCs w:val="false"/>
          <w:color w:val="333333"/>
          <w:sz w:val="20"/>
          <w:sz w:val="20"/>
          <w:szCs w:val="20"/>
          <w:rtl w:val="true"/>
        </w:rPr>
        <w:t xml:space="preserve">، کتاب الزکاة، مؤسسة النشر الإسلامی، قم،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البیان فی أحکام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مؤتمر المقدس الأردبیلی، قم،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شمسی</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مؤسسة الأعلمی للمطبوعات، بیروت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فی ترتیب الشرائع،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دار إحیاء التراث العربی ومؤسسة التاریخ العربی، بیروت،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بدایة المجتهد ونهایة المقتصد،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منشورات الرضی، قم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المالکی المیسر،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 دار الکلم الطیب، دمشق،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مؤسسة النشر الإسلامی، قم،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باب الخمس، مؤسسة الإمام الهادی، قم،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الخمس،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دار الأضواء، بیروت،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مؤسسة الأعلمی للمطبوعات، بیروت،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فی مسائل الحلال والحرام،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دار الهدی للطباعة والنشر، قم،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قلائد الدرر، فی بیان آیات الأحکام بالأثر،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مطبعة الآداب، النجف</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سورة النساء الآیة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سورة المائدة الآیة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سورة الانعام الآیة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سورة الانفال الآیة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سورة التوبة الآیة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سورة النحل الآیة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سورة الاسراء الآیة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سورة النور الآیة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سورة الروم الآیة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سورة فاطر الآیة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سورة الشوری الآیة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سورة الحشر 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فی شرح المقنعة،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باب تمیز أهل الخمس ومستحقه،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الأضواء، بیروت،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فی شرح المقنعة،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باب تمیز أهل الخمس، الروایة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دار الأضواء، بیروت،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باب الفیء والأنفال وتفسیر الخمس، 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دار الاضواء، بیروت،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دار الأضواء، بیروت،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الفیء والأنفال وتفسیر الخمس، دار الأضواء، بیروت،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فی شرح المقنعة،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تمیز أهل الخمس ومستحقه، دار الأضواء، بیروت،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التفسیر،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المکتبة العلمیة الإسلامیة، طهران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فی شرح المقنعة، ج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باب قسمة الغنائم، دار الأضواء، بیروت،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فی شرح المقنعة،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الخمس والغنائم،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دار الأضواء، بیروت،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فی شرح المقنعة،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تمیز أهل الخمس ومستحقه،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الأضواء، بیروت،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دار الأضواء، بیروت،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الفیء والأنفال وتفسیر الخمس، دار الأضواء، بیروت،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فی شرح المقنعة،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باب تمیز أهل الخمس ومستحقه،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دار الأضواء، بیروت،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رسالة أبی عبد الله فی الغنائم ووجوب الخمس، مؤسسة النشر الإسلامی،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الخمس باب أول أبواب قسمة الخمس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ج </w:t>
      </w:r>
      <w:r>
        <w:rPr>
          <w:rFonts w:eastAsia="IRNazanin" w:cs="IRNazanin"/>
          <w:b w:val="false"/>
          <w:bCs w:val="false"/>
          <w:i w:val="false"/>
          <w:iCs w:val="false"/>
          <w:color w:val="333333"/>
          <w:sz w:val="20"/>
          <w:szCs w:val="20"/>
        </w:rPr>
        <w:t>186/1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فرض طاعة الأئمة، دار الکتب الإسلامیة، طهران،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باب الفیء والأنفال وتفسیر الخمس،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کتاب الزکاة، باب الصدقة لبنی هاشم وموالیهم،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الکتب الإسلامیة، طهران،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شمسی</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کتاب الزکاة، باب الصدقة لبنی هاشم وموالیهم،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الکتب الإسلامیة، طهران،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شمسی</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أحمد ابن حنبل، ج </w:t>
      </w:r>
      <w:r>
        <w:rPr>
          <w:rFonts w:eastAsia="IRNazanin" w:cs="IRNazanin"/>
          <w:b w:val="false"/>
          <w:bCs w:val="false"/>
          <w:i w:val="false"/>
          <w:iCs w:val="false"/>
          <w:color w:val="333333"/>
          <w:sz w:val="20"/>
          <w:szCs w:val="20"/>
        </w:rPr>
        <w:t>228/1</w:t>
      </w:r>
      <w:r>
        <w:rPr>
          <w:rFonts w:ascii="IRNazanin" w:hAnsi="IRNazanin" w:eastAsia="IRNazanin"/>
          <w:b w:val="false"/>
          <w:b w:val="false"/>
          <w:bCs w:val="false"/>
          <w:i w:val="false"/>
          <w:i w:val="false"/>
          <w:iCs w:val="false"/>
          <w:color w:val="333333"/>
          <w:sz w:val="20"/>
          <w:sz w:val="20"/>
          <w:szCs w:val="20"/>
          <w:rtl w:val="true"/>
        </w:rPr>
        <w:t>، دار صادر، بیروت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359/5</w:t>
      </w:r>
      <w:r>
        <w:rPr>
          <w:rFonts w:ascii="IRNazanin" w:hAnsi="IRNazanin" w:eastAsia="IRNazanin"/>
          <w:b w:val="false"/>
          <w:b w:val="false"/>
          <w:bCs w:val="false"/>
          <w:i w:val="false"/>
          <w:i w:val="false"/>
          <w:iCs w:val="false"/>
          <w:color w:val="333333"/>
          <w:sz w:val="20"/>
          <w:sz w:val="20"/>
          <w:szCs w:val="20"/>
          <w:rtl w:val="true"/>
        </w:rPr>
        <w:t>، دار صادر، بیروت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قسم الفیء والغنیمة، أبواب تقسیم الخمس، باب سهم ذی القربی، من الخمس، دار الفکر، بیروت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426/10</w:t>
      </w:r>
      <w:r>
        <w:rPr>
          <w:rFonts w:ascii="IRNazanin" w:hAnsi="IRNazanin" w:eastAsia="IRNazanin"/>
          <w:b w:val="false"/>
          <w:b w:val="false"/>
          <w:bCs w:val="false"/>
          <w:i w:val="false"/>
          <w:i w:val="false"/>
          <w:iCs w:val="false"/>
          <w:color w:val="333333"/>
          <w:sz w:val="20"/>
          <w:sz w:val="20"/>
          <w:szCs w:val="20"/>
          <w:rtl w:val="true"/>
        </w:rPr>
        <w:t xml:space="preserve">، باب من دان دین الیهود والنصاری من الصابئین والسامرة،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 بیروت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وسائل الشیعة إلی تحصیل مسائل الشریعة، ج </w:t>
      </w:r>
      <w:r>
        <w:rPr>
          <w:rFonts w:eastAsia="IRNazanin" w:cs="IRNazanin"/>
          <w:b w:val="false"/>
          <w:bCs w:val="false"/>
          <w:i w:val="false"/>
          <w:iCs w:val="false"/>
          <w:color w:val="333333"/>
          <w:sz w:val="20"/>
          <w:szCs w:val="20"/>
        </w:rPr>
        <w:t>553/9</w:t>
      </w:r>
      <w:r>
        <w:rPr>
          <w:rFonts w:ascii="IRNazanin" w:hAnsi="IRNazanin" w:eastAsia="IRNazanin"/>
          <w:b w:val="false"/>
          <w:b w:val="false"/>
          <w:bCs w:val="false"/>
          <w:i w:val="false"/>
          <w:i w:val="false"/>
          <w:iCs w:val="false"/>
          <w:color w:val="333333"/>
          <w:sz w:val="20"/>
          <w:sz w:val="20"/>
          <w:szCs w:val="20"/>
          <w:rtl w:val="true"/>
        </w:rPr>
        <w:t xml:space="preserve">، باب إباحة حصة الإمام من الخمس للشیعة، حدیث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مؤسسة آل البیت لإحیاء التراث، بیروت،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 یستفاد من بعض الروایات أن أخبار التحلیل أی الأخبار التی یذکر فیها الأئمة ما 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أبحنا الخمس لکم، مقیدة بتعذر الإیصال ولکن إذا لم یتعذر الإیصال فیجب إیصاله إلی الإمام، لذا لا یمکن التمسک بأخبار التحلیل بدون ملاحظة قیودها وشروطها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وسائل الشیعة إلی تحصیل مسائل الشریعة، ج </w:t>
      </w:r>
      <w:r>
        <w:rPr>
          <w:rFonts w:eastAsia="IRNazanin" w:cs="IRNazanin"/>
          <w:b w:val="false"/>
          <w:bCs w:val="false"/>
          <w:i w:val="false"/>
          <w:iCs w:val="false"/>
          <w:color w:val="333333"/>
          <w:sz w:val="20"/>
          <w:szCs w:val="20"/>
        </w:rPr>
        <w:t>552/9</w:t>
      </w:r>
      <w:r>
        <w:rPr>
          <w:rFonts w:ascii="IRNazanin" w:hAnsi="IRNazanin" w:eastAsia="IRNazanin"/>
          <w:b w:val="false"/>
          <w:b w:val="false"/>
          <w:bCs w:val="false"/>
          <w:i w:val="false"/>
          <w:i w:val="false"/>
          <w:iCs w:val="false"/>
          <w:color w:val="333333"/>
          <w:sz w:val="20"/>
          <w:sz w:val="20"/>
          <w:szCs w:val="20"/>
          <w:rtl w:val="true"/>
        </w:rPr>
        <w:t xml:space="preserve">، باب إباحة حصة الإمام من الخمس للشیعة، 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فی شرح المقنعة، ج </w:t>
      </w:r>
      <w:r>
        <w:rPr>
          <w:rFonts w:eastAsia="IRNazanin" w:cs="IRNazanin"/>
          <w:b w:val="false"/>
          <w:bCs w:val="false"/>
          <w:i w:val="false"/>
          <w:iCs w:val="false"/>
          <w:color w:val="333333"/>
          <w:sz w:val="20"/>
          <w:szCs w:val="20"/>
        </w:rPr>
        <w:t>143/4</w:t>
      </w:r>
      <w:r>
        <w:rPr>
          <w:rFonts w:ascii="IRNazanin" w:hAnsi="IRNazanin" w:eastAsia="IRNazanin"/>
          <w:b w:val="false"/>
          <w:b w:val="false"/>
          <w:bCs w:val="false"/>
          <w:i w:val="false"/>
          <w:i w:val="false"/>
          <w:iCs w:val="false"/>
          <w:color w:val="333333"/>
          <w:sz w:val="20"/>
          <w:sz w:val="20"/>
          <w:szCs w:val="20"/>
          <w:rtl w:val="true"/>
        </w:rPr>
        <w:t xml:space="preserve">، باب فی الزیادات، حدیث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دار الکتب الإسلامیة، طهران،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شمسی</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ج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باب المستأکل بعلمه والمباهی به، حدیث، دار الکتب الإسلامیة، طهران،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وتمام النعمة، ج </w:t>
      </w:r>
      <w:r>
        <w:rPr>
          <w:rFonts w:eastAsia="IRNazanin" w:cs="IRNazanin"/>
          <w:b w:val="false"/>
          <w:bCs w:val="false"/>
          <w:i w:val="false"/>
          <w:iCs w:val="false"/>
          <w:color w:val="333333"/>
          <w:sz w:val="20"/>
          <w:szCs w:val="20"/>
        </w:rPr>
        <w:t>238/2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ذکر التوقیعات الواردة عن القائم، دار الحدیث، قم،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شمسی</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فی أحکام العترة الطاهرة، ج </w:t>
      </w:r>
      <w:r>
        <w:rPr>
          <w:rFonts w:eastAsia="IRNazanin" w:cs="IRNazanin"/>
          <w:b w:val="false"/>
          <w:bCs w:val="false"/>
          <w:i w:val="false"/>
          <w:iCs w:val="false"/>
          <w:color w:val="333333"/>
          <w:sz w:val="20"/>
          <w:szCs w:val="20"/>
        </w:rPr>
        <w:t>385/12</w:t>
      </w:r>
      <w:r>
        <w:rPr>
          <w:rFonts w:ascii="IRNazanin" w:hAnsi="IRNazanin" w:eastAsia="IRNazanin"/>
          <w:b w:val="false"/>
          <w:b w:val="false"/>
          <w:bCs w:val="false"/>
          <w:i w:val="false"/>
          <w:i w:val="false"/>
          <w:iCs w:val="false"/>
          <w:color w:val="333333"/>
          <w:sz w:val="20"/>
          <w:sz w:val="20"/>
          <w:szCs w:val="20"/>
          <w:rtl w:val="true"/>
        </w:rPr>
        <w:t>، مؤسسة النشر الإسلام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ج </w:t>
      </w:r>
      <w:r>
        <w:rPr>
          <w:rFonts w:eastAsia="IRNazanin" w:cs="IRNazanin"/>
          <w:b w:val="false"/>
          <w:bCs w:val="false"/>
          <w:i w:val="false"/>
          <w:iCs w:val="false"/>
          <w:color w:val="333333"/>
          <w:sz w:val="20"/>
          <w:szCs w:val="20"/>
        </w:rPr>
        <w:t>334/1</w:t>
      </w:r>
      <w:r>
        <w:rPr>
          <w:rFonts w:ascii="IRNazanin" w:hAnsi="IRNazanin" w:eastAsia="IRNazanin"/>
          <w:b w:val="false"/>
          <w:b w:val="false"/>
          <w:bCs w:val="false"/>
          <w:i w:val="false"/>
          <w:i w:val="false"/>
          <w:iCs w:val="false"/>
          <w:color w:val="333333"/>
          <w:sz w:val="20"/>
          <w:sz w:val="20"/>
          <w:szCs w:val="20"/>
          <w:rtl w:val="true"/>
        </w:rPr>
        <w:t xml:space="preserve">، کتاب الخمس، القول فی قسمته ومستحقه، مسألة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مؤسسة النشر الإسلامی، قم،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فی فقه الإمامیة، ج </w:t>
      </w:r>
      <w:r>
        <w:rPr>
          <w:rFonts w:eastAsia="IRNazanin" w:cs="IRNazanin"/>
          <w:b w:val="false"/>
          <w:bCs w:val="false"/>
          <w:i w:val="false"/>
          <w:iCs w:val="false"/>
          <w:color w:val="333333"/>
          <w:sz w:val="20"/>
          <w:szCs w:val="20"/>
        </w:rPr>
        <w:t>262/1</w:t>
      </w:r>
      <w:r>
        <w:rPr>
          <w:rFonts w:ascii="IRNazanin" w:hAnsi="IRNazanin" w:eastAsia="IRNazanin"/>
          <w:b w:val="false"/>
          <w:b w:val="false"/>
          <w:bCs w:val="false"/>
          <w:i w:val="false"/>
          <w:i w:val="false"/>
          <w:iCs w:val="false"/>
          <w:color w:val="333333"/>
          <w:sz w:val="20"/>
          <w:sz w:val="20"/>
          <w:szCs w:val="20"/>
          <w:rtl w:val="true"/>
        </w:rPr>
        <w:t xml:space="preserve">، الحلی، ابن ادریس، محمد بن منصور بن أحمد، السرائر الحاوی لتحریر الفتاوی، ج </w:t>
      </w:r>
      <w:r>
        <w:rPr>
          <w:rFonts w:eastAsia="IRNazanin" w:cs="IRNazanin"/>
          <w:b w:val="false"/>
          <w:bCs w:val="false"/>
          <w:i w:val="false"/>
          <w:iCs w:val="false"/>
          <w:color w:val="333333"/>
          <w:sz w:val="20"/>
          <w:szCs w:val="20"/>
        </w:rPr>
        <w:t>497/1</w:t>
      </w:r>
      <w:r>
        <w:rPr>
          <w:rFonts w:ascii="IRNazanin" w:hAnsi="IRNazanin" w:eastAsia="IRNazanin"/>
          <w:b w:val="false"/>
          <w:b w:val="false"/>
          <w:bCs w:val="false"/>
          <w:i w:val="false"/>
          <w:i w:val="false"/>
          <w:iCs w:val="false"/>
          <w:color w:val="333333"/>
          <w:sz w:val="20"/>
          <w:sz w:val="20"/>
          <w:szCs w:val="20"/>
          <w:rtl w:val="true"/>
        </w:rPr>
        <w:t xml:space="preserve">، مؤسسة النشر الإسلامی، قم،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تحریر الوسیلة، کتاب الخمس،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238/1</w:t>
      </w:r>
      <w:r>
        <w:rPr>
          <w:rFonts w:ascii="IRNazanin" w:hAnsi="IRNazanin" w:eastAsia="IRNazanin"/>
          <w:b w:val="false"/>
          <w:b w:val="false"/>
          <w:bCs w:val="false"/>
          <w:i w:val="false"/>
          <w:i w:val="false"/>
          <w:iCs w:val="false"/>
          <w:color w:val="333333"/>
          <w:sz w:val="20"/>
          <w:sz w:val="20"/>
          <w:szCs w:val="20"/>
          <w:rtl w:val="true"/>
        </w:rPr>
        <w:t xml:space="preserve">، فی الآیة التی نزلت فی شأنهم، رضا مشهدی، الطبعة الثانیة، قم،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ج </w:t>
      </w:r>
      <w:r>
        <w:rPr>
          <w:rFonts w:eastAsia="IRNazanin" w:cs="IRNazanin"/>
          <w:b w:val="false"/>
          <w:bCs w:val="false"/>
          <w:i w:val="false"/>
          <w:iCs w:val="false"/>
          <w:color w:val="333333"/>
          <w:sz w:val="20"/>
          <w:szCs w:val="20"/>
        </w:rPr>
        <w:t>540/1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الفیء والأنفال وتفسیر الخمس، دار الکتب الإسلامیة، طهران،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فی شرح المقنعة، ج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xml:space="preserve">، باب تمییز أهل الخمس ومستحقه،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دار الکتب الإسلامیة، طهران،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شمسی</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 xml:space="preserve">، باب قسم الغنائم،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باب فی الآیات التی نزلت فی شأنهم، رضا مشهدی، الطبعة الثانیة، قم،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شمسی</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قلائد الدرر فی بیان آیات الأحکام بالأثر، ج </w:t>
      </w:r>
      <w:r>
        <w:rPr>
          <w:rFonts w:eastAsia="IRNazanin" w:cs="IRNazanin"/>
          <w:b w:val="false"/>
          <w:bCs w:val="false"/>
          <w:i w:val="false"/>
          <w:iCs w:val="false"/>
          <w:color w:val="333333"/>
          <w:sz w:val="20"/>
          <w:szCs w:val="20"/>
        </w:rPr>
        <w:t>328/1</w:t>
      </w:r>
      <w:r>
        <w:rPr>
          <w:rFonts w:ascii="IRNazanin" w:hAnsi="IRNazanin" w:eastAsia="IRNazanin"/>
          <w:b w:val="false"/>
          <w:b w:val="false"/>
          <w:bCs w:val="false"/>
          <w:i w:val="false"/>
          <w:i w:val="false"/>
          <w:iCs w:val="false"/>
          <w:color w:val="333333"/>
          <w:sz w:val="20"/>
          <w:sz w:val="20"/>
          <w:szCs w:val="20"/>
          <w:rtl w:val="true"/>
        </w:rPr>
        <w:t>، مکتبة المنهاج، النجف، العراق</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ج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دار الأضواء، بیروت،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فی شرح المقنعة، ج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أصناف أهل الزکاة، باب مستحق الزکاة للفقراء، 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دار الأضواء، بیروت،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ج </w:t>
      </w:r>
      <w:r>
        <w:rPr>
          <w:rFonts w:eastAsia="IRNazanin" w:cs="IRNazanin"/>
          <w:b w:val="false"/>
          <w:bCs w:val="false"/>
          <w:i w:val="false"/>
          <w:iCs w:val="false"/>
          <w:color w:val="333333"/>
          <w:sz w:val="20"/>
          <w:szCs w:val="20"/>
        </w:rPr>
        <w:t>540/1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الفیء والأنفال وتفسیر الخمس، دار الکتب الإسلامیة، طهران،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فی شرح المقنعة، ج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xml:space="preserve">، باب تمیز أهل الخمس ومستحقه، دار الأضواء، بیروت،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فی شرح شرائع الإسلام،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مؤسسة النشر الإسلامی، قم،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فی فقه الإمامیة، ج </w:t>
      </w:r>
      <w:r>
        <w:rPr>
          <w:rFonts w:eastAsia="IRNazanin" w:cs="IRNazanin"/>
          <w:b w:val="false"/>
          <w:bCs w:val="false"/>
          <w:i w:val="false"/>
          <w:iCs w:val="false"/>
          <w:color w:val="333333"/>
          <w:sz w:val="20"/>
          <w:szCs w:val="20"/>
        </w:rPr>
        <w:t>357/1</w:t>
      </w:r>
      <w:r>
        <w:rPr>
          <w:rFonts w:ascii="IRNazanin" w:hAnsi="IRNazanin" w:eastAsia="IRNazanin"/>
          <w:b w:val="false"/>
          <w:b w:val="false"/>
          <w:bCs w:val="false"/>
          <w:i w:val="false"/>
          <w:i w:val="false"/>
          <w:iCs w:val="false"/>
          <w:color w:val="333333"/>
          <w:sz w:val="20"/>
          <w:sz w:val="20"/>
          <w:szCs w:val="20"/>
          <w:rtl w:val="true"/>
        </w:rPr>
        <w:t xml:space="preserve">، فصل فی ذکر قسمة الأخماس، مؤسسة النشر الإسلامی، قم،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ص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xml:space="preserve">، باب النون والفاء وما یثلثها، دار إحیاء التراث العربی، بیروت،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دار إحیاء التراث العربی، بیروت،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رسالة أبی عبد الله فی الغنائم ووجوب الخمس، مؤسسة النشر الإسلامی، قم،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انتشارات ناصر خسرو، طهران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العرفان فی فقه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کتاب الخمس، المجمع العالمی للتقریب بین المذاهب الإسلامیة،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باب الفیء والأنفال،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دار الکتب الإسلامیة، طهران،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مؤسسة الأعلمی للمطبوعات، بیروت‌لبنان،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وسائل الشیعة إلی تحصیل مسائل الشریعة،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کتاب الزکاة، حدیث </w:t>
      </w:r>
      <w:r>
        <w:rPr>
          <w:rFonts w:eastAsia="IRNazanin" w:cs="IRNazanin"/>
          <w:b w:val="false"/>
          <w:bCs w:val="false"/>
          <w:i w:val="false"/>
          <w:iCs w:val="false"/>
          <w:color w:val="333333"/>
          <w:sz w:val="20"/>
          <w:szCs w:val="20"/>
        </w:rPr>
        <w:t>11501</w:t>
      </w:r>
      <w:r>
        <w:rPr>
          <w:rFonts w:ascii="IRNazanin" w:hAnsi="IRNazanin" w:eastAsia="IRNazanin"/>
          <w:b w:val="false"/>
          <w:b w:val="false"/>
          <w:bCs w:val="false"/>
          <w:i w:val="false"/>
          <w:i w:val="false"/>
          <w:iCs w:val="false"/>
          <w:color w:val="333333"/>
          <w:sz w:val="20"/>
          <w:sz w:val="20"/>
          <w:szCs w:val="20"/>
          <w:rtl w:val="true"/>
        </w:rPr>
        <w:t xml:space="preserve">، آل البیت، بیروت،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البیان فی براهین أحکام القرآن، ج </w:t>
      </w:r>
      <w:r>
        <w:rPr>
          <w:rFonts w:eastAsia="IRNazanin" w:cs="IRNazanin"/>
          <w:b w:val="false"/>
          <w:bCs w:val="false"/>
          <w:i w:val="false"/>
          <w:iCs w:val="false"/>
          <w:color w:val="333333"/>
          <w:sz w:val="20"/>
          <w:szCs w:val="20"/>
        </w:rPr>
        <w:t>246/1</w:t>
      </w:r>
      <w:r>
        <w:rPr>
          <w:rFonts w:ascii="IRNazanin" w:hAnsi="IRNazanin" w:eastAsia="IRNazanin"/>
          <w:b w:val="false"/>
          <w:b w:val="false"/>
          <w:bCs w:val="false"/>
          <w:i w:val="false"/>
          <w:i w:val="false"/>
          <w:iCs w:val="false"/>
          <w:color w:val="333333"/>
          <w:sz w:val="20"/>
          <w:sz w:val="20"/>
          <w:szCs w:val="20"/>
          <w:rtl w:val="true"/>
        </w:rPr>
        <w:t xml:space="preserve">، کتاب الزکاة مؤمنین قم،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ج </w:t>
      </w:r>
      <w:r>
        <w:rPr>
          <w:rFonts w:eastAsia="IRNazanin" w:cs="IRNazanin"/>
          <w:b w:val="false"/>
          <w:bCs w:val="false"/>
          <w:i w:val="false"/>
          <w:iCs w:val="false"/>
          <w:color w:val="333333"/>
          <w:sz w:val="20"/>
          <w:szCs w:val="20"/>
        </w:rPr>
        <w:t>216/5</w:t>
      </w:r>
      <w:r>
        <w:rPr>
          <w:rFonts w:ascii="IRNazanin" w:hAnsi="IRNazanin" w:eastAsia="IRNazanin"/>
          <w:b w:val="false"/>
          <w:b w:val="false"/>
          <w:bCs w:val="false"/>
          <w:i w:val="false"/>
          <w:i w:val="false"/>
          <w:iCs w:val="false"/>
          <w:color w:val="333333"/>
          <w:sz w:val="20"/>
          <w:sz w:val="20"/>
          <w:szCs w:val="20"/>
          <w:rtl w:val="true"/>
        </w:rPr>
        <w:t xml:space="preserve">، دار إحیاء التراث العربی، بیروت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آیات الأحکام وفق المذهب الجعفری والمذاهب الأربعة، ج </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 مکتبة الداوری، قم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ج </w:t>
      </w:r>
      <w:r>
        <w:rPr>
          <w:rFonts w:eastAsia="IRNazanin" w:cs="IRNazanin"/>
          <w:b w:val="false"/>
          <w:bCs w:val="false"/>
          <w:i w:val="false"/>
          <w:iCs w:val="false"/>
          <w:color w:val="333333"/>
          <w:sz w:val="20"/>
          <w:szCs w:val="20"/>
        </w:rPr>
        <w:t>487/1</w:t>
      </w:r>
      <w:r>
        <w:rPr>
          <w:rFonts w:ascii="IRNazanin" w:hAnsi="IRNazanin" w:eastAsia="IRNazanin"/>
          <w:b w:val="false"/>
          <w:b w:val="false"/>
          <w:bCs w:val="false"/>
          <w:i w:val="false"/>
          <w:i w:val="false"/>
          <w:iCs w:val="false"/>
          <w:color w:val="333333"/>
          <w:sz w:val="20"/>
          <w:sz w:val="20"/>
          <w:szCs w:val="20"/>
          <w:rtl w:val="true"/>
        </w:rPr>
        <w:t xml:space="preserve">، مؤسسة الأعلمی للمطبوعات، بیروت،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البیان فی براهین أحکام القرآن، ج </w:t>
      </w:r>
      <w:r>
        <w:rPr>
          <w:rFonts w:eastAsia="IRNazanin" w:cs="IRNazanin"/>
          <w:b w:val="false"/>
          <w:bCs w:val="false"/>
          <w:i w:val="false"/>
          <w:iCs w:val="false"/>
          <w:color w:val="333333"/>
          <w:sz w:val="20"/>
          <w:szCs w:val="20"/>
        </w:rPr>
        <w:t>246/1</w:t>
      </w:r>
      <w:r>
        <w:rPr>
          <w:rFonts w:ascii="IRNazanin" w:hAnsi="IRNazanin" w:eastAsia="IRNazanin"/>
          <w:b w:val="false"/>
          <w:b w:val="false"/>
          <w:bCs w:val="false"/>
          <w:i w:val="false"/>
          <w:i w:val="false"/>
          <w:iCs w:val="false"/>
          <w:color w:val="333333"/>
          <w:sz w:val="20"/>
          <w:sz w:val="20"/>
          <w:szCs w:val="20"/>
          <w:rtl w:val="true"/>
        </w:rPr>
        <w:t xml:space="preserve">، کتاب الزکاة مؤمنین، قم،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البیان فی براهین أحکام القرآن،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کتاب الزکاة مؤمنین، قم، ض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ج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المسألة الثالثة، الباب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ج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دار إحیاء التراث العربی،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الإفهام إلی آیات الأحکام، ج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مکتبة المرتضویة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البیان، ج </w:t>
      </w:r>
      <w:r>
        <w:rPr>
          <w:rFonts w:eastAsia="IRNazanin" w:cs="IRNazanin"/>
          <w:b w:val="false"/>
          <w:bCs w:val="false"/>
          <w:i w:val="false"/>
          <w:iCs w:val="false"/>
          <w:color w:val="333333"/>
          <w:sz w:val="20"/>
          <w:szCs w:val="20"/>
        </w:rPr>
        <w:t>253/1</w:t>
      </w:r>
      <w:r>
        <w:rPr>
          <w:rFonts w:ascii="IRNazanin" w:hAnsi="IRNazanin" w:eastAsia="IRNazanin"/>
          <w:b w:val="false"/>
          <w:b w:val="false"/>
          <w:bCs w:val="false"/>
          <w:i w:val="false"/>
          <w:i w:val="false"/>
          <w:iCs w:val="false"/>
          <w:color w:val="333333"/>
          <w:sz w:val="20"/>
          <w:sz w:val="20"/>
          <w:szCs w:val="20"/>
          <w:rtl w:val="true"/>
        </w:rPr>
        <w:t xml:space="preserve">، مؤمنین، قم،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القرطبی، ج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ج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کتاب الزکاة، باب النوادر، دار الکتب الإسلامیة، طهران،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الأحکام،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مکتبة المعراجی، طهران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ج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دار إحیاء التراث العربی، بیروت،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ج </w:t>
      </w:r>
      <w:r>
        <w:rPr>
          <w:rFonts w:eastAsia="IRNazanin" w:cs="IRNazanin"/>
          <w:b w:val="false"/>
          <w:bCs w:val="false"/>
          <w:i w:val="false"/>
          <w:iCs w:val="false"/>
          <w:color w:val="333333"/>
          <w:sz w:val="20"/>
          <w:szCs w:val="20"/>
        </w:rPr>
        <w:t>435/4</w:t>
      </w:r>
      <w:r>
        <w:rPr>
          <w:rFonts w:ascii="IRNazanin" w:hAnsi="IRNazanin" w:eastAsia="IRNazanin"/>
          <w:b w:val="false"/>
          <w:b w:val="false"/>
          <w:bCs w:val="false"/>
          <w:i w:val="false"/>
          <w:i w:val="false"/>
          <w:iCs w:val="false"/>
          <w:color w:val="333333"/>
          <w:sz w:val="20"/>
          <w:sz w:val="20"/>
          <w:szCs w:val="20"/>
          <w:rtl w:val="true"/>
        </w:rPr>
        <w:t xml:space="preserve">، کتاب الفاء وما بعدها فی المضاعف والمطابق، مکتب الإعلام الإسلامی، قم،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403/6</w:t>
      </w:r>
      <w:r>
        <w:rPr>
          <w:rFonts w:ascii="IRNazanin" w:hAnsi="IRNazanin" w:eastAsia="IRNazanin"/>
          <w:b w:val="false"/>
          <w:b w:val="false"/>
          <w:bCs w:val="false"/>
          <w:i w:val="false"/>
          <w:i w:val="false"/>
          <w:iCs w:val="false"/>
          <w:color w:val="333333"/>
          <w:sz w:val="20"/>
          <w:sz w:val="20"/>
          <w:szCs w:val="20"/>
          <w:rtl w:val="true"/>
        </w:rPr>
        <w:t xml:space="preserve">، دار صادر، بیروت،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عن حقائق غوامض التنزیل، ج </w:t>
      </w:r>
      <w:r>
        <w:rPr>
          <w:rFonts w:eastAsia="IRNazanin" w:cs="IRNazanin"/>
          <w:b w:val="false"/>
          <w:bCs w:val="false"/>
          <w:i w:val="false"/>
          <w:iCs w:val="false"/>
          <w:color w:val="333333"/>
          <w:sz w:val="20"/>
          <w:szCs w:val="20"/>
        </w:rPr>
        <w:t>502/4</w:t>
      </w:r>
      <w:r>
        <w:rPr>
          <w:rFonts w:ascii="IRNazanin" w:hAnsi="IRNazanin" w:eastAsia="IRNazanin"/>
          <w:b w:val="false"/>
          <w:b w:val="false"/>
          <w:bCs w:val="false"/>
          <w:i w:val="false"/>
          <w:i w:val="false"/>
          <w:iCs w:val="false"/>
          <w:color w:val="333333"/>
          <w:sz w:val="20"/>
          <w:sz w:val="20"/>
          <w:szCs w:val="20"/>
          <w:rtl w:val="true"/>
        </w:rPr>
        <w:t>، دار الکتاب العربی، بیروت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203/19</w:t>
      </w:r>
      <w:r>
        <w:rPr>
          <w:rFonts w:ascii="IRNazanin" w:hAnsi="IRNazanin" w:eastAsia="IRNazanin"/>
          <w:b w:val="false"/>
          <w:b w:val="false"/>
          <w:bCs w:val="false"/>
          <w:i w:val="false"/>
          <w:i w:val="false"/>
          <w:iCs w:val="false"/>
          <w:color w:val="333333"/>
          <w:sz w:val="20"/>
          <w:sz w:val="20"/>
          <w:szCs w:val="20"/>
          <w:rtl w:val="true"/>
        </w:rPr>
        <w:t xml:space="preserve">، مؤسسة الأعلمی للمطبوعات، بیروت،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فی شرح تحریر الوسیلة، الخمس والأنفال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مرکز فقه الأئمة الأطهار، قم،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ج </w:t>
      </w:r>
      <w:r>
        <w:rPr>
          <w:rFonts w:eastAsia="IRNazanin" w:cs="IRNazanin"/>
          <w:b w:val="false"/>
          <w:bCs w:val="false"/>
          <w:i w:val="false"/>
          <w:iCs w:val="false"/>
          <w:color w:val="333333"/>
          <w:sz w:val="20"/>
          <w:szCs w:val="20"/>
        </w:rPr>
        <w:t>562/9</w:t>
      </w:r>
      <w:r>
        <w:rPr>
          <w:rFonts w:ascii="IRNazanin" w:hAnsi="IRNazanin" w:eastAsia="IRNazanin"/>
          <w:b w:val="false"/>
          <w:b w:val="false"/>
          <w:bCs w:val="false"/>
          <w:i w:val="false"/>
          <w:i w:val="false"/>
          <w:iCs w:val="false"/>
          <w:color w:val="333333"/>
          <w:sz w:val="20"/>
          <w:sz w:val="20"/>
          <w:szCs w:val="20"/>
          <w:rtl w:val="true"/>
        </w:rPr>
        <w:t>، مؤسسة الأعلمی للمطبوعات، بیروت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البیان فی براهین آیات الأحکام،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مؤمنین، قم،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فی شرح العروة الوثقی، کتاب الخمس،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مؤسسة إحیاء آثار الإمام الخوئی، قم،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فی شرح المقنعة، ج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xml:space="preserve">، باب الأنفال،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دار الأضواء، بیروت،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فی شرح المقنعة، ج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xml:space="preserve">، باب الأنفال،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دار الأضواء، بیروت،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الخمس، أبواب الأنفال،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طبع آل البیت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إلی آیات الأحکام، ج </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 المکتبة المرتضویة، طهران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ج </w:t>
      </w:r>
      <w:r>
        <w:rPr>
          <w:rFonts w:eastAsia="IRNazanin" w:cs="IRNazanin"/>
          <w:b w:val="false"/>
          <w:bCs w:val="false"/>
          <w:i w:val="false"/>
          <w:iCs w:val="false"/>
          <w:color w:val="333333"/>
          <w:sz w:val="20"/>
          <w:szCs w:val="20"/>
        </w:rPr>
        <w:t>506/29</w:t>
      </w:r>
      <w:r>
        <w:rPr>
          <w:rFonts w:ascii="IRNazanin" w:hAnsi="IRNazanin" w:eastAsia="IRNazanin"/>
          <w:b w:val="false"/>
          <w:b w:val="false"/>
          <w:bCs w:val="false"/>
          <w:i w:val="false"/>
          <w:i w:val="false"/>
          <w:iCs w:val="false"/>
          <w:color w:val="333333"/>
          <w:sz w:val="20"/>
          <w:sz w:val="20"/>
          <w:szCs w:val="20"/>
          <w:rtl w:val="true"/>
        </w:rPr>
        <w:t xml:space="preserve">، مجلد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دار إحیاء التراث العربی، بیروت،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أبو السعود،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204/19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مؤسسة الأعلمی للمطبوعات، بیروت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البیضاوی،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الکشاف</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155/2</w:t>
      </w:r>
      <w:r>
        <w:rPr>
          <w:rFonts w:ascii="IRNazanin" w:hAnsi="IRNazanin" w:eastAsia="IRNazanin"/>
          <w:b w:val="false"/>
          <w:b w:val="false"/>
          <w:bCs w:val="false"/>
          <w:i w:val="false"/>
          <w:i w:val="false"/>
          <w:iCs w:val="false"/>
          <w:color w:val="333333"/>
          <w:sz w:val="20"/>
          <w:sz w:val="20"/>
          <w:szCs w:val="20"/>
          <w:rtl w:val="true"/>
        </w:rPr>
        <w:t>، علامة، قم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image" Target="media/image2.jpeg"/><Relationship Id="rId278" Type="http://schemas.openxmlformats.org/officeDocument/2006/relationships/image" Target="media/image2.jpeg"/><Relationship Id="rId279" Type="http://schemas.openxmlformats.org/officeDocument/2006/relationships/footer" Target="footer272.xml"/><Relationship Id="rId280" Type="http://schemas.openxmlformats.org/officeDocument/2006/relationships/footnotes" Target="footnotes.xml"/><Relationship Id="rId281" Type="http://schemas.openxmlformats.org/officeDocument/2006/relationships/numbering" Target="numbering.xml"/><Relationship Id="rId282" Type="http://schemas.openxmlformats.org/officeDocument/2006/relationships/fontTable" Target="fontTable.xml"/><Relationship Id="rId283" Type="http://schemas.openxmlformats.org/officeDocument/2006/relationships/settings" Target="settings.xml"/><Relationship Id="rId2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278</Pages>
  <Words>51723</Words>
  <Characters>228341</Characters>
  <CharactersWithSpaces>277936</CharactersWithSpaces>
  <Paragraphs>2129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2026-08-19T02:15:35Z</dcterms:created>
  <dc:creator>ghaemiyeh.com</dc:creator>
  <dc:description/>
  <dc:language>en-US</dc:language>
  <cp:lastModifiedBy/>
  <dcterms:modified xsi:type="dcterms:W3CDTF">2026-08-19T05:45:42Z</dcterms:modified>
  <cp:revision>1</cp:revision>
  <dc:subject/>
  <dc:title>بحوث فی آیات الأحکام الخمس</dc:title>
</cp:coreProperties>
</file>

<file path=docProps/custom.xml><?xml version="1.0" encoding="utf-8"?>
<Properties xmlns="http://schemas.openxmlformats.org/officeDocument/2006/custom-properties" xmlns:vt="http://schemas.openxmlformats.org/officeDocument/2006/docPropsVTypes"/>
</file>