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واقعه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9456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899458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899460_581953129">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1899462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899464_581953129">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1899466_581953129">
            <w:r>
              <w:rPr>
                <w:webHidden/>
                <w:rStyle w:val="IndexLink"/>
                <w:rtl w:val="true"/>
              </w:rPr>
              <w:t>بحث اوّل</w:t>
            </w:r>
            <w:r>
              <w:rPr>
                <w:rStyle w:val="IndexLink"/>
                <w:rtl w:val="true"/>
              </w:rPr>
              <w:t>:</w:t>
            </w:r>
            <w:r>
              <w:rPr>
                <w:rStyle w:val="IndexLink"/>
                <w:rtl w:val="true"/>
              </w:rPr>
              <w:t>واقعۀ غدیر</w:t>
            </w:r>
            <w:r>
              <w:rPr>
                <w:rStyle w:val="IndexLink"/>
                <w:rtl w:val="true"/>
              </w:rPr>
              <w:tab/>
            </w:r>
            <w:r>
              <w:rPr>
                <w:rStyle w:val="IndexLink"/>
              </w:rPr>
              <w:t>27</w:t>
            </w:r>
          </w:hyperlink>
        </w:p>
        <w:p>
          <w:pPr>
            <w:pStyle w:val="Contents2"/>
            <w:tabs>
              <w:tab w:val="clear" w:pos="8743"/>
              <w:tab w:val="right" w:pos="9026" w:leader="dot"/>
            </w:tabs>
            <w:rPr/>
          </w:pPr>
          <w:hyperlink w:anchor="__RefHeading___Toc1899468_581953129">
            <w:r>
              <w:rPr>
                <w:webHidden/>
                <w:rStyle w:val="IndexLink"/>
                <w:rtl w:val="true"/>
              </w:rPr>
              <w:t>بحث دوم</w:t>
            </w:r>
            <w:r>
              <w:rPr>
                <w:rStyle w:val="IndexLink"/>
                <w:rtl w:val="true"/>
              </w:rPr>
              <w:t>:</w:t>
            </w:r>
            <w:r>
              <w:rPr>
                <w:rStyle w:val="IndexLink"/>
                <w:rtl w:val="true"/>
              </w:rPr>
              <w:t>عید غدیر در تاریخ اسلامی</w:t>
            </w:r>
            <w:r>
              <w:rPr>
                <w:rStyle w:val="IndexLink"/>
                <w:rtl w:val="true"/>
              </w:rPr>
              <w:tab/>
            </w:r>
            <w:r>
              <w:rPr>
                <w:rStyle w:val="IndexLink"/>
              </w:rPr>
              <w:t>36</w:t>
            </w:r>
          </w:hyperlink>
        </w:p>
        <w:p>
          <w:pPr>
            <w:pStyle w:val="Contents2"/>
            <w:tabs>
              <w:tab w:val="clear" w:pos="8743"/>
              <w:tab w:val="right" w:pos="9026" w:leader="dot"/>
            </w:tabs>
            <w:rPr/>
          </w:pPr>
          <w:hyperlink w:anchor="__RefHeading___Toc1899470_581953129">
            <w:r>
              <w:rPr>
                <w:webHidden/>
                <w:rStyle w:val="IndexLink"/>
                <w:rtl w:val="true"/>
              </w:rPr>
              <w:t>بحث سوّم</w:t>
            </w:r>
            <w:r>
              <w:rPr>
                <w:rStyle w:val="IndexLink"/>
                <w:rtl w:val="true"/>
              </w:rPr>
              <w:t>:</w:t>
            </w:r>
            <w:r>
              <w:rPr>
                <w:rStyle w:val="IndexLink"/>
                <w:rtl w:val="true"/>
              </w:rPr>
              <w:t>تواتر حدیث غدیر</w:t>
            </w:r>
            <w:r>
              <w:rPr>
                <w:rStyle w:val="IndexLink"/>
                <w:rtl w:val="true"/>
              </w:rPr>
              <w:tab/>
            </w:r>
            <w:r>
              <w:rPr>
                <w:rStyle w:val="IndexLink"/>
              </w:rPr>
              <w:t>40</w:t>
            </w:r>
          </w:hyperlink>
        </w:p>
        <w:p>
          <w:pPr>
            <w:pStyle w:val="Contents3"/>
            <w:tabs>
              <w:tab w:val="clear" w:pos="8459"/>
              <w:tab w:val="right" w:pos="9026" w:leader="dot"/>
            </w:tabs>
            <w:rPr/>
          </w:pPr>
          <w:hyperlink w:anchor="__RefHeading___Toc1899472_581953129">
            <w:r>
              <w:rPr>
                <w:webHidden/>
                <w:rStyle w:val="IndexLink"/>
                <w:rtl w:val="true"/>
              </w:rPr>
              <w:t>اوّل</w:t>
            </w:r>
            <w:r>
              <w:rPr>
                <w:rStyle w:val="IndexLink"/>
                <w:rtl w:val="true"/>
              </w:rPr>
              <w:t xml:space="preserve">: </w:t>
            </w:r>
            <w:r>
              <w:rPr>
                <w:rStyle w:val="IndexLink"/>
                <w:rtl w:val="true"/>
              </w:rPr>
              <w:t>اعتراف علمای مذاهب مختلف به تواتر حدیث غدیر</w:t>
            </w:r>
            <w:r>
              <w:rPr>
                <w:rStyle w:val="IndexLink"/>
                <w:rtl w:val="true"/>
              </w:rPr>
              <w:tab/>
            </w:r>
            <w:r>
              <w:rPr>
                <w:rStyle w:val="IndexLink"/>
              </w:rPr>
              <w:t>40</w:t>
            </w:r>
          </w:hyperlink>
        </w:p>
        <w:p>
          <w:pPr>
            <w:pStyle w:val="Contents3"/>
            <w:tabs>
              <w:tab w:val="clear" w:pos="8459"/>
              <w:tab w:val="right" w:pos="9026" w:leader="dot"/>
            </w:tabs>
            <w:rPr/>
          </w:pPr>
          <w:hyperlink w:anchor="__RefHeading___Toc1899474_581953129">
            <w:r>
              <w:rPr>
                <w:webHidden/>
                <w:rStyle w:val="IndexLink"/>
                <w:rtl w:val="true"/>
              </w:rPr>
              <w:t>دوّم</w:t>
            </w:r>
            <w:r>
              <w:rPr>
                <w:rStyle w:val="IndexLink"/>
                <w:rtl w:val="true"/>
              </w:rPr>
              <w:t xml:space="preserve">: </w:t>
            </w:r>
            <w:r>
              <w:rPr>
                <w:rStyle w:val="IndexLink"/>
                <w:rtl w:val="true"/>
              </w:rPr>
              <w:t>جمعی از بزرگان محدّثین، حدیث غدیر از طرق بسیاری نقل کرده اند که برخی از آنان عبارتند از</w:t>
            </w:r>
            <w:r>
              <w:rPr>
                <w:rStyle w:val="IndexLink"/>
                <w:rtl w:val="true"/>
              </w:rPr>
              <w:t>:</w:t>
              <w:tab/>
            </w:r>
            <w:r>
              <w:rPr>
                <w:rStyle w:val="IndexLink"/>
              </w:rPr>
              <w:t>42</w:t>
            </w:r>
          </w:hyperlink>
        </w:p>
        <w:p>
          <w:pPr>
            <w:pStyle w:val="Contents3"/>
            <w:tabs>
              <w:tab w:val="clear" w:pos="8459"/>
              <w:tab w:val="right" w:pos="9026" w:leader="dot"/>
            </w:tabs>
            <w:rPr/>
          </w:pPr>
          <w:hyperlink w:anchor="__RefHeading___Toc1899476_581953129">
            <w:r>
              <w:rPr>
                <w:webHidden/>
                <w:rStyle w:val="IndexLink"/>
                <w:rtl w:val="true"/>
              </w:rPr>
              <w:t>سوّم</w:t>
            </w:r>
            <w:r>
              <w:rPr>
                <w:rStyle w:val="IndexLink"/>
                <w:rtl w:val="true"/>
              </w:rPr>
              <w:t xml:space="preserve">: </w:t>
            </w:r>
            <w:r>
              <w:rPr>
                <w:rStyle w:val="IndexLink"/>
                <w:rtl w:val="true"/>
              </w:rPr>
              <w:t>احتجاج صحابه و تابعین به حدیث غدیر</w:t>
            </w:r>
            <w:r>
              <w:rPr>
                <w:rStyle w:val="IndexLink"/>
                <w:rtl w:val="true"/>
              </w:rPr>
              <w:tab/>
            </w:r>
            <w:r>
              <w:rPr>
                <w:rStyle w:val="IndexLink"/>
              </w:rPr>
              <w:t>43</w:t>
            </w:r>
          </w:hyperlink>
        </w:p>
        <w:p>
          <w:pPr>
            <w:pStyle w:val="Contents2"/>
            <w:tabs>
              <w:tab w:val="clear" w:pos="8743"/>
              <w:tab w:val="right" w:pos="9026" w:leader="dot"/>
            </w:tabs>
            <w:rPr/>
          </w:pPr>
          <w:hyperlink w:anchor="__RefHeading___Toc1899478_581953129">
            <w:r>
              <w:rPr>
                <w:webHidden/>
                <w:rStyle w:val="IndexLink"/>
                <w:rtl w:val="true"/>
              </w:rPr>
              <w:t>بحث چهارم</w:t>
            </w:r>
            <w:r>
              <w:rPr>
                <w:rStyle w:val="IndexLink"/>
                <w:rtl w:val="true"/>
              </w:rPr>
              <w:t>:</w:t>
            </w:r>
            <w:r>
              <w:rPr>
                <w:rStyle w:val="IndexLink"/>
                <w:rtl w:val="true"/>
              </w:rPr>
              <w:t>تأویل ناپذیری حدیث غدیر</w:t>
            </w:r>
            <w:r>
              <w:rPr>
                <w:rStyle w:val="IndexLink"/>
                <w:rtl w:val="true"/>
              </w:rPr>
              <w:tab/>
            </w:r>
            <w:r>
              <w:rPr>
                <w:rStyle w:val="IndexLink"/>
              </w:rPr>
              <w:t>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43_32828"/>
      <w:bookmarkStart w:id="1" w:name="pg5443_32828"/>
      <w:bookmarkEnd w:id="1"/>
    </w:p>
    <w:p>
      <w:pPr>
        <w:pStyle w:val="Heading2"/>
        <w:numPr>
          <w:ilvl w:val="1"/>
          <w:numId w:val="1"/>
        </w:numPr>
        <w:rPr/>
      </w:pPr>
      <w:bookmarkStart w:id="2" w:name="pg5443_32828"/>
      <w:bookmarkStart w:id="3" w:name="__RefHeading___Toc189945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ایوب،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فی الکتاب و السنه و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ایوب حائری؛ ترجمه حسین‌علی عربی؛ 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علیهم‌السلام؛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حسینعلی،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امرالله ،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۴۰۴۱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۳۸۲۸۵۸۲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99458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واقعه غدیر</w:t>
      </w:r>
    </w:p>
    <w:p>
      <w:pPr>
        <w:pStyle w:val="BookText"/>
        <w:rPr/>
      </w:pPr>
      <w:r>
        <w:rPr>
          <w:rFonts w:ascii="IRNazanin" w:hAnsi="IRNazanin" w:eastAsia="IRNazanin"/>
          <w:color w:val="111111"/>
          <w:sz w:val="28"/>
          <w:sz w:val="28"/>
          <w:szCs w:val="28"/>
          <w:rtl w:val="true"/>
          <w:lang w:bidi="fa-IR"/>
        </w:rPr>
        <w:t>گروه پژوهش و پاسخ به شبهات، ایوب حائری</w:t>
      </w:r>
    </w:p>
    <w:p>
      <w:pPr>
        <w:pStyle w:val="BookText"/>
        <w:rPr/>
      </w:pPr>
      <w:r>
        <w:rPr>
          <w:rFonts w:ascii="IRNazanin" w:hAnsi="IRNazanin" w:eastAsia="IRNazanin"/>
          <w:color w:val="111111"/>
          <w:sz w:val="28"/>
          <w:sz w:val="28"/>
          <w:szCs w:val="28"/>
          <w:rtl w:val="true"/>
          <w:lang w:bidi="fa-IR"/>
        </w:rPr>
        <w:t>ترجمه حسین‌علی عربی</w:t>
      </w:r>
    </w:p>
    <w:p>
      <w:pPr>
        <w:pStyle w:val="BookText"/>
        <w:rPr/>
      </w:pPr>
      <w:r>
        <w:rPr>
          <w:rFonts w:ascii="IRNazanin" w:hAnsi="IRNazanin" w:eastAsia="IRNazanin"/>
          <w:color w:val="111111"/>
          <w:sz w:val="28"/>
          <w:sz w:val="28"/>
          <w:szCs w:val="28"/>
          <w:rtl w:val="true"/>
          <w:lang w:bidi="fa-IR"/>
        </w:rPr>
        <w:t xml:space="preserve">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bookmarkStart w:id="7" w:name="pg5443_32836"/>
    </w:p>
    <w:p>
      <w:pPr>
        <w:pStyle w:val="Heading2"/>
        <w:numPr>
          <w:ilvl w:val="1"/>
          <w:numId w:val="1"/>
        </w:numPr>
        <w:rPr/>
      </w:pPr>
      <w:bookmarkStart w:id="8" w:name="__RefHeading___Toc1899460_581953129"/>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 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w:t>
      </w:r>
    </w:p>
    <w:p>
      <w:pPr>
        <w:pStyle w:val="BookText"/>
        <w:rPr/>
      </w:pPr>
      <w:r>
        <w:rPr>
          <w:rFonts w:ascii="IRNazanin" w:hAnsi="IRNazanin" w:eastAsia="IRNazanin"/>
          <w:color w:val="111111"/>
          <w:sz w:val="28"/>
          <w:sz w:val="28"/>
          <w:szCs w:val="28"/>
          <w:rtl w:val="true"/>
          <w:lang w:bidi="fa-IR"/>
        </w:rPr>
        <w:t>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443_32840"/>
    </w:p>
    <w:p>
      <w:pPr>
        <w:pStyle w:val="Heading2"/>
        <w:numPr>
          <w:ilvl w:val="1"/>
          <w:numId w:val="1"/>
        </w:numPr>
        <w:rPr/>
      </w:pPr>
      <w:bookmarkStart w:id="11" w:name="__RefHeading___Toc1899462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همۀ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قاطبۀ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p>
    <w:p>
      <w:pPr>
        <w:pStyle w:val="BookText"/>
        <w:rPr/>
      </w:pPr>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شحنۀ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نگاه بیندازید و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زمینۀ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3" w:name="pg5443_32848"/>
    </w:p>
    <w:p>
      <w:pPr>
        <w:pStyle w:val="Heading2"/>
        <w:numPr>
          <w:ilvl w:val="1"/>
          <w:numId w:val="1"/>
        </w:numPr>
        <w:rPr/>
      </w:pPr>
      <w:bookmarkStart w:id="14" w:name="__RefHeading___Toc1899464_581953129"/>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اسلام، دینی جهانی و آخرین شریعتی است که در بردارندۀ تمام نیازهای زندگی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امّت اسلامی تا زمانی که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بودند، بر عهدۀ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برای این شریعت جاودانه امکان ندارد که مسألۀ مهمّ رهبری را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بگذارد و این امر بسیار مهم را به دست حوادث و اتفاقات، یا هوا و هوس و یا اجتهادات شخصی صحابه‌ای واگذار کند که آرا و نظرات و جهت‌گیریهای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چنین صورتی، اختلاف و پراکندگی و جنگ و نزاع بر پا می‌شده و به شکست و از هم پاشیدگی نظام اسلامی منجر می‌شود؛ بنابراین، برای آخرین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شریعت جاودانۀ اسلام، امکان ندارد که این مسألۀ بسیار مهم را مهمل بگذارد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 روشن می‌شود که تعیین جانشین و کسی که رهبری امّت را بعد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بگیرد، امری طبیعی و ضروری و مورد توقّع تمام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دید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را به رهبری و جانشینی پس از خود تعیین کرده است؟ و این کار، چه زمانی و چگونه انجام شده است؟</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ایشان معتقدند که جانشینی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عهده گرفتن رهبری امّت اسلامی، منصبی الهی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 آن را ابلاغ و اجرا می کند و خداوند و رسولش انتخاب رهبر امّت اسلامی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مادامی که به اسم خداوند متعال و به نام دین اسلام حکومت می کنند، به رأی و انتخاب مردم واگذار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 رسول او، برترین فرد امّت را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 و بر امامّت و رهبری وی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همان آغاز رسالت شروع شده و در طی سالهای اعلام دعوت در مکّه و مدینه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تا زمان بازگشت از حجّة الوداع ادامه یافت و به صورت خاصّ در هجدهم ذیحجّه سال دهم هجری انجام شد که خداوند متعال به صراحت پیامبر خویش را مأمور به انجام آن کرد و آن حضرت ابلاغ امر الهی را تا زمان رحلت ادامه دادند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پیروان خلفا که حکومت را پس از رحلت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گرفتند، قایل به این بودند که خلافت، یک منصب الهی نیست و احتیاج به نصّ و تصریح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که با رأی و نظر مسلمانان، اگرچه تعداد کمی باشند، یک نفر به عنوان خلیفه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تلاش کرده‌اند که ثابت کنند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جانشینی خود را مهمل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 دلایلی توجیه کرده‌اند که در بهترین صورت به این مطلب ختم می‌شود که چنین کاری بر اساس سیرۀ بعضی از صحابه بوده است، لذا برای سایر مسلمانان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نویسندگان کتابهای روایی و تاریخی که در اواخر دوران بنی‌امیّه و اوایل دوران بنی‌عبّاس نگاشته شده است، این توقّع وجود ندارد که ملتزم به بیان تمام حقایق تاریخی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هنگامی که بعضی از حقایق، با منافع حاکمان آن زمان در تضاد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یک منبع، یا دو منبع، یک حادثۀ تاریخی را برخلاف دیگران نقل کرده باشند، باید آن را یک امر مهم تلقّی نمود و توجّه ویژه بدان مبذول داشت و سهل‌انگاری در این مورد، سزاوار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یک محقّق حقیقت طلب، لازم است که قضایای مهم را در آن اوضاع، با روشهای علمی بررسی کند و وضعیّت طبیعی عصر رسالت و مهمترین حوادث آخرین روزهای عمر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شکل معقول مورد تحقیق و ارزیابی قرار دهد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سیاسی داخل و خارج نظام اسلامی در اواخر عمر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بود که ضرورت داشت آن حضرت کسیرا به عنوان جانشین خود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منافقان و اهل کتاب</w:t>
      </w:r>
    </w:p>
    <w:p>
      <w:pPr>
        <w:pStyle w:val="BookText"/>
        <w:rPr/>
      </w:pPr>
      <w:r>
        <w:rPr>
          <w:rFonts w:ascii="IRNazanin" w:hAnsi="IRNazanin" w:eastAsia="IRNazanin"/>
          <w:color w:val="111111"/>
          <w:sz w:val="28"/>
          <w:sz w:val="28"/>
          <w:szCs w:val="28"/>
          <w:rtl w:val="true"/>
          <w:lang w:bidi="fa-IR"/>
        </w:rPr>
        <w:t>از درون، نظام اسلامی را تهدید می‌کردند و دولت بیزانس و مشرکان جزیرة العرب از خارج، نظام اسلامی را تهدید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اوضاع اجتماعی و سیاسی خطرناکی که هر لحظه آبستن حوادث و آشوبهای متعدد بود، اقتضا می‌کرد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پیش‌بینی‌های لازم را جهت دفع هرگونه اختلاف و نزاع در داخل نظام اسلامی انجام دهد و زمینۀ استمرار و بقای وحدت اسلامی را فراهم کند و این مهم، با تعیین و نصب رهبری شایسته که امّت اسلامی را از تشتّت و تفرقه دور نگه دارد، به انجام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نصب رهبری شایسته و لایق، وحدت امّت اسلامی، حفظ شده و هواپرستان طمع نمی‌کردند که مدعی خلافت و رهبری امّت اسلامی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جلو اختلافات و نزاعها گرفته می‌شد و امّت اسلامی، بدون رهبر و راهنما به دست حوادث سپرده نمی‌شد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احتمالات و محاسبات اجتماعی، ما را به صحّت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تعیین جانشین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می‌شود که آن حضرت آن را در واقع محقّق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روشن می‌شود که سرّ مطرح کردن مسألۀ خلافت و جانشینی از همان روزهای اوّل دعوت اسلامی، چه بوده است، در آن هنگام که تعداد کمی اسلام آورده بودند و خدای یکتا را پرستش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می‌یابیم که چرا آن حضرت در طول دوران رسالت و حتّی در آخرین لحظات زندگی، به این مسأله اشاره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خود را تعیین کرده بود و با بیاناتی قاطع و واضح از همان اوّلین روزهای دعوت و در طول دوران رسالت و حتّی در آخرین ساعات زندگی‌اش به خلیفه و جانشین خود تصریح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با وجود تطمیع‌ها و تهدیدها دین خود را به حاکمان نفروختند، چنین نظری دارند و بر صحّت نظر خود، اصرار ورزیده و دلیل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برخی از نصوصی که تصریح می‌کند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اوایل دعوت، تا اواخر عمر شریفش به مسألۀ جانشینی، عنایت خاصّی داشته است،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حُمید برای ما از سَلَمه، از محمّد بن اسحاق، از عبدالغفّار بن قاسم، از منهال بن عمرو، از عبدالله بن حارث بن نوفل بن حرث بن عبدالمطّلب، از عبدالله بن عبّاس، از علی ابن ابی‌طالب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عَشِیرَتَکَ الأَقْرَبِینَ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 که خویشاوندان نزدیک را انذار کنم، امّا از این کار سینه‌ام تنگ و اندوهگین شده است؛ زیرا می‌دانم که اگر این امر را با ایشان در میان بگذارم، برخورد مکروهی را از آنان می‌بینم، پس اقدامی نکردم تا جبرئیل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آنچه را که مأمور شده‌ای، انجام ندهی، خداوند تو را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از غذا تهیّه کن و ران گوسفندی بر آن بگذار و ظرفی شیر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فرزندان عبدالمطّلب را دعوت کن تا با آنان صحبت کنم و دستور الهی را به ایشان ابلاغ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دستورات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 و بنی عبدالمطّلب را که در آن روز، حدود چهل مرد بودند،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عموهای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حمزه، عبّاس و ابولهب هم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همه آمدند،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غذا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آوردم، پس از آن که غذا را در سفره گذاشتم،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تکّه‌ای از گوشت را برداشت و آن را تکّه تکّه کرد و در جاهای مختلف ظرف غذا گذاشت،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بفرمایید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شروع به خوردن کردند تا سیر شدند، در حالی که فقط جای دستهایشان در غذا باقی مانده و از غذا چیزی کم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خدایی که جان علی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آنان می‌توانست تمام غذایی را که تهیّه کرده بودم، به تنهایی بخورد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ظرف شیر را آوردم و همگی از آن نوشیدند تا سیراب شدند و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آنان در حالت عادی، تمام آن شیر را به تنهایی می‌آشامید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صرف غذا، 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پیشدستی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میزبان، شما را جادو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عبدالمطّلب پراکنده شدند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در آن جلسه دستور الهی را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همین کار را تکرار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دیدی این مرد، امروز از من پیشی گرفت و باعث شد که افراد متفرّق شوند، پس غذایی تهیّه کن تا فردا آنان را دعوت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دستورات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همگی را دعوت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همه آمدند،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غذا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در وسط سفره گذاشتم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 دیروز را تکرار کرد و همۀ افراد غذا خوردند تا سیر شدند و شیر نوشیدند تا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صحبت کرد و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عرب کسی را نمی‌شناسم که چیزی بهتر از آنچه من برای شما آورده‌ام،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دنیا و آخرت را برای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داده است که شما را به سوی خیر دنیا و آخرت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کدام یک از شما مرا در این کار یاری می‌کند تا برادر، وصی و جانشین من باشد؟</w:t>
      </w:r>
    </w:p>
    <w:p>
      <w:pPr>
        <w:pStyle w:val="BookText"/>
        <w:rPr/>
      </w:pPr>
      <w:r>
        <w:rPr>
          <w:rFonts w:ascii="IRNazanin" w:hAnsi="IRNazanin" w:eastAsia="IRNazanin"/>
          <w:color w:val="111111"/>
          <w:sz w:val="28"/>
          <w:sz w:val="28"/>
          <w:szCs w:val="28"/>
          <w:rtl w:val="true"/>
          <w:lang w:bidi="fa-IR"/>
        </w:rPr>
        <w:t>تمام افراد از پذیرش این درخواست،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کم سن و سال‌ترین ایشان بودم،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کمک می‌کنم و یاور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برادر، وصی و جانشین من در میان شماست، حرف او را بشنوید و از او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عبدالمطّلب در حالی که می‌خندیدند، از جای خود برخاستند و بعضی به ابوطالب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داده است که از فرزند خردسالت اطاعت و حرف شنوی داشته باشی</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این حدیث، نزد محدّثان و مفسّران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یوم الدار و حدیث بدءُ 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مقدار در ابتدای رسالتش اکتفا نکرده است بلکه در جاها و به مناسبتهای مختلف تصریح کرده است که جانشین وی،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این تصریحات، در روز هجدهم ذیحجّه سال دهم هجری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و در این جا به صورت مختصر این حادثۀ تاریخی عظیم و سخنان بلیغ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ضمن چهار بحث، بیان می‌کنیم</w:t>
      </w:r>
      <w:r>
        <w:rPr>
          <w:rFonts w:eastAsia="IRNazanin" w:cs="IRNazanin"/>
          <w:color w:val="111111"/>
          <w:sz w:val="28"/>
          <w:szCs w:val="28"/>
          <w:rtl w:val="true"/>
          <w:lang w:bidi="fa-IR"/>
        </w:rPr>
        <w:t>.</w:t>
      </w:r>
      <w:bookmarkStart w:id="16" w:name="pg5443_32858"/>
    </w:p>
    <w:p>
      <w:pPr>
        <w:pStyle w:val="Heading2"/>
        <w:numPr>
          <w:ilvl w:val="1"/>
          <w:numId w:val="1"/>
        </w:numPr>
        <w:rPr/>
      </w:pPr>
      <w:bookmarkStart w:id="17" w:name="__RefHeading___Toc1899466_581953129"/>
      <w:bookmarkStart w:id="18" w:name="_Toc6"/>
      <w:bookmarkEnd w:id="16"/>
      <w:bookmarkEnd w:id="17"/>
      <w:r>
        <w:rPr>
          <w:rtl w:val="true"/>
        </w:rPr>
        <w:t>بحث اوّل</w:t>
      </w:r>
      <w:r>
        <w:rPr>
          <w:rtl w:val="true"/>
        </w:rPr>
        <w:t>:</w:t>
      </w:r>
      <w:r>
        <w:rPr>
          <w:rtl w:val="true"/>
        </w:rPr>
        <w:t>واقعۀ غدیر</w:t>
      </w:r>
      <w:bookmarkEnd w:id="18"/>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هجری تصمیم گرفت تا حجّ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همه جا اعلام کردند و به دنبال آن عدّۀ زیادی از مسلمانان وارد مدینه شدند تا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سفر روحانی،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 </w:t>
      </w:r>
      <w:r>
        <w:rPr>
          <w:rStyle w:val="FootnoteAnchor"/>
          <w:rtl w:val="true"/>
        </w:rPr>
        <w:footnoteReference w:id="13"/>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هجرت تا هنگام رحلت، تنها همین یک حجّ را به جای آورد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حالی که غسل کرده و روغن زده بود، لباس احرامش را که دو قطعه پارچۀ صُحاری </w:t>
      </w:r>
      <w:r>
        <w:rPr>
          <w:rStyle w:val="FootnoteAnchor"/>
          <w:rtl w:val="true"/>
        </w:rPr>
        <w:footnoteReference w:id="14"/>
      </w:r>
      <w:r>
        <w:rPr>
          <w:rFonts w:ascii="IRNazanin" w:hAnsi="IRNazanin" w:eastAsia="IRNazanin"/>
          <w:color w:val="111111"/>
          <w:sz w:val="28"/>
          <w:sz w:val="28"/>
          <w:szCs w:val="28"/>
          <w:rtl w:val="true"/>
          <w:lang w:bidi="fa-IR"/>
        </w:rPr>
        <w:t>بود، در برکرده و با پای</w:t>
      </w:r>
    </w:p>
    <w:p>
      <w:pPr>
        <w:pStyle w:val="BookText"/>
        <w:rPr/>
      </w:pPr>
      <w:r>
        <w:rPr>
          <w:rFonts w:ascii="IRNazanin" w:hAnsi="IRNazanin" w:eastAsia="IRNazanin"/>
          <w:color w:val="111111"/>
          <w:sz w:val="28"/>
          <w:sz w:val="28"/>
          <w:szCs w:val="28"/>
          <w:rtl w:val="true"/>
          <w:lang w:bidi="fa-IR"/>
        </w:rPr>
        <w:t>پیاده از مدینه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مصادف با روز شنبه که پنج، یا شش شب از ذیقعده باقی مانده بود،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تمام زنان آن حضرت نیز شرکت کردند و تمام اهل بیتش و مهاجرین و انصار و افرادی بی شمار از قبایل عرب و بادیه‌نشینها او را همراهی می‌کردند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وجودی که هنگام حرکت آن حضرت به سوی حجّة الوداع، مردم مدینه به بیماری جدری، یا حصبه مبتلا شده بودند و عدّۀ زیادی از همراهی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بازمانده بودند، امّا با این حال، تعداد بی‌شماری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تعدادشان را جز خدا نمی‌داند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نودهزار نفر و بنا به قولی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هزارنفر و بنا به قولی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و بنا به قولی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آن حضرت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تعداد را از این هم بیشتر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تعداد، همراه آن حضرت بوده‌اند و افرادی که حجّ به جای آورده‌اند، به یقین بیش از این مقدار بوده‌اند؛ زیرا عدّه‌ای از یمن همراه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ابوموسی اشعری آمده بودند و عدّه‌ای مقیم مکّه بودند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آن حضرت در روز یک‌شنبه به یَلَمْلَمْ </w:t>
      </w:r>
      <w:r>
        <w:rPr>
          <w:rStyle w:val="FootnoteAnchor"/>
          <w:rtl w:val="true"/>
        </w:rPr>
        <w:footnoteReference w:id="17"/>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کرد تا در شب، به شرف السیّاله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نماز مغرب و عشا را به جای آورد، سپس نماز صبح را در عرق الظبیّه </w:t>
      </w:r>
      <w:r>
        <w:rPr>
          <w:rStyle w:val="FootnoteAnchor"/>
          <w:rtl w:val="true"/>
        </w:rPr>
        <w:footnoteReference w:id="18"/>
      </w:r>
      <w:r>
        <w:rPr>
          <w:rFonts w:ascii="IRNazanin" w:hAnsi="IRNazanin" w:eastAsia="IRNazanin"/>
          <w:color w:val="111111"/>
          <w:sz w:val="28"/>
          <w:sz w:val="28"/>
          <w:szCs w:val="28"/>
          <w:rtl w:val="true"/>
          <w:lang w:bidi="fa-IR"/>
        </w:rPr>
        <w:t>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الروحاء فرود آمد و از آن جا حرکت کرد تا نماز عصر را در منصرف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را در متعشی به جای آورد و در همان جا شام خورد و نماز صبح را در الأثایه به جای آورد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روز سه‌شنبه در العرج بود و پس از آن لحی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گردنۀ جحفه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گذاشت و روز چهارشنبه در سقیا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در ابوا نماز صبح را خواند و سپس حرکت کرد تا در روز جمعه در جحفه فرود آمد و از آن‌جا به سوی قُدید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به آن‌جا رسید و روز یک‌شنبه در عُسفان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غمیم بودند، عدّه‌ای از پیادگان از خستگی خود، اظهار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تند راه بروید، بدون آن که بدوید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کردند و از خستگی‌شان 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 به مرالظّهران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خورشید به سرف رسیدند و آن حضرت نماز مغرب را به جای نیاورد تا وارد محدوده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ثنیتین رسیدند، استراحت کردند و آن حضرت در روز سه‌شنبه وارد شهر مکّه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مناسک حجّ، به سوی مدینه بازگشت، در حالی که جمعیّت بی‌شمار مذکور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پنج‌شنبه به غدیرخم در منطقۀ جحفه رسیدند که در آن‌جا مسیرهای مدینه، مصر و عراق از هم جدا می‌شد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که هجدهم ذیحجّه بود، جبرئیل امین نازل شد و این آیه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مَا أُنزِلَ إِلَیْکَ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حضرت دستور داد که علی را به جانشینی خود معرّفی کند و وجوب ولایت‌پذیری و اطاعت از جانشین خود را به همه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اوایل کاروانها در جحفه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آنانی که جلو افتاده‌اند، برگردند و کسانی که عقب‌تر بودند، به همان جا رسیدند و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از منزل کردن در زیر سایۀ پنج درخت بزرگی که کنار هم قرار داشتند، منع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ظهر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زیر همین درختها به نماز ایستاد و نماز ظهر را با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قسمتی از ردا را بر سر و قسمتی از آن را زیر پای خود</w:t>
      </w:r>
    </w:p>
    <w:p>
      <w:pPr>
        <w:pStyle w:val="BookText"/>
        <w:rPr/>
      </w:pPr>
      <w:r>
        <w:rPr>
          <w:rFonts w:ascii="IRNazanin" w:hAnsi="IRNazanin" w:eastAsia="IRNazanin"/>
          <w:color w:val="111111"/>
          <w:sz w:val="28"/>
          <w:sz w:val="28"/>
          <w:szCs w:val="28"/>
          <w:rtl w:val="true"/>
          <w:lang w:bidi="fa-IR"/>
        </w:rPr>
        <w:t>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سایه‌کردن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را روی درختها انداخته بودند تا تابش خورشید، آن حضرت را اذیّت نکند، پس از پایان نماز،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بر بالای چهاز شترها که در وسط مردم </w:t>
      </w:r>
      <w:r>
        <w:rPr>
          <w:rStyle w:val="FootnoteAnchor"/>
          <w:rtl w:val="true"/>
        </w:rPr>
        <w:footnoteReference w:id="19"/>
      </w:r>
      <w:r>
        <w:rPr>
          <w:rFonts w:ascii="IRNazanin" w:hAnsi="IRNazanin" w:eastAsia="IRNazanin"/>
          <w:color w:val="111111"/>
          <w:sz w:val="28"/>
          <w:sz w:val="28"/>
          <w:szCs w:val="28"/>
          <w:rtl w:val="true"/>
          <w:lang w:bidi="fa-IR"/>
        </w:rPr>
        <w:t>روی هم چیده شده بود رفت و با صدای بلند شروع به ایراد خطبه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ستایش می‌گوییم و از او کمک می‌خواهیم و به او ایمان آورده و بر او توکّل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شرور نفسهایمان و از بدیهای اعمالمان به خدا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کسی که خدا او را گمراه کند، هدایت‌گری نیست و برای کسی که او را هدایت کند، گمراه کننده‌ای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لااله‌الااللّه و انّ محمّداً عبده و رسوله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آگاه و مهربان به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هر پیامبر به اندازۀ نصف پیامبر قبلی عمر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من به سرای آخرت دعوت شوم و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مسؤولم و شما مسؤول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چه می‌گویید؟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دستور خدا را ابلاغ کردی و شرط نصیحت را به جای آوردی و بسیار تلاش کردی و امیدواریم که خداوند جزای خیر به شما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نمی‌دهید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انّ محمّداً عبده و رسوله و این که بهشت و جهنّم حقّ و مرگ، حقّ است و قیامّت خواهد آمد و هیچ شکّی در آن نیست و همانا خداوند، تمام کسانی را که در قبور هستند، مبعوث خواهد کرد؟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می‌گویم می‌شنوید؟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زودی پیش از همۀ شما بر حوض وارد می‌شوم و پس از آن شما در حوض بر من وارد می‌شوید که عرض آن مابین صنعا و بُصری </w:t>
      </w:r>
      <w:r>
        <w:rPr>
          <w:rStyle w:val="FootnoteAnchor"/>
          <w:rtl w:val="true"/>
        </w:rPr>
        <w:footnoteReference w:id="20"/>
      </w:r>
      <w:r>
        <w:rPr>
          <w:rFonts w:ascii="IRNazanin" w:hAnsi="IRNazanin" w:eastAsia="IRNazanin"/>
          <w:color w:val="111111"/>
          <w:sz w:val="28"/>
          <w:sz w:val="28"/>
          <w:szCs w:val="28"/>
          <w:rtl w:val="true"/>
          <w:lang w:bidi="fa-IR"/>
        </w:rPr>
        <w:t>است و به تعداد ستارگان، ظرفهای نقره در کنار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پس از من، چگونه با ثقلین رفتار می‌کنید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ثقلین چیست، ای رسول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کتاب خداست که یک طرف آن در دست خدا و طرف دیگر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متمسک شوید تا گمراه نشوید و ثقل اصغر، عترت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آگاه و مهربان به من خبر داده است که این دو از هم جدا نمی‌شوند تا در حوض بر من وارد شوند و این را خدا برای این دو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از این دو، پیش نیفتید که گمراه می‌شوید و عقب نمانید که هلاک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بلند کرد، به طوری که سفیدی زیربغل هر دو آشکار شد و تمام مردم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نسبت به مؤمنان از خودشان اولی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مولای من است و من مولای مؤمنین هستم و از خودشان نسبت به ایشان اولی‌هستم، پس هر کس من مولای او هستم، پس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سه مرتبه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امام حنابله نقل کرده است که آن را چهار بار تکرار کرد و سپس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 و دشمنان او را دشمن بدار و هر کس به او محبّت می ورزد، او را مورد محبّت خود قرار بده و با هر کس که نسبت به علی کینه ورزی می‌کند، مورد حقد و کینۀ خود قرار بده و هر کس که او را یاری می‌کند، یاری کن و هر کس که او</w:t>
      </w:r>
    </w:p>
    <w:p>
      <w:pPr>
        <w:pStyle w:val="BookText"/>
        <w:rPr/>
      </w:pPr>
      <w:r>
        <w:rPr>
          <w:rFonts w:ascii="IRNazanin" w:hAnsi="IRNazanin" w:eastAsia="IRNazanin"/>
          <w:color w:val="111111"/>
          <w:sz w:val="28"/>
          <w:sz w:val="28"/>
          <w:szCs w:val="28"/>
          <w:rtl w:val="true"/>
          <w:lang w:bidi="fa-IR"/>
        </w:rPr>
        <w:t>را خوار می‌شمارد، خوارگردان و حقّ را همان جا قرار بده که علی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شاهدان این را به غایبان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مردم متفرّق نشده بودند که جبرئیل امین این آیه را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الْیَوْمَ أَکْمَلْتُ لَکُمْ دِینَکُمْ وَأَتْمَمْتُ عَلَیْکُمْ نِعْمَتِی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بر اکمال دین و اتمام نعمت و رضایت پروردگار از رسالت من و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افراد به تهنیت‌گویی پرداختند و از جمله کسانی که پیش از دیگران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گفتند خلیفۀ اوّل و دوّم بودند که هر کدام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مولای من و مولای هر مرد و زن مؤمنی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همه واجب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شاعر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 که اشعاری دربارۀ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 به برکت خداوند، بگو</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مرا بشنوید در جایی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شاهد است و آنگاه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پیامبرشان در روز غدیر آنان را مخاطب قرار می‌دهد، آن هم در غدیر خم، پس ندای رسول خدا را بشنو</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بیانات، خلاصه‌ای از حادثۀ غدیر بوده است که امّت اسلامی بر آن اتّفاق نظر دارند و در تمام جهان و در میان امّت اسلام، واقعۀ غدیری، غیر از واقعۀ غدیر خم وجود ندارد و اگر بدون قید و قرینه‌ای آورده شود، منصرف به همین غدیرخم است و اگر در مورد محلّ آن سؤال شود، گفته خواهد شد که این محل در جحفه قرار دارد و در میان تمام مسلمانان معروف است و هیچ کدام از محقّقان و پژوهشگران به چیزی دیگر برخورد نکرده‌اند</w:t>
      </w:r>
      <w:r>
        <w:rPr>
          <w:rFonts w:eastAsia="IRNazanin" w:cs="IRNazanin"/>
          <w:color w:val="111111"/>
          <w:sz w:val="28"/>
          <w:szCs w:val="28"/>
          <w:rtl w:val="true"/>
          <w:lang w:bidi="fa-IR"/>
        </w:rPr>
        <w:t xml:space="preserve">. </w:t>
      </w:r>
      <w:r>
        <w:rPr>
          <w:rStyle w:val="FootnoteAnchor"/>
          <w:rtl w:val="true"/>
        </w:rPr>
        <w:footnoteReference w:id="21"/>
      </w:r>
      <w:bookmarkStart w:id="19" w:name="pg5443_32868"/>
    </w:p>
    <w:p>
      <w:pPr>
        <w:pStyle w:val="Heading2"/>
        <w:numPr>
          <w:ilvl w:val="1"/>
          <w:numId w:val="1"/>
        </w:numPr>
        <w:rPr/>
      </w:pPr>
      <w:bookmarkStart w:id="20" w:name="__RefHeading___Toc1899468_581953129"/>
      <w:bookmarkStart w:id="21" w:name="_Toc7"/>
      <w:bookmarkEnd w:id="19"/>
      <w:bookmarkEnd w:id="20"/>
      <w:r>
        <w:rPr>
          <w:rtl w:val="true"/>
        </w:rPr>
        <w:t>بحث دوم</w:t>
      </w:r>
      <w:r>
        <w:rPr>
          <w:rtl w:val="true"/>
        </w:rPr>
        <w:t>:</w:t>
      </w:r>
      <w:r>
        <w:rPr>
          <w:rtl w:val="true"/>
        </w:rPr>
        <w:t>عید غدیر در تاریخ اسلامی</w:t>
      </w:r>
      <w:bookmarkEnd w:id="21"/>
    </w:p>
    <w:p>
      <w:pPr>
        <w:pStyle w:val="BookText"/>
        <w:rPr/>
      </w:pPr>
      <w:r>
        <w:rPr>
          <w:rFonts w:ascii="IRNazanin" w:hAnsi="IRNazanin" w:eastAsia="IRNazanin"/>
          <w:color w:val="111111"/>
          <w:sz w:val="28"/>
          <w:sz w:val="28"/>
          <w:szCs w:val="28"/>
          <w:rtl w:val="true"/>
          <w:lang w:bidi="fa-IR"/>
        </w:rPr>
        <w:t>مشیّت الهی چنین بوده است که واقۀ تاریخی غدیر در تمام قرون و اعصار، زنده بماند و قلبها و اندیشه‌ها را متوجّه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نویسندگان اسلامی در هر عصر و زمانی، دربارۀ آن بنویسند و در تألیفات متعدّد خود در زمینۀ تفسیر، تاریخ، حدیث و عقاید در مورد آن سخن بگویند؛ چنان که واعظان، خطیبان و شعراء این مسأله اهمّیّت داده و آن را از فضایل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کنند که هیچ شک و تردیدی در آن نیست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 واقعۀ تاریخی را می‌توان در تاریخ بشریّت به طور عام و در تاریخ اسلامی به طور خاص یافت که همانند واقعۀ غدیرخم این همه‌مورد اهتمام باشد و کمتر حادثه‌ای است که گروه‌های بی‌شماری از محدثان، مفسّران، متکلّمان، فلاسفه، شعرا، ادبا، نویسندگان، خطیبان و صاحبان سیره و تاریخ دربارۀ آن به تفصیل سخن گفته و آن را مورد توجّه قرار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عوامل زنده ماندن این واقعۀ بزرگ و استمرار این حادثۀ عظیم، نزول دو آیه از آیات قرآن کریم دربارۀ آن است</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مادامی که قرآن کریم، باقی است و شبانه روز قرائت می‌شود، این حادثۀ عظیم نیز در افکار و اندیشه‌ها زنده و جاوید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و به خصوص پیروان اهل بیت در قرنهای گذشته، روز غدیر را یکی از عیدهای بزرگ می‌دانستند و این روز در میان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مشهور بود و حتّی ابن خلّکان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مستعلی بن مستنصر در روز عید غدیر خم که هجدهم ذیحجّه،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بود، بیعت شد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در شرح حال مستنصر بالله، عبیدی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پنج‌شنبه که دوازده روز از ذیحجّه،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باقی مانده بود، در گذشت و این همان شب عیدغدیر است؛ یعنی شب هجدهم ذیحجّه که همان غدیرخم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ابوریحان بیرونی در کتاب الآثار الباقیه این روز را از روزهایی شمرده است که مسلمانان آن را از اعیاد اسلامی می‌دانند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ابوهریره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کسی روز هجدهم ذیحجّه را روزه بگیرد، خداوند ثواب روزۀ شش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می‌نویسد واین روز، همان روز عیدغدیر خم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علی را دوست بدار و دشمنان علی را دشمن بدار و هر کسی که او را یاری می‌کند،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باشد ای پسر ابوطالب، مولای من و مولای هر مسلمانی شدی</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ثعالبی نیز شب غدیر را از شبهای معروف در میان مسلمانان بر شمرده است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و ریشۀ این عید اسلامی، به حادثۀ روز غدیر بر می‌گردد؛ زیرا در این روز،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مهاجرین، انصار، همسران و زنان اهل بیتش دستور دادند که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 و به او تهنیت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می‌گوید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کسانی که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دادند، ابوبکر، عمر، عثمان، طلحه و زبیر بودند و سپس بقیّۀ مهاجرین و انصار و پس از آن بقیّۀ مردم</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در اهمّیّت این حادثۀ تاریخی همین کافی است که آن را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روایت کرده‌اند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این سخن بدان معنا نیست که فقط همین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میان آن همه جمعیّت، این واقعه را نقل کرده‌اند بلکه بدین معنا است که نام این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منابع حدیثی و تاریخی آمده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تابعین در قرن دوّم هجری روایت کرده‌اند و تعداد راویان حدیث غدیر در طی قرون متمادی، شامل تعداد قابل توجّهی از علمای مذاهب مختلف اسلامی شده است که به تواتر و صحّت آن اعتراف کرده‌اند</w:t>
      </w:r>
      <w:r>
        <w:rPr>
          <w:rFonts w:eastAsia="IRNazanin" w:cs="IRNazanin"/>
          <w:color w:val="111111"/>
          <w:sz w:val="28"/>
          <w:szCs w:val="28"/>
          <w:rtl w:val="true"/>
          <w:lang w:bidi="fa-IR"/>
        </w:rPr>
        <w:t xml:space="preserve">. </w:t>
      </w:r>
      <w:r>
        <w:rPr>
          <w:rStyle w:val="FootnoteAnchor"/>
          <w:rtl w:val="true"/>
        </w:rPr>
        <w:footnoteReference w:id="30"/>
      </w:r>
      <w:bookmarkStart w:id="22" w:name="pg5443_32873"/>
    </w:p>
    <w:p>
      <w:pPr>
        <w:pStyle w:val="Heading2"/>
        <w:numPr>
          <w:ilvl w:val="1"/>
          <w:numId w:val="1"/>
        </w:numPr>
        <w:rPr/>
      </w:pPr>
      <w:bookmarkStart w:id="23" w:name="__RefHeading___Toc1899470_581953129"/>
      <w:bookmarkStart w:id="24" w:name="_Toc8"/>
      <w:bookmarkEnd w:id="22"/>
      <w:bookmarkEnd w:id="23"/>
      <w:r>
        <w:rPr>
          <w:rtl w:val="true"/>
        </w:rPr>
        <w:t>بحث سوّم</w:t>
      </w:r>
      <w:r>
        <w:rPr>
          <w:rtl w:val="true"/>
        </w:rPr>
        <w:t>:</w:t>
      </w:r>
      <w:r>
        <w:rPr>
          <w:rtl w:val="true"/>
        </w:rPr>
        <w:t>تواتر حدیث غدیر</w:t>
      </w:r>
      <w:bookmarkEnd w:id="24"/>
    </w:p>
    <w:p>
      <w:pPr>
        <w:pStyle w:val="Heading3"/>
        <w:numPr>
          <w:ilvl w:val="2"/>
          <w:numId w:val="1"/>
        </w:numPr>
        <w:rPr/>
      </w:pPr>
      <w:bookmarkStart w:id="25" w:name="__RefHeading___Toc1899472_581953129"/>
      <w:bookmarkStart w:id="26" w:name="_Toc9"/>
      <w:bookmarkEnd w:id="25"/>
      <w:r>
        <w:rPr>
          <w:rtl w:val="true"/>
        </w:rPr>
        <w:t>اوّل</w:t>
      </w:r>
      <w:r>
        <w:rPr>
          <w:rtl w:val="true"/>
        </w:rPr>
        <w:t xml:space="preserve">: </w:t>
      </w:r>
      <w:r>
        <w:rPr>
          <w:rtl w:val="true"/>
        </w:rPr>
        <w:t>اعتراف علمای مذاهب مختلف به تواتر حدیث غدیر</w:t>
      </w:r>
      <w:bookmarkEnd w:id="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شافعی، در الفوائد المتکاثره فی الاخبار المتواتره و در الأزهار المتناثره فی الأخبار المتواتره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سیوطی در مورد تواتر حدیث غدیر را علّامۀ عزیزی در کتاب شرح الجامع الصغیر، جلد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علی قاری حنفی، در المرقاة فی شرح المشکاة، جلد</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عطاءالله بن فضل اللّه شیرازی، در کتاب الاربعین که خطی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 شافعی در کتاب التیسیر فی شرح الجامع الصغیر،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مخدوم بن میرعبدالباقی در النواقض علی الروافض</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اسماعیل یمانی صنعانی در الروضة الندیه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صدر عالم، در کتاب معارج العلی فی مناقب المصطفی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عبدالله شافعی در الاربعین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ضیاءالدین مقبلی در کتاب الأبحاث المسدّدة فی الفنون المتعدده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دمشقی در تاریخ خود در شرح حال محمد بن جریر 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ابوعبدالله حافظ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وی در باب تواتر حدیث غدیر را ابن کثیر در تاریخ خود،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بن جزری، تواتر حدیث غدیر را در کتاب اسنی المطالب فی مناقب علی ابن ابی طالب، صفحۀ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از این وجه حسن است و از وجوه بسیاری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متواتر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صورت متواتر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 شماری، آن را روایت کرده‌اند و تلاش عدّه‌ای برای تضعیف آن که آگاهی از علم حدیث و رجال ندارند، ضرری به صحّت آن نمی‌زند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حسام‌الدین 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مختصر قطف الأزهار المتناثره به این مطلب اشاره کرده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ثناء اللّه بانی بتی که تواتر حدیث را در السیف المسلول نقل کرده است</w:t>
      </w:r>
      <w:r>
        <w:rPr>
          <w:rFonts w:eastAsia="IRNazanin" w:cs="IRNazanin"/>
          <w:color w:val="111111"/>
          <w:sz w:val="28"/>
          <w:szCs w:val="28"/>
          <w:rtl w:val="true"/>
          <w:lang w:bidi="fa-IR"/>
        </w:rPr>
        <w:t>.</w:t>
      </w:r>
      <w:bookmarkStart w:id="27" w:name="pg5443_32875"/>
    </w:p>
    <w:p>
      <w:pPr>
        <w:pStyle w:val="BookText"/>
        <w:rPr/>
      </w:pPr>
      <w:bookmarkEnd w:id="27"/>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مبین لکهنوی، در کتاب وسیلة النجاة فی فضائل السادات، صفحۀ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3"/>
        <w:numPr>
          <w:ilvl w:val="2"/>
          <w:numId w:val="1"/>
        </w:numPr>
        <w:rPr/>
      </w:pPr>
      <w:bookmarkStart w:id="28" w:name="__RefHeading___Toc1899474_581953129"/>
      <w:bookmarkStart w:id="29" w:name="_Toc10"/>
      <w:bookmarkEnd w:id="28"/>
      <w:r>
        <w:rPr>
          <w:rtl w:val="true"/>
        </w:rPr>
        <w:t>دوّم</w:t>
      </w:r>
      <w:r>
        <w:rPr>
          <w:rtl w:val="true"/>
        </w:rPr>
        <w:t xml:space="preserve">: </w:t>
      </w:r>
      <w:r>
        <w:rPr>
          <w:rtl w:val="true"/>
        </w:rPr>
        <w:t>جمعی از بزرگان محدّثین، حدیث غدیر از طرق بسیاری نقل کرده اند که برخی از آنان عبارتند از</w:t>
      </w:r>
      <w:r>
        <w:rPr>
          <w:rtl w:val="true"/>
        </w:rPr>
        <w:t>:</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آن را از چهل 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جریر طبری، آن را از هفتاد و دو 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جزری مقری، آن را از هشتاد 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عقده از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ابوسعید سجستانی،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جعابی، از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یمنی،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ابوالعلاء عطار همدانی،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شیخ عبدالله شافعی، در کتاب المناقب، صفحۀ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خطّی، آورده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تواتر گذشته است و هیچ خبری وجود ندارد که مثل این خبر، از طرق متعدّد و بی‌شمار، نقل شده باشد</w:t>
      </w:r>
      <w:r>
        <w:rPr>
          <w:rFonts w:eastAsia="IRNazanin" w:cs="IRNazanin"/>
          <w:color w:val="111111"/>
          <w:sz w:val="28"/>
          <w:szCs w:val="28"/>
          <w:rtl w:val="true"/>
          <w:lang w:bidi="fa-IR"/>
        </w:rPr>
        <w:t>».</w:t>
      </w:r>
      <w:bookmarkStart w:id="30" w:name="pg5443_32876"/>
    </w:p>
    <w:p>
      <w:pPr>
        <w:pStyle w:val="Heading3"/>
        <w:numPr>
          <w:ilvl w:val="2"/>
          <w:numId w:val="1"/>
        </w:numPr>
        <w:rPr/>
      </w:pPr>
      <w:bookmarkStart w:id="31" w:name="__RefHeading___Toc1899476_581953129"/>
      <w:bookmarkStart w:id="32" w:name="_Toc11"/>
      <w:bookmarkEnd w:id="30"/>
      <w:bookmarkEnd w:id="31"/>
      <w:r>
        <w:rPr>
          <w:rtl w:val="true"/>
        </w:rPr>
        <w:t>سوّم</w:t>
      </w:r>
      <w:r>
        <w:rPr>
          <w:rtl w:val="true"/>
        </w:rPr>
        <w:t xml:space="preserve">: </w:t>
      </w:r>
      <w:r>
        <w:rPr>
          <w:rtl w:val="true"/>
        </w:rPr>
        <w:t>احتجاج صحابه و تابعین به حدیث غدیر</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رالمؤمنی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شوری </w:t>
      </w:r>
      <w:r>
        <w:rPr>
          <w:rStyle w:val="FootnoteAnchor"/>
          <w:rtl w:val="true"/>
        </w:rPr>
        <w:footnoteReference w:id="31"/>
      </w:r>
      <w:r>
        <w:rPr>
          <w:rFonts w:ascii="IRNazanin" w:hAnsi="IRNazanin" w:eastAsia="IRNazanin"/>
          <w:color w:val="111111"/>
          <w:sz w:val="28"/>
          <w:sz w:val="28"/>
          <w:szCs w:val="28"/>
          <w:rtl w:val="true"/>
          <w:lang w:bidi="fa-IR"/>
        </w:rPr>
        <w:t xml:space="preserve">و در ایّام خلافت عثمان </w:t>
      </w:r>
      <w:r>
        <w:rPr>
          <w:rStyle w:val="FootnoteAnchor"/>
          <w:rtl w:val="true"/>
        </w:rPr>
        <w:footnoteReference w:id="32"/>
      </w:r>
      <w:r>
        <w:rPr>
          <w:rFonts w:ascii="IRNazanin" w:hAnsi="IRNazanin" w:eastAsia="IRNazanin"/>
          <w:color w:val="111111"/>
          <w:sz w:val="28"/>
          <w:sz w:val="28"/>
          <w:szCs w:val="28"/>
          <w:rtl w:val="true"/>
          <w:lang w:bidi="fa-IR"/>
        </w:rPr>
        <w:t xml:space="preserve">و در یوم الرحبه در کوفه </w:t>
      </w:r>
      <w:r>
        <w:rPr>
          <w:rStyle w:val="FootnoteAnchor"/>
          <w:rtl w:val="true"/>
        </w:rPr>
        <w:footnoteReference w:id="33"/>
      </w:r>
      <w:r>
        <w:rPr>
          <w:rFonts w:ascii="IRNazanin" w:hAnsi="IRNazanin" w:eastAsia="IRNazanin"/>
          <w:color w:val="111111"/>
          <w:sz w:val="28"/>
          <w:sz w:val="28"/>
          <w:szCs w:val="28"/>
          <w:rtl w:val="true"/>
          <w:lang w:bidi="fa-IR"/>
        </w:rPr>
        <w:t xml:space="preserve">و در روز جمل </w:t>
      </w:r>
      <w:r>
        <w:rPr>
          <w:rStyle w:val="FootnoteAnchor"/>
          <w:rtl w:val="true"/>
        </w:rPr>
        <w:footnoteReference w:id="34"/>
      </w:r>
      <w:r>
        <w:rPr>
          <w:rFonts w:ascii="IRNazanin" w:hAnsi="IRNazanin" w:eastAsia="IRNazanin"/>
          <w:color w:val="111111"/>
          <w:sz w:val="28"/>
          <w:sz w:val="28"/>
          <w:szCs w:val="28"/>
          <w:rtl w:val="true"/>
          <w:lang w:bidi="fa-IR"/>
        </w:rPr>
        <w:t xml:space="preserve">و در حدیث الرکبان در کوفه </w:t>
      </w:r>
      <w:r>
        <w:rPr>
          <w:rStyle w:val="FootnoteAnchor"/>
          <w:rtl w:val="true"/>
        </w:rPr>
        <w:footnoteReference w:id="35"/>
      </w:r>
      <w:r>
        <w:rPr>
          <w:rFonts w:ascii="IRNazanin" w:hAnsi="IRNazanin" w:eastAsia="IRNazanin"/>
          <w:color w:val="111111"/>
          <w:sz w:val="28"/>
          <w:sz w:val="28"/>
          <w:szCs w:val="28"/>
          <w:rtl w:val="true"/>
          <w:lang w:bidi="fa-IR"/>
        </w:rPr>
        <w:t xml:space="preserve">و در روز صفّین </w:t>
      </w:r>
      <w:r>
        <w:rPr>
          <w:rStyle w:val="FootnoteAnchor"/>
          <w:rtl w:val="true"/>
        </w:rPr>
        <w:footnoteReference w:id="36"/>
      </w:r>
      <w:r>
        <w:rPr>
          <w:rFonts w:ascii="IRNazanin" w:hAnsi="IRNazanin" w:eastAsia="IRNazanin"/>
          <w:color w:val="111111"/>
          <w:sz w:val="28"/>
          <w:sz w:val="28"/>
          <w:szCs w:val="28"/>
          <w:rtl w:val="true"/>
          <w:lang w:bidi="fa-IR"/>
        </w:rPr>
        <w:t>، بدان استشهاد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سبط اکبر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سبط اصغر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 با همین حدیث بر معاویه احتجاج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عمروبن عاص بر معاویه احتجاج کرد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عماربن یاسر در جنگ صفیّن بدان احتجاج کرد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أصبغ بن نباته در مجلس معاویه بدان احتجاج کرد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جوانی در کوفه بر ابوهریره احتجاج کرد </w:t>
      </w:r>
      <w:r>
        <w:rPr>
          <w:rStyle w:val="FootnoteAnchor"/>
          <w:rtl w:val="true"/>
        </w:rPr>
        <w:footnoteReference w:id="4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عباده بر معاویه احتجاج کرد </w:t>
      </w:r>
      <w:r>
        <w:rPr>
          <w:rStyle w:val="FootnoteAnchor"/>
          <w:rtl w:val="true"/>
        </w:rPr>
        <w:footnoteReference w:id="4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عمربن عبدالعزیز بدان احتجاج کرد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بر فقها احتجاج کرد</w:t>
      </w:r>
      <w:r>
        <w:rPr>
          <w:rFonts w:eastAsia="IRNazanin" w:cs="IRNazanin"/>
          <w:color w:val="111111"/>
          <w:sz w:val="28"/>
          <w:szCs w:val="28"/>
          <w:rtl w:val="true"/>
          <w:lang w:bidi="fa-IR"/>
        </w:rPr>
        <w:t xml:space="preserve">. </w:t>
      </w:r>
      <w:r>
        <w:rPr>
          <w:rStyle w:val="FootnoteAnchor"/>
          <w:rtl w:val="true"/>
        </w:rPr>
        <w:footnoteReference w:id="46"/>
      </w:r>
      <w:bookmarkStart w:id="33" w:name="pg5443_32879"/>
    </w:p>
    <w:p>
      <w:pPr>
        <w:pStyle w:val="Heading2"/>
        <w:numPr>
          <w:ilvl w:val="1"/>
          <w:numId w:val="1"/>
        </w:numPr>
        <w:rPr/>
      </w:pPr>
      <w:bookmarkStart w:id="34" w:name="__RefHeading___Toc1899478_581953129"/>
      <w:bookmarkStart w:id="35" w:name="_Toc12"/>
      <w:bookmarkEnd w:id="33"/>
      <w:bookmarkEnd w:id="34"/>
      <w:r>
        <w:rPr>
          <w:rtl w:val="true"/>
        </w:rPr>
        <w:t>بحث چهارم</w:t>
      </w:r>
      <w:r>
        <w:rPr>
          <w:rtl w:val="true"/>
        </w:rPr>
        <w:t>:</w:t>
      </w:r>
      <w:r>
        <w:rPr>
          <w:rtl w:val="true"/>
        </w:rPr>
        <w:t>تأویل ناپذیری حدیث غدیر</w:t>
      </w:r>
      <w:bookmarkEnd w:id="35"/>
    </w:p>
    <w:p>
      <w:pPr>
        <w:pStyle w:val="BookText"/>
        <w:rPr/>
      </w:pPr>
      <w:r>
        <w:rPr>
          <w:rFonts w:ascii="IRNazanin" w:hAnsi="IRNazanin" w:eastAsia="IRNazanin"/>
          <w:color w:val="111111"/>
          <w:sz w:val="28"/>
          <w:sz w:val="28"/>
          <w:szCs w:val="28"/>
          <w:rtl w:val="true"/>
          <w:lang w:bidi="fa-IR"/>
        </w:rPr>
        <w:t>عدۀ‌ه‌ای مدّعی شده‌اند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و سخنانش در روز غدیر، قصد این را نداشته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ولی و رهبر مسلمین و جانشین پس ازخود 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می‌خواست فضیلت و جایگاه او را تبیین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ناصر، صدیق و محبوب هم استخدام می‌شود؛ بنابر این، ضرورتی ندارد که 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در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کنیم تا به معنای رهبر و حاکم و متولّی امور مسلمین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ملاحظه و بررسی اوضاع مربوط به این واقعۀ تاریخی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ایجاد کردند، هیچ مجالی برای این تأویل باقی نمی‌گذارد و آن را مدّعایی بدون دلیل می‌کند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کردن هزاران نفر در آن گرمای سوزان و دستور به بازگشت کسانی که جلوتر و ملحق شدن کسانی که عقب‌تر بودند و سفارش به این که حاضران به غایبان برسانند و خبر دادن از نزدیک بودن رحلت خویش و گرفتن اقرار به توحید، معاد و نبوّت و یادآوری اولویّت خود نسبت به مؤمنین، همگی دلیل بر این است که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بیان امر بسیار مهمّی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می‌فهمد که آن حضرت از این اقدامات جدّی و زمینه‌سازیهای گسترده، هدف بسیار مهمّی را دنبال می‌کرده که با آیندۀ امّت اسلامی، ارتباط تنگاتنگی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خداوند متعال نیز آن حضرت را تهدید کرده بود که اگر این امر مهم را ابلاغ نکند، گویی رسالت خویش را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شبانه روز برای آن زحمت کشیده بود، به انجام نرسانیده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ابلاغ این امر مهم، چه چیزی بوده است که خداوند به او وعده می‌دهد که وی را از شرّ مردم به هنگام ابلاغ این امر در امان نگه می‌دارد؟</w:t>
      </w:r>
    </w:p>
    <w:p>
      <w:pPr>
        <w:pStyle w:val="BookText"/>
        <w:rPr/>
      </w:pPr>
      <w:r>
        <w:rPr>
          <w:rFonts w:ascii="IRNazanin" w:hAnsi="IRNazanin" w:eastAsia="IRNazanin"/>
          <w:color w:val="111111"/>
          <w:sz w:val="28"/>
          <w:sz w:val="28"/>
          <w:szCs w:val="28"/>
          <w:rtl w:val="true"/>
          <w:lang w:bidi="fa-IR"/>
        </w:rPr>
        <w:t>آیا ابلاغ مفاهیمی که ارتباطی با امر رهبری و جانشینی نداشته باشند، خطری متوجّه آن حضرت می‌کند که خداوند وعدۀ حفاظت از او را بدهد؟ چه افرادی هستند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ابلاغ امر الهی از آنان خوف دارد و خداوند به او وعده می‌دهد که او را حفظ کند؟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روشن می‌شود که تأویل این حدیث به معانی دیگر، ممکن نیست و مدّعی چنین ادّعای سخیفی در صدد آن است که از حجّت بالغۀ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به صراحت بیان کرده است،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امر مهمّ خلافت را به حال خود رها نکرد و در آن موقعیّت بسیار حسّاس، امر مهمّ جانشینی را مهمل</w:t>
      </w:r>
    </w:p>
    <w:p>
      <w:pPr>
        <w:pStyle w:val="BookText"/>
        <w:rPr/>
      </w:pPr>
      <w:r>
        <w:rPr>
          <w:rFonts w:ascii="IRNazanin" w:hAnsi="IRNazanin" w:eastAsia="IRNazanin"/>
          <w:color w:val="111111"/>
          <w:sz w:val="28"/>
          <w:sz w:val="28"/>
          <w:szCs w:val="28"/>
          <w:rtl w:val="true"/>
          <w:lang w:bidi="fa-IR"/>
        </w:rPr>
        <w:t>باقی نگذاشت بلکه در روز عید غدیر بر امامّت و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صراحت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صحابۀ بزرگ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حسّان بن ثابت و غیره که در این واقعه حاضر بوده و سخنان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گوشهای خود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مقصود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فهمیده و درک کرده بودند که رهبری امّت اسلامی و تصرّف در امور سیاسی و اجتماعی مورد نظر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نه چیز دیگر؛ چنان که این مطلب را از سخنان و تصریحات قبلی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بودند و همین، ادّعای قایلان به تأویل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هر سال، حلول این عید مبارک را به تمام مسلمانان تبریک می‌گوییم و از خدای متعال درخواست می‌کنیم که بر ما منّت گذاشته و توفیق چنگ‌زدن به ریسمان الهی و جمع‌شدن در زیر پرچم لا اله الّا لله، محمّد رسول الله، را به ما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مسلمانان، متّحد و یک‌پارچه باشند و در مقابل استعمارگران که به فساد و غارت جهان مشغولند، همانند سدّ آهنین باشند و درهای نصرت و پیروزی خداوند بر ما باز شود و صهیونیستهای غاصب از سرزمینهای مقدّس اسلام اخراج شوند و قدس شریف آزاد گردد، همانا خداوند صاحب پیروزی و فتح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دعوانا انِ الحمداللّه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چاپ دارالکتب العلمیّه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چاپ دارالکتاب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149/19</w:t>
      </w:r>
      <w:r>
        <w:rPr>
          <w:rFonts w:ascii="IRNazanin" w:hAnsi="IRNazanin" w:eastAsia="IRNazanin"/>
          <w:b w:val="false"/>
          <w:b w:val="false"/>
          <w:bCs w:val="false"/>
          <w:i w:val="false"/>
          <w:i w:val="false"/>
          <w:iCs w:val="false"/>
          <w:color w:val="333333"/>
          <w:sz w:val="20"/>
          <w:sz w:val="20"/>
          <w:szCs w:val="20"/>
          <w:rtl w:val="true"/>
        </w:rPr>
        <w:t xml:space="preserve">، چاپ دارالفکر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364/3</w:t>
      </w:r>
      <w:r>
        <w:rPr>
          <w:rFonts w:ascii="IRNazanin" w:hAnsi="IRNazanin" w:eastAsia="IRNazanin"/>
          <w:b w:val="false"/>
          <w:b w:val="false"/>
          <w:bCs w:val="false"/>
          <w:i w:val="false"/>
          <w:i w:val="false"/>
          <w:iCs w:val="false"/>
          <w:color w:val="333333"/>
          <w:sz w:val="20"/>
          <w:sz w:val="20"/>
          <w:szCs w:val="20"/>
          <w:rtl w:val="true"/>
        </w:rPr>
        <w:t xml:space="preserve">، چاپ دارالمعرفه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البدایه و النهایه،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چاپ داراحیاء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شرح نهج البلاغه، ابن ابی الحدید 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211/13</w:t>
      </w:r>
      <w:r>
        <w:rPr>
          <w:rFonts w:ascii="IRNazanin" w:hAnsi="IRNazanin" w:eastAsia="IRNazanin"/>
          <w:b w:val="false"/>
          <w:b w:val="false"/>
          <w:bCs w:val="false"/>
          <w:i w:val="false"/>
          <w:i w:val="false"/>
          <w:iCs w:val="false"/>
          <w:color w:val="333333"/>
          <w:sz w:val="20"/>
          <w:sz w:val="20"/>
          <w:szCs w:val="20"/>
          <w:rtl w:val="true"/>
        </w:rPr>
        <w:t>، دار احیاء الکتب العربیّه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 امینی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وجه تسمیۀ حجّة‌الوداع به حجّة البلاغ این است که این آیه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الرَّسُولُ بَلِّغْ مَا أُنزِلَ إِلَیْکَ، چنان که وجه تسمیۀ آن به یوم التمام و یوم الکمال، نزول این آیه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أَکْمَلْتُ لَکُمْ دِینَکُمْ وَأَتْمَمْتُ عَلَیْکُمْ نِعْمَتِی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عمان، یا قصبۀ عمان است که در ساحل دریا 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امّتاع المقریزی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إرشاد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تاریخ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tl w:val="true"/>
        </w:rPr>
        <w:t>؛ سیرۀ احمد زینی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تاریخ الخلفاء، 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چهارم؛ تذکره خواصّ الأمه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دائرة المعارف، فرید وجدی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یَلَمْلَم، میقات اهل یمن است و کوهی است در جنوب مکّه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عرق الظبیّه، در سه مایلی روحاء 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تاریخ آل زراره، ابن غالب رزاری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حاضر پایتخت یمن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قصبه‌ای در اطراف دمشق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 امینی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الآثار الباقیه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ثمار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از احمد بن محمد طبری،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مناقب علی ابن ابی طالب نقل کرده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مورّخ بزرگ اسلامی، ابوجعفر طبری، کتابی را در این زمینه با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 فی طرق حدیث الغدیر تألیف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حدیث غدیر را در این کتاب با هفتاد و چند سند از پیامبراکرم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عقده در رسالۀ الولایة، حدیث غدیر را از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روایت کرده است که برای مطالعۀ بیشتر باید به مناقب آل ابی طالب،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ابوبکر محمّد بن عمر بغدادی،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 حدیث را با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نقل کرده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السمطین، حموینی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اسنی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جزری مقری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الموده، قندوزی 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خوارزمی 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 هیتمی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مدینة دمشق، ابن عساکر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العقد الفرید، 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الغدیر، علامه امینی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2.jpeg"/><Relationship Id="rId51" Type="http://schemas.openxmlformats.org/officeDocument/2006/relationships/image" Target="media/image2.jpeg"/><Relationship Id="rId52" Type="http://schemas.openxmlformats.org/officeDocument/2006/relationships/footer" Target="footer45.xml"/><Relationship Id="rId53" Type="http://schemas.openxmlformats.org/officeDocument/2006/relationships/footnotes" Target="footnotes.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Relationship Id="rId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Pages>
  <Words>8262</Words>
  <Characters>32644</Characters>
  <CharactersWithSpaces>40618</CharactersWithSpaces>
  <Paragraphs>348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2026-08-19T02:05:17Z</dcterms:created>
  <dc:creator>ghaemiyeh.com</dc:creator>
  <dc:description/>
  <dc:language>en-US</dc:language>
  <cp:lastModifiedBy/>
  <dcterms:modified xsi:type="dcterms:W3CDTF">2026-08-19T05:35:19Z</dcterms:modified>
  <cp:revision>1</cp:revision>
  <dc:subject/>
  <dc:title>واقعه غدیر</dc:title>
</cp:coreProperties>
</file>

<file path=docProps/custom.xml><?xml version="1.0" encoding="utf-8"?>
<Properties xmlns="http://schemas.openxmlformats.org/officeDocument/2006/custom-properties" xmlns:vt="http://schemas.openxmlformats.org/officeDocument/2006/docPropsVTypes"/>
</file>