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289.xml" ContentType="application/vnd.openxmlformats-officedocument.wordprocessingml.footer+xml"/>
  <Override PartName="/word/footer486.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487.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461.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3.xml" ContentType="application/vnd.openxmlformats-officedocument.wordprocessingml.footer+xml"/>
  <Override PartName="/word/footer482.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85.xml" ContentType="application/vnd.openxmlformats-officedocument.wordprocessingml.footer+xml"/>
  <Override PartName="/word/footer462.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288.xml" ContentType="application/vnd.openxmlformats-officedocument.wordprocessingml.footer+xml"/>
  <Override PartName="/word/footer450.xml" ContentType="application/vnd.openxmlformats-officedocument.wordprocessingml.footer+xml"/>
  <Override PartName="/word/footer484.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83.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theme/theme1.xml" ContentType="application/vnd.openxmlformats-officedocument.theme+xml"/>
  <Override PartName="/word/footer442.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رسائل فی الفقه والاصول</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55832_581953129">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1855834_581953129">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1855836_581953129">
            <w:r>
              <w:rPr>
                <w:webHidden/>
                <w:rStyle w:val="IndexLink"/>
                <w:rtl w:val="true"/>
              </w:rPr>
              <w:t>مقدمه مولف</w:t>
            </w:r>
            <w:r>
              <w:rPr>
                <w:rStyle w:val="IndexLink"/>
                <w:rtl w:val="true"/>
              </w:rPr>
              <w:tab/>
            </w:r>
            <w:r>
              <w:rPr>
                <w:rStyle w:val="IndexLink"/>
              </w:rPr>
              <w:t>13</w:t>
            </w:r>
          </w:hyperlink>
        </w:p>
        <w:p>
          <w:pPr>
            <w:pStyle w:val="Contents2"/>
            <w:tabs>
              <w:tab w:val="clear" w:pos="8743"/>
              <w:tab w:val="right" w:pos="9026" w:leader="dot"/>
            </w:tabs>
            <w:rPr/>
          </w:pPr>
          <w:hyperlink w:anchor="__RefHeading___Toc1855838_581953129">
            <w:r>
              <w:rPr>
                <w:webHidden/>
                <w:rStyle w:val="IndexLink"/>
                <w:rtl w:val="true"/>
              </w:rPr>
              <w:t>رسالة فی التقیّة</w:t>
            </w:r>
            <w:r>
              <w:rPr>
                <w:rStyle w:val="IndexLink"/>
                <w:rtl w:val="true"/>
              </w:rPr>
              <w:tab/>
            </w:r>
            <w:r>
              <w:rPr>
                <w:rStyle w:val="IndexLink"/>
              </w:rPr>
              <w:t>15</w:t>
            </w:r>
          </w:hyperlink>
        </w:p>
        <w:p>
          <w:pPr>
            <w:pStyle w:val="Contents3"/>
            <w:tabs>
              <w:tab w:val="clear" w:pos="8459"/>
              <w:tab w:val="right" w:pos="9026" w:leader="dot"/>
            </w:tabs>
            <w:rPr/>
          </w:pPr>
          <w:hyperlink w:anchor="__RefHeading___Toc1855840_581953129">
            <w:r>
              <w:rPr>
                <w:webHidden/>
                <w:rStyle w:val="IndexLink"/>
                <w:rtl w:val="true"/>
              </w:rPr>
              <w:t>اشارة</w:t>
            </w:r>
            <w:r>
              <w:rPr>
                <w:rStyle w:val="IndexLink"/>
                <w:rtl w:val="true"/>
              </w:rPr>
              <w:tab/>
            </w:r>
            <w:r>
              <w:rPr>
                <w:rStyle w:val="IndexLink"/>
              </w:rPr>
              <w:t>15</w:t>
            </w:r>
          </w:hyperlink>
        </w:p>
        <w:p>
          <w:pPr>
            <w:pStyle w:val="Contents3"/>
            <w:tabs>
              <w:tab w:val="clear" w:pos="8459"/>
              <w:tab w:val="right" w:pos="9026" w:leader="dot"/>
            </w:tabs>
            <w:rPr/>
          </w:pPr>
          <w:hyperlink w:anchor="__RefHeading___Toc1855842_581953129">
            <w:r>
              <w:rPr>
                <w:webHidden/>
                <w:rStyle w:val="IndexLink"/>
                <w:rtl w:val="true"/>
              </w:rPr>
              <w:t>المقدّمة</w:t>
            </w:r>
            <w:r>
              <w:rPr>
                <w:rStyle w:val="IndexLink"/>
                <w:rtl w:val="true"/>
              </w:rPr>
              <w:t>:</w:t>
              <w:tab/>
            </w:r>
            <w:r>
              <w:rPr>
                <w:rStyle w:val="IndexLink"/>
              </w:rPr>
              <w:t>16</w:t>
            </w:r>
          </w:hyperlink>
        </w:p>
        <w:p>
          <w:pPr>
            <w:pStyle w:val="Contents3"/>
            <w:tabs>
              <w:tab w:val="clear" w:pos="8459"/>
              <w:tab w:val="right" w:pos="9026" w:leader="dot"/>
            </w:tabs>
            <w:rPr/>
          </w:pPr>
          <w:hyperlink w:anchor="__RefHeading___Toc1855844_581953129">
            <w:r>
              <w:rPr>
                <w:webHidden/>
                <w:rStyle w:val="IndexLink"/>
                <w:rtl w:val="true"/>
              </w:rPr>
              <w:t>و البحث یقع هنا فی فصول</w:t>
            </w:r>
            <w:r>
              <w:rPr>
                <w:rStyle w:val="IndexLink"/>
                <w:rtl w:val="true"/>
              </w:rPr>
              <w:t>:</w:t>
              <w:tab/>
            </w:r>
            <w:r>
              <w:rPr>
                <w:rStyle w:val="IndexLink"/>
              </w:rPr>
              <w:t>20</w:t>
            </w:r>
          </w:hyperlink>
        </w:p>
        <w:p>
          <w:pPr>
            <w:pStyle w:val="Contents4"/>
            <w:tabs>
              <w:tab w:val="clear" w:pos="8176"/>
              <w:tab w:val="right" w:pos="9026" w:leader="dot"/>
            </w:tabs>
            <w:rPr/>
          </w:pPr>
          <w:hyperlink w:anchor="__RefHeading___Toc1855846_581953129">
            <w:r>
              <w:rPr>
                <w:webHidden/>
                <w:rStyle w:val="IndexLink"/>
                <w:rtl w:val="true"/>
              </w:rPr>
              <w:t>اشارة</w:t>
            </w:r>
            <w:r>
              <w:rPr>
                <w:rStyle w:val="IndexLink"/>
                <w:rtl w:val="true"/>
              </w:rPr>
              <w:tab/>
            </w:r>
            <w:r>
              <w:rPr>
                <w:rStyle w:val="IndexLink"/>
              </w:rPr>
              <w:t>20</w:t>
            </w:r>
          </w:hyperlink>
        </w:p>
        <w:p>
          <w:pPr>
            <w:pStyle w:val="Contents4"/>
            <w:tabs>
              <w:tab w:val="clear" w:pos="8176"/>
              <w:tab w:val="right" w:pos="9026" w:leader="dot"/>
            </w:tabs>
            <w:rPr/>
          </w:pPr>
          <w:hyperlink w:anchor="__RefHeading___Toc1855848_581953129">
            <w:r>
              <w:rPr>
                <w:webHidden/>
                <w:rStyle w:val="IndexLink"/>
                <w:rtl w:val="true"/>
              </w:rPr>
              <w:t>الفصل الأوّل</w:t>
            </w:r>
            <w:r>
              <w:rPr>
                <w:rStyle w:val="IndexLink"/>
                <w:rtl w:val="true"/>
              </w:rPr>
              <w:t>:</w:t>
            </w:r>
            <w:r>
              <w:rPr>
                <w:rStyle w:val="IndexLink"/>
                <w:rtl w:val="true"/>
              </w:rPr>
              <w:t>کلمة التقیّة</w:t>
            </w:r>
            <w:r>
              <w:rPr>
                <w:rStyle w:val="IndexLink"/>
                <w:rtl w:val="true"/>
              </w:rPr>
              <w:tab/>
            </w:r>
            <w:r>
              <w:rPr>
                <w:rStyle w:val="IndexLink"/>
              </w:rPr>
              <w:t>21</w:t>
            </w:r>
          </w:hyperlink>
        </w:p>
        <w:p>
          <w:pPr>
            <w:pStyle w:val="Contents4"/>
            <w:tabs>
              <w:tab w:val="clear" w:pos="8176"/>
              <w:tab w:val="right" w:pos="9026" w:leader="dot"/>
            </w:tabs>
            <w:rPr/>
          </w:pPr>
          <w:hyperlink w:anchor="__RefHeading___Toc1855850_581953129">
            <w:r>
              <w:rPr>
                <w:webHidden/>
                <w:rStyle w:val="IndexLink"/>
                <w:rtl w:val="true"/>
              </w:rPr>
              <w:t>الفصل الثانی</w:t>
            </w:r>
            <w:r>
              <w:rPr>
                <w:rStyle w:val="IndexLink"/>
                <w:rtl w:val="true"/>
              </w:rPr>
              <w:t>:</w:t>
            </w:r>
            <w:r>
              <w:rPr>
                <w:rStyle w:val="IndexLink"/>
                <w:rtl w:val="true"/>
              </w:rPr>
              <w:t>تقسیمات التقیّة</w:t>
            </w:r>
            <w:r>
              <w:rPr>
                <w:rStyle w:val="IndexLink"/>
                <w:rtl w:val="true"/>
              </w:rPr>
              <w:tab/>
            </w:r>
            <w:r>
              <w:rPr>
                <w:rStyle w:val="IndexLink"/>
              </w:rPr>
              <w:t>23</w:t>
            </w:r>
          </w:hyperlink>
        </w:p>
        <w:p>
          <w:pPr>
            <w:pStyle w:val="Contents5"/>
            <w:tabs>
              <w:tab w:val="clear" w:pos="7892"/>
              <w:tab w:val="right" w:pos="9026" w:leader="dot"/>
            </w:tabs>
            <w:rPr/>
          </w:pPr>
          <w:hyperlink w:anchor="__RefHeading___Toc1855852_581953129">
            <w:r>
              <w:rPr>
                <w:webHidden/>
                <w:rStyle w:val="IndexLink"/>
                <w:rtl w:val="true"/>
              </w:rPr>
              <w:t>اشارة</w:t>
            </w:r>
            <w:r>
              <w:rPr>
                <w:rStyle w:val="IndexLink"/>
                <w:rtl w:val="true"/>
              </w:rPr>
              <w:tab/>
            </w:r>
            <w:r>
              <w:rPr>
                <w:rStyle w:val="IndexLink"/>
              </w:rPr>
              <w:t>23</w:t>
            </w:r>
          </w:hyperlink>
        </w:p>
        <w:p>
          <w:pPr>
            <w:pStyle w:val="Contents5"/>
            <w:tabs>
              <w:tab w:val="clear" w:pos="7892"/>
              <w:tab w:val="right" w:pos="9026" w:leader="dot"/>
            </w:tabs>
            <w:rPr/>
          </w:pPr>
          <w:hyperlink w:anchor="__RefHeading___Toc1855854_581953129">
            <w:r>
              <w:rPr>
                <w:webHidden/>
                <w:rStyle w:val="IndexLink"/>
                <w:rtl w:val="true"/>
              </w:rPr>
              <w:t>النتیجة</w:t>
            </w:r>
            <w:r>
              <w:rPr>
                <w:rStyle w:val="IndexLink"/>
                <w:rtl w:val="true"/>
              </w:rPr>
              <w:t>:</w:t>
              <w:tab/>
            </w:r>
            <w:r>
              <w:rPr>
                <w:rStyle w:val="IndexLink"/>
              </w:rPr>
              <w:t>25</w:t>
            </w:r>
          </w:hyperlink>
        </w:p>
        <w:p>
          <w:pPr>
            <w:pStyle w:val="Contents5"/>
            <w:tabs>
              <w:tab w:val="clear" w:pos="7892"/>
              <w:tab w:val="right" w:pos="9026" w:leader="dot"/>
            </w:tabs>
            <w:rPr/>
          </w:pPr>
          <w:hyperlink w:anchor="__RefHeading___Toc1855856_581953129">
            <w:r>
              <w:rPr>
                <w:webHidden/>
                <w:rStyle w:val="IndexLink"/>
                <w:rtl w:val="true"/>
              </w:rPr>
              <w:t>وجوه الفرق بین التقیّة بالمعنی الأخصّ،و التقیّة بالمعنی الأعمّ</w:t>
            </w:r>
            <w:r>
              <w:rPr>
                <w:rStyle w:val="IndexLink"/>
                <w:rtl w:val="true"/>
              </w:rPr>
              <w:tab/>
            </w:r>
            <w:r>
              <w:rPr>
                <w:rStyle w:val="IndexLink"/>
              </w:rPr>
              <w:t>25</w:t>
            </w:r>
          </w:hyperlink>
        </w:p>
        <w:p>
          <w:pPr>
            <w:pStyle w:val="Contents4"/>
            <w:tabs>
              <w:tab w:val="clear" w:pos="8176"/>
              <w:tab w:val="right" w:pos="9026" w:leader="dot"/>
            </w:tabs>
            <w:rPr/>
          </w:pPr>
          <w:hyperlink w:anchor="__RefHeading___Toc1855858_581953129">
            <w:r>
              <w:rPr>
                <w:webHidden/>
                <w:rStyle w:val="IndexLink"/>
                <w:rtl w:val="true"/>
              </w:rPr>
              <w:t>الفصل الثالث</w:t>
            </w:r>
            <w:r>
              <w:rPr>
                <w:rStyle w:val="IndexLink"/>
                <w:rtl w:val="true"/>
              </w:rPr>
              <w:t>:</w:t>
            </w:r>
            <w:r>
              <w:rPr>
                <w:rStyle w:val="IndexLink"/>
                <w:rtl w:val="true"/>
              </w:rPr>
              <w:t>التقیّة بحسب الحکم التکلیفی</w:t>
            </w:r>
            <w:r>
              <w:rPr>
                <w:rStyle w:val="IndexLink"/>
                <w:rtl w:val="true"/>
              </w:rPr>
              <w:tab/>
            </w:r>
            <w:r>
              <w:rPr>
                <w:rStyle w:val="IndexLink"/>
              </w:rPr>
              <w:t>27</w:t>
            </w:r>
          </w:hyperlink>
        </w:p>
        <w:p>
          <w:pPr>
            <w:pStyle w:val="Contents4"/>
            <w:tabs>
              <w:tab w:val="clear" w:pos="8176"/>
              <w:tab w:val="right" w:pos="9026" w:leader="dot"/>
            </w:tabs>
            <w:rPr/>
          </w:pPr>
          <w:hyperlink w:anchor="__RefHeading___Toc1855860_581953129">
            <w:r>
              <w:rPr>
                <w:webHidden/>
                <w:rStyle w:val="IndexLink"/>
                <w:rtl w:val="true"/>
              </w:rPr>
              <w:t>الفصل الرابع</w:t>
            </w:r>
            <w:r>
              <w:rPr>
                <w:rStyle w:val="IndexLink"/>
                <w:rtl w:val="true"/>
              </w:rPr>
              <w:t>:</w:t>
            </w:r>
            <w:r>
              <w:rPr>
                <w:rStyle w:val="IndexLink"/>
                <w:rtl w:val="true"/>
              </w:rPr>
              <w:t>أدلّة التقیّة بالمعنی الأخصّ و الأعمّ</w:t>
            </w:r>
            <w:r>
              <w:rPr>
                <w:rStyle w:val="IndexLink"/>
                <w:rtl w:val="true"/>
              </w:rPr>
              <w:tab/>
            </w:r>
            <w:r>
              <w:rPr>
                <w:rStyle w:val="IndexLink"/>
              </w:rPr>
              <w:t>30</w:t>
            </w:r>
          </w:hyperlink>
        </w:p>
        <w:p>
          <w:pPr>
            <w:pStyle w:val="Contents4"/>
            <w:tabs>
              <w:tab w:val="clear" w:pos="8176"/>
              <w:tab w:val="right" w:pos="9026" w:leader="dot"/>
            </w:tabs>
            <w:rPr/>
          </w:pPr>
          <w:hyperlink w:anchor="__RefHeading___Toc1855862_581953129">
            <w:r>
              <w:rPr>
                <w:webHidden/>
                <w:rStyle w:val="IndexLink"/>
                <w:rtl w:val="true"/>
              </w:rPr>
              <w:t>الفصل الخامس</w:t>
            </w:r>
            <w:r>
              <w:rPr>
                <w:rStyle w:val="IndexLink"/>
                <w:rtl w:val="true"/>
              </w:rPr>
              <w:t>:</w:t>
            </w:r>
            <w:r>
              <w:rPr>
                <w:rStyle w:val="IndexLink"/>
                <w:rtl w:val="true"/>
              </w:rPr>
              <w:t>الموارد التی لا تکون التقیّة مشروعة فیها</w:t>
            </w:r>
            <w:r>
              <w:rPr>
                <w:rStyle w:val="IndexLink"/>
                <w:rtl w:val="true"/>
              </w:rPr>
              <w:tab/>
            </w:r>
            <w:r>
              <w:rPr>
                <w:rStyle w:val="IndexLink"/>
              </w:rPr>
              <w:t>33</w:t>
            </w:r>
          </w:hyperlink>
        </w:p>
        <w:p>
          <w:pPr>
            <w:pStyle w:val="Contents5"/>
            <w:tabs>
              <w:tab w:val="clear" w:pos="7892"/>
              <w:tab w:val="right" w:pos="9026" w:leader="dot"/>
            </w:tabs>
            <w:rPr/>
          </w:pPr>
          <w:hyperlink w:anchor="__RefHeading___Toc1855864_581953129">
            <w:r>
              <w:rPr>
                <w:webHidden/>
                <w:rStyle w:val="IndexLink"/>
                <w:rtl w:val="true"/>
              </w:rPr>
              <w:t>اشارة</w:t>
            </w:r>
            <w:r>
              <w:rPr>
                <w:rStyle w:val="IndexLink"/>
                <w:rtl w:val="true"/>
              </w:rPr>
              <w:tab/>
            </w:r>
            <w:r>
              <w:rPr>
                <w:rStyle w:val="IndexLink"/>
              </w:rPr>
              <w:t>33</w:t>
            </w:r>
          </w:hyperlink>
        </w:p>
        <w:p>
          <w:pPr>
            <w:pStyle w:val="Contents5"/>
            <w:tabs>
              <w:tab w:val="clear" w:pos="7892"/>
              <w:tab w:val="right" w:pos="9026" w:leader="dot"/>
            </w:tabs>
            <w:rPr/>
          </w:pPr>
          <w:hyperlink w:anchor="__RefHeading___Toc1855866_581953129">
            <w:r>
              <w:rPr>
                <w:webHidden/>
                <w:rStyle w:val="IndexLink"/>
                <w:rtl w:val="true"/>
              </w:rPr>
              <w:t>المورد الأوّل</w:t>
            </w:r>
            <w:r>
              <w:rPr>
                <w:rStyle w:val="IndexLink"/>
                <w:rtl w:val="true"/>
              </w:rPr>
              <w:t>:</w:t>
            </w:r>
            <w:r>
              <w:rPr>
                <w:rStyle w:val="IndexLink"/>
                <w:rtl w:val="true"/>
              </w:rPr>
              <w:t>و هو من الموارد المشترکة بینهما</w:t>
            </w:r>
            <w:r>
              <w:rPr>
                <w:rStyle w:val="IndexLink"/>
                <w:rtl w:val="true"/>
              </w:rPr>
              <w:tab/>
            </w:r>
            <w:r>
              <w:rPr>
                <w:rStyle w:val="IndexLink"/>
              </w:rPr>
              <w:t>33</w:t>
            </w:r>
          </w:hyperlink>
        </w:p>
        <w:p>
          <w:pPr>
            <w:pStyle w:val="Contents5"/>
            <w:tabs>
              <w:tab w:val="clear" w:pos="7892"/>
              <w:tab w:val="right" w:pos="9026" w:leader="dot"/>
            </w:tabs>
            <w:rPr/>
          </w:pPr>
          <w:hyperlink w:anchor="__RefHeading___Toc1855868_581953129">
            <w:r>
              <w:rPr>
                <w:webHidden/>
                <w:rStyle w:val="IndexLink"/>
                <w:rtl w:val="true"/>
              </w:rPr>
              <w:t>المورد الثانی</w:t>
            </w:r>
            <w:r>
              <w:rPr>
                <w:rStyle w:val="IndexLink"/>
                <w:rtl w:val="true"/>
              </w:rPr>
              <w:t>:</w:t>
            </w:r>
            <w:r>
              <w:rPr>
                <w:rStyle w:val="IndexLink"/>
                <w:rtl w:val="true"/>
              </w:rPr>
              <w:t>و هو أیضا من الموارد المشترکة فی مسألة الدماء؛</w:t>
            </w:r>
            <w:r>
              <w:rPr>
                <w:rStyle w:val="IndexLink"/>
                <w:rtl w:val="true"/>
              </w:rPr>
              <w:tab/>
            </w:r>
            <w:r>
              <w:rPr>
                <w:rStyle w:val="IndexLink"/>
              </w:rPr>
              <w:t>35</w:t>
            </w:r>
          </w:hyperlink>
        </w:p>
        <w:p>
          <w:pPr>
            <w:pStyle w:val="Contents5"/>
            <w:tabs>
              <w:tab w:val="clear" w:pos="7892"/>
              <w:tab w:val="right" w:pos="9026" w:leader="dot"/>
            </w:tabs>
            <w:rPr/>
          </w:pPr>
          <w:hyperlink w:anchor="__RefHeading___Toc1855870_581953129">
            <w:r>
              <w:rPr>
                <w:webHidden/>
                <w:rStyle w:val="IndexLink"/>
                <w:rtl w:val="true"/>
              </w:rPr>
              <w:t>المورد الثالث</w:t>
            </w:r>
            <w:r>
              <w:rPr>
                <w:rStyle w:val="IndexLink"/>
                <w:rtl w:val="true"/>
              </w:rPr>
              <w:t>:</w:t>
            </w:r>
            <w:r>
              <w:rPr>
                <w:rStyle w:val="IndexLink"/>
                <w:rtl w:val="true"/>
              </w:rPr>
              <w:t>و هو المستثنی من التقیّة بالمعنی الأخصّ فقط،</w:t>
            </w:r>
            <w:r>
              <w:rPr>
                <w:rStyle w:val="IndexLink"/>
                <w:rtl w:val="true"/>
              </w:rPr>
              <w:tab/>
            </w:r>
            <w:r>
              <w:rPr>
                <w:rStyle w:val="IndexLink"/>
              </w:rPr>
              <w:t>39</w:t>
            </w:r>
          </w:hyperlink>
        </w:p>
        <w:p>
          <w:pPr>
            <w:pStyle w:val="Contents5"/>
            <w:tabs>
              <w:tab w:val="clear" w:pos="7892"/>
              <w:tab w:val="right" w:pos="9026" w:leader="dot"/>
            </w:tabs>
            <w:rPr/>
          </w:pPr>
          <w:hyperlink w:anchor="__RefHeading___Toc1855872_581953129">
            <w:r>
              <w:rPr>
                <w:webHidden/>
                <w:rStyle w:val="IndexLink"/>
                <w:rtl w:val="true"/>
              </w:rPr>
              <w:t>المورد الرابع</w:t>
            </w:r>
            <w:r>
              <w:rPr>
                <w:rStyle w:val="IndexLink"/>
                <w:rtl w:val="true"/>
              </w:rPr>
              <w:t>:</w:t>
            </w:r>
            <w:r>
              <w:rPr>
                <w:rStyle w:val="IndexLink"/>
                <w:rtl w:val="true"/>
              </w:rPr>
              <w:t>و هو الذی یستثنی من التقیّة بالمعنی الأخصّ،البراءة</w:t>
            </w:r>
            <w:r>
              <w:rPr>
                <w:rStyle w:val="IndexLink"/>
                <w:rtl w:val="true"/>
              </w:rPr>
              <w:tab/>
            </w:r>
            <w:r>
              <w:rPr>
                <w:rStyle w:val="IndexLink"/>
              </w:rPr>
              <w:t>45</w:t>
            </w:r>
          </w:hyperlink>
        </w:p>
        <w:p>
          <w:pPr>
            <w:pStyle w:val="Contents4"/>
            <w:tabs>
              <w:tab w:val="clear" w:pos="8176"/>
              <w:tab w:val="right" w:pos="9026" w:leader="dot"/>
            </w:tabs>
            <w:rPr/>
          </w:pPr>
          <w:hyperlink w:anchor="__RefHeading___Toc1855874_581953129">
            <w:r>
              <w:rPr>
                <w:webHidden/>
                <w:rStyle w:val="IndexLink"/>
                <w:rtl w:val="true"/>
              </w:rPr>
              <w:t>الفصل السادس</w:t>
            </w:r>
            <w:r>
              <w:rPr>
                <w:rStyle w:val="IndexLink"/>
                <w:rtl w:val="true"/>
              </w:rPr>
              <w:t>:</w:t>
            </w:r>
            <w:r>
              <w:rPr>
                <w:rStyle w:val="IndexLink"/>
                <w:rtl w:val="true"/>
              </w:rPr>
              <w:t>أنواع التقیّة</w:t>
            </w:r>
            <w:r>
              <w:rPr>
                <w:rStyle w:val="IndexLink"/>
                <w:rtl w:val="true"/>
              </w:rPr>
              <w:tab/>
            </w:r>
            <w:r>
              <w:rPr>
                <w:rStyle w:val="IndexLink"/>
              </w:rPr>
              <w:t>46</w:t>
            </w:r>
          </w:hyperlink>
        </w:p>
        <w:p>
          <w:pPr>
            <w:pStyle w:val="Contents5"/>
            <w:tabs>
              <w:tab w:val="clear" w:pos="7892"/>
              <w:tab w:val="right" w:pos="9026" w:leader="dot"/>
            </w:tabs>
            <w:rPr/>
          </w:pPr>
          <w:hyperlink w:anchor="__RefHeading___Toc1855876_581953129">
            <w:r>
              <w:rPr>
                <w:webHidden/>
                <w:rStyle w:val="IndexLink"/>
                <w:rtl w:val="true"/>
              </w:rPr>
              <w:t>اشارة</w:t>
            </w:r>
            <w:r>
              <w:rPr>
                <w:rStyle w:val="IndexLink"/>
                <w:rtl w:val="true"/>
              </w:rPr>
              <w:tab/>
            </w:r>
            <w:r>
              <w:rPr>
                <w:rStyle w:val="IndexLink"/>
              </w:rPr>
              <w:t>46</w:t>
            </w:r>
          </w:hyperlink>
        </w:p>
        <w:p>
          <w:pPr>
            <w:pStyle w:val="Contents5"/>
            <w:tabs>
              <w:tab w:val="clear" w:pos="7892"/>
              <w:tab w:val="right" w:pos="9026" w:leader="dot"/>
            </w:tabs>
            <w:rPr/>
          </w:pPr>
          <w:hyperlink w:anchor="__RefHeading___Toc1855878_581953129">
            <w:r>
              <w:rPr>
                <w:webHidden/>
                <w:rStyle w:val="IndexLink"/>
                <w:rtl w:val="true"/>
              </w:rPr>
              <w:t>الأوّل</w:t>
            </w:r>
            <w:r>
              <w:rPr>
                <w:rStyle w:val="IndexLink"/>
                <w:rtl w:val="true"/>
              </w:rPr>
              <w:t>:</w:t>
            </w:r>
            <w:r>
              <w:rPr>
                <w:rStyle w:val="IndexLink"/>
                <w:rtl w:val="true"/>
              </w:rPr>
              <w:t>التقیّة الإکراهیّة؛</w:t>
            </w:r>
            <w:r>
              <w:rPr>
                <w:rStyle w:val="IndexLink"/>
                <w:rtl w:val="true"/>
              </w:rPr>
              <w:tab/>
            </w:r>
            <w:r>
              <w:rPr>
                <w:rStyle w:val="IndexLink"/>
              </w:rPr>
              <w:t>46</w:t>
            </w:r>
          </w:hyperlink>
        </w:p>
        <w:p>
          <w:pPr>
            <w:pStyle w:val="Contents5"/>
            <w:tabs>
              <w:tab w:val="clear" w:pos="7892"/>
              <w:tab w:val="right" w:pos="9026" w:leader="dot"/>
            </w:tabs>
            <w:rPr/>
          </w:pPr>
          <w:hyperlink w:anchor="__RefHeading___Toc1855880_581953129">
            <w:r>
              <w:rPr>
                <w:webHidden/>
                <w:rStyle w:val="IndexLink"/>
                <w:rtl w:val="true"/>
              </w:rPr>
              <w:t>الثانی</w:t>
            </w:r>
            <w:r>
              <w:rPr>
                <w:rStyle w:val="IndexLink"/>
                <w:rtl w:val="true"/>
              </w:rPr>
              <w:t>:</w:t>
            </w:r>
            <w:r>
              <w:rPr>
                <w:rStyle w:val="IndexLink"/>
                <w:rtl w:val="true"/>
              </w:rPr>
              <w:t>التقیّة الخوفیّة</w:t>
            </w:r>
            <w:r>
              <w:rPr>
                <w:rStyle w:val="IndexLink"/>
                <w:rtl w:val="true"/>
              </w:rPr>
              <w:t>:</w:t>
              <w:tab/>
            </w:r>
            <w:r>
              <w:rPr>
                <w:rStyle w:val="IndexLink"/>
              </w:rPr>
              <w:t>46</w:t>
            </w:r>
          </w:hyperlink>
        </w:p>
        <w:p>
          <w:pPr>
            <w:pStyle w:val="Contents5"/>
            <w:tabs>
              <w:tab w:val="clear" w:pos="7892"/>
              <w:tab w:val="right" w:pos="9026" w:leader="dot"/>
            </w:tabs>
            <w:rPr/>
          </w:pPr>
          <w:hyperlink w:anchor="__RefHeading___Toc1855882_581953129">
            <w:r>
              <w:rPr>
                <w:webHidden/>
                <w:rStyle w:val="IndexLink"/>
                <w:rtl w:val="true"/>
              </w:rPr>
              <w:t>الثالث</w:t>
            </w:r>
            <w:r>
              <w:rPr>
                <w:rStyle w:val="IndexLink"/>
                <w:rtl w:val="true"/>
              </w:rPr>
              <w:t>:</w:t>
            </w:r>
            <w:r>
              <w:rPr>
                <w:rStyle w:val="IndexLink"/>
                <w:rtl w:val="true"/>
              </w:rPr>
              <w:t>التقیّة الکتمانیّة؛</w:t>
            </w:r>
            <w:r>
              <w:rPr>
                <w:rStyle w:val="IndexLink"/>
                <w:rtl w:val="true"/>
              </w:rPr>
              <w:tab/>
            </w:r>
            <w:r>
              <w:rPr>
                <w:rStyle w:val="IndexLink"/>
              </w:rPr>
              <w:t>47</w:t>
            </w:r>
          </w:hyperlink>
        </w:p>
        <w:p>
          <w:pPr>
            <w:pStyle w:val="Contents5"/>
            <w:tabs>
              <w:tab w:val="clear" w:pos="7892"/>
              <w:tab w:val="right" w:pos="9026" w:leader="dot"/>
            </w:tabs>
            <w:rPr/>
          </w:pPr>
          <w:hyperlink w:anchor="__RefHeading___Toc1855884_581953129">
            <w:r>
              <w:rPr>
                <w:webHidden/>
                <w:rStyle w:val="IndexLink"/>
                <w:rtl w:val="true"/>
              </w:rPr>
              <w:t>الرابع</w:t>
            </w:r>
            <w:r>
              <w:rPr>
                <w:rStyle w:val="IndexLink"/>
                <w:rtl w:val="true"/>
              </w:rPr>
              <w:t>:</w:t>
            </w:r>
            <w:r>
              <w:rPr>
                <w:rStyle w:val="IndexLink"/>
                <w:rtl w:val="true"/>
              </w:rPr>
              <w:t>التقیّة المداراتیّة؛</w:t>
            </w:r>
            <w:r>
              <w:rPr>
                <w:rStyle w:val="IndexLink"/>
                <w:rtl w:val="true"/>
              </w:rPr>
              <w:tab/>
            </w:r>
            <w:r>
              <w:rPr>
                <w:rStyle w:val="IndexLink"/>
              </w:rPr>
              <w:t>47</w:t>
            </w:r>
          </w:hyperlink>
        </w:p>
        <w:p>
          <w:pPr>
            <w:pStyle w:val="Contents6"/>
            <w:tabs>
              <w:tab w:val="clear" w:pos="7609"/>
              <w:tab w:val="right" w:pos="9026" w:leader="dot"/>
            </w:tabs>
            <w:rPr/>
          </w:pPr>
          <w:hyperlink w:anchor="__RefHeading___Toc1855886_581953129">
            <w:r>
              <w:rPr>
                <w:webHidden/>
                <w:rStyle w:val="IndexLink"/>
                <w:rtl w:val="true"/>
              </w:rPr>
              <w:t>اشارة</w:t>
            </w:r>
            <w:r>
              <w:rPr>
                <w:rStyle w:val="IndexLink"/>
                <w:rtl w:val="true"/>
              </w:rPr>
              <w:tab/>
            </w:r>
            <w:r>
              <w:rPr>
                <w:rStyle w:val="IndexLink"/>
              </w:rPr>
              <w:t>47</w:t>
            </w:r>
          </w:hyperlink>
        </w:p>
        <w:p>
          <w:pPr>
            <w:pStyle w:val="Contents6"/>
            <w:tabs>
              <w:tab w:val="clear" w:pos="7609"/>
              <w:tab w:val="right" w:pos="9026" w:leader="dot"/>
            </w:tabs>
            <w:rPr/>
          </w:pPr>
          <w:hyperlink w:anchor="__RefHeading___Toc1855888_581953129">
            <w:r>
              <w:rPr>
                <w:webHidden/>
                <w:rStyle w:val="IndexLink"/>
                <w:rtl w:val="true"/>
              </w:rPr>
              <w:t>تکملة</w:t>
            </w:r>
            <w:r>
              <w:rPr>
                <w:rStyle w:val="IndexLink"/>
                <w:rtl w:val="true"/>
              </w:rPr>
              <w:tab/>
            </w:r>
            <w:r>
              <w:rPr>
                <w:rStyle w:val="IndexLink"/>
              </w:rPr>
              <w:t>51</w:t>
            </w:r>
          </w:hyperlink>
        </w:p>
        <w:p>
          <w:pPr>
            <w:pStyle w:val="Contents4"/>
            <w:tabs>
              <w:tab w:val="clear" w:pos="8176"/>
              <w:tab w:val="right" w:pos="9026" w:leader="dot"/>
            </w:tabs>
            <w:rPr/>
          </w:pPr>
          <w:hyperlink w:anchor="__RefHeading___Toc1855890_581953129">
            <w:r>
              <w:rPr>
                <w:webHidden/>
                <w:rStyle w:val="IndexLink"/>
                <w:rtl w:val="true"/>
              </w:rPr>
              <w:t>الفصل السابع</w:t>
            </w:r>
            <w:r>
              <w:rPr>
                <w:rStyle w:val="IndexLink"/>
                <w:rtl w:val="true"/>
              </w:rPr>
              <w:t>:</w:t>
            </w:r>
            <w:r>
              <w:rPr>
                <w:rStyle w:val="IndexLink"/>
                <w:rtl w:val="true"/>
              </w:rPr>
              <w:t>هل العمل الموافق للتقیّة مجزئ عن المأمور به الواقعی،أم لا؟</w:t>
            </w:r>
            <w:r>
              <w:rPr>
                <w:rStyle w:val="IndexLink"/>
                <w:rtl w:val="true"/>
              </w:rPr>
              <w:tab/>
            </w:r>
            <w:r>
              <w:rPr>
                <w:rStyle w:val="IndexLink"/>
              </w:rPr>
              <w:t>53</w:t>
            </w:r>
          </w:hyperlink>
        </w:p>
        <w:p>
          <w:pPr>
            <w:pStyle w:val="Contents5"/>
            <w:tabs>
              <w:tab w:val="clear" w:pos="7892"/>
              <w:tab w:val="right" w:pos="9026" w:leader="dot"/>
            </w:tabs>
            <w:rPr/>
          </w:pPr>
          <w:hyperlink w:anchor="__RefHeading___Toc1855892_581953129">
            <w:r>
              <w:rPr>
                <w:webHidden/>
                <w:rStyle w:val="IndexLink"/>
                <w:rtl w:val="true"/>
              </w:rPr>
              <w:t>بیان محلّ النزاع</w:t>
            </w:r>
            <w:r>
              <w:rPr>
                <w:rStyle w:val="IndexLink"/>
                <w:rtl w:val="true"/>
              </w:rPr>
              <w:tab/>
            </w:r>
            <w:r>
              <w:rPr>
                <w:rStyle w:val="IndexLink"/>
              </w:rPr>
              <w:t>53</w:t>
            </w:r>
          </w:hyperlink>
        </w:p>
        <w:p>
          <w:pPr>
            <w:pStyle w:val="Contents6"/>
            <w:tabs>
              <w:tab w:val="clear" w:pos="7609"/>
              <w:tab w:val="right" w:pos="9026" w:leader="dot"/>
            </w:tabs>
            <w:rPr/>
          </w:pPr>
          <w:hyperlink w:anchor="__RefHeading___Toc1855894_581953129">
            <w:r>
              <w:rPr>
                <w:webHidden/>
                <w:rStyle w:val="IndexLink"/>
                <w:rtl w:val="true"/>
              </w:rPr>
              <w:t>اشارة</w:t>
            </w:r>
            <w:r>
              <w:rPr>
                <w:rStyle w:val="IndexLink"/>
                <w:rtl w:val="true"/>
              </w:rPr>
              <w:tab/>
            </w:r>
            <w:r>
              <w:rPr>
                <w:rStyle w:val="IndexLink"/>
              </w:rPr>
              <w:t>53</w:t>
            </w:r>
          </w:hyperlink>
        </w:p>
        <w:p>
          <w:pPr>
            <w:pStyle w:val="Contents6"/>
            <w:tabs>
              <w:tab w:val="clear" w:pos="7609"/>
              <w:tab w:val="right" w:pos="9026" w:leader="dot"/>
            </w:tabs>
            <w:rPr/>
          </w:pPr>
          <w:hyperlink w:anchor="__RefHeading___Toc1855896_581953129">
            <w:r>
              <w:rPr>
                <w:webHidden/>
                <w:rStyle w:val="IndexLink"/>
                <w:rtl w:val="true"/>
              </w:rPr>
              <w:t>الأمر الأوّل</w:t>
            </w:r>
            <w:r>
              <w:rPr>
                <w:rStyle w:val="IndexLink"/>
                <w:rtl w:val="true"/>
              </w:rPr>
              <w:t>:</w:t>
            </w:r>
            <w:r>
              <w:rPr>
                <w:rStyle w:val="IndexLink"/>
                <w:rtl w:val="true"/>
              </w:rPr>
              <w:t>أنّ النزاع واقع فیما إذا أتی المکلّف بالعمل ناقصا؛</w:t>
            </w:r>
            <w:r>
              <w:rPr>
                <w:rStyle w:val="IndexLink"/>
                <w:rtl w:val="true"/>
              </w:rPr>
              <w:tab/>
            </w:r>
            <w:r>
              <w:rPr>
                <w:rStyle w:val="IndexLink"/>
              </w:rPr>
              <w:t>53</w:t>
            </w:r>
          </w:hyperlink>
        </w:p>
        <w:p>
          <w:pPr>
            <w:pStyle w:val="Contents6"/>
            <w:tabs>
              <w:tab w:val="clear" w:pos="7609"/>
              <w:tab w:val="right" w:pos="9026" w:leader="dot"/>
            </w:tabs>
            <w:rPr/>
          </w:pPr>
          <w:hyperlink w:anchor="__RefHeading___Toc1855898_581953129">
            <w:r>
              <w:rPr>
                <w:webHidden/>
                <w:rStyle w:val="IndexLink"/>
                <w:rtl w:val="true"/>
              </w:rPr>
              <w:t>الأمر الثانی</w:t>
            </w:r>
            <w:r>
              <w:rPr>
                <w:rStyle w:val="IndexLink"/>
                <w:rtl w:val="true"/>
              </w:rPr>
              <w:t>:</w:t>
            </w:r>
            <w:r>
              <w:rPr>
                <w:rStyle w:val="IndexLink"/>
                <w:rtl w:val="true"/>
              </w:rPr>
              <w:t>أنّ محلّ النزاع فی الإجزاء و عدمه إنّما هو فیما إذا کان الدلیل الذی</w:t>
            </w:r>
            <w:r>
              <w:rPr>
                <w:rStyle w:val="IndexLink"/>
                <w:rtl w:val="true"/>
              </w:rPr>
              <w:tab/>
            </w:r>
            <w:r>
              <w:rPr>
                <w:rStyle w:val="IndexLink"/>
              </w:rPr>
              <w:t>55</w:t>
            </w:r>
          </w:hyperlink>
        </w:p>
        <w:p>
          <w:pPr>
            <w:pStyle w:val="Contents6"/>
            <w:tabs>
              <w:tab w:val="clear" w:pos="7609"/>
              <w:tab w:val="right" w:pos="9026" w:leader="dot"/>
            </w:tabs>
            <w:rPr/>
          </w:pPr>
          <w:hyperlink w:anchor="__RefHeading___Toc1855900_581953129">
            <w:r>
              <w:rPr>
                <w:webHidden/>
                <w:rStyle w:val="IndexLink"/>
                <w:rtl w:val="true"/>
              </w:rPr>
              <w:t>الأمر الثالث</w:t>
            </w:r>
            <w:r>
              <w:rPr>
                <w:rStyle w:val="IndexLink"/>
                <w:rtl w:val="true"/>
              </w:rPr>
              <w:t>:</w:t>
            </w:r>
            <w:r>
              <w:rPr>
                <w:rStyle w:val="IndexLink"/>
                <w:rtl w:val="true"/>
              </w:rPr>
              <w:t>قد وقع الخلاف فی أنّ المانعیّة النفسیّة هل هی داخلة فی محلّ</w:t>
            </w:r>
            <w:r>
              <w:rPr>
                <w:rStyle w:val="IndexLink"/>
                <w:rtl w:val="true"/>
              </w:rPr>
              <w:tab/>
            </w:r>
            <w:r>
              <w:rPr>
                <w:rStyle w:val="IndexLink"/>
              </w:rPr>
              <w:t>56</w:t>
            </w:r>
          </w:hyperlink>
        </w:p>
        <w:p>
          <w:pPr>
            <w:pStyle w:val="Contents6"/>
            <w:tabs>
              <w:tab w:val="clear" w:pos="7609"/>
              <w:tab w:val="right" w:pos="9026" w:leader="dot"/>
            </w:tabs>
            <w:rPr/>
          </w:pPr>
          <w:hyperlink w:anchor="__RefHeading___Toc1855902_581953129">
            <w:r>
              <w:rPr>
                <w:webHidden/>
                <w:rStyle w:val="IndexLink"/>
                <w:rtl w:val="true"/>
              </w:rPr>
              <w:t>ذهب المحقّق الثانی إلی التفصیل</w:t>
            </w:r>
            <w:r>
              <w:rPr>
                <w:rStyle w:val="IndexLink"/>
                <w:rtl w:val="true"/>
              </w:rPr>
              <w:tab/>
            </w:r>
            <w:r>
              <w:rPr>
                <w:rStyle w:val="IndexLink"/>
              </w:rPr>
              <w:t>58</w:t>
            </w:r>
          </w:hyperlink>
        </w:p>
        <w:p>
          <w:pPr>
            <w:pStyle w:val="Contents6"/>
            <w:tabs>
              <w:tab w:val="clear" w:pos="7609"/>
              <w:tab w:val="right" w:pos="9026" w:leader="dot"/>
            </w:tabs>
            <w:rPr/>
          </w:pPr>
          <w:hyperlink w:anchor="__RefHeading___Toc1855904_581953129">
            <w:r>
              <w:rPr>
                <w:webHidden/>
                <w:rStyle w:val="IndexLink"/>
                <w:rtl w:val="true"/>
              </w:rPr>
              <w:t>و خالفه الشیخ الأعظم الأنصاری</w:t>
            </w:r>
            <w:r>
              <w:rPr>
                <w:rStyle w:val="IndexLink"/>
                <w:rtl w:val="true"/>
              </w:rPr>
              <w:tab/>
            </w:r>
            <w:r>
              <w:rPr>
                <w:rStyle w:val="IndexLink"/>
              </w:rPr>
              <w:t>58</w:t>
            </w:r>
          </w:hyperlink>
        </w:p>
        <w:p>
          <w:pPr>
            <w:pStyle w:val="Contents6"/>
            <w:tabs>
              <w:tab w:val="clear" w:pos="7609"/>
              <w:tab w:val="right" w:pos="9026" w:leader="dot"/>
            </w:tabs>
            <w:rPr/>
          </w:pPr>
          <w:hyperlink w:anchor="__RefHeading___Toc1855906_581953129">
            <w:r>
              <w:rPr>
                <w:webHidden/>
                <w:rStyle w:val="IndexLink"/>
                <w:rtl w:val="true"/>
              </w:rPr>
              <w:t>و الروایات التی یستفادها منها الإذن العامّ</w:t>
            </w:r>
            <w:r>
              <w:rPr>
                <w:rStyle w:val="IndexLink"/>
                <w:rtl w:val="true"/>
              </w:rPr>
              <w:t>-</w:t>
              <w:tab/>
            </w:r>
            <w:r>
              <w:rPr>
                <w:rStyle w:val="IndexLink"/>
              </w:rPr>
              <w:t>61</w:t>
            </w:r>
          </w:hyperlink>
        </w:p>
        <w:p>
          <w:pPr>
            <w:pStyle w:val="Contents6"/>
            <w:tabs>
              <w:tab w:val="clear" w:pos="7609"/>
              <w:tab w:val="right" w:pos="9026" w:leader="dot"/>
            </w:tabs>
            <w:rPr/>
          </w:pPr>
          <w:hyperlink w:anchor="__RefHeading___Toc1855908_581953129">
            <w:r>
              <w:rPr>
                <w:webHidden/>
                <w:rStyle w:val="IndexLink"/>
                <w:rtl w:val="true"/>
              </w:rPr>
              <w:t>اشارة</w:t>
            </w:r>
            <w:r>
              <w:rPr>
                <w:rStyle w:val="IndexLink"/>
                <w:rtl w:val="true"/>
              </w:rPr>
              <w:tab/>
            </w:r>
            <w:r>
              <w:rPr>
                <w:rStyle w:val="IndexLink"/>
              </w:rPr>
              <w:t>61</w:t>
            </w:r>
          </w:hyperlink>
        </w:p>
        <w:p>
          <w:pPr>
            <w:pStyle w:val="Contents6"/>
            <w:tabs>
              <w:tab w:val="clear" w:pos="7609"/>
              <w:tab w:val="right" w:pos="9026" w:leader="dot"/>
            </w:tabs>
            <w:rPr/>
          </w:pPr>
          <w:hyperlink w:anchor="__RefHeading___Toc1855910_581953129">
            <w:r>
              <w:rPr>
                <w:webHidden/>
                <w:rStyle w:val="IndexLink"/>
                <w:rtl w:val="true"/>
              </w:rPr>
              <w:t>منها</w:t>
            </w:r>
            <w:r>
              <w:rPr>
                <w:rStyle w:val="IndexLink"/>
                <w:rtl w:val="true"/>
              </w:rPr>
              <w:t>:</w:t>
            </w:r>
            <w:r>
              <w:rPr>
                <w:rStyle w:val="IndexLink"/>
                <w:rtl w:val="true"/>
              </w:rPr>
              <w:t>حدیث الرفع المشهور</w:t>
            </w:r>
            <w:r>
              <w:rPr>
                <w:rStyle w:val="IndexLink"/>
                <w:rtl w:val="true"/>
              </w:rPr>
              <w:tab/>
            </w:r>
            <w:r>
              <w:rPr>
                <w:rStyle w:val="IndexLink"/>
              </w:rPr>
              <w:t>61</w:t>
            </w:r>
          </w:hyperlink>
        </w:p>
        <w:p>
          <w:pPr>
            <w:pStyle w:val="Contents6"/>
            <w:tabs>
              <w:tab w:val="clear" w:pos="7609"/>
              <w:tab w:val="right" w:pos="9026" w:leader="dot"/>
            </w:tabs>
            <w:rPr/>
          </w:pPr>
          <w:hyperlink w:anchor="__RefHeading___Toc1855912_581953129">
            <w:r>
              <w:rPr>
                <w:webHidden/>
                <w:rStyle w:val="IndexLink"/>
                <w:rtl w:val="true"/>
              </w:rPr>
              <w:t>و منها</w:t>
            </w:r>
            <w:r>
              <w:rPr>
                <w:rStyle w:val="IndexLink"/>
                <w:rtl w:val="true"/>
              </w:rPr>
              <w:t>:</w:t>
            </w:r>
            <w:r>
              <w:rPr>
                <w:rStyle w:val="IndexLink"/>
                <w:rtl w:val="true"/>
              </w:rPr>
              <w:t>ما استدلّ به الشیخ الأنصاری قدّس سرّه و هی صحیحة الفضلاء</w:t>
            </w:r>
            <w:r>
              <w:rPr>
                <w:rStyle w:val="IndexLink"/>
                <w:rtl w:val="true"/>
              </w:rPr>
              <w:tab/>
            </w:r>
            <w:r>
              <w:rPr>
                <w:rStyle w:val="IndexLink"/>
              </w:rPr>
              <w:t>63</w:t>
            </w:r>
          </w:hyperlink>
        </w:p>
        <w:p>
          <w:pPr>
            <w:pStyle w:val="Contents6"/>
            <w:tabs>
              <w:tab w:val="clear" w:pos="7609"/>
              <w:tab w:val="right" w:pos="9026" w:leader="dot"/>
            </w:tabs>
            <w:rPr/>
          </w:pPr>
          <w:hyperlink w:anchor="__RefHeading___Toc1855914_581953129">
            <w:r>
              <w:rPr>
                <w:webHidden/>
                <w:rStyle w:val="IndexLink"/>
                <w:rtl w:val="true"/>
              </w:rPr>
              <w:t>و منها</w:t>
            </w:r>
            <w:r>
              <w:rPr>
                <w:rStyle w:val="IndexLink"/>
                <w:rtl w:val="true"/>
              </w:rPr>
              <w:t>:</w:t>
            </w:r>
            <w:r>
              <w:rPr>
                <w:rStyle w:val="IndexLink"/>
                <w:rtl w:val="true"/>
              </w:rPr>
              <w:t>روایة أبی الصباح</w:t>
            </w:r>
            <w:r>
              <w:rPr>
                <w:rStyle w:val="IndexLink"/>
                <w:rtl w:val="true"/>
              </w:rPr>
              <w:t>-</w:t>
              <w:tab/>
            </w:r>
            <w:r>
              <w:rPr>
                <w:rStyle w:val="IndexLink"/>
              </w:rPr>
              <w:t>65</w:t>
            </w:r>
          </w:hyperlink>
        </w:p>
        <w:p>
          <w:pPr>
            <w:pStyle w:val="Contents6"/>
            <w:tabs>
              <w:tab w:val="clear" w:pos="7609"/>
              <w:tab w:val="right" w:pos="9026" w:leader="dot"/>
            </w:tabs>
            <w:rPr/>
          </w:pPr>
          <w:hyperlink w:anchor="__RefHeading___Toc1855916_581953129">
            <w:r>
              <w:rPr>
                <w:webHidden/>
                <w:rStyle w:val="IndexLink"/>
                <w:rtl w:val="true"/>
              </w:rPr>
              <w:t>و منها</w:t>
            </w:r>
            <w:r>
              <w:rPr>
                <w:rStyle w:val="IndexLink"/>
                <w:rtl w:val="true"/>
              </w:rPr>
              <w:t>:</w:t>
            </w:r>
            <w:r>
              <w:rPr>
                <w:rStyle w:val="IndexLink"/>
                <w:rtl w:val="true"/>
              </w:rPr>
              <w:t>روایة أبی عمر الأعجمی</w:t>
            </w:r>
            <w:r>
              <w:rPr>
                <w:rStyle w:val="IndexLink"/>
                <w:rtl w:val="true"/>
              </w:rPr>
              <w:tab/>
            </w:r>
            <w:r>
              <w:rPr>
                <w:rStyle w:val="IndexLink"/>
              </w:rPr>
              <w:t>67</w:t>
            </w:r>
          </w:hyperlink>
        </w:p>
        <w:p>
          <w:pPr>
            <w:pStyle w:val="Contents6"/>
            <w:tabs>
              <w:tab w:val="clear" w:pos="7609"/>
              <w:tab w:val="right" w:pos="9026" w:leader="dot"/>
            </w:tabs>
            <w:rPr/>
          </w:pPr>
          <w:hyperlink w:anchor="__RefHeading___Toc1855918_581953129">
            <w:r>
              <w:rPr>
                <w:webHidden/>
                <w:rStyle w:val="IndexLink"/>
                <w:rtl w:val="true"/>
              </w:rPr>
              <w:t>و منها</w:t>
            </w:r>
            <w:r>
              <w:rPr>
                <w:rStyle w:val="IndexLink"/>
                <w:rtl w:val="true"/>
              </w:rPr>
              <w:t>:</w:t>
            </w:r>
            <w:r>
              <w:rPr>
                <w:rStyle w:val="IndexLink"/>
                <w:rtl w:val="true"/>
              </w:rPr>
              <w:t>موثّقة مسعدة بن صدقة</w:t>
            </w:r>
            <w:r>
              <w:rPr>
                <w:rStyle w:val="IndexLink"/>
                <w:rtl w:val="true"/>
              </w:rPr>
              <w:tab/>
            </w:r>
            <w:r>
              <w:rPr>
                <w:rStyle w:val="IndexLink"/>
              </w:rPr>
              <w:t>70</w:t>
            </w:r>
          </w:hyperlink>
        </w:p>
        <w:p>
          <w:pPr>
            <w:pStyle w:val="Contents6"/>
            <w:tabs>
              <w:tab w:val="clear" w:pos="7609"/>
              <w:tab w:val="right" w:pos="9026" w:leader="dot"/>
            </w:tabs>
            <w:rPr/>
          </w:pPr>
          <w:hyperlink w:anchor="__RefHeading___Toc1855920_581953129">
            <w:r>
              <w:rPr>
                <w:webHidden/>
                <w:rStyle w:val="IndexLink"/>
                <w:rtl w:val="true"/>
              </w:rPr>
              <w:t>و منها</w:t>
            </w:r>
            <w:r>
              <w:rPr>
                <w:rStyle w:val="IndexLink"/>
                <w:rtl w:val="true"/>
              </w:rPr>
              <w:t>:</w:t>
            </w:r>
            <w:r>
              <w:rPr>
                <w:rStyle w:val="IndexLink"/>
                <w:rtl w:val="true"/>
              </w:rPr>
              <w:t>ما ذکره السیّد المرتضی فی رسالة</w:t>
            </w:r>
            <w:r>
              <w:rPr>
                <w:rStyle w:val="IndexLink"/>
                <w:rtl w:val="true"/>
              </w:rPr>
              <w:tab/>
            </w:r>
            <w:r>
              <w:rPr>
                <w:rStyle w:val="IndexLink"/>
              </w:rPr>
              <w:t>72</w:t>
            </w:r>
          </w:hyperlink>
        </w:p>
        <w:p>
          <w:pPr>
            <w:pStyle w:val="Contents6"/>
            <w:tabs>
              <w:tab w:val="clear" w:pos="7609"/>
              <w:tab w:val="right" w:pos="9026" w:leader="dot"/>
            </w:tabs>
            <w:rPr/>
          </w:pPr>
          <w:hyperlink w:anchor="__RefHeading___Toc1855922_581953129">
            <w:r>
              <w:rPr>
                <w:webHidden/>
                <w:rStyle w:val="IndexLink"/>
                <w:rtl w:val="true"/>
              </w:rPr>
              <w:t>و منها</w:t>
            </w:r>
            <w:r>
              <w:rPr>
                <w:rStyle w:val="IndexLink"/>
                <w:rtl w:val="true"/>
              </w:rPr>
              <w:t>:</w:t>
            </w:r>
            <w:r>
              <w:rPr>
                <w:rStyle w:val="IndexLink"/>
                <w:rtl w:val="true"/>
              </w:rPr>
              <w:t>روایة سفیان بن سعید</w:t>
            </w:r>
            <w:r>
              <w:rPr>
                <w:rStyle w:val="IndexLink"/>
                <w:rtl w:val="true"/>
              </w:rPr>
              <w:tab/>
            </w:r>
            <w:r>
              <w:rPr>
                <w:rStyle w:val="IndexLink"/>
              </w:rPr>
              <w:t>73</w:t>
            </w:r>
          </w:hyperlink>
        </w:p>
        <w:p>
          <w:pPr>
            <w:pStyle w:val="Contents6"/>
            <w:tabs>
              <w:tab w:val="clear" w:pos="7609"/>
              <w:tab w:val="right" w:pos="9026" w:leader="dot"/>
            </w:tabs>
            <w:rPr/>
          </w:pPr>
          <w:hyperlink w:anchor="__RefHeading___Toc1855924_581953129">
            <w:r>
              <w:rPr>
                <w:webHidden/>
                <w:rStyle w:val="IndexLink"/>
                <w:rtl w:val="true"/>
              </w:rPr>
              <w:t>و منها</w:t>
            </w:r>
            <w:r>
              <w:rPr>
                <w:rStyle w:val="IndexLink"/>
                <w:rtl w:val="true"/>
              </w:rPr>
              <w:t>:</w:t>
            </w:r>
            <w:r>
              <w:rPr>
                <w:rStyle w:val="IndexLink"/>
                <w:rtl w:val="true"/>
              </w:rPr>
              <w:t>ما عن سعد بن عبد اللّه فی بصائر الدرجات بسنده الصحیح عن معلّی</w:t>
            </w:r>
            <w:r>
              <w:rPr>
                <w:rStyle w:val="IndexLink"/>
                <w:rtl w:val="true"/>
              </w:rPr>
              <w:tab/>
            </w:r>
            <w:r>
              <w:rPr>
                <w:rStyle w:val="IndexLink"/>
              </w:rPr>
              <w:t>74</w:t>
            </w:r>
          </w:hyperlink>
        </w:p>
        <w:p>
          <w:pPr>
            <w:pStyle w:val="Contents6"/>
            <w:tabs>
              <w:tab w:val="clear" w:pos="7609"/>
              <w:tab w:val="right" w:pos="9026" w:leader="dot"/>
            </w:tabs>
            <w:rPr/>
          </w:pPr>
          <w:hyperlink w:anchor="__RefHeading___Toc1855926_581953129">
            <w:r>
              <w:rPr>
                <w:webHidden/>
                <w:rStyle w:val="IndexLink"/>
                <w:rtl w:val="true"/>
              </w:rPr>
              <w:t>و منها</w:t>
            </w:r>
            <w:r>
              <w:rPr>
                <w:rStyle w:val="IndexLink"/>
                <w:rtl w:val="true"/>
              </w:rPr>
              <w:t>:</w:t>
            </w:r>
            <w:r>
              <w:rPr>
                <w:rStyle w:val="IndexLink"/>
                <w:rtl w:val="true"/>
              </w:rPr>
              <w:t>موثّقة سماعة</w:t>
            </w:r>
            <w:r>
              <w:rPr>
                <w:rStyle w:val="IndexLink"/>
                <w:rtl w:val="true"/>
              </w:rPr>
              <w:tab/>
            </w:r>
            <w:r>
              <w:rPr>
                <w:rStyle w:val="IndexLink"/>
              </w:rPr>
              <w:t>75</w:t>
            </w:r>
          </w:hyperlink>
        </w:p>
        <w:p>
          <w:pPr>
            <w:pStyle w:val="Contents4"/>
            <w:tabs>
              <w:tab w:val="clear" w:pos="8176"/>
              <w:tab w:val="right" w:pos="9026" w:leader="dot"/>
            </w:tabs>
            <w:rPr/>
          </w:pPr>
          <w:hyperlink w:anchor="__RefHeading___Toc1855928_581953129">
            <w:r>
              <w:rPr>
                <w:webHidden/>
                <w:rStyle w:val="IndexLink"/>
                <w:rtl w:val="true"/>
              </w:rPr>
              <w:t>الفصل الثامن</w:t>
            </w:r>
            <w:r>
              <w:rPr>
                <w:rStyle w:val="IndexLink"/>
                <w:rtl w:val="true"/>
              </w:rPr>
              <w:t>:</w:t>
            </w:r>
            <w:r>
              <w:rPr>
                <w:rStyle w:val="IndexLink"/>
                <w:rtl w:val="true"/>
              </w:rPr>
              <w:t>هل ترک التقیّة یفسد العمل،أم لا؟</w:t>
            </w:r>
            <w:r>
              <w:rPr>
                <w:rStyle w:val="IndexLink"/>
                <w:rtl w:val="true"/>
              </w:rPr>
              <w:tab/>
            </w:r>
            <w:r>
              <w:rPr>
                <w:rStyle w:val="IndexLink"/>
              </w:rPr>
              <w:t>78</w:t>
            </w:r>
          </w:hyperlink>
        </w:p>
        <w:p>
          <w:pPr>
            <w:pStyle w:val="Contents5"/>
            <w:tabs>
              <w:tab w:val="clear" w:pos="7892"/>
              <w:tab w:val="right" w:pos="9026" w:leader="dot"/>
            </w:tabs>
            <w:rPr/>
          </w:pPr>
          <w:hyperlink w:anchor="__RefHeading___Toc1855930_581953129">
            <w:r>
              <w:rPr>
                <w:webHidden/>
                <w:rStyle w:val="IndexLink"/>
                <w:rtl w:val="true"/>
              </w:rPr>
              <w:t>اشارة</w:t>
            </w:r>
            <w:r>
              <w:rPr>
                <w:rStyle w:val="IndexLink"/>
                <w:rtl w:val="true"/>
              </w:rPr>
              <w:tab/>
            </w:r>
            <w:r>
              <w:rPr>
                <w:rStyle w:val="IndexLink"/>
              </w:rPr>
              <w:t>78</w:t>
            </w:r>
          </w:hyperlink>
        </w:p>
        <w:p>
          <w:pPr>
            <w:pStyle w:val="Contents5"/>
            <w:tabs>
              <w:tab w:val="clear" w:pos="7892"/>
              <w:tab w:val="right" w:pos="9026" w:leader="dot"/>
            </w:tabs>
            <w:rPr/>
          </w:pPr>
          <w:hyperlink w:anchor="__RefHeading___Toc1855932_581953129">
            <w:r>
              <w:rPr>
                <w:webHidden/>
                <w:rStyle w:val="IndexLink"/>
                <w:rtl w:val="true"/>
              </w:rPr>
              <w:t>تنبیه</w:t>
            </w:r>
            <w:r>
              <w:rPr>
                <w:rStyle w:val="IndexLink"/>
                <w:rtl w:val="true"/>
              </w:rPr>
              <w:tab/>
            </w:r>
            <w:r>
              <w:rPr>
                <w:rStyle w:val="IndexLink"/>
              </w:rPr>
              <w:t>83</w:t>
            </w:r>
          </w:hyperlink>
        </w:p>
        <w:p>
          <w:pPr>
            <w:pStyle w:val="Contents4"/>
            <w:tabs>
              <w:tab w:val="clear" w:pos="8176"/>
              <w:tab w:val="right" w:pos="9026" w:leader="dot"/>
            </w:tabs>
            <w:rPr/>
          </w:pPr>
          <w:hyperlink w:anchor="__RefHeading___Toc1855934_581953129">
            <w:r>
              <w:rPr>
                <w:webHidden/>
                <w:rStyle w:val="IndexLink"/>
                <w:rtl w:val="true"/>
              </w:rPr>
              <w:t>الفصل التاسع</w:t>
            </w:r>
            <w:r>
              <w:rPr>
                <w:rStyle w:val="IndexLink"/>
                <w:rtl w:val="true"/>
              </w:rPr>
              <w:t>:</w:t>
            </w:r>
            <w:r>
              <w:rPr>
                <w:rStyle w:val="IndexLink"/>
                <w:rtl w:val="true"/>
              </w:rPr>
              <w:t>جریان التقیّة فی الموضوعات و عدمه</w:t>
            </w:r>
            <w:r>
              <w:rPr>
                <w:rStyle w:val="IndexLink"/>
                <w:rtl w:val="true"/>
              </w:rPr>
              <w:tab/>
            </w:r>
            <w:r>
              <w:rPr>
                <w:rStyle w:val="IndexLink"/>
              </w:rPr>
              <w:t>84</w:t>
            </w:r>
          </w:hyperlink>
        </w:p>
        <w:p>
          <w:pPr>
            <w:pStyle w:val="Contents5"/>
            <w:tabs>
              <w:tab w:val="clear" w:pos="7892"/>
              <w:tab w:val="right" w:pos="9026" w:leader="dot"/>
            </w:tabs>
            <w:rPr/>
          </w:pPr>
          <w:hyperlink w:anchor="__RefHeading___Toc1855936_581953129">
            <w:r>
              <w:rPr>
                <w:webHidden/>
                <w:rStyle w:val="IndexLink"/>
                <w:rtl w:val="true"/>
              </w:rPr>
              <w:t>اشارة</w:t>
            </w:r>
            <w:r>
              <w:rPr>
                <w:rStyle w:val="IndexLink"/>
                <w:rtl w:val="true"/>
              </w:rPr>
              <w:tab/>
            </w:r>
            <w:r>
              <w:rPr>
                <w:rStyle w:val="IndexLink"/>
              </w:rPr>
              <w:t>84</w:t>
            </w:r>
          </w:hyperlink>
        </w:p>
        <w:p>
          <w:pPr>
            <w:pStyle w:val="Contents5"/>
            <w:tabs>
              <w:tab w:val="clear" w:pos="7892"/>
              <w:tab w:val="right" w:pos="9026" w:leader="dot"/>
            </w:tabs>
            <w:rPr/>
          </w:pPr>
          <w:hyperlink w:anchor="__RefHeading___Toc1855938_581953129">
            <w:r>
              <w:rPr>
                <w:webHidden/>
                <w:rStyle w:val="IndexLink"/>
                <w:rtl w:val="true"/>
              </w:rPr>
              <w:t>تنبیه</w:t>
            </w:r>
            <w:r>
              <w:rPr>
                <w:rStyle w:val="IndexLink"/>
                <w:rtl w:val="true"/>
              </w:rPr>
              <w:tab/>
            </w:r>
            <w:r>
              <w:rPr>
                <w:rStyle w:val="IndexLink"/>
              </w:rPr>
              <w:t>87</w:t>
            </w:r>
          </w:hyperlink>
        </w:p>
        <w:p>
          <w:pPr>
            <w:pStyle w:val="Contents4"/>
            <w:tabs>
              <w:tab w:val="clear" w:pos="8176"/>
              <w:tab w:val="right" w:pos="9026" w:leader="dot"/>
            </w:tabs>
            <w:rPr/>
          </w:pPr>
          <w:hyperlink w:anchor="__RefHeading___Toc1855940_581953129">
            <w:r>
              <w:rPr>
                <w:webHidden/>
                <w:rStyle w:val="IndexLink"/>
                <w:rtl w:val="true"/>
              </w:rPr>
              <w:t>الفصل العاشر</w:t>
            </w:r>
            <w:r>
              <w:rPr>
                <w:rStyle w:val="IndexLink"/>
                <w:rtl w:val="true"/>
              </w:rPr>
              <w:t>:</w:t>
            </w:r>
            <w:r>
              <w:rPr>
                <w:rStyle w:val="IndexLink"/>
                <w:rtl w:val="true"/>
              </w:rPr>
              <w:t>اعتبار عدم المندوحة،و عدمه</w:t>
            </w:r>
            <w:r>
              <w:rPr>
                <w:rStyle w:val="IndexLink"/>
                <w:rtl w:val="true"/>
              </w:rPr>
              <w:tab/>
            </w:r>
            <w:r>
              <w:rPr>
                <w:rStyle w:val="IndexLink"/>
              </w:rPr>
              <w:t>89</w:t>
            </w:r>
          </w:hyperlink>
        </w:p>
        <w:p>
          <w:pPr>
            <w:pStyle w:val="Contents5"/>
            <w:tabs>
              <w:tab w:val="clear" w:pos="7892"/>
              <w:tab w:val="right" w:pos="9026" w:leader="dot"/>
            </w:tabs>
            <w:rPr/>
          </w:pPr>
          <w:hyperlink w:anchor="__RefHeading___Toc1855942_581953129">
            <w:r>
              <w:rPr>
                <w:webHidden/>
                <w:rStyle w:val="IndexLink"/>
                <w:rtl w:val="true"/>
              </w:rPr>
              <w:t>اشارة</w:t>
            </w:r>
            <w:r>
              <w:rPr>
                <w:rStyle w:val="IndexLink"/>
                <w:rtl w:val="true"/>
              </w:rPr>
              <w:tab/>
            </w:r>
            <w:r>
              <w:rPr>
                <w:rStyle w:val="IndexLink"/>
              </w:rPr>
              <w:t>89</w:t>
            </w:r>
          </w:hyperlink>
        </w:p>
        <w:p>
          <w:pPr>
            <w:pStyle w:val="Contents5"/>
            <w:tabs>
              <w:tab w:val="clear" w:pos="7892"/>
              <w:tab w:val="right" w:pos="9026" w:leader="dot"/>
            </w:tabs>
            <w:rPr/>
          </w:pPr>
          <w:hyperlink w:anchor="__RefHeading___Toc1855944_581953129">
            <w:r>
              <w:rPr>
                <w:webHidden/>
                <w:rStyle w:val="IndexLink"/>
                <w:rtl w:val="true"/>
              </w:rPr>
              <w:t>ذکر امور اربعه</w:t>
            </w:r>
            <w:r>
              <w:rPr>
                <w:rStyle w:val="IndexLink"/>
                <w:rtl w:val="true"/>
              </w:rPr>
              <w:tab/>
            </w:r>
            <w:r>
              <w:rPr>
                <w:rStyle w:val="IndexLink"/>
              </w:rPr>
              <w:t>89</w:t>
            </w:r>
          </w:hyperlink>
        </w:p>
        <w:p>
          <w:pPr>
            <w:pStyle w:val="Contents6"/>
            <w:tabs>
              <w:tab w:val="clear" w:pos="7609"/>
              <w:tab w:val="right" w:pos="9026" w:leader="dot"/>
            </w:tabs>
            <w:rPr/>
          </w:pPr>
          <w:hyperlink w:anchor="__RefHeading___Toc1855946_581953129">
            <w:r>
              <w:rPr>
                <w:webHidden/>
                <w:rStyle w:val="IndexLink"/>
                <w:rtl w:val="true"/>
              </w:rPr>
              <w:t>الأمر الأوّل</w:t>
            </w:r>
            <w:r>
              <w:rPr>
                <w:rStyle w:val="IndexLink"/>
                <w:rtl w:val="true"/>
              </w:rPr>
              <w:t>:</w:t>
            </w:r>
            <w:r>
              <w:rPr>
                <w:rStyle w:val="IndexLink"/>
                <w:rtl w:val="true"/>
              </w:rPr>
              <w:t>أنّه لا خلاف فی شرطیّة عدم المندوحة</w:t>
            </w:r>
            <w:r>
              <w:rPr>
                <w:rStyle w:val="IndexLink"/>
                <w:rtl w:val="true"/>
              </w:rPr>
              <w:tab/>
            </w:r>
            <w:r>
              <w:rPr>
                <w:rStyle w:val="IndexLink"/>
              </w:rPr>
              <w:t>89</w:t>
            </w:r>
          </w:hyperlink>
        </w:p>
        <w:p>
          <w:pPr>
            <w:pStyle w:val="Contents6"/>
            <w:tabs>
              <w:tab w:val="clear" w:pos="7609"/>
              <w:tab w:val="right" w:pos="9026" w:leader="dot"/>
            </w:tabs>
            <w:rPr/>
          </w:pPr>
          <w:hyperlink w:anchor="__RefHeading___Toc1855948_581953129">
            <w:r>
              <w:rPr>
                <w:webHidden/>
                <w:rStyle w:val="IndexLink"/>
                <w:rtl w:val="true"/>
              </w:rPr>
              <w:t>الأمر الثانی</w:t>
            </w:r>
            <w:r>
              <w:rPr>
                <w:rStyle w:val="IndexLink"/>
                <w:rtl w:val="true"/>
              </w:rPr>
              <w:t>:</w:t>
            </w:r>
            <w:r>
              <w:rPr>
                <w:rStyle w:val="IndexLink"/>
                <w:rtl w:val="true"/>
              </w:rPr>
              <w:t>أنّ المندوحة علی نوعین،عرضیّة و طولیّة؛</w:t>
            </w:r>
            <w:r>
              <w:rPr>
                <w:rStyle w:val="IndexLink"/>
                <w:rtl w:val="true"/>
              </w:rPr>
              <w:tab/>
            </w:r>
            <w:r>
              <w:rPr>
                <w:rStyle w:val="IndexLink"/>
              </w:rPr>
              <w:t>89</w:t>
            </w:r>
          </w:hyperlink>
        </w:p>
        <w:p>
          <w:pPr>
            <w:pStyle w:val="Contents6"/>
            <w:tabs>
              <w:tab w:val="clear" w:pos="7609"/>
              <w:tab w:val="right" w:pos="9026" w:leader="dot"/>
            </w:tabs>
            <w:rPr/>
          </w:pPr>
          <w:hyperlink w:anchor="__RefHeading___Toc1855950_581953129">
            <w:r>
              <w:rPr>
                <w:webHidden/>
                <w:rStyle w:val="IndexLink"/>
                <w:rtl w:val="true"/>
              </w:rPr>
              <w:t>الأمر الثالث</w:t>
            </w:r>
            <w:r>
              <w:rPr>
                <w:rStyle w:val="IndexLink"/>
                <w:rtl w:val="true"/>
              </w:rPr>
              <w:t>:</w:t>
            </w:r>
            <w:r>
              <w:rPr>
                <w:rStyle w:val="IndexLink"/>
                <w:rtl w:val="true"/>
              </w:rPr>
              <w:t>أنّ المندوحة العرضیّة تتصوّر علی نحوین</w:t>
            </w:r>
            <w:r>
              <w:rPr>
                <w:rStyle w:val="IndexLink"/>
                <w:rtl w:val="true"/>
              </w:rPr>
              <w:t>:</w:t>
              <w:tab/>
            </w:r>
            <w:r>
              <w:rPr>
                <w:rStyle w:val="IndexLink"/>
              </w:rPr>
              <w:t>90</w:t>
            </w:r>
          </w:hyperlink>
        </w:p>
        <w:p>
          <w:pPr>
            <w:pStyle w:val="Contents6"/>
            <w:tabs>
              <w:tab w:val="clear" w:pos="7609"/>
              <w:tab w:val="right" w:pos="9026" w:leader="dot"/>
            </w:tabs>
            <w:rPr/>
          </w:pPr>
          <w:hyperlink w:anchor="__RefHeading___Toc1855952_581953129">
            <w:r>
              <w:rPr>
                <w:webHidden/>
                <w:rStyle w:val="IndexLink"/>
                <w:rtl w:val="true"/>
              </w:rPr>
              <w:t>الأمر الرابع</w:t>
            </w:r>
            <w:r>
              <w:rPr>
                <w:rStyle w:val="IndexLink"/>
                <w:rtl w:val="true"/>
              </w:rPr>
              <w:t>:</w:t>
            </w:r>
            <w:r>
              <w:rPr>
                <w:rStyle w:val="IndexLink"/>
                <w:rtl w:val="true"/>
              </w:rPr>
              <w:t>الظاهر أنّ جریان الخلاف منحصر بالتقیّة الخوفیّة،</w:t>
            </w:r>
            <w:r>
              <w:rPr>
                <w:rStyle w:val="IndexLink"/>
                <w:rtl w:val="true"/>
              </w:rPr>
              <w:tab/>
            </w:r>
            <w:r>
              <w:rPr>
                <w:rStyle w:val="IndexLink"/>
              </w:rPr>
              <w:t>91</w:t>
            </w:r>
          </w:hyperlink>
        </w:p>
        <w:p>
          <w:pPr>
            <w:pStyle w:val="Contents5"/>
            <w:tabs>
              <w:tab w:val="clear" w:pos="7892"/>
              <w:tab w:val="right" w:pos="9026" w:leader="dot"/>
            </w:tabs>
            <w:rPr/>
          </w:pPr>
          <w:hyperlink w:anchor="__RefHeading___Toc1855954_581953129">
            <w:r>
              <w:rPr>
                <w:webHidden/>
                <w:rStyle w:val="IndexLink"/>
                <w:rtl w:val="true"/>
              </w:rPr>
              <w:t>إنّ فی المسألة احتمالات بل أقوال سبعة</w:t>
            </w:r>
            <w:r>
              <w:rPr>
                <w:rStyle w:val="IndexLink"/>
                <w:rtl w:val="true"/>
              </w:rPr>
              <w:t>:</w:t>
              <w:tab/>
            </w:r>
            <w:r>
              <w:rPr>
                <w:rStyle w:val="IndexLink"/>
              </w:rPr>
              <w:t>91</w:t>
            </w:r>
          </w:hyperlink>
        </w:p>
        <w:p>
          <w:pPr>
            <w:pStyle w:val="Contents5"/>
            <w:tabs>
              <w:tab w:val="clear" w:pos="7892"/>
              <w:tab w:val="right" w:pos="9026" w:leader="dot"/>
            </w:tabs>
            <w:rPr/>
          </w:pPr>
          <w:hyperlink w:anchor="__RefHeading___Toc1855956_581953129">
            <w:r>
              <w:rPr>
                <w:webHidden/>
                <w:rStyle w:val="IndexLink"/>
                <w:rtl w:val="true"/>
              </w:rPr>
              <w:t>اعتبار عدم المندوحة فیما إذا کانت العبادة تقیّة خوفیّة،و عدم</w:t>
            </w:r>
            <w:r>
              <w:rPr>
                <w:rStyle w:val="IndexLink"/>
                <w:rtl w:val="true"/>
              </w:rPr>
              <w:tab/>
            </w:r>
            <w:r>
              <w:rPr>
                <w:rStyle w:val="IndexLink"/>
              </w:rPr>
              <w:t>93</w:t>
            </w:r>
          </w:hyperlink>
        </w:p>
        <w:p>
          <w:pPr>
            <w:pStyle w:val="Contents2"/>
            <w:tabs>
              <w:tab w:val="clear" w:pos="8743"/>
              <w:tab w:val="right" w:pos="9026" w:leader="dot"/>
            </w:tabs>
            <w:rPr/>
          </w:pPr>
          <w:hyperlink w:anchor="__RefHeading___Toc1855958_581953129">
            <w:r>
              <w:rPr>
                <w:webHidden/>
                <w:rStyle w:val="IndexLink"/>
                <w:rtl w:val="true"/>
              </w:rPr>
              <w:t>رسالة فی اعتبار الکتابة فی الفقه الإسلامی</w:t>
            </w:r>
            <w:r>
              <w:rPr>
                <w:rStyle w:val="IndexLink"/>
                <w:rtl w:val="true"/>
              </w:rPr>
              <w:tab/>
            </w:r>
            <w:r>
              <w:rPr>
                <w:rStyle w:val="IndexLink"/>
              </w:rPr>
              <w:t>97</w:t>
            </w:r>
          </w:hyperlink>
        </w:p>
        <w:p>
          <w:pPr>
            <w:pStyle w:val="Contents3"/>
            <w:tabs>
              <w:tab w:val="clear" w:pos="8459"/>
              <w:tab w:val="right" w:pos="9026" w:leader="dot"/>
            </w:tabs>
            <w:rPr/>
          </w:pPr>
          <w:hyperlink w:anchor="__RefHeading___Toc1855960_581953129">
            <w:r>
              <w:rPr>
                <w:webHidden/>
                <w:rStyle w:val="IndexLink"/>
                <w:rtl w:val="true"/>
              </w:rPr>
              <w:t>اشارة</w:t>
            </w:r>
            <w:r>
              <w:rPr>
                <w:rStyle w:val="IndexLink"/>
                <w:rtl w:val="true"/>
              </w:rPr>
              <w:tab/>
            </w:r>
            <w:r>
              <w:rPr>
                <w:rStyle w:val="IndexLink"/>
              </w:rPr>
              <w:t>97</w:t>
            </w:r>
          </w:hyperlink>
        </w:p>
        <w:p>
          <w:pPr>
            <w:pStyle w:val="Contents3"/>
            <w:tabs>
              <w:tab w:val="clear" w:pos="8459"/>
              <w:tab w:val="right" w:pos="9026" w:leader="dot"/>
            </w:tabs>
            <w:rPr/>
          </w:pPr>
          <w:hyperlink w:anchor="__RefHeading___Toc1855962_581953129">
            <w:r>
              <w:rPr>
                <w:webHidden/>
                <w:rStyle w:val="IndexLink"/>
                <w:rtl w:val="true"/>
              </w:rPr>
              <w:t>فیقع البحث فی مقامین</w:t>
            </w:r>
            <w:r>
              <w:rPr>
                <w:rStyle w:val="IndexLink"/>
                <w:rtl w:val="true"/>
              </w:rPr>
              <w:t>:</w:t>
              <w:tab/>
            </w:r>
            <w:r>
              <w:rPr>
                <w:rStyle w:val="IndexLink"/>
              </w:rPr>
              <w:t>98</w:t>
            </w:r>
          </w:hyperlink>
        </w:p>
        <w:p>
          <w:pPr>
            <w:pStyle w:val="Contents4"/>
            <w:tabs>
              <w:tab w:val="clear" w:pos="8176"/>
              <w:tab w:val="right" w:pos="9026" w:leader="dot"/>
            </w:tabs>
            <w:rPr/>
          </w:pPr>
          <w:hyperlink w:anchor="__RefHeading___Toc1855964_581953129">
            <w:r>
              <w:rPr>
                <w:webHidden/>
                <w:rStyle w:val="IndexLink"/>
                <w:rtl w:val="true"/>
              </w:rPr>
              <w:t>اشارة</w:t>
            </w:r>
            <w:r>
              <w:rPr>
                <w:rStyle w:val="IndexLink"/>
                <w:rtl w:val="true"/>
              </w:rPr>
              <w:tab/>
            </w:r>
            <w:r>
              <w:rPr>
                <w:rStyle w:val="IndexLink"/>
              </w:rPr>
              <w:t>98</w:t>
            </w:r>
          </w:hyperlink>
        </w:p>
        <w:p>
          <w:pPr>
            <w:pStyle w:val="Contents4"/>
            <w:tabs>
              <w:tab w:val="clear" w:pos="8176"/>
              <w:tab w:val="right" w:pos="9026" w:leader="dot"/>
            </w:tabs>
            <w:rPr/>
          </w:pPr>
          <w:hyperlink w:anchor="__RefHeading___Toc1855966_581953129">
            <w:r>
              <w:rPr>
                <w:webHidden/>
                <w:rStyle w:val="IndexLink"/>
                <w:rtl w:val="true"/>
              </w:rPr>
              <w:t>المقام الأوّل</w:t>
            </w:r>
            <w:r>
              <w:rPr>
                <w:rStyle w:val="IndexLink"/>
                <w:rtl w:val="true"/>
              </w:rPr>
              <w:t>:</w:t>
            </w:r>
            <w:r>
              <w:rPr>
                <w:rStyle w:val="IndexLink"/>
                <w:rtl w:val="true"/>
              </w:rPr>
              <w:t>فی أنّ الکتابة هل هی حجّة شرعیّة فی عداد سائر الحجج</w:t>
            </w:r>
            <w:r>
              <w:rPr>
                <w:rStyle w:val="IndexLink"/>
                <w:rtl w:val="true"/>
              </w:rPr>
              <w:tab/>
            </w:r>
            <w:r>
              <w:rPr>
                <w:rStyle w:val="IndexLink"/>
              </w:rPr>
              <w:t>99</w:t>
            </w:r>
          </w:hyperlink>
        </w:p>
        <w:p>
          <w:pPr>
            <w:pStyle w:val="Contents5"/>
            <w:tabs>
              <w:tab w:val="clear" w:pos="7892"/>
              <w:tab w:val="right" w:pos="9026" w:leader="dot"/>
            </w:tabs>
            <w:rPr/>
          </w:pPr>
          <w:hyperlink w:anchor="__RefHeading___Toc1855968_581953129">
            <w:r>
              <w:rPr>
                <w:webHidden/>
                <w:rStyle w:val="IndexLink"/>
                <w:rtl w:val="true"/>
              </w:rPr>
              <w:t>اشارة</w:t>
            </w:r>
            <w:r>
              <w:rPr>
                <w:rStyle w:val="IndexLink"/>
                <w:rtl w:val="true"/>
              </w:rPr>
              <w:tab/>
            </w:r>
            <w:r>
              <w:rPr>
                <w:rStyle w:val="IndexLink"/>
              </w:rPr>
              <w:t>99</w:t>
            </w:r>
          </w:hyperlink>
        </w:p>
        <w:p>
          <w:pPr>
            <w:pStyle w:val="Contents5"/>
            <w:tabs>
              <w:tab w:val="clear" w:pos="7892"/>
              <w:tab w:val="right" w:pos="9026" w:leader="dot"/>
            </w:tabs>
            <w:rPr/>
          </w:pPr>
          <w:hyperlink w:anchor="__RefHeading___Toc1855970_581953129">
            <w:r>
              <w:rPr>
                <w:webHidden/>
                <w:rStyle w:val="IndexLink"/>
              </w:rPr>
              <w:t>1</w:t>
            </w:r>
            <w:r>
              <w:rPr>
                <w:rStyle w:val="IndexLink"/>
                <w:rtl w:val="true"/>
              </w:rPr>
              <w:t>-</w:t>
            </w:r>
            <w:r>
              <w:rPr>
                <w:rStyle w:val="IndexLink"/>
                <w:rtl w:val="true"/>
              </w:rPr>
              <w:t>وقوع الطلاق بالکتابة و عدمه</w:t>
            </w:r>
            <w:r>
              <w:rPr>
                <w:rStyle w:val="IndexLink"/>
                <w:rtl w:val="true"/>
              </w:rPr>
              <w:tab/>
            </w:r>
            <w:r>
              <w:rPr>
                <w:rStyle w:val="IndexLink"/>
              </w:rPr>
              <w:t>105</w:t>
            </w:r>
          </w:hyperlink>
        </w:p>
        <w:p>
          <w:pPr>
            <w:pStyle w:val="Contents5"/>
            <w:tabs>
              <w:tab w:val="clear" w:pos="7892"/>
              <w:tab w:val="right" w:pos="9026" w:leader="dot"/>
            </w:tabs>
            <w:rPr/>
          </w:pPr>
          <w:hyperlink w:anchor="__RefHeading___Toc1855972_581953129">
            <w:r>
              <w:rPr>
                <w:webHidden/>
                <w:rStyle w:val="IndexLink"/>
              </w:rPr>
              <w:t>2</w:t>
            </w:r>
            <w:r>
              <w:rPr>
                <w:rStyle w:val="IndexLink"/>
                <w:rtl w:val="true"/>
              </w:rPr>
              <w:t>-</w:t>
            </w:r>
            <w:r>
              <w:rPr>
                <w:rStyle w:val="IndexLink"/>
                <w:rtl w:val="true"/>
              </w:rPr>
              <w:t>صحّة الوصیّة بالکتابة و عدمها</w:t>
            </w:r>
            <w:r>
              <w:rPr>
                <w:rStyle w:val="IndexLink"/>
                <w:rtl w:val="true"/>
              </w:rPr>
              <w:tab/>
            </w:r>
            <w:r>
              <w:rPr>
                <w:rStyle w:val="IndexLink"/>
              </w:rPr>
              <w:t>109</w:t>
            </w:r>
          </w:hyperlink>
        </w:p>
        <w:p>
          <w:pPr>
            <w:pStyle w:val="Contents5"/>
            <w:tabs>
              <w:tab w:val="clear" w:pos="7892"/>
              <w:tab w:val="right" w:pos="9026" w:leader="dot"/>
            </w:tabs>
            <w:rPr/>
          </w:pPr>
          <w:hyperlink w:anchor="__RefHeading___Toc1855974_581953129">
            <w:r>
              <w:rPr>
                <w:webHidden/>
                <w:rStyle w:val="IndexLink"/>
              </w:rPr>
              <w:t>3</w:t>
            </w:r>
            <w:r>
              <w:rPr>
                <w:rStyle w:val="IndexLink"/>
                <w:rtl w:val="true"/>
              </w:rPr>
              <w:t>-</w:t>
            </w:r>
            <w:r>
              <w:rPr>
                <w:rStyle w:val="IndexLink"/>
                <w:rtl w:val="true"/>
              </w:rPr>
              <w:t>التحیّة علی وجه الکتابة</w:t>
            </w:r>
            <w:r>
              <w:rPr>
                <w:rStyle w:val="IndexLink"/>
                <w:rtl w:val="true"/>
              </w:rPr>
              <w:tab/>
            </w:r>
            <w:r>
              <w:rPr>
                <w:rStyle w:val="IndexLink"/>
              </w:rPr>
              <w:t>111</w:t>
            </w:r>
          </w:hyperlink>
        </w:p>
        <w:p>
          <w:pPr>
            <w:pStyle w:val="Contents5"/>
            <w:tabs>
              <w:tab w:val="clear" w:pos="7892"/>
              <w:tab w:val="right" w:pos="9026" w:leader="dot"/>
            </w:tabs>
            <w:rPr/>
          </w:pPr>
          <w:hyperlink w:anchor="__RefHeading___Toc1855976_581953129">
            <w:r>
              <w:rPr>
                <w:webHidden/>
                <w:rStyle w:val="IndexLink"/>
              </w:rPr>
              <w:t>4</w:t>
            </w:r>
            <w:r>
              <w:rPr>
                <w:rStyle w:val="IndexLink"/>
              </w:rPr>
              <w:t>،</w:t>
            </w:r>
            <w:r>
              <w:rPr>
                <w:rStyle w:val="IndexLink"/>
              </w:rPr>
              <w:t>5</w:t>
            </w:r>
            <w:r>
              <w:rPr>
                <w:rStyle w:val="IndexLink"/>
                <w:rtl w:val="true"/>
              </w:rPr>
              <w:t>-</w:t>
            </w:r>
            <w:r>
              <w:rPr>
                <w:rStyle w:val="IndexLink"/>
                <w:rtl w:val="true"/>
              </w:rPr>
              <w:t>تحقّق الکذب و الغیبة بالکتابة</w:t>
            </w:r>
            <w:r>
              <w:rPr>
                <w:rStyle w:val="IndexLink"/>
                <w:rtl w:val="true"/>
              </w:rPr>
              <w:tab/>
            </w:r>
            <w:r>
              <w:rPr>
                <w:rStyle w:val="IndexLink"/>
              </w:rPr>
              <w:t>113</w:t>
            </w:r>
          </w:hyperlink>
        </w:p>
        <w:p>
          <w:pPr>
            <w:pStyle w:val="Contents5"/>
            <w:tabs>
              <w:tab w:val="clear" w:pos="7892"/>
              <w:tab w:val="right" w:pos="9026" w:leader="dot"/>
            </w:tabs>
            <w:rPr/>
          </w:pPr>
          <w:hyperlink w:anchor="__RefHeading___Toc1855978_581953129">
            <w:r>
              <w:rPr>
                <w:webHidden/>
                <w:rStyle w:val="IndexLink"/>
                <w:rtl w:val="true"/>
              </w:rPr>
              <w:t>کلام السیّد الإمام الخمینی قدّس سرّه</w:t>
            </w:r>
            <w:r>
              <w:rPr>
                <w:rStyle w:val="IndexLink"/>
                <w:rtl w:val="true"/>
              </w:rPr>
              <w:tab/>
            </w:r>
            <w:r>
              <w:rPr>
                <w:rStyle w:val="IndexLink"/>
              </w:rPr>
              <w:t>121</w:t>
            </w:r>
          </w:hyperlink>
        </w:p>
        <w:p>
          <w:pPr>
            <w:pStyle w:val="Contents5"/>
            <w:tabs>
              <w:tab w:val="clear" w:pos="7892"/>
              <w:tab w:val="right" w:pos="9026" w:leader="dot"/>
            </w:tabs>
            <w:rPr/>
          </w:pPr>
          <w:hyperlink w:anchor="__RefHeading___Toc1855980_581953129">
            <w:r>
              <w:rPr>
                <w:webHidden/>
                <w:rStyle w:val="IndexLink"/>
                <w:rtl w:val="true"/>
              </w:rPr>
              <w:t>الکتابة و المبانی المختلفة فی حقیقة الإنشاء</w:t>
            </w:r>
            <w:r>
              <w:rPr>
                <w:rStyle w:val="IndexLink"/>
                <w:rtl w:val="true"/>
              </w:rPr>
              <w:tab/>
            </w:r>
            <w:r>
              <w:rPr>
                <w:rStyle w:val="IndexLink"/>
              </w:rPr>
              <w:t>123</w:t>
            </w:r>
          </w:hyperlink>
        </w:p>
        <w:p>
          <w:pPr>
            <w:pStyle w:val="Contents4"/>
            <w:tabs>
              <w:tab w:val="clear" w:pos="8176"/>
              <w:tab w:val="right" w:pos="9026" w:leader="dot"/>
            </w:tabs>
            <w:rPr/>
          </w:pPr>
          <w:hyperlink w:anchor="__RefHeading___Toc1855982_581953129">
            <w:r>
              <w:rPr>
                <w:webHidden/>
                <w:rStyle w:val="IndexLink"/>
                <w:rtl w:val="true"/>
              </w:rPr>
              <w:t>المقام الثانی</w:t>
            </w:r>
            <w:r>
              <w:rPr>
                <w:rStyle w:val="IndexLink"/>
                <w:rtl w:val="true"/>
              </w:rPr>
              <w:t>:</w:t>
            </w:r>
            <w:r>
              <w:rPr>
                <w:rStyle w:val="IndexLink"/>
                <w:rtl w:val="true"/>
              </w:rPr>
              <w:t>بعد إثبات حجّیة الکتابة،فهل تجری فی مسألة الشهادة و البیّنة</w:t>
            </w:r>
            <w:r>
              <w:rPr>
                <w:rStyle w:val="IndexLink"/>
                <w:rtl w:val="true"/>
              </w:rPr>
              <w:tab/>
            </w:r>
            <w:r>
              <w:rPr>
                <w:rStyle w:val="IndexLink"/>
              </w:rPr>
              <w:t>124</w:t>
            </w:r>
          </w:hyperlink>
        </w:p>
        <w:p>
          <w:pPr>
            <w:pStyle w:val="Contents5"/>
            <w:tabs>
              <w:tab w:val="clear" w:pos="7892"/>
              <w:tab w:val="right" w:pos="9026" w:leader="dot"/>
            </w:tabs>
            <w:rPr/>
          </w:pPr>
          <w:hyperlink w:anchor="__RefHeading___Toc1855984_581953129">
            <w:r>
              <w:rPr>
                <w:webHidden/>
                <w:rStyle w:val="IndexLink"/>
                <w:rtl w:val="true"/>
              </w:rPr>
              <w:t>اشارة</w:t>
            </w:r>
            <w:r>
              <w:rPr>
                <w:rStyle w:val="IndexLink"/>
                <w:rtl w:val="true"/>
              </w:rPr>
              <w:tab/>
            </w:r>
            <w:r>
              <w:rPr>
                <w:rStyle w:val="IndexLink"/>
              </w:rPr>
              <w:t>124</w:t>
            </w:r>
          </w:hyperlink>
        </w:p>
        <w:p>
          <w:pPr>
            <w:pStyle w:val="Contents5"/>
            <w:tabs>
              <w:tab w:val="clear" w:pos="7892"/>
              <w:tab w:val="right" w:pos="9026" w:leader="dot"/>
            </w:tabs>
            <w:rPr/>
          </w:pPr>
          <w:hyperlink w:anchor="__RefHeading___Toc1855986_581953129">
            <w:r>
              <w:rPr>
                <w:webHidden/>
                <w:rStyle w:val="IndexLink"/>
                <w:rtl w:val="true"/>
              </w:rPr>
              <w:t>مذهب الحنفیّة</w:t>
            </w:r>
            <w:r>
              <w:rPr>
                <w:rStyle w:val="IndexLink"/>
                <w:rtl w:val="true"/>
              </w:rPr>
              <w:tab/>
            </w:r>
            <w:r>
              <w:rPr>
                <w:rStyle w:val="IndexLink"/>
              </w:rPr>
              <w:t>130</w:t>
            </w:r>
          </w:hyperlink>
        </w:p>
        <w:p>
          <w:pPr>
            <w:pStyle w:val="Contents5"/>
            <w:tabs>
              <w:tab w:val="clear" w:pos="7892"/>
              <w:tab w:val="right" w:pos="9026" w:leader="dot"/>
            </w:tabs>
            <w:rPr/>
          </w:pPr>
          <w:hyperlink w:anchor="__RefHeading___Toc1855988_581953129">
            <w:r>
              <w:rPr>
                <w:webHidden/>
                <w:rStyle w:val="IndexLink"/>
                <w:rtl w:val="true"/>
              </w:rPr>
              <w:t>مذهب الشافعیّة</w:t>
            </w:r>
            <w:r>
              <w:rPr>
                <w:rStyle w:val="IndexLink"/>
                <w:rtl w:val="true"/>
              </w:rPr>
              <w:tab/>
            </w:r>
            <w:r>
              <w:rPr>
                <w:rStyle w:val="IndexLink"/>
              </w:rPr>
              <w:t>131</w:t>
            </w:r>
          </w:hyperlink>
        </w:p>
        <w:p>
          <w:pPr>
            <w:pStyle w:val="Contents5"/>
            <w:tabs>
              <w:tab w:val="clear" w:pos="7892"/>
              <w:tab w:val="right" w:pos="9026" w:leader="dot"/>
            </w:tabs>
            <w:rPr/>
          </w:pPr>
          <w:hyperlink w:anchor="__RefHeading___Toc1855990_581953129">
            <w:r>
              <w:rPr>
                <w:webHidden/>
                <w:rStyle w:val="IndexLink"/>
                <w:rtl w:val="true"/>
              </w:rPr>
              <w:t>مذهب الزیدیّة</w:t>
            </w:r>
            <w:r>
              <w:rPr>
                <w:rStyle w:val="IndexLink"/>
                <w:rtl w:val="true"/>
              </w:rPr>
              <w:tab/>
            </w:r>
            <w:r>
              <w:rPr>
                <w:rStyle w:val="IndexLink"/>
              </w:rPr>
              <w:t>132</w:t>
            </w:r>
          </w:hyperlink>
        </w:p>
        <w:p>
          <w:pPr>
            <w:pStyle w:val="Contents5"/>
            <w:tabs>
              <w:tab w:val="clear" w:pos="7892"/>
              <w:tab w:val="right" w:pos="9026" w:leader="dot"/>
            </w:tabs>
            <w:rPr/>
          </w:pPr>
          <w:hyperlink w:anchor="__RefHeading___Toc1855992_581953129">
            <w:r>
              <w:rPr>
                <w:webHidden/>
                <w:rStyle w:val="IndexLink"/>
                <w:rtl w:val="true"/>
              </w:rPr>
              <w:t>نظریّة الفقه الوضعی</w:t>
            </w:r>
            <w:r>
              <w:rPr>
                <w:rStyle w:val="IndexLink"/>
                <w:rtl w:val="true"/>
              </w:rPr>
              <w:tab/>
            </w:r>
            <w:r>
              <w:rPr>
                <w:rStyle w:val="IndexLink"/>
              </w:rPr>
              <w:t>132</w:t>
            </w:r>
          </w:hyperlink>
        </w:p>
        <w:p>
          <w:pPr>
            <w:pStyle w:val="Contents5"/>
            <w:tabs>
              <w:tab w:val="clear" w:pos="7892"/>
              <w:tab w:val="right" w:pos="9026" w:leader="dot"/>
            </w:tabs>
            <w:rPr/>
          </w:pPr>
          <w:hyperlink w:anchor="__RefHeading___Toc1855994_581953129">
            <w:r>
              <w:rPr>
                <w:webHidden/>
                <w:rStyle w:val="IndexLink"/>
                <w:rtl w:val="true"/>
              </w:rPr>
              <w:t>الفرق بین البیّنة و الشهادة</w:t>
            </w:r>
            <w:r>
              <w:rPr>
                <w:rStyle w:val="IndexLink"/>
                <w:rtl w:val="true"/>
              </w:rPr>
              <w:tab/>
            </w:r>
            <w:r>
              <w:rPr>
                <w:rStyle w:val="IndexLink"/>
              </w:rPr>
              <w:t>133</w:t>
            </w:r>
          </w:hyperlink>
        </w:p>
        <w:p>
          <w:pPr>
            <w:pStyle w:val="Contents2"/>
            <w:tabs>
              <w:tab w:val="clear" w:pos="8743"/>
              <w:tab w:val="right" w:pos="9026" w:leader="dot"/>
            </w:tabs>
            <w:rPr/>
          </w:pPr>
          <w:hyperlink w:anchor="__RefHeading___Toc1855996_581953129">
            <w:r>
              <w:rPr>
                <w:webHidden/>
                <w:rStyle w:val="IndexLink"/>
                <w:rtl w:val="true"/>
              </w:rPr>
              <w:t>رسالة فی حقیقة الوضع</w:t>
            </w:r>
            <w:r>
              <w:rPr>
                <w:rStyle w:val="IndexLink"/>
                <w:rtl w:val="true"/>
              </w:rPr>
              <w:tab/>
            </w:r>
            <w:r>
              <w:rPr>
                <w:rStyle w:val="IndexLink"/>
              </w:rPr>
              <w:t>136</w:t>
            </w:r>
          </w:hyperlink>
        </w:p>
        <w:p>
          <w:pPr>
            <w:pStyle w:val="Contents3"/>
            <w:tabs>
              <w:tab w:val="clear" w:pos="8459"/>
              <w:tab w:val="right" w:pos="9026" w:leader="dot"/>
            </w:tabs>
            <w:rPr/>
          </w:pPr>
          <w:hyperlink w:anchor="__RefHeading___Toc1855998_581953129">
            <w:r>
              <w:rPr>
                <w:webHidden/>
                <w:rStyle w:val="IndexLink"/>
                <w:rtl w:val="true"/>
              </w:rPr>
              <w:t>اشارة</w:t>
            </w:r>
            <w:r>
              <w:rPr>
                <w:rStyle w:val="IndexLink"/>
                <w:rtl w:val="true"/>
              </w:rPr>
              <w:tab/>
            </w:r>
            <w:r>
              <w:rPr>
                <w:rStyle w:val="IndexLink"/>
              </w:rPr>
              <w:t>136</w:t>
            </w:r>
          </w:hyperlink>
        </w:p>
        <w:p>
          <w:pPr>
            <w:pStyle w:val="Contents3"/>
            <w:tabs>
              <w:tab w:val="clear" w:pos="8459"/>
              <w:tab w:val="right" w:pos="9026" w:leader="dot"/>
            </w:tabs>
            <w:rPr/>
          </w:pPr>
          <w:hyperlink w:anchor="__RefHeading___Toc1856000_581953129">
            <w:r>
              <w:rPr>
                <w:webHidden/>
                <w:rStyle w:val="IndexLink"/>
                <w:rtl w:val="true"/>
              </w:rPr>
              <w:t>تمهید فی کیفیّة الدلالة و حقیقة الوضع</w:t>
            </w:r>
            <w:r>
              <w:rPr>
                <w:rStyle w:val="IndexLink"/>
                <w:rtl w:val="true"/>
              </w:rPr>
              <w:tab/>
            </w:r>
            <w:r>
              <w:rPr>
                <w:rStyle w:val="IndexLink"/>
              </w:rPr>
              <w:t>137</w:t>
            </w:r>
          </w:hyperlink>
        </w:p>
        <w:p>
          <w:pPr>
            <w:pStyle w:val="Contents3"/>
            <w:tabs>
              <w:tab w:val="clear" w:pos="8459"/>
              <w:tab w:val="right" w:pos="9026" w:leader="dot"/>
            </w:tabs>
            <w:rPr/>
          </w:pPr>
          <w:hyperlink w:anchor="__RefHeading___Toc1856002_581953129">
            <w:r>
              <w:rPr>
                <w:webHidden/>
                <w:rStyle w:val="IndexLink"/>
              </w:rPr>
              <w:t>1</w:t>
            </w:r>
            <w:r>
              <w:rPr>
                <w:rStyle w:val="IndexLink"/>
                <w:rtl w:val="true"/>
              </w:rPr>
              <w:t>-</w:t>
            </w:r>
            <w:r>
              <w:rPr>
                <w:rStyle w:val="IndexLink"/>
                <w:rtl w:val="true"/>
              </w:rPr>
              <w:t>کلام المحقّق العراقی</w:t>
            </w:r>
            <w:r>
              <w:rPr>
                <w:rStyle w:val="IndexLink"/>
                <w:rtl w:val="true"/>
              </w:rPr>
              <w:t>:</w:t>
              <w:tab/>
            </w:r>
            <w:r>
              <w:rPr>
                <w:rStyle w:val="IndexLink"/>
              </w:rPr>
              <w:t>142</w:t>
            </w:r>
          </w:hyperlink>
        </w:p>
        <w:p>
          <w:pPr>
            <w:pStyle w:val="Contents3"/>
            <w:tabs>
              <w:tab w:val="clear" w:pos="8459"/>
              <w:tab w:val="right" w:pos="9026" w:leader="dot"/>
            </w:tabs>
            <w:rPr/>
          </w:pPr>
          <w:hyperlink w:anchor="__RefHeading___Toc1856004_581953129">
            <w:r>
              <w:rPr>
                <w:webHidden/>
                <w:rStyle w:val="IndexLink"/>
              </w:rPr>
              <w:t>2</w:t>
            </w:r>
            <w:r>
              <w:rPr>
                <w:rStyle w:val="IndexLink"/>
                <w:rtl w:val="true"/>
              </w:rPr>
              <w:t>-</w:t>
            </w:r>
            <w:r>
              <w:rPr>
                <w:rStyle w:val="IndexLink"/>
                <w:rtl w:val="true"/>
              </w:rPr>
              <w:t>کلام المحقّق النائینی</w:t>
            </w:r>
            <w:r>
              <w:rPr>
                <w:rStyle w:val="IndexLink"/>
                <w:rtl w:val="true"/>
              </w:rPr>
              <w:tab/>
            </w:r>
            <w:r>
              <w:rPr>
                <w:rStyle w:val="IndexLink"/>
              </w:rPr>
              <w:t>144</w:t>
            </w:r>
          </w:hyperlink>
        </w:p>
        <w:p>
          <w:pPr>
            <w:pStyle w:val="Contents4"/>
            <w:tabs>
              <w:tab w:val="clear" w:pos="8176"/>
              <w:tab w:val="right" w:pos="9026" w:leader="dot"/>
            </w:tabs>
            <w:rPr/>
          </w:pPr>
          <w:hyperlink w:anchor="__RefHeading___Toc1856006_581953129">
            <w:r>
              <w:rPr>
                <w:webHidden/>
                <w:rStyle w:val="IndexLink"/>
                <w:rtl w:val="true"/>
              </w:rPr>
              <w:t>اشارة</w:t>
            </w:r>
            <w:r>
              <w:rPr>
                <w:rStyle w:val="IndexLink"/>
                <w:rtl w:val="true"/>
              </w:rPr>
              <w:tab/>
            </w:r>
            <w:r>
              <w:rPr>
                <w:rStyle w:val="IndexLink"/>
              </w:rPr>
              <w:t>144</w:t>
            </w:r>
          </w:hyperlink>
        </w:p>
        <w:p>
          <w:pPr>
            <w:pStyle w:val="Contents4"/>
            <w:tabs>
              <w:tab w:val="clear" w:pos="8176"/>
              <w:tab w:val="right" w:pos="9026" w:leader="dot"/>
            </w:tabs>
            <w:rPr/>
          </w:pPr>
          <w:hyperlink w:anchor="__RefHeading___Toc1856008_581953129">
            <w:r>
              <w:rPr>
                <w:webHidden/>
                <w:rStyle w:val="IndexLink"/>
                <w:rtl w:val="true"/>
              </w:rPr>
              <w:t>قد استدلّ بعض بکون اللّه</w:t>
            </w:r>
            <w:r>
              <w:rPr>
                <w:rStyle w:val="IndexLink"/>
                <w:rtl w:val="true"/>
              </w:rPr>
              <w:t>-</w:t>
            </w:r>
            <w:r>
              <w:rPr>
                <w:rStyle w:val="IndexLink"/>
                <w:rtl w:val="true"/>
              </w:rPr>
              <w:t>تبارک و تعالی</w:t>
            </w:r>
            <w:r>
              <w:rPr>
                <w:rStyle w:val="IndexLink"/>
                <w:rtl w:val="true"/>
              </w:rPr>
              <w:t>-</w:t>
            </w:r>
            <w:r>
              <w:rPr>
                <w:rStyle w:val="IndexLink"/>
                <w:rtl w:val="true"/>
              </w:rPr>
              <w:t>هو الواضع</w:t>
            </w:r>
            <w:r>
              <w:rPr>
                <w:rStyle w:val="IndexLink"/>
                <w:rtl w:val="true"/>
              </w:rPr>
              <w:tab/>
            </w:r>
            <w:r>
              <w:rPr>
                <w:rStyle w:val="IndexLink"/>
              </w:rPr>
              <w:t>147</w:t>
            </w:r>
          </w:hyperlink>
        </w:p>
        <w:p>
          <w:pPr>
            <w:pStyle w:val="Contents4"/>
            <w:tabs>
              <w:tab w:val="clear" w:pos="8176"/>
              <w:tab w:val="right" w:pos="9026" w:leader="dot"/>
            </w:tabs>
            <w:rPr/>
          </w:pPr>
          <w:hyperlink w:anchor="__RefHeading___Toc1856010_581953129">
            <w:r>
              <w:rPr>
                <w:webHidden/>
                <w:rStyle w:val="IndexLink"/>
                <w:rtl w:val="true"/>
              </w:rPr>
              <w:t>ثمّ إنّه قد ذکر فی بعض الکلمات مبعّدات لبشریّة الواضع لا بأس بذکرها</w:t>
            </w:r>
            <w:r>
              <w:rPr>
                <w:rStyle w:val="IndexLink"/>
                <w:rtl w:val="true"/>
              </w:rPr>
              <w:t>:</w:t>
              <w:tab/>
            </w:r>
            <w:r>
              <w:rPr>
                <w:rStyle w:val="IndexLink"/>
              </w:rPr>
              <w:t>148</w:t>
            </w:r>
          </w:hyperlink>
        </w:p>
        <w:p>
          <w:pPr>
            <w:pStyle w:val="Contents4"/>
            <w:tabs>
              <w:tab w:val="clear" w:pos="8176"/>
              <w:tab w:val="right" w:pos="9026" w:leader="dot"/>
            </w:tabs>
            <w:rPr/>
          </w:pPr>
          <w:hyperlink w:anchor="__RefHeading___Toc1856012_581953129">
            <w:r>
              <w:rPr>
                <w:webHidden/>
                <w:rStyle w:val="IndexLink"/>
                <w:rtl w:val="true"/>
              </w:rPr>
              <w:t>فی أنّه ما هی حقیقة</w:t>
            </w:r>
            <w:r>
              <w:rPr>
                <w:rStyle w:val="IndexLink"/>
                <w:rtl w:val="true"/>
              </w:rPr>
              <w:tab/>
            </w:r>
            <w:r>
              <w:rPr>
                <w:rStyle w:val="IndexLink"/>
              </w:rPr>
              <w:t>150</w:t>
            </w:r>
          </w:hyperlink>
        </w:p>
        <w:p>
          <w:pPr>
            <w:pStyle w:val="Contents5"/>
            <w:tabs>
              <w:tab w:val="clear" w:pos="7892"/>
              <w:tab w:val="right" w:pos="9026" w:leader="dot"/>
            </w:tabs>
            <w:rPr/>
          </w:pPr>
          <w:hyperlink w:anchor="__RefHeading___Toc1856014_581953129">
            <w:r>
              <w:rPr>
                <w:webHidden/>
                <w:rStyle w:val="IndexLink"/>
                <w:rtl w:val="true"/>
              </w:rPr>
              <w:t>اشارة</w:t>
            </w:r>
            <w:r>
              <w:rPr>
                <w:rStyle w:val="IndexLink"/>
                <w:rtl w:val="true"/>
              </w:rPr>
              <w:tab/>
            </w:r>
            <w:r>
              <w:rPr>
                <w:rStyle w:val="IndexLink"/>
              </w:rPr>
              <w:t>150</w:t>
            </w:r>
          </w:hyperlink>
        </w:p>
        <w:p>
          <w:pPr>
            <w:pStyle w:val="Contents5"/>
            <w:tabs>
              <w:tab w:val="clear" w:pos="7892"/>
              <w:tab w:val="right" w:pos="9026" w:leader="dot"/>
            </w:tabs>
            <w:rPr/>
          </w:pPr>
          <w:hyperlink w:anchor="__RefHeading___Toc1856016_581953129">
            <w:r>
              <w:rPr>
                <w:webHidden/>
                <w:rStyle w:val="IndexLink"/>
                <w:rtl w:val="true"/>
              </w:rPr>
              <w:t>المسلک الأوّل</w:t>
            </w:r>
            <w:r>
              <w:rPr>
                <w:rStyle w:val="IndexLink"/>
                <w:rtl w:val="true"/>
              </w:rPr>
              <w:t>:</w:t>
              <w:tab/>
            </w:r>
            <w:r>
              <w:rPr>
                <w:rStyle w:val="IndexLink"/>
              </w:rPr>
              <w:t>150</w:t>
            </w:r>
          </w:hyperlink>
        </w:p>
        <w:p>
          <w:pPr>
            <w:pStyle w:val="Contents5"/>
            <w:tabs>
              <w:tab w:val="clear" w:pos="7892"/>
              <w:tab w:val="right" w:pos="9026" w:leader="dot"/>
            </w:tabs>
            <w:rPr/>
          </w:pPr>
          <w:hyperlink w:anchor="__RefHeading___Toc1856018_581953129">
            <w:r>
              <w:rPr>
                <w:webHidden/>
                <w:rStyle w:val="IndexLink"/>
                <w:rtl w:val="true"/>
              </w:rPr>
              <w:t>المسلک الثانی</w:t>
            </w:r>
            <w:r>
              <w:rPr>
                <w:rStyle w:val="IndexLink"/>
                <w:rtl w:val="true"/>
              </w:rPr>
              <w:t>:</w:t>
              <w:tab/>
            </w:r>
            <w:r>
              <w:rPr>
                <w:rStyle w:val="IndexLink"/>
              </w:rPr>
              <w:t>151</w:t>
            </w:r>
          </w:hyperlink>
        </w:p>
        <w:p>
          <w:pPr>
            <w:pStyle w:val="Contents5"/>
            <w:tabs>
              <w:tab w:val="clear" w:pos="7892"/>
              <w:tab w:val="right" w:pos="9026" w:leader="dot"/>
            </w:tabs>
            <w:rPr/>
          </w:pPr>
          <w:hyperlink w:anchor="__RefHeading___Toc1856020_581953129">
            <w:r>
              <w:rPr>
                <w:webHidden/>
                <w:rStyle w:val="IndexLink"/>
                <w:rtl w:val="true"/>
              </w:rPr>
              <w:t>المسلک الثالث</w:t>
            </w:r>
            <w:r>
              <w:rPr>
                <w:rStyle w:val="IndexLink"/>
                <w:rtl w:val="true"/>
              </w:rPr>
              <w:t>:</w:t>
              <w:tab/>
            </w:r>
            <w:r>
              <w:rPr>
                <w:rStyle w:val="IndexLink"/>
              </w:rPr>
              <w:t>155</w:t>
            </w:r>
          </w:hyperlink>
        </w:p>
        <w:p>
          <w:pPr>
            <w:pStyle w:val="Contents5"/>
            <w:tabs>
              <w:tab w:val="clear" w:pos="7892"/>
              <w:tab w:val="right" w:pos="9026" w:leader="dot"/>
            </w:tabs>
            <w:rPr/>
          </w:pPr>
          <w:hyperlink w:anchor="__RefHeading___Toc1856022_581953129">
            <w:r>
              <w:rPr>
                <w:webHidden/>
                <w:rStyle w:val="IndexLink"/>
                <w:rtl w:val="true"/>
              </w:rPr>
              <w:t>المسلک الرابع</w:t>
            </w:r>
            <w:r>
              <w:rPr>
                <w:rStyle w:val="IndexLink"/>
                <w:rtl w:val="true"/>
              </w:rPr>
              <w:t>:</w:t>
              <w:tab/>
            </w:r>
            <w:r>
              <w:rPr>
                <w:rStyle w:val="IndexLink"/>
              </w:rPr>
              <w:t>161</w:t>
            </w:r>
          </w:hyperlink>
        </w:p>
        <w:p>
          <w:pPr>
            <w:pStyle w:val="Contents5"/>
            <w:tabs>
              <w:tab w:val="clear" w:pos="7892"/>
              <w:tab w:val="right" w:pos="9026" w:leader="dot"/>
            </w:tabs>
            <w:rPr/>
          </w:pPr>
          <w:hyperlink w:anchor="__RefHeading___Toc1856024_581953129">
            <w:r>
              <w:rPr>
                <w:webHidden/>
                <w:rStyle w:val="IndexLink"/>
                <w:rtl w:val="true"/>
              </w:rPr>
              <w:t>المسلک الخامس</w:t>
            </w:r>
            <w:r>
              <w:rPr>
                <w:rStyle w:val="IndexLink"/>
                <w:rtl w:val="true"/>
              </w:rPr>
              <w:t>:</w:t>
              <w:tab/>
            </w:r>
            <w:r>
              <w:rPr>
                <w:rStyle w:val="IndexLink"/>
              </w:rPr>
              <w:t>166</w:t>
            </w:r>
          </w:hyperlink>
        </w:p>
        <w:p>
          <w:pPr>
            <w:pStyle w:val="Contents6"/>
            <w:tabs>
              <w:tab w:val="clear" w:pos="7609"/>
              <w:tab w:val="right" w:pos="9026" w:leader="dot"/>
            </w:tabs>
            <w:rPr/>
          </w:pPr>
          <w:hyperlink w:anchor="__RefHeading___Toc1856026_581953129">
            <w:r>
              <w:rPr>
                <w:webHidden/>
                <w:rStyle w:val="IndexLink"/>
                <w:rtl w:val="true"/>
              </w:rPr>
              <w:t>اشارة</w:t>
            </w:r>
            <w:r>
              <w:rPr>
                <w:rStyle w:val="IndexLink"/>
                <w:rtl w:val="true"/>
              </w:rPr>
              <w:tab/>
            </w:r>
            <w:r>
              <w:rPr>
                <w:rStyle w:val="IndexLink"/>
              </w:rPr>
              <w:t>166</w:t>
            </w:r>
          </w:hyperlink>
        </w:p>
        <w:p>
          <w:pPr>
            <w:pStyle w:val="Contents6"/>
            <w:tabs>
              <w:tab w:val="clear" w:pos="7609"/>
              <w:tab w:val="right" w:pos="9026" w:leader="dot"/>
            </w:tabs>
            <w:rPr/>
          </w:pPr>
          <w:hyperlink w:anchor="__RefHeading___Toc1856028_581953129">
            <w:r>
              <w:rPr>
                <w:webHidden/>
                <w:rStyle w:val="IndexLink"/>
                <w:rtl w:val="true"/>
              </w:rPr>
              <w:t>و یتلخّص مرامه فی امور</w:t>
            </w:r>
            <w:r>
              <w:rPr>
                <w:rStyle w:val="IndexLink"/>
                <w:rtl w:val="true"/>
              </w:rPr>
              <w:t>:</w:t>
              <w:tab/>
            </w:r>
            <w:r>
              <w:rPr>
                <w:rStyle w:val="IndexLink"/>
              </w:rPr>
              <w:t>169</w:t>
            </w:r>
          </w:hyperlink>
        </w:p>
        <w:p>
          <w:pPr>
            <w:pStyle w:val="Contents5"/>
            <w:tabs>
              <w:tab w:val="clear" w:pos="7892"/>
              <w:tab w:val="right" w:pos="9026" w:leader="dot"/>
            </w:tabs>
            <w:rPr/>
          </w:pPr>
          <w:hyperlink w:anchor="__RefHeading___Toc1856030_581953129">
            <w:r>
              <w:rPr>
                <w:webHidden/>
                <w:rStyle w:val="IndexLink"/>
                <w:rtl w:val="true"/>
              </w:rPr>
              <w:t>المسلک السادس</w:t>
            </w:r>
            <w:r>
              <w:rPr>
                <w:rStyle w:val="IndexLink"/>
                <w:rtl w:val="true"/>
              </w:rPr>
              <w:t>:</w:t>
              <w:tab/>
            </w:r>
            <w:r>
              <w:rPr>
                <w:rStyle w:val="IndexLink"/>
              </w:rPr>
              <w:t>171</w:t>
            </w:r>
          </w:hyperlink>
        </w:p>
        <w:p>
          <w:pPr>
            <w:pStyle w:val="Contents4"/>
            <w:tabs>
              <w:tab w:val="clear" w:pos="8176"/>
              <w:tab w:val="right" w:pos="9026" w:leader="dot"/>
            </w:tabs>
            <w:rPr/>
          </w:pPr>
          <w:hyperlink w:anchor="__RefHeading___Toc1856032_581953129">
            <w:r>
              <w:rPr>
                <w:webHidden/>
                <w:rStyle w:val="IndexLink"/>
                <w:rtl w:val="true"/>
              </w:rPr>
              <w:t>تقسیم الوضع إلی التعیینی و التعیّنی</w:t>
            </w:r>
            <w:r>
              <w:rPr>
                <w:rStyle w:val="IndexLink"/>
                <w:rtl w:val="true"/>
              </w:rPr>
              <w:tab/>
            </w:r>
            <w:r>
              <w:rPr>
                <w:rStyle w:val="IndexLink"/>
              </w:rPr>
              <w:t>175</w:t>
            </w:r>
          </w:hyperlink>
        </w:p>
        <w:p>
          <w:pPr>
            <w:pStyle w:val="Contents4"/>
            <w:tabs>
              <w:tab w:val="clear" w:pos="8176"/>
              <w:tab w:val="right" w:pos="9026" w:leader="dot"/>
            </w:tabs>
            <w:rPr/>
          </w:pPr>
          <w:hyperlink w:anchor="__RefHeading___Toc1856034_581953129">
            <w:r>
              <w:rPr>
                <w:webHidden/>
                <w:rStyle w:val="IndexLink"/>
                <w:rtl w:val="true"/>
              </w:rPr>
              <w:t>جریان التقسیم علی المسالک الموجودة فی حقیقة الوضع</w:t>
            </w:r>
            <w:r>
              <w:rPr>
                <w:rStyle w:val="IndexLink"/>
                <w:rtl w:val="true"/>
              </w:rPr>
              <w:tab/>
            </w:r>
            <w:r>
              <w:rPr>
                <w:rStyle w:val="IndexLink"/>
              </w:rPr>
              <w:t>176</w:t>
            </w:r>
          </w:hyperlink>
        </w:p>
        <w:p>
          <w:pPr>
            <w:pStyle w:val="Contents2"/>
            <w:tabs>
              <w:tab w:val="clear" w:pos="8743"/>
              <w:tab w:val="right" w:pos="9026" w:leader="dot"/>
            </w:tabs>
            <w:rPr/>
          </w:pPr>
          <w:hyperlink w:anchor="__RefHeading___Toc1856036_581953129">
            <w:r>
              <w:rPr>
                <w:webHidden/>
                <w:rStyle w:val="IndexLink"/>
                <w:rtl w:val="true"/>
              </w:rPr>
              <w:t>رسالة فی شرطیّة الابتلاء فی منجّزیّة العلم الإجمالی</w:t>
            </w:r>
            <w:r>
              <w:rPr>
                <w:rStyle w:val="IndexLink"/>
                <w:rtl w:val="true"/>
              </w:rPr>
              <w:tab/>
            </w:r>
            <w:r>
              <w:rPr>
                <w:rStyle w:val="IndexLink"/>
              </w:rPr>
              <w:t>179</w:t>
            </w:r>
          </w:hyperlink>
        </w:p>
        <w:p>
          <w:pPr>
            <w:pStyle w:val="Contents3"/>
            <w:tabs>
              <w:tab w:val="clear" w:pos="8459"/>
              <w:tab w:val="right" w:pos="9026" w:leader="dot"/>
            </w:tabs>
            <w:rPr/>
          </w:pPr>
          <w:hyperlink w:anchor="__RefHeading___Toc1856038_581953129">
            <w:r>
              <w:rPr>
                <w:webHidden/>
                <w:rStyle w:val="IndexLink"/>
                <w:rtl w:val="true"/>
              </w:rPr>
              <w:t>اشارة</w:t>
            </w:r>
            <w:r>
              <w:rPr>
                <w:rStyle w:val="IndexLink"/>
                <w:rtl w:val="true"/>
              </w:rPr>
              <w:tab/>
            </w:r>
            <w:r>
              <w:rPr>
                <w:rStyle w:val="IndexLink"/>
              </w:rPr>
              <w:t>179</w:t>
            </w:r>
          </w:hyperlink>
        </w:p>
        <w:p>
          <w:pPr>
            <w:pStyle w:val="Contents3"/>
            <w:tabs>
              <w:tab w:val="clear" w:pos="8459"/>
              <w:tab w:val="right" w:pos="9026" w:leader="dot"/>
            </w:tabs>
            <w:rPr/>
          </w:pPr>
          <w:hyperlink w:anchor="__RefHeading___Toc1856040_581953129">
            <w:r>
              <w:rPr>
                <w:webHidden/>
                <w:rStyle w:val="IndexLink"/>
                <w:rtl w:val="true"/>
              </w:rPr>
              <w:t>ذهب المشهور إلی وجوب الموافقة القطعیّة فی العلم الإجمالی؛</w:t>
            </w:r>
            <w:r>
              <w:rPr>
                <w:rStyle w:val="IndexLink"/>
                <w:rtl w:val="true"/>
              </w:rPr>
              <w:tab/>
            </w:r>
            <w:r>
              <w:rPr>
                <w:rStyle w:val="IndexLink"/>
              </w:rPr>
              <w:t>180</w:t>
            </w:r>
          </w:hyperlink>
        </w:p>
        <w:p>
          <w:pPr>
            <w:pStyle w:val="Contents3"/>
            <w:tabs>
              <w:tab w:val="clear" w:pos="8459"/>
              <w:tab w:val="right" w:pos="9026" w:leader="dot"/>
            </w:tabs>
            <w:rPr/>
          </w:pPr>
          <w:hyperlink w:anchor="__RefHeading___Toc1856042_581953129">
            <w:r>
              <w:rPr>
                <w:webHidden/>
                <w:rStyle w:val="IndexLink"/>
                <w:rtl w:val="true"/>
              </w:rPr>
              <w:t>بعض الأمثلة التی ذکرها الشیخ و غیره</w:t>
            </w:r>
            <w:r>
              <w:rPr>
                <w:rStyle w:val="IndexLink"/>
                <w:rtl w:val="true"/>
              </w:rPr>
              <w:t>:</w:t>
              <w:tab/>
            </w:r>
            <w:r>
              <w:rPr>
                <w:rStyle w:val="IndexLink"/>
              </w:rPr>
              <w:t>181</w:t>
            </w:r>
          </w:hyperlink>
        </w:p>
        <w:p>
          <w:pPr>
            <w:pStyle w:val="Contents3"/>
            <w:tabs>
              <w:tab w:val="clear" w:pos="8459"/>
              <w:tab w:val="right" w:pos="9026" w:leader="dot"/>
            </w:tabs>
            <w:rPr/>
          </w:pPr>
          <w:hyperlink w:anchor="__RefHeading___Toc1856044_581953129">
            <w:r>
              <w:rPr>
                <w:webHidden/>
                <w:rStyle w:val="IndexLink"/>
                <w:rtl w:val="true"/>
              </w:rPr>
              <w:t>و قبل الورود فی البحث یجب التعرّض</w:t>
            </w:r>
            <w:r>
              <w:rPr>
                <w:rStyle w:val="IndexLink"/>
                <w:rtl w:val="true"/>
              </w:rPr>
              <w:tab/>
            </w:r>
            <w:r>
              <w:rPr>
                <w:rStyle w:val="IndexLink"/>
              </w:rPr>
              <w:t>183</w:t>
            </w:r>
          </w:hyperlink>
        </w:p>
        <w:p>
          <w:pPr>
            <w:pStyle w:val="Contents3"/>
            <w:tabs>
              <w:tab w:val="clear" w:pos="8459"/>
              <w:tab w:val="right" w:pos="9026" w:leader="dot"/>
            </w:tabs>
            <w:rPr/>
          </w:pPr>
          <w:hyperlink w:anchor="__RefHeading___Toc1856046_581953129">
            <w:r>
              <w:rPr>
                <w:webHidden/>
                <w:rStyle w:val="IndexLink"/>
                <w:rtl w:val="true"/>
              </w:rPr>
              <w:t>یجب البحث فی مقامین</w:t>
            </w:r>
            <w:r>
              <w:rPr>
                <w:rStyle w:val="IndexLink"/>
                <w:rtl w:val="true"/>
              </w:rPr>
              <w:t>:</w:t>
              <w:tab/>
            </w:r>
            <w:r>
              <w:rPr>
                <w:rStyle w:val="IndexLink"/>
              </w:rPr>
              <w:t>186</w:t>
            </w:r>
          </w:hyperlink>
        </w:p>
        <w:p>
          <w:pPr>
            <w:pStyle w:val="Contents4"/>
            <w:tabs>
              <w:tab w:val="clear" w:pos="8176"/>
              <w:tab w:val="right" w:pos="9026" w:leader="dot"/>
            </w:tabs>
            <w:rPr/>
          </w:pPr>
          <w:hyperlink w:anchor="__RefHeading___Toc1856048_581953129">
            <w:r>
              <w:rPr>
                <w:webHidden/>
                <w:rStyle w:val="IndexLink"/>
                <w:rtl w:val="true"/>
              </w:rPr>
              <w:t>اشارة</w:t>
            </w:r>
            <w:r>
              <w:rPr>
                <w:rStyle w:val="IndexLink"/>
                <w:rtl w:val="true"/>
              </w:rPr>
              <w:tab/>
            </w:r>
            <w:r>
              <w:rPr>
                <w:rStyle w:val="IndexLink"/>
              </w:rPr>
              <w:t>186</w:t>
            </w:r>
          </w:hyperlink>
        </w:p>
        <w:p>
          <w:pPr>
            <w:pStyle w:val="Contents4"/>
            <w:tabs>
              <w:tab w:val="clear" w:pos="8176"/>
              <w:tab w:val="right" w:pos="9026" w:leader="dot"/>
            </w:tabs>
            <w:rPr/>
          </w:pPr>
          <w:hyperlink w:anchor="__RefHeading___Toc1856050_581953129">
            <w:r>
              <w:rPr>
                <w:webHidden/>
                <w:rStyle w:val="IndexLink"/>
                <w:rtl w:val="true"/>
              </w:rPr>
              <w:t>أمّا المقام الأوّل</w:t>
            </w:r>
            <w:r>
              <w:rPr>
                <w:rStyle w:val="IndexLink"/>
                <w:rtl w:val="true"/>
              </w:rPr>
              <w:t>:</w:t>
            </w:r>
            <w:r>
              <w:rPr>
                <w:rStyle w:val="IndexLink"/>
                <w:rtl w:val="true"/>
              </w:rPr>
              <w:t>فإنّه یستفاد من کلام الشیخ الأعظم</w:t>
            </w:r>
            <w:r>
              <w:rPr>
                <w:rStyle w:val="IndexLink"/>
                <w:rtl w:val="true"/>
              </w:rPr>
              <w:tab/>
            </w:r>
            <w:r>
              <w:rPr>
                <w:rStyle w:val="IndexLink"/>
              </w:rPr>
              <w:t>187</w:t>
            </w:r>
          </w:hyperlink>
        </w:p>
        <w:p>
          <w:pPr>
            <w:pStyle w:val="Contents5"/>
            <w:tabs>
              <w:tab w:val="clear" w:pos="7892"/>
              <w:tab w:val="right" w:pos="9026" w:leader="dot"/>
            </w:tabs>
            <w:rPr/>
          </w:pPr>
          <w:hyperlink w:anchor="__RefHeading___Toc1856052_581953129">
            <w:r>
              <w:rPr>
                <w:webHidden/>
                <w:rStyle w:val="IndexLink"/>
                <w:rtl w:val="true"/>
              </w:rPr>
              <w:t>اشارة</w:t>
            </w:r>
            <w:r>
              <w:rPr>
                <w:rStyle w:val="IndexLink"/>
                <w:rtl w:val="true"/>
              </w:rPr>
              <w:tab/>
            </w:r>
            <w:r>
              <w:rPr>
                <w:rStyle w:val="IndexLink"/>
              </w:rPr>
              <w:t>187</w:t>
            </w:r>
          </w:hyperlink>
        </w:p>
        <w:p>
          <w:pPr>
            <w:pStyle w:val="Contents5"/>
            <w:tabs>
              <w:tab w:val="clear" w:pos="7892"/>
              <w:tab w:val="right" w:pos="9026" w:leader="dot"/>
            </w:tabs>
            <w:rPr/>
          </w:pPr>
          <w:hyperlink w:anchor="__RefHeading___Toc1856054_581953129">
            <w:r>
              <w:rPr>
                <w:webHidden/>
                <w:rStyle w:val="IndexLink"/>
                <w:rtl w:val="true"/>
              </w:rPr>
              <w:t>و استدلّ علی ذلک بأدلّة ثلاثة</w:t>
            </w:r>
            <w:r>
              <w:rPr>
                <w:rStyle w:val="IndexLink"/>
                <w:rtl w:val="true"/>
              </w:rPr>
              <w:t>-</w:t>
              <w:tab/>
            </w:r>
            <w:r>
              <w:rPr>
                <w:rStyle w:val="IndexLink"/>
              </w:rPr>
              <w:t>187</w:t>
            </w:r>
          </w:hyperlink>
        </w:p>
        <w:p>
          <w:pPr>
            <w:pStyle w:val="Contents6"/>
            <w:tabs>
              <w:tab w:val="clear" w:pos="7609"/>
              <w:tab w:val="right" w:pos="9026" w:leader="dot"/>
            </w:tabs>
            <w:rPr/>
          </w:pPr>
          <w:hyperlink w:anchor="__RefHeading___Toc1856056_581953129">
            <w:r>
              <w:rPr>
                <w:webHidden/>
                <w:rStyle w:val="IndexLink"/>
                <w:rtl w:val="true"/>
              </w:rPr>
              <w:t>اشارة</w:t>
            </w:r>
            <w:r>
              <w:rPr>
                <w:rStyle w:val="IndexLink"/>
                <w:rtl w:val="true"/>
              </w:rPr>
              <w:tab/>
            </w:r>
            <w:r>
              <w:rPr>
                <w:rStyle w:val="IndexLink"/>
              </w:rPr>
              <w:t>187</w:t>
            </w:r>
          </w:hyperlink>
        </w:p>
        <w:p>
          <w:pPr>
            <w:pStyle w:val="Contents6"/>
            <w:tabs>
              <w:tab w:val="clear" w:pos="7609"/>
              <w:tab w:val="right" w:pos="9026" w:leader="dot"/>
            </w:tabs>
            <w:rPr/>
          </w:pPr>
          <w:hyperlink w:anchor="__RefHeading___Toc1856058_581953129">
            <w:r>
              <w:rPr>
                <w:webHidden/>
                <w:rStyle w:val="IndexLink"/>
                <w:rtl w:val="true"/>
              </w:rPr>
              <w:t>الدلیل الأوّل</w:t>
            </w:r>
            <w:r>
              <w:rPr>
                <w:rStyle w:val="IndexLink"/>
                <w:rtl w:val="true"/>
              </w:rPr>
              <w:t>:</w:t>
            </w:r>
            <w:r>
              <w:rPr>
                <w:rStyle w:val="IndexLink"/>
                <w:rtl w:val="true"/>
              </w:rPr>
              <w:t>أنّ المقصود من النهی حمل المکلّف علی الترک،و هذا مختصّ</w:t>
            </w:r>
            <w:r>
              <w:rPr>
                <w:rStyle w:val="IndexLink"/>
                <w:rtl w:val="true"/>
              </w:rPr>
              <w:tab/>
            </w:r>
            <w:r>
              <w:rPr>
                <w:rStyle w:val="IndexLink"/>
              </w:rPr>
              <w:t>187</w:t>
            </w:r>
          </w:hyperlink>
        </w:p>
        <w:p>
          <w:pPr>
            <w:pStyle w:val="Contents6"/>
            <w:tabs>
              <w:tab w:val="clear" w:pos="7609"/>
              <w:tab w:val="right" w:pos="9026" w:leader="dot"/>
            </w:tabs>
            <w:rPr/>
          </w:pPr>
          <w:hyperlink w:anchor="__RefHeading___Toc1856060_581953129">
            <w:r>
              <w:rPr>
                <w:webHidden/>
                <w:rStyle w:val="IndexLink"/>
                <w:rtl w:val="true"/>
              </w:rPr>
              <w:t>الدلیل الثانی</w:t>
            </w:r>
            <w:r>
              <w:rPr>
                <w:rStyle w:val="IndexLink"/>
                <w:rtl w:val="true"/>
              </w:rPr>
              <w:t>:-</w:t>
            </w:r>
            <w:r>
              <w:rPr>
                <w:rStyle w:val="IndexLink"/>
                <w:rtl w:val="true"/>
              </w:rPr>
              <w:t>و هو مختصّ بشرطیّة الابتلاء فی منجّزیّة العلم الإجمالی</w:t>
            </w:r>
            <w:r>
              <w:rPr>
                <w:rStyle w:val="IndexLink"/>
                <w:rtl w:val="true"/>
              </w:rPr>
              <w:t>-</w:t>
              <w:tab/>
            </w:r>
            <w:r>
              <w:rPr>
                <w:rStyle w:val="IndexLink"/>
              </w:rPr>
              <w:t>188</w:t>
            </w:r>
          </w:hyperlink>
        </w:p>
        <w:p>
          <w:pPr>
            <w:pStyle w:val="Contents6"/>
            <w:tabs>
              <w:tab w:val="clear" w:pos="7609"/>
              <w:tab w:val="right" w:pos="9026" w:leader="dot"/>
            </w:tabs>
            <w:rPr/>
          </w:pPr>
          <w:hyperlink w:anchor="__RefHeading___Toc1856062_581953129">
            <w:r>
              <w:rPr>
                <w:webHidden/>
                <w:rStyle w:val="IndexLink"/>
                <w:rtl w:val="true"/>
              </w:rPr>
              <w:t>الدلیل الثالث</w:t>
            </w:r>
            <w:r>
              <w:rPr>
                <w:rStyle w:val="IndexLink"/>
                <w:rtl w:val="true"/>
              </w:rPr>
              <w:t>:</w:t>
            </w:r>
            <w:r>
              <w:rPr>
                <w:rStyle w:val="IndexLink"/>
                <w:rtl w:val="true"/>
              </w:rPr>
              <w:t>استهجان الخطاب بترک ما هو خارج عن محلّ الابتلاء،</w:t>
            </w:r>
            <w:r>
              <w:rPr>
                <w:rStyle w:val="IndexLink"/>
                <w:rtl w:val="true"/>
              </w:rPr>
              <w:tab/>
            </w:r>
            <w:r>
              <w:rPr>
                <w:rStyle w:val="IndexLink"/>
              </w:rPr>
              <w:t>188</w:t>
            </w:r>
          </w:hyperlink>
        </w:p>
        <w:p>
          <w:pPr>
            <w:pStyle w:val="Contents5"/>
            <w:tabs>
              <w:tab w:val="clear" w:pos="7892"/>
              <w:tab w:val="right" w:pos="9026" w:leader="dot"/>
            </w:tabs>
            <w:rPr/>
          </w:pPr>
          <w:hyperlink w:anchor="__RefHeading___Toc1856064_581953129">
            <w:r>
              <w:rPr>
                <w:webHidden/>
                <w:rStyle w:val="IndexLink"/>
                <w:rtl w:val="true"/>
              </w:rPr>
              <w:t>و استدلّ المحقّق النائینی بدلیل رابع،</w:t>
            </w:r>
            <w:r>
              <w:rPr>
                <w:rStyle w:val="IndexLink"/>
                <w:rtl w:val="true"/>
              </w:rPr>
              <w:tab/>
            </w:r>
            <w:r>
              <w:rPr>
                <w:rStyle w:val="IndexLink"/>
              </w:rPr>
              <w:t>189</w:t>
            </w:r>
          </w:hyperlink>
        </w:p>
        <w:p>
          <w:pPr>
            <w:pStyle w:val="Contents5"/>
            <w:tabs>
              <w:tab w:val="clear" w:pos="7892"/>
              <w:tab w:val="right" w:pos="9026" w:leader="dot"/>
            </w:tabs>
            <w:rPr/>
          </w:pPr>
          <w:hyperlink w:anchor="__RefHeading___Toc1856066_581953129">
            <w:r>
              <w:rPr>
                <w:webHidden/>
                <w:rStyle w:val="IndexLink"/>
                <w:rtl w:val="true"/>
              </w:rPr>
              <w:t>و أجاب الشهید الصدر عن الدلیل الأوّل بوجوه</w:t>
            </w:r>
            <w:r>
              <w:rPr>
                <w:rStyle w:val="IndexLink"/>
                <w:rtl w:val="true"/>
              </w:rPr>
              <w:t>:</w:t>
              <w:tab/>
            </w:r>
            <w:r>
              <w:rPr>
                <w:rStyle w:val="IndexLink"/>
              </w:rPr>
              <w:t>190</w:t>
            </w:r>
          </w:hyperlink>
        </w:p>
        <w:p>
          <w:pPr>
            <w:pStyle w:val="Contents5"/>
            <w:tabs>
              <w:tab w:val="clear" w:pos="7892"/>
              <w:tab w:val="right" w:pos="9026" w:leader="dot"/>
            </w:tabs>
            <w:rPr/>
          </w:pPr>
          <w:hyperlink w:anchor="__RefHeading___Toc1856068_581953129">
            <w:r>
              <w:rPr>
                <w:webHidden/>
                <w:rStyle w:val="IndexLink"/>
                <w:rtl w:val="true"/>
              </w:rPr>
              <w:t>جواب المؤلف عن الشهید الصدر</w:t>
            </w:r>
            <w:r>
              <w:rPr>
                <w:rStyle w:val="IndexLink"/>
                <w:rtl w:val="true"/>
              </w:rPr>
              <w:tab/>
            </w:r>
            <w:r>
              <w:rPr>
                <w:rStyle w:val="IndexLink"/>
              </w:rPr>
              <w:t>190</w:t>
            </w:r>
          </w:hyperlink>
        </w:p>
        <w:p>
          <w:pPr>
            <w:pStyle w:val="Contents5"/>
            <w:tabs>
              <w:tab w:val="clear" w:pos="7892"/>
              <w:tab w:val="right" w:pos="9026" w:leader="dot"/>
            </w:tabs>
            <w:rPr/>
          </w:pPr>
          <w:hyperlink w:anchor="__RefHeading___Toc1856070_581953129">
            <w:r>
              <w:rPr>
                <w:webHidden/>
                <w:rStyle w:val="IndexLink"/>
                <w:rtl w:val="true"/>
              </w:rPr>
              <w:t>و قد ینتقض الدلیل الأوّل بالموارد</w:t>
            </w:r>
            <w:r>
              <w:rPr>
                <w:rStyle w:val="IndexLink"/>
                <w:rtl w:val="true"/>
              </w:rPr>
              <w:tab/>
            </w:r>
            <w:r>
              <w:rPr>
                <w:rStyle w:val="IndexLink"/>
              </w:rPr>
              <w:t>191</w:t>
            </w:r>
          </w:hyperlink>
        </w:p>
        <w:p>
          <w:pPr>
            <w:pStyle w:val="Contents5"/>
            <w:tabs>
              <w:tab w:val="clear" w:pos="7892"/>
              <w:tab w:val="right" w:pos="9026" w:leader="dot"/>
            </w:tabs>
            <w:rPr/>
          </w:pPr>
          <w:hyperlink w:anchor="__RefHeading___Toc1856072_581953129">
            <w:r>
              <w:rPr>
                <w:webHidden/>
                <w:rStyle w:val="IndexLink"/>
                <w:rtl w:val="true"/>
              </w:rPr>
              <w:t>و أجاب المحقّق النائینی؛بأنّ الفرق موجود</w:t>
            </w:r>
            <w:r>
              <w:rPr>
                <w:rStyle w:val="IndexLink"/>
                <w:rtl w:val="true"/>
              </w:rPr>
              <w:tab/>
            </w:r>
            <w:r>
              <w:rPr>
                <w:rStyle w:val="IndexLink"/>
              </w:rPr>
              <w:t>191</w:t>
            </w:r>
          </w:hyperlink>
        </w:p>
        <w:p>
          <w:pPr>
            <w:pStyle w:val="Contents5"/>
            <w:tabs>
              <w:tab w:val="clear" w:pos="7892"/>
              <w:tab w:val="right" w:pos="9026" w:leader="dot"/>
            </w:tabs>
            <w:rPr/>
          </w:pPr>
          <w:hyperlink w:anchor="__RefHeading___Toc1856074_581953129">
            <w:r>
              <w:rPr>
                <w:webHidden/>
                <w:rStyle w:val="IndexLink"/>
                <w:rtl w:val="true"/>
              </w:rPr>
              <w:t>هنا کلام للمحقّ الخراسانی إیرادا علی الشیخ الأعظم؛</w:t>
            </w:r>
            <w:r>
              <w:rPr>
                <w:rStyle w:val="IndexLink"/>
                <w:rtl w:val="true"/>
              </w:rPr>
              <w:tab/>
            </w:r>
            <w:r>
              <w:rPr>
                <w:rStyle w:val="IndexLink"/>
              </w:rPr>
              <w:t>192</w:t>
            </w:r>
          </w:hyperlink>
        </w:p>
        <w:p>
          <w:pPr>
            <w:pStyle w:val="Contents5"/>
            <w:tabs>
              <w:tab w:val="clear" w:pos="7892"/>
              <w:tab w:val="right" w:pos="9026" w:leader="dot"/>
            </w:tabs>
            <w:rPr/>
          </w:pPr>
          <w:hyperlink w:anchor="__RefHeading___Toc1856076_581953129">
            <w:r>
              <w:rPr>
                <w:webHidden/>
                <w:rStyle w:val="IndexLink"/>
                <w:rtl w:val="true"/>
              </w:rPr>
              <w:t>و أجاب عنه المحقّق النائینی؛بأنّ المطلوب فی باب النواهی مجرّد الترک</w:t>
            </w:r>
            <w:r>
              <w:rPr>
                <w:rStyle w:val="IndexLink"/>
                <w:rtl w:val="true"/>
              </w:rPr>
              <w:tab/>
            </w:r>
            <w:r>
              <w:rPr>
                <w:rStyle w:val="IndexLink"/>
              </w:rPr>
              <w:t>192</w:t>
            </w:r>
          </w:hyperlink>
        </w:p>
        <w:p>
          <w:pPr>
            <w:pStyle w:val="Contents5"/>
            <w:tabs>
              <w:tab w:val="clear" w:pos="7892"/>
              <w:tab w:val="right" w:pos="9026" w:leader="dot"/>
            </w:tabs>
            <w:rPr/>
          </w:pPr>
          <w:hyperlink w:anchor="__RefHeading___Toc1856078_581953129">
            <w:r>
              <w:rPr>
                <w:webHidden/>
                <w:rStyle w:val="IndexLink"/>
                <w:rtl w:val="true"/>
              </w:rPr>
              <w:t>ثمّ إنّ المحقّق العراقی قد ناقش فیما أفاده المحقّق النائینی</w:t>
            </w:r>
            <w:r>
              <w:rPr>
                <w:rStyle w:val="IndexLink"/>
                <w:rtl w:val="true"/>
              </w:rPr>
              <w:tab/>
            </w:r>
            <w:r>
              <w:rPr>
                <w:rStyle w:val="IndexLink"/>
              </w:rPr>
              <w:t>192</w:t>
            </w:r>
          </w:hyperlink>
        </w:p>
        <w:p>
          <w:pPr>
            <w:pStyle w:val="Contents5"/>
            <w:tabs>
              <w:tab w:val="clear" w:pos="7892"/>
              <w:tab w:val="right" w:pos="9026" w:leader="dot"/>
            </w:tabs>
            <w:rPr/>
          </w:pPr>
          <w:hyperlink w:anchor="__RefHeading___Toc1856080_581953129">
            <w:r>
              <w:rPr>
                <w:webHidden/>
                <w:rStyle w:val="IndexLink"/>
                <w:rtl w:val="true"/>
              </w:rPr>
              <w:t>و أمّا الدلیل الثانی</w:t>
            </w:r>
            <w:r>
              <w:rPr>
                <w:rStyle w:val="IndexLink"/>
                <w:rtl w:val="true"/>
              </w:rPr>
              <w:t>:</w:t>
            </w:r>
            <w:r>
              <w:rPr>
                <w:rStyle w:val="IndexLink"/>
                <w:rtl w:val="true"/>
              </w:rPr>
              <w:t>فالظاهر أنّه غیر تامّ بکلا تقریبیه؛</w:t>
            </w:r>
            <w:r>
              <w:rPr>
                <w:rStyle w:val="IndexLink"/>
                <w:rtl w:val="true"/>
              </w:rPr>
              <w:tab/>
            </w:r>
            <w:r>
              <w:rPr>
                <w:rStyle w:val="IndexLink"/>
              </w:rPr>
              <w:t>193</w:t>
            </w:r>
          </w:hyperlink>
        </w:p>
        <w:p>
          <w:pPr>
            <w:pStyle w:val="Contents5"/>
            <w:tabs>
              <w:tab w:val="clear" w:pos="7892"/>
              <w:tab w:val="right" w:pos="9026" w:leader="dot"/>
            </w:tabs>
            <w:rPr/>
          </w:pPr>
          <w:hyperlink w:anchor="__RefHeading___Toc1856082_581953129">
            <w:r>
              <w:rPr>
                <w:webHidden/>
                <w:rStyle w:val="IndexLink"/>
                <w:rtl w:val="true"/>
              </w:rPr>
              <w:t>و أمّا الدلیل الثالث</w:t>
            </w:r>
            <w:r>
              <w:rPr>
                <w:rStyle w:val="IndexLink"/>
                <w:rtl w:val="true"/>
              </w:rPr>
              <w:t>:</w:t>
            </w:r>
            <w:r>
              <w:rPr>
                <w:rStyle w:val="IndexLink"/>
                <w:rtl w:val="true"/>
              </w:rPr>
              <w:t>فالاستهجان مبنیّ علی انحلال</w:t>
            </w:r>
            <w:r>
              <w:rPr>
                <w:rStyle w:val="IndexLink"/>
                <w:rtl w:val="true"/>
              </w:rPr>
              <w:tab/>
            </w:r>
            <w:r>
              <w:rPr>
                <w:rStyle w:val="IndexLink"/>
              </w:rPr>
              <w:t>194</w:t>
            </w:r>
          </w:hyperlink>
        </w:p>
        <w:p>
          <w:pPr>
            <w:pStyle w:val="Contents4"/>
            <w:tabs>
              <w:tab w:val="clear" w:pos="8176"/>
              <w:tab w:val="right" w:pos="9026" w:leader="dot"/>
            </w:tabs>
            <w:rPr/>
          </w:pPr>
          <w:hyperlink w:anchor="__RefHeading___Toc1856084_581953129">
            <w:r>
              <w:rPr>
                <w:webHidden/>
                <w:rStyle w:val="IndexLink"/>
                <w:rtl w:val="true"/>
              </w:rPr>
              <w:t>و أمّا المقام الثانی</w:t>
            </w:r>
            <w:r>
              <w:rPr>
                <w:rStyle w:val="IndexLink"/>
                <w:rtl w:val="true"/>
              </w:rPr>
              <w:t>:</w:t>
            </w:r>
            <w:r>
              <w:rPr>
                <w:rStyle w:val="IndexLink"/>
                <w:rtl w:val="true"/>
              </w:rPr>
              <w:t>فهو أنّه بعد إثبات کون الابتلاء شرطا فی صحّة التکلیف</w:t>
            </w:r>
            <w:r>
              <w:rPr>
                <w:rStyle w:val="IndexLink"/>
                <w:rtl w:val="true"/>
              </w:rPr>
              <w:tab/>
            </w:r>
            <w:r>
              <w:rPr>
                <w:rStyle w:val="IndexLink"/>
              </w:rPr>
              <w:t>195</w:t>
            </w:r>
          </w:hyperlink>
        </w:p>
        <w:p>
          <w:pPr>
            <w:pStyle w:val="Contents5"/>
            <w:tabs>
              <w:tab w:val="clear" w:pos="7892"/>
              <w:tab w:val="right" w:pos="9026" w:leader="dot"/>
            </w:tabs>
            <w:rPr/>
          </w:pPr>
          <w:hyperlink w:anchor="__RefHeading___Toc1856086_581953129">
            <w:r>
              <w:rPr>
                <w:webHidden/>
                <w:rStyle w:val="IndexLink"/>
                <w:rtl w:val="true"/>
              </w:rPr>
              <w:t>اشارة</w:t>
            </w:r>
            <w:r>
              <w:rPr>
                <w:rStyle w:val="IndexLink"/>
                <w:rtl w:val="true"/>
              </w:rPr>
              <w:tab/>
            </w:r>
            <w:r>
              <w:rPr>
                <w:rStyle w:val="IndexLink"/>
              </w:rPr>
              <w:t>195</w:t>
            </w:r>
          </w:hyperlink>
        </w:p>
        <w:p>
          <w:pPr>
            <w:pStyle w:val="Contents5"/>
            <w:tabs>
              <w:tab w:val="clear" w:pos="7892"/>
              <w:tab w:val="right" w:pos="9026" w:leader="dot"/>
            </w:tabs>
            <w:rPr/>
          </w:pPr>
          <w:hyperlink w:anchor="__RefHeading___Toc1856088_581953129">
            <w:r>
              <w:rPr>
                <w:webHidden/>
                <w:rStyle w:val="IndexLink"/>
                <w:rtl w:val="true"/>
              </w:rPr>
              <w:t>تصویر الشبهة المفهومیّة عند المحقّق النائینی</w:t>
            </w:r>
            <w:r>
              <w:rPr>
                <w:rStyle w:val="IndexLink"/>
                <w:rtl w:val="true"/>
              </w:rPr>
              <w:tab/>
            </w:r>
            <w:r>
              <w:rPr>
                <w:rStyle w:val="IndexLink"/>
              </w:rPr>
              <w:t>197</w:t>
            </w:r>
          </w:hyperlink>
        </w:p>
        <w:p>
          <w:pPr>
            <w:pStyle w:val="Contents5"/>
            <w:tabs>
              <w:tab w:val="clear" w:pos="7892"/>
              <w:tab w:val="right" w:pos="9026" w:leader="dot"/>
            </w:tabs>
            <w:rPr/>
          </w:pPr>
          <w:hyperlink w:anchor="__RefHeading___Toc1856090_581953129">
            <w:r>
              <w:rPr>
                <w:webHidden/>
                <w:rStyle w:val="IndexLink"/>
                <w:rtl w:val="true"/>
              </w:rPr>
              <w:t>تصویر الشبهة المفهومیّة عند الشهید الصدر</w:t>
            </w:r>
            <w:r>
              <w:rPr>
                <w:rStyle w:val="IndexLink"/>
                <w:rtl w:val="true"/>
              </w:rPr>
              <w:tab/>
            </w:r>
            <w:r>
              <w:rPr>
                <w:rStyle w:val="IndexLink"/>
              </w:rPr>
              <w:t>198</w:t>
            </w:r>
          </w:hyperlink>
        </w:p>
        <w:p>
          <w:pPr>
            <w:pStyle w:val="Contents5"/>
            <w:tabs>
              <w:tab w:val="clear" w:pos="7892"/>
              <w:tab w:val="right" w:pos="9026" w:leader="dot"/>
            </w:tabs>
            <w:rPr/>
          </w:pPr>
          <w:hyperlink w:anchor="__RefHeading___Toc1856092_581953129">
            <w:r>
              <w:rPr>
                <w:webHidden/>
                <w:rStyle w:val="IndexLink"/>
                <w:rtl w:val="true"/>
              </w:rPr>
              <w:t>الاستدلال بعدم خروج المشکوک بوجهین</w:t>
            </w:r>
            <w:r>
              <w:rPr>
                <w:rStyle w:val="IndexLink"/>
                <w:rtl w:val="true"/>
              </w:rPr>
              <w:t>:</w:t>
              <w:tab/>
            </w:r>
            <w:r>
              <w:rPr>
                <w:rStyle w:val="IndexLink"/>
              </w:rPr>
              <w:t>199</w:t>
            </w:r>
          </w:hyperlink>
        </w:p>
        <w:p>
          <w:pPr>
            <w:pStyle w:val="Contents6"/>
            <w:tabs>
              <w:tab w:val="clear" w:pos="7609"/>
              <w:tab w:val="right" w:pos="9026" w:leader="dot"/>
            </w:tabs>
            <w:rPr/>
          </w:pPr>
          <w:hyperlink w:anchor="__RefHeading___Toc1856094_581953129">
            <w:r>
              <w:rPr>
                <w:webHidden/>
                <w:rStyle w:val="IndexLink"/>
                <w:rtl w:val="true"/>
              </w:rPr>
              <w:t>الوجه الأوّل</w:t>
            </w:r>
            <w:r>
              <w:rPr>
                <w:rStyle w:val="IndexLink"/>
                <w:rtl w:val="true"/>
              </w:rPr>
              <w:t>:</w:t>
            </w:r>
            <w:r>
              <w:rPr>
                <w:rStyle w:val="IndexLink"/>
                <w:rtl w:val="true"/>
              </w:rPr>
              <w:t>ما ذهب إلیه المحقّق النائینی؛</w:t>
            </w:r>
            <w:r>
              <w:rPr>
                <w:rStyle w:val="IndexLink"/>
                <w:rtl w:val="true"/>
              </w:rPr>
              <w:tab/>
            </w:r>
            <w:r>
              <w:rPr>
                <w:rStyle w:val="IndexLink"/>
              </w:rPr>
              <w:t>199</w:t>
            </w:r>
          </w:hyperlink>
        </w:p>
        <w:p>
          <w:pPr>
            <w:pStyle w:val="Contents6"/>
            <w:tabs>
              <w:tab w:val="clear" w:pos="7609"/>
              <w:tab w:val="right" w:pos="9026" w:leader="dot"/>
            </w:tabs>
            <w:rPr/>
          </w:pPr>
          <w:hyperlink w:anchor="__RefHeading___Toc1856096_581953129">
            <w:r>
              <w:rPr>
                <w:webHidden/>
                <w:rStyle w:val="IndexLink"/>
                <w:rtl w:val="true"/>
              </w:rPr>
              <w:t>الوجه الثانی</w:t>
            </w:r>
            <w:r>
              <w:rPr>
                <w:rStyle w:val="IndexLink"/>
                <w:rtl w:val="true"/>
              </w:rPr>
              <w:t>:</w:t>
            </w:r>
            <w:r>
              <w:rPr>
                <w:rStyle w:val="IndexLink"/>
                <w:rtl w:val="true"/>
              </w:rPr>
              <w:t>ما أفاده الشیخ الأنصاری من التمسّک بإطلاق</w:t>
            </w:r>
            <w:r>
              <w:rPr>
                <w:rStyle w:val="IndexLink"/>
                <w:rtl w:val="true"/>
              </w:rPr>
              <w:tab/>
            </w:r>
            <w:r>
              <w:rPr>
                <w:rStyle w:val="IndexLink"/>
              </w:rPr>
              <w:t>200</w:t>
            </w:r>
          </w:hyperlink>
        </w:p>
        <w:p>
          <w:pPr>
            <w:pStyle w:val="Contents6"/>
            <w:tabs>
              <w:tab w:val="clear" w:pos="7609"/>
              <w:tab w:val="right" w:pos="9026" w:leader="dot"/>
            </w:tabs>
            <w:rPr/>
          </w:pPr>
          <w:hyperlink w:anchor="__RefHeading___Toc1856098_581953129">
            <w:r>
              <w:rPr>
                <w:webHidden/>
                <w:rStyle w:val="IndexLink"/>
                <w:rtl w:val="true"/>
              </w:rPr>
              <w:t>بیان المحقق النائینی للتمسک بالإطلاق</w:t>
            </w:r>
            <w:r>
              <w:rPr>
                <w:rStyle w:val="IndexLink"/>
                <w:rtl w:val="true"/>
              </w:rPr>
              <w:tab/>
            </w:r>
            <w:r>
              <w:rPr>
                <w:rStyle w:val="IndexLink"/>
              </w:rPr>
              <w:t>201</w:t>
            </w:r>
          </w:hyperlink>
        </w:p>
        <w:p>
          <w:pPr>
            <w:pStyle w:val="Contents5"/>
            <w:tabs>
              <w:tab w:val="clear" w:pos="7892"/>
              <w:tab w:val="right" w:pos="9026" w:leader="dot"/>
            </w:tabs>
            <w:rPr/>
          </w:pPr>
          <w:hyperlink w:anchor="__RefHeading___Toc1856100_581953129">
            <w:r>
              <w:rPr>
                <w:webHidden/>
                <w:rStyle w:val="IndexLink"/>
                <w:rtl w:val="true"/>
              </w:rPr>
              <w:t>و ما ذهب إلیه أوّلا</w:t>
            </w:r>
            <w:r>
              <w:rPr>
                <w:rStyle w:val="IndexLink"/>
                <w:rtl w:val="true"/>
              </w:rPr>
              <w:tab/>
            </w:r>
            <w:r>
              <w:rPr>
                <w:rStyle w:val="IndexLink"/>
              </w:rPr>
              <w:t>201</w:t>
            </w:r>
          </w:hyperlink>
        </w:p>
        <w:p>
          <w:pPr>
            <w:pStyle w:val="Contents5"/>
            <w:tabs>
              <w:tab w:val="clear" w:pos="7892"/>
              <w:tab w:val="right" w:pos="9026" w:leader="dot"/>
            </w:tabs>
            <w:rPr/>
          </w:pPr>
          <w:hyperlink w:anchor="__RefHeading___Toc1856102_581953129">
            <w:r>
              <w:rPr>
                <w:webHidden/>
                <w:rStyle w:val="IndexLink"/>
                <w:rtl w:val="true"/>
              </w:rPr>
              <w:t>ثمّ قال المحقّق النائینی فی آخر کلامه</w:t>
            </w:r>
            <w:r>
              <w:rPr>
                <w:rStyle w:val="IndexLink"/>
                <w:rtl w:val="true"/>
              </w:rPr>
              <w:t>:</w:t>
              <w:tab/>
            </w:r>
            <w:r>
              <w:rPr>
                <w:rStyle w:val="IndexLink"/>
              </w:rPr>
              <w:t>202</w:t>
            </w:r>
          </w:hyperlink>
        </w:p>
        <w:p>
          <w:pPr>
            <w:pStyle w:val="Contents5"/>
            <w:tabs>
              <w:tab w:val="clear" w:pos="7892"/>
              <w:tab w:val="right" w:pos="9026" w:leader="dot"/>
            </w:tabs>
            <w:rPr/>
          </w:pPr>
          <w:hyperlink w:anchor="__RefHeading___Toc1856104_581953129">
            <w:r>
              <w:rPr>
                <w:webHidden/>
                <w:rStyle w:val="IndexLink"/>
                <w:rtl w:val="true"/>
              </w:rPr>
              <w:t>و لا یذهب علیک أنّ فی تفسیر کلام الشیخ الأنصاری یوجد احتمالان</w:t>
            </w:r>
            <w:r>
              <w:rPr>
                <w:rStyle w:val="IndexLink"/>
                <w:rtl w:val="true"/>
              </w:rPr>
              <w:t>:</w:t>
              <w:tab/>
            </w:r>
            <w:r>
              <w:rPr>
                <w:rStyle w:val="IndexLink"/>
              </w:rPr>
              <w:t>203</w:t>
            </w:r>
          </w:hyperlink>
        </w:p>
        <w:p>
          <w:pPr>
            <w:pStyle w:val="Contents5"/>
            <w:tabs>
              <w:tab w:val="clear" w:pos="7892"/>
              <w:tab w:val="right" w:pos="9026" w:leader="dot"/>
            </w:tabs>
            <w:rPr/>
          </w:pPr>
          <w:hyperlink w:anchor="__RefHeading___Toc1856106_581953129">
            <w:r>
              <w:rPr>
                <w:webHidden/>
                <w:rStyle w:val="IndexLink"/>
                <w:rtl w:val="true"/>
              </w:rPr>
              <w:t>قد اورد علی الشیخ إیرادات ثلاثة لا یمکن الجواب</w:t>
            </w:r>
            <w:r>
              <w:rPr>
                <w:rStyle w:val="IndexLink"/>
                <w:rtl w:val="true"/>
              </w:rPr>
              <w:tab/>
            </w:r>
            <w:r>
              <w:rPr>
                <w:rStyle w:val="IndexLink"/>
              </w:rPr>
              <w:t>204</w:t>
            </w:r>
          </w:hyperlink>
        </w:p>
        <w:p>
          <w:pPr>
            <w:pStyle w:val="Contents2"/>
            <w:tabs>
              <w:tab w:val="clear" w:pos="8743"/>
              <w:tab w:val="right" w:pos="9026" w:leader="dot"/>
            </w:tabs>
            <w:rPr/>
          </w:pPr>
          <w:hyperlink w:anchor="__RefHeading___Toc1856108_581953129">
            <w:r>
              <w:rPr>
                <w:webHidden/>
                <w:rStyle w:val="IndexLink"/>
                <w:rtl w:val="true"/>
              </w:rPr>
              <w:t>رسالة فی نظریّة العدالة فی الحکومة الإسلامیّة و ولایة الفقیه</w:t>
            </w:r>
            <w:r>
              <w:rPr>
                <w:rStyle w:val="IndexLink"/>
                <w:rtl w:val="true"/>
              </w:rPr>
              <w:tab/>
            </w:r>
            <w:r>
              <w:rPr>
                <w:rStyle w:val="IndexLink"/>
              </w:rPr>
              <w:t>206</w:t>
            </w:r>
          </w:hyperlink>
        </w:p>
        <w:p>
          <w:pPr>
            <w:pStyle w:val="Contents3"/>
            <w:tabs>
              <w:tab w:val="clear" w:pos="8459"/>
              <w:tab w:val="right" w:pos="9026" w:leader="dot"/>
            </w:tabs>
            <w:rPr/>
          </w:pPr>
          <w:hyperlink w:anchor="__RefHeading___Toc1856110_581953129">
            <w:r>
              <w:rPr>
                <w:webHidden/>
                <w:rStyle w:val="IndexLink"/>
                <w:rtl w:val="true"/>
              </w:rPr>
              <w:t>اشارة</w:t>
            </w:r>
            <w:r>
              <w:rPr>
                <w:rStyle w:val="IndexLink"/>
                <w:rtl w:val="true"/>
              </w:rPr>
              <w:tab/>
            </w:r>
            <w:r>
              <w:rPr>
                <w:rStyle w:val="IndexLink"/>
              </w:rPr>
              <w:t>206</w:t>
            </w:r>
          </w:hyperlink>
        </w:p>
        <w:p>
          <w:pPr>
            <w:pStyle w:val="Contents3"/>
            <w:tabs>
              <w:tab w:val="clear" w:pos="8459"/>
              <w:tab w:val="right" w:pos="9026" w:leader="dot"/>
            </w:tabs>
            <w:rPr/>
          </w:pPr>
          <w:hyperlink w:anchor="__RefHeading___Toc1856112_581953129">
            <w:r>
              <w:rPr>
                <w:webHidden/>
                <w:rStyle w:val="IndexLink"/>
                <w:rtl w:val="true"/>
              </w:rPr>
              <w:t>تمهید</w:t>
            </w:r>
            <w:r>
              <w:rPr>
                <w:rStyle w:val="IndexLink"/>
                <w:rtl w:val="true"/>
              </w:rPr>
              <w:tab/>
            </w:r>
            <w:r>
              <w:rPr>
                <w:rStyle w:val="IndexLink"/>
              </w:rPr>
              <w:t>207</w:t>
            </w:r>
          </w:hyperlink>
        </w:p>
        <w:p>
          <w:pPr>
            <w:pStyle w:val="Contents3"/>
            <w:tabs>
              <w:tab w:val="clear" w:pos="8459"/>
              <w:tab w:val="right" w:pos="9026" w:leader="dot"/>
            </w:tabs>
            <w:rPr/>
          </w:pPr>
          <w:hyperlink w:anchor="__RefHeading___Toc1856114_581953129">
            <w:r>
              <w:rPr>
                <w:webHidden/>
                <w:rStyle w:val="IndexLink"/>
                <w:rtl w:val="true"/>
              </w:rPr>
              <w:t>المراد من العدالة</w:t>
            </w:r>
            <w:r>
              <w:rPr>
                <w:rStyle w:val="IndexLink"/>
                <w:rtl w:val="true"/>
              </w:rPr>
              <w:tab/>
            </w:r>
            <w:r>
              <w:rPr>
                <w:rStyle w:val="IndexLink"/>
              </w:rPr>
              <w:t>210</w:t>
            </w:r>
          </w:hyperlink>
        </w:p>
        <w:p>
          <w:pPr>
            <w:pStyle w:val="Contents3"/>
            <w:tabs>
              <w:tab w:val="clear" w:pos="8459"/>
              <w:tab w:val="right" w:pos="9026" w:leader="dot"/>
            </w:tabs>
            <w:rPr/>
          </w:pPr>
          <w:hyperlink w:anchor="__RefHeading___Toc1856116_581953129">
            <w:r>
              <w:rPr>
                <w:webHidden/>
                <w:rStyle w:val="IndexLink"/>
                <w:rtl w:val="true"/>
              </w:rPr>
              <w:t>وجوب تحقّق العدالة</w:t>
            </w:r>
            <w:r>
              <w:rPr>
                <w:rStyle w:val="IndexLink"/>
                <w:rtl w:val="true"/>
              </w:rPr>
              <w:tab/>
            </w:r>
            <w:r>
              <w:rPr>
                <w:rStyle w:val="IndexLink"/>
              </w:rPr>
              <w:t>214</w:t>
            </w:r>
          </w:hyperlink>
        </w:p>
        <w:p>
          <w:pPr>
            <w:pStyle w:val="Contents3"/>
            <w:tabs>
              <w:tab w:val="clear" w:pos="8459"/>
              <w:tab w:val="right" w:pos="9026" w:leader="dot"/>
            </w:tabs>
            <w:rPr/>
          </w:pPr>
          <w:hyperlink w:anchor="__RefHeading___Toc1856118_581953129">
            <w:r>
              <w:rPr>
                <w:webHidden/>
                <w:rStyle w:val="IndexLink"/>
                <w:rtl w:val="true"/>
              </w:rPr>
              <w:t>أدلّة وجوب تحقّق العدالة</w:t>
            </w:r>
            <w:r>
              <w:rPr>
                <w:rStyle w:val="IndexLink"/>
                <w:rtl w:val="true"/>
              </w:rPr>
              <w:tab/>
            </w:r>
            <w:r>
              <w:rPr>
                <w:rStyle w:val="IndexLink"/>
              </w:rPr>
              <w:t>214</w:t>
            </w:r>
          </w:hyperlink>
        </w:p>
        <w:p>
          <w:pPr>
            <w:pStyle w:val="Contents4"/>
            <w:tabs>
              <w:tab w:val="clear" w:pos="8176"/>
              <w:tab w:val="right" w:pos="9026" w:leader="dot"/>
            </w:tabs>
            <w:rPr/>
          </w:pPr>
          <w:hyperlink w:anchor="__RefHeading___Toc1856120_581953129">
            <w:r>
              <w:rPr>
                <w:webHidden/>
                <w:rStyle w:val="IndexLink"/>
                <w:rtl w:val="true"/>
              </w:rPr>
              <w:t>اشارة</w:t>
            </w:r>
            <w:r>
              <w:rPr>
                <w:rStyle w:val="IndexLink"/>
                <w:rtl w:val="true"/>
              </w:rPr>
              <w:tab/>
            </w:r>
            <w:r>
              <w:rPr>
                <w:rStyle w:val="IndexLink"/>
              </w:rPr>
              <w:t>214</w:t>
            </w:r>
          </w:hyperlink>
        </w:p>
        <w:p>
          <w:pPr>
            <w:pStyle w:val="Contents4"/>
            <w:tabs>
              <w:tab w:val="clear" w:pos="8176"/>
              <w:tab w:val="right" w:pos="9026" w:leader="dot"/>
            </w:tabs>
            <w:rPr/>
          </w:pPr>
          <w:hyperlink w:anchor="__RefHeading___Toc1856122_581953129">
            <w:r>
              <w:rPr>
                <w:webHidden/>
                <w:rStyle w:val="IndexLink"/>
                <w:rtl w:val="true"/>
              </w:rPr>
              <w:t>الدلیل الأوّل</w:t>
            </w:r>
            <w:r>
              <w:rPr>
                <w:rStyle w:val="IndexLink"/>
                <w:rtl w:val="true"/>
              </w:rPr>
              <w:t>:</w:t>
            </w:r>
            <w:r>
              <w:rPr>
                <w:rStyle w:val="IndexLink"/>
                <w:rtl w:val="true"/>
              </w:rPr>
              <w:t>العقل،بمراجعة العقل السلیم</w:t>
            </w:r>
            <w:r>
              <w:rPr>
                <w:rStyle w:val="IndexLink"/>
                <w:rtl w:val="true"/>
              </w:rPr>
              <w:tab/>
            </w:r>
            <w:r>
              <w:rPr>
                <w:rStyle w:val="IndexLink"/>
              </w:rPr>
              <w:t>214</w:t>
            </w:r>
          </w:hyperlink>
        </w:p>
        <w:p>
          <w:pPr>
            <w:pStyle w:val="Contents4"/>
            <w:tabs>
              <w:tab w:val="clear" w:pos="8176"/>
              <w:tab w:val="right" w:pos="9026" w:leader="dot"/>
            </w:tabs>
            <w:rPr/>
          </w:pPr>
          <w:hyperlink w:anchor="__RefHeading___Toc1856124_581953129">
            <w:r>
              <w:rPr>
                <w:webHidden/>
                <w:rStyle w:val="IndexLink"/>
                <w:rtl w:val="true"/>
              </w:rPr>
              <w:t>الدلیل الثانی</w:t>
            </w:r>
            <w:r>
              <w:rPr>
                <w:rStyle w:val="IndexLink"/>
                <w:rtl w:val="true"/>
              </w:rPr>
              <w:t>:</w:t>
            </w:r>
            <w:r>
              <w:rPr>
                <w:rStyle w:val="IndexLink"/>
                <w:rtl w:val="true"/>
              </w:rPr>
              <w:t>القرآن،لقد تمّ التأکید فی موارد کثیرة من القرآن الکریم</w:t>
            </w:r>
            <w:r>
              <w:rPr>
                <w:rStyle w:val="IndexLink"/>
                <w:rtl w:val="true"/>
              </w:rPr>
              <w:tab/>
            </w:r>
            <w:r>
              <w:rPr>
                <w:rStyle w:val="IndexLink"/>
              </w:rPr>
              <w:t>214</w:t>
            </w:r>
          </w:hyperlink>
        </w:p>
        <w:p>
          <w:pPr>
            <w:pStyle w:val="Contents4"/>
            <w:tabs>
              <w:tab w:val="clear" w:pos="8176"/>
              <w:tab w:val="right" w:pos="9026" w:leader="dot"/>
            </w:tabs>
            <w:rPr/>
          </w:pPr>
          <w:hyperlink w:anchor="__RefHeading___Toc1856126_581953129">
            <w:r>
              <w:rPr>
                <w:webHidden/>
                <w:rStyle w:val="IndexLink"/>
                <w:rtl w:val="true"/>
              </w:rPr>
              <w:t>الدلیل الثالث،الروایات</w:t>
            </w:r>
            <w:r>
              <w:rPr>
                <w:rStyle w:val="IndexLink"/>
                <w:rtl w:val="true"/>
              </w:rPr>
              <w:t>:</w:t>
            </w:r>
            <w:r>
              <w:rPr>
                <w:rStyle w:val="IndexLink"/>
                <w:rtl w:val="true"/>
              </w:rPr>
              <w:t>لقد ورد تقریر مسألة العدل بالمعنی المذکور</w:t>
            </w:r>
            <w:r>
              <w:rPr>
                <w:rStyle w:val="IndexLink"/>
                <w:rtl w:val="true"/>
              </w:rPr>
              <w:tab/>
            </w:r>
            <w:r>
              <w:rPr>
                <w:rStyle w:val="IndexLink"/>
              </w:rPr>
              <w:t>218</w:t>
            </w:r>
          </w:hyperlink>
        </w:p>
        <w:p>
          <w:pPr>
            <w:pStyle w:val="Contents3"/>
            <w:tabs>
              <w:tab w:val="clear" w:pos="8459"/>
              <w:tab w:val="right" w:pos="9026" w:leader="dot"/>
            </w:tabs>
            <w:rPr/>
          </w:pPr>
          <w:hyperlink w:anchor="__RefHeading___Toc1856128_581953129">
            <w:r>
              <w:rPr>
                <w:webHidden/>
                <w:rStyle w:val="IndexLink"/>
                <w:rtl w:val="true"/>
              </w:rPr>
              <w:t>المنفّذون للعدالة فی المجتمع</w:t>
            </w:r>
            <w:r>
              <w:rPr>
                <w:rStyle w:val="IndexLink"/>
                <w:rtl w:val="true"/>
              </w:rPr>
              <w:tab/>
            </w:r>
            <w:r>
              <w:rPr>
                <w:rStyle w:val="IndexLink"/>
              </w:rPr>
              <w:t>221</w:t>
            </w:r>
          </w:hyperlink>
        </w:p>
        <w:p>
          <w:pPr>
            <w:pStyle w:val="Contents3"/>
            <w:tabs>
              <w:tab w:val="clear" w:pos="8459"/>
              <w:tab w:val="right" w:pos="9026" w:leader="dot"/>
            </w:tabs>
            <w:rPr/>
          </w:pPr>
          <w:hyperlink w:anchor="__RefHeading___Toc1856130_581953129">
            <w:r>
              <w:rPr>
                <w:webHidden/>
                <w:rStyle w:val="IndexLink"/>
                <w:rtl w:val="true"/>
              </w:rPr>
              <w:t>الإجابة علی إشکالات ثلاث</w:t>
            </w:r>
            <w:r>
              <w:rPr>
                <w:rStyle w:val="IndexLink"/>
                <w:rtl w:val="true"/>
              </w:rPr>
              <w:tab/>
            </w:r>
            <w:r>
              <w:rPr>
                <w:rStyle w:val="IndexLink"/>
              </w:rPr>
              <w:t>225</w:t>
            </w:r>
          </w:hyperlink>
        </w:p>
        <w:p>
          <w:pPr>
            <w:pStyle w:val="Contents3"/>
            <w:tabs>
              <w:tab w:val="clear" w:pos="8459"/>
              <w:tab w:val="right" w:pos="9026" w:leader="dot"/>
            </w:tabs>
            <w:rPr/>
          </w:pPr>
          <w:hyperlink w:anchor="__RefHeading___Toc1856132_581953129">
            <w:r>
              <w:rPr>
                <w:webHidden/>
                <w:rStyle w:val="IndexLink"/>
                <w:rtl w:val="true"/>
              </w:rPr>
              <w:t>العدالة،و علاقتها بمسألة الحسن و القبح العقلیّین</w:t>
            </w:r>
            <w:r>
              <w:rPr>
                <w:rStyle w:val="IndexLink"/>
                <w:rtl w:val="true"/>
              </w:rPr>
              <w:tab/>
            </w:r>
            <w:r>
              <w:rPr>
                <w:rStyle w:val="IndexLink"/>
              </w:rPr>
              <w:t>228</w:t>
            </w:r>
          </w:hyperlink>
        </w:p>
        <w:p>
          <w:pPr>
            <w:pStyle w:val="Contents3"/>
            <w:tabs>
              <w:tab w:val="clear" w:pos="8459"/>
              <w:tab w:val="right" w:pos="9026" w:leader="dot"/>
            </w:tabs>
            <w:rPr/>
          </w:pPr>
          <w:hyperlink w:anchor="__RefHeading___Toc1856134_581953129">
            <w:r>
              <w:rPr>
                <w:webHidden/>
                <w:rStyle w:val="IndexLink"/>
                <w:rtl w:val="true"/>
              </w:rPr>
              <w:t>حاجة البشر إلی الولی،و انحصار الولایة بالذات فی اللّه تعالی</w:t>
            </w:r>
            <w:r>
              <w:rPr>
                <w:rStyle w:val="IndexLink"/>
                <w:rtl w:val="true"/>
              </w:rPr>
              <w:tab/>
            </w:r>
            <w:r>
              <w:rPr>
                <w:rStyle w:val="IndexLink"/>
              </w:rPr>
              <w:t>230</w:t>
            </w:r>
          </w:hyperlink>
        </w:p>
        <w:p>
          <w:pPr>
            <w:pStyle w:val="Contents3"/>
            <w:tabs>
              <w:tab w:val="clear" w:pos="8459"/>
              <w:tab w:val="right" w:pos="9026" w:leader="dot"/>
            </w:tabs>
            <w:rPr/>
          </w:pPr>
          <w:hyperlink w:anchor="__RefHeading___Toc1856136_581953129">
            <w:r>
              <w:rPr>
                <w:webHidden/>
                <w:rStyle w:val="IndexLink"/>
                <w:rtl w:val="true"/>
              </w:rPr>
              <w:t>العدالة،و مسألة خلافة الإنسان</w:t>
            </w:r>
            <w:r>
              <w:rPr>
                <w:rStyle w:val="IndexLink"/>
                <w:rtl w:val="true"/>
              </w:rPr>
              <w:tab/>
            </w:r>
            <w:r>
              <w:rPr>
                <w:rStyle w:val="IndexLink"/>
              </w:rPr>
              <w:t>232</w:t>
            </w:r>
          </w:hyperlink>
        </w:p>
        <w:p>
          <w:pPr>
            <w:pStyle w:val="Contents3"/>
            <w:tabs>
              <w:tab w:val="clear" w:pos="8459"/>
              <w:tab w:val="right" w:pos="9026" w:leader="dot"/>
            </w:tabs>
            <w:rPr/>
          </w:pPr>
          <w:hyperlink w:anchor="__RefHeading___Toc1856138_581953129">
            <w:r>
              <w:rPr>
                <w:webHidden/>
                <w:rStyle w:val="IndexLink"/>
                <w:rtl w:val="true"/>
              </w:rPr>
              <w:t>العدالة و الشوری</w:t>
            </w:r>
            <w:r>
              <w:rPr>
                <w:rStyle w:val="IndexLink"/>
                <w:rtl w:val="true"/>
              </w:rPr>
              <w:tab/>
            </w:r>
            <w:r>
              <w:rPr>
                <w:rStyle w:val="IndexLink"/>
              </w:rPr>
              <w:t>233</w:t>
            </w:r>
          </w:hyperlink>
        </w:p>
        <w:p>
          <w:pPr>
            <w:pStyle w:val="Contents3"/>
            <w:tabs>
              <w:tab w:val="clear" w:pos="8459"/>
              <w:tab w:val="right" w:pos="9026" w:leader="dot"/>
            </w:tabs>
            <w:rPr/>
          </w:pPr>
          <w:hyperlink w:anchor="__RefHeading___Toc1856140_581953129">
            <w:r>
              <w:rPr>
                <w:webHidden/>
                <w:rStyle w:val="IndexLink"/>
                <w:rtl w:val="true"/>
              </w:rPr>
              <w:t>العدالة و تعدّد الفقهاء</w:t>
            </w:r>
            <w:r>
              <w:rPr>
                <w:rStyle w:val="IndexLink"/>
                <w:rtl w:val="true"/>
              </w:rPr>
              <w:tab/>
            </w:r>
            <w:r>
              <w:rPr>
                <w:rStyle w:val="IndexLink"/>
              </w:rPr>
              <w:t>234</w:t>
            </w:r>
          </w:hyperlink>
        </w:p>
        <w:p>
          <w:pPr>
            <w:pStyle w:val="Contents3"/>
            <w:tabs>
              <w:tab w:val="clear" w:pos="8459"/>
              <w:tab w:val="right" w:pos="9026" w:leader="dot"/>
            </w:tabs>
            <w:rPr/>
          </w:pPr>
          <w:hyperlink w:anchor="__RefHeading___Toc1856142_581953129">
            <w:r>
              <w:rPr>
                <w:webHidden/>
                <w:rStyle w:val="IndexLink"/>
                <w:rtl w:val="true"/>
              </w:rPr>
              <w:t>الرابطة بین الحاکم و أفراد المجتمع</w:t>
            </w:r>
            <w:r>
              <w:rPr>
                <w:rStyle w:val="IndexLink"/>
                <w:rtl w:val="true"/>
              </w:rPr>
              <w:tab/>
            </w:r>
            <w:r>
              <w:rPr>
                <w:rStyle w:val="IndexLink"/>
              </w:rPr>
              <w:t>235</w:t>
            </w:r>
          </w:hyperlink>
        </w:p>
        <w:p>
          <w:pPr>
            <w:pStyle w:val="Contents3"/>
            <w:tabs>
              <w:tab w:val="clear" w:pos="8459"/>
              <w:tab w:val="right" w:pos="9026" w:leader="dot"/>
            </w:tabs>
            <w:rPr/>
          </w:pPr>
          <w:hyperlink w:anchor="__RefHeading___Toc1856144_581953129">
            <w:r>
              <w:rPr>
                <w:webHidden/>
                <w:rStyle w:val="IndexLink"/>
                <w:rtl w:val="true"/>
              </w:rPr>
              <w:t>العدالة،و عدم الفرق بین زمان المعصوم علیه السّلام و غیر المعصوم</w:t>
            </w:r>
            <w:r>
              <w:rPr>
                <w:rStyle w:val="IndexLink"/>
                <w:rtl w:val="true"/>
              </w:rPr>
              <w:tab/>
            </w:r>
            <w:r>
              <w:rPr>
                <w:rStyle w:val="IndexLink"/>
              </w:rPr>
              <w:t>236</w:t>
            </w:r>
          </w:hyperlink>
        </w:p>
        <w:p>
          <w:pPr>
            <w:pStyle w:val="Contents3"/>
            <w:tabs>
              <w:tab w:val="clear" w:pos="8459"/>
              <w:tab w:val="right" w:pos="9026" w:leader="dot"/>
            </w:tabs>
            <w:rPr/>
          </w:pPr>
          <w:hyperlink w:anchor="__RefHeading___Toc1856146_581953129">
            <w:r>
              <w:rPr>
                <w:webHidden/>
                <w:rStyle w:val="IndexLink"/>
                <w:rtl w:val="true"/>
              </w:rPr>
              <w:t>نتائج بحث نظریّة العدالة</w:t>
            </w:r>
            <w:r>
              <w:rPr>
                <w:rStyle w:val="IndexLink"/>
                <w:rtl w:val="true"/>
              </w:rPr>
              <w:tab/>
            </w:r>
            <w:r>
              <w:rPr>
                <w:rStyle w:val="IndexLink"/>
              </w:rPr>
              <w:t>237</w:t>
            </w:r>
          </w:hyperlink>
        </w:p>
        <w:p>
          <w:pPr>
            <w:pStyle w:val="Contents2"/>
            <w:tabs>
              <w:tab w:val="clear" w:pos="8743"/>
              <w:tab w:val="right" w:pos="9026" w:leader="dot"/>
            </w:tabs>
            <w:rPr/>
          </w:pPr>
          <w:hyperlink w:anchor="__RefHeading___Toc1856148_581953129">
            <w:r>
              <w:rPr>
                <w:webHidden/>
                <w:rStyle w:val="IndexLink"/>
                <w:rtl w:val="true"/>
              </w:rPr>
              <w:t>رسالة فی تأثیر الزمان و المکان فی الفقه</w:t>
            </w:r>
            <w:r>
              <w:rPr>
                <w:rStyle w:val="IndexLink"/>
                <w:rtl w:val="true"/>
              </w:rPr>
              <w:tab/>
            </w:r>
            <w:r>
              <w:rPr>
                <w:rStyle w:val="IndexLink"/>
              </w:rPr>
              <w:t>244</w:t>
            </w:r>
          </w:hyperlink>
        </w:p>
        <w:p>
          <w:pPr>
            <w:pStyle w:val="Contents3"/>
            <w:tabs>
              <w:tab w:val="clear" w:pos="8459"/>
              <w:tab w:val="right" w:pos="9026" w:leader="dot"/>
            </w:tabs>
            <w:rPr/>
          </w:pPr>
          <w:hyperlink w:anchor="__RefHeading___Toc1856150_581953129">
            <w:r>
              <w:rPr>
                <w:webHidden/>
                <w:rStyle w:val="IndexLink"/>
                <w:rtl w:val="true"/>
              </w:rPr>
              <w:t>اشارة</w:t>
            </w:r>
            <w:r>
              <w:rPr>
                <w:rStyle w:val="IndexLink"/>
                <w:rtl w:val="true"/>
              </w:rPr>
              <w:tab/>
            </w:r>
            <w:r>
              <w:rPr>
                <w:rStyle w:val="IndexLink"/>
              </w:rPr>
              <w:t>244</w:t>
            </w:r>
          </w:hyperlink>
        </w:p>
        <w:p>
          <w:pPr>
            <w:pStyle w:val="Contents3"/>
            <w:tabs>
              <w:tab w:val="clear" w:pos="8459"/>
              <w:tab w:val="right" w:pos="9026" w:leader="dot"/>
            </w:tabs>
            <w:rPr/>
          </w:pPr>
          <w:hyperlink w:anchor="__RefHeading___Toc1856152_581953129">
            <w:r>
              <w:rPr>
                <w:webHidden/>
                <w:rStyle w:val="IndexLink"/>
                <w:rtl w:val="true"/>
              </w:rPr>
              <w:t>الفصل الأوّل</w:t>
            </w:r>
            <w:r>
              <w:rPr>
                <w:rStyle w:val="IndexLink"/>
                <w:rtl w:val="true"/>
              </w:rPr>
              <w:t>:</w:t>
            </w:r>
            <w:r>
              <w:rPr>
                <w:rStyle w:val="IndexLink"/>
                <w:rtl w:val="true"/>
              </w:rPr>
              <w:t>کلّیات البحث</w:t>
            </w:r>
            <w:r>
              <w:rPr>
                <w:rStyle w:val="IndexLink"/>
                <w:rtl w:val="true"/>
              </w:rPr>
              <w:tab/>
            </w:r>
            <w:r>
              <w:rPr>
                <w:rStyle w:val="IndexLink"/>
              </w:rPr>
              <w:t>245</w:t>
            </w:r>
          </w:hyperlink>
        </w:p>
        <w:p>
          <w:pPr>
            <w:pStyle w:val="Contents4"/>
            <w:tabs>
              <w:tab w:val="clear" w:pos="8176"/>
              <w:tab w:val="right" w:pos="9026" w:leader="dot"/>
            </w:tabs>
            <w:rPr/>
          </w:pPr>
          <w:hyperlink w:anchor="__RefHeading___Toc1856154_581953129">
            <w:r>
              <w:rPr>
                <w:webHidden/>
                <w:rStyle w:val="IndexLink"/>
                <w:rtl w:val="true"/>
              </w:rPr>
              <w:t>اشارة</w:t>
            </w:r>
            <w:r>
              <w:rPr>
                <w:rStyle w:val="IndexLink"/>
                <w:rtl w:val="true"/>
              </w:rPr>
              <w:tab/>
            </w:r>
            <w:r>
              <w:rPr>
                <w:rStyle w:val="IndexLink"/>
              </w:rPr>
              <w:t>245</w:t>
            </w:r>
          </w:hyperlink>
        </w:p>
        <w:p>
          <w:pPr>
            <w:pStyle w:val="Contents4"/>
            <w:tabs>
              <w:tab w:val="clear" w:pos="8176"/>
              <w:tab w:val="right" w:pos="9026" w:leader="dot"/>
            </w:tabs>
            <w:rPr/>
          </w:pPr>
          <w:hyperlink w:anchor="__RefHeading___Toc1856156_581953129">
            <w:r>
              <w:rPr>
                <w:webHidden/>
                <w:rStyle w:val="IndexLink"/>
                <w:rtl w:val="true"/>
              </w:rPr>
              <w:t>أ</w:t>
            </w:r>
            <w:r>
              <w:rPr>
                <w:rStyle w:val="IndexLink"/>
                <w:rtl w:val="true"/>
              </w:rPr>
              <w:t>)</w:t>
            </w:r>
            <w:r>
              <w:rPr>
                <w:rStyle w:val="IndexLink"/>
                <w:rtl w:val="true"/>
              </w:rPr>
              <w:t>مفهوم الزمان و المکان،و تأثیرهما فی الفقه</w:t>
            </w:r>
            <w:r>
              <w:rPr>
                <w:rStyle w:val="IndexLink"/>
                <w:rtl w:val="true"/>
              </w:rPr>
              <w:tab/>
            </w:r>
            <w:r>
              <w:rPr>
                <w:rStyle w:val="IndexLink"/>
              </w:rPr>
              <w:t>246</w:t>
            </w:r>
          </w:hyperlink>
        </w:p>
        <w:p>
          <w:pPr>
            <w:pStyle w:val="Contents4"/>
            <w:tabs>
              <w:tab w:val="clear" w:pos="8176"/>
              <w:tab w:val="right" w:pos="9026" w:leader="dot"/>
            </w:tabs>
            <w:rPr/>
          </w:pPr>
          <w:hyperlink w:anchor="__RefHeading___Toc1856158_581953129">
            <w:r>
              <w:rPr>
                <w:webHidden/>
                <w:rStyle w:val="IndexLink"/>
                <w:rtl w:val="true"/>
              </w:rPr>
              <w:t>ب</w:t>
            </w:r>
            <w:r>
              <w:rPr>
                <w:rStyle w:val="IndexLink"/>
                <w:rtl w:val="true"/>
              </w:rPr>
              <w:t>)</w:t>
            </w:r>
            <w:r>
              <w:rPr>
                <w:rStyle w:val="IndexLink"/>
                <w:rtl w:val="true"/>
              </w:rPr>
              <w:t>تأثیر الزمان و المکان فی العلوم الاعتباریّة</w:t>
            </w:r>
            <w:r>
              <w:rPr>
                <w:rStyle w:val="IndexLink"/>
                <w:rtl w:val="true"/>
              </w:rPr>
              <w:tab/>
            </w:r>
            <w:r>
              <w:rPr>
                <w:rStyle w:val="IndexLink"/>
              </w:rPr>
              <w:t>248</w:t>
            </w:r>
          </w:hyperlink>
        </w:p>
        <w:p>
          <w:pPr>
            <w:pStyle w:val="Contents4"/>
            <w:tabs>
              <w:tab w:val="clear" w:pos="8176"/>
              <w:tab w:val="right" w:pos="9026" w:leader="dot"/>
            </w:tabs>
            <w:rPr/>
          </w:pPr>
          <w:hyperlink w:anchor="__RefHeading___Toc1856160_581953129">
            <w:r>
              <w:rPr>
                <w:webHidden/>
                <w:rStyle w:val="IndexLink"/>
                <w:rtl w:val="true"/>
              </w:rPr>
              <w:t>ج</w:t>
            </w:r>
            <w:r>
              <w:rPr>
                <w:rStyle w:val="IndexLink"/>
                <w:rtl w:val="true"/>
              </w:rPr>
              <w:t>)</w:t>
            </w:r>
            <w:r>
              <w:rPr>
                <w:rStyle w:val="IndexLink"/>
                <w:rtl w:val="true"/>
              </w:rPr>
              <w:t>موقع مسألة الزمان و المکان</w:t>
            </w:r>
            <w:r>
              <w:rPr>
                <w:rStyle w:val="IndexLink"/>
                <w:rtl w:val="true"/>
              </w:rPr>
              <w:tab/>
            </w:r>
            <w:r>
              <w:rPr>
                <w:rStyle w:val="IndexLink"/>
              </w:rPr>
              <w:t>250</w:t>
            </w:r>
          </w:hyperlink>
        </w:p>
        <w:p>
          <w:pPr>
            <w:pStyle w:val="Contents4"/>
            <w:tabs>
              <w:tab w:val="clear" w:pos="8176"/>
              <w:tab w:val="right" w:pos="9026" w:leader="dot"/>
            </w:tabs>
            <w:rPr/>
          </w:pPr>
          <w:hyperlink w:anchor="__RefHeading___Toc1856162_581953129">
            <w:r>
              <w:rPr>
                <w:webHidden/>
                <w:rStyle w:val="IndexLink"/>
                <w:rtl w:val="true"/>
              </w:rPr>
              <w:t>د</w:t>
            </w:r>
            <w:r>
              <w:rPr>
                <w:rStyle w:val="IndexLink"/>
                <w:rtl w:val="true"/>
              </w:rPr>
              <w:t>)</w:t>
            </w:r>
            <w:r>
              <w:rPr>
                <w:rStyle w:val="IndexLink"/>
                <w:rtl w:val="true"/>
              </w:rPr>
              <w:t>تفاوت الزمان و المکان مع بعض الامور المشابهة</w:t>
            </w:r>
            <w:r>
              <w:rPr>
                <w:rStyle w:val="IndexLink"/>
                <w:rtl w:val="true"/>
              </w:rPr>
              <w:tab/>
            </w:r>
            <w:r>
              <w:rPr>
                <w:rStyle w:val="IndexLink"/>
              </w:rPr>
              <w:t>252</w:t>
            </w:r>
          </w:hyperlink>
        </w:p>
        <w:p>
          <w:pPr>
            <w:pStyle w:val="Contents5"/>
            <w:tabs>
              <w:tab w:val="clear" w:pos="7892"/>
              <w:tab w:val="right" w:pos="9026" w:leader="dot"/>
            </w:tabs>
            <w:rPr/>
          </w:pPr>
          <w:hyperlink w:anchor="__RefHeading___Toc1856164_581953129">
            <w:r>
              <w:rPr>
                <w:webHidden/>
                <w:rStyle w:val="IndexLink"/>
              </w:rPr>
              <w:t>1</w:t>
            </w:r>
            <w:r>
              <w:rPr>
                <w:rStyle w:val="IndexLink"/>
                <w:rtl w:val="true"/>
              </w:rPr>
              <w:t>-</w:t>
            </w:r>
            <w:r>
              <w:rPr>
                <w:rStyle w:val="IndexLink"/>
                <w:rtl w:val="true"/>
              </w:rPr>
              <w:t>الزمان و المکان و مسألة العرف</w:t>
            </w:r>
            <w:r>
              <w:rPr>
                <w:rStyle w:val="IndexLink"/>
                <w:rtl w:val="true"/>
              </w:rPr>
              <w:tab/>
            </w:r>
            <w:r>
              <w:rPr>
                <w:rStyle w:val="IndexLink"/>
              </w:rPr>
              <w:t>252</w:t>
            </w:r>
          </w:hyperlink>
        </w:p>
        <w:p>
          <w:pPr>
            <w:pStyle w:val="Contents5"/>
            <w:tabs>
              <w:tab w:val="clear" w:pos="7892"/>
              <w:tab w:val="right" w:pos="9026" w:leader="dot"/>
            </w:tabs>
            <w:rPr/>
          </w:pPr>
          <w:hyperlink w:anchor="__RefHeading___Toc1856166_581953129">
            <w:r>
              <w:rPr>
                <w:webHidden/>
                <w:rStyle w:val="IndexLink"/>
              </w:rPr>
              <w:t>2</w:t>
            </w:r>
            <w:r>
              <w:rPr>
                <w:rStyle w:val="IndexLink"/>
                <w:rtl w:val="true"/>
              </w:rPr>
              <w:t>-</w:t>
            </w:r>
            <w:r>
              <w:rPr>
                <w:rStyle w:val="IndexLink"/>
                <w:rtl w:val="true"/>
              </w:rPr>
              <w:t>الزمان و المکان،و بناء العقلاء</w:t>
            </w:r>
            <w:r>
              <w:rPr>
                <w:rStyle w:val="IndexLink"/>
                <w:rtl w:val="true"/>
              </w:rPr>
              <w:tab/>
            </w:r>
            <w:r>
              <w:rPr>
                <w:rStyle w:val="IndexLink"/>
              </w:rPr>
              <w:t>254</w:t>
            </w:r>
          </w:hyperlink>
        </w:p>
        <w:p>
          <w:pPr>
            <w:pStyle w:val="Contents5"/>
            <w:tabs>
              <w:tab w:val="clear" w:pos="7892"/>
              <w:tab w:val="right" w:pos="9026" w:leader="dot"/>
            </w:tabs>
            <w:rPr/>
          </w:pPr>
          <w:hyperlink w:anchor="__RefHeading___Toc1856168_581953129">
            <w:r>
              <w:rPr>
                <w:webHidden/>
                <w:rStyle w:val="IndexLink"/>
              </w:rPr>
              <w:t>3</w:t>
            </w:r>
            <w:r>
              <w:rPr>
                <w:rStyle w:val="IndexLink"/>
                <w:rtl w:val="true"/>
              </w:rPr>
              <w:t>-</w:t>
            </w:r>
            <w:r>
              <w:rPr>
                <w:rStyle w:val="IndexLink"/>
                <w:rtl w:val="true"/>
              </w:rPr>
              <w:t>الزمان و المکان،و المسائل المستحدثة</w:t>
            </w:r>
            <w:r>
              <w:rPr>
                <w:rStyle w:val="IndexLink"/>
                <w:rtl w:val="true"/>
              </w:rPr>
              <w:tab/>
            </w:r>
            <w:r>
              <w:rPr>
                <w:rStyle w:val="IndexLink"/>
              </w:rPr>
              <w:t>257</w:t>
            </w:r>
          </w:hyperlink>
        </w:p>
        <w:p>
          <w:pPr>
            <w:pStyle w:val="Contents5"/>
            <w:tabs>
              <w:tab w:val="clear" w:pos="7892"/>
              <w:tab w:val="right" w:pos="9026" w:leader="dot"/>
            </w:tabs>
            <w:rPr/>
          </w:pPr>
          <w:hyperlink w:anchor="__RefHeading___Toc1856170_581953129">
            <w:r>
              <w:rPr>
                <w:webHidden/>
                <w:rStyle w:val="IndexLink"/>
              </w:rPr>
              <w:t>4</w:t>
            </w:r>
            <w:r>
              <w:rPr>
                <w:rStyle w:val="IndexLink"/>
                <w:rtl w:val="true"/>
              </w:rPr>
              <w:t>-</w:t>
            </w:r>
            <w:r>
              <w:rPr>
                <w:rStyle w:val="IndexLink"/>
                <w:rtl w:val="true"/>
              </w:rPr>
              <w:t>الزمان و المکان،و مسألة النسخ</w:t>
            </w:r>
            <w:r>
              <w:rPr>
                <w:rStyle w:val="IndexLink"/>
                <w:rtl w:val="true"/>
              </w:rPr>
              <w:tab/>
            </w:r>
            <w:r>
              <w:rPr>
                <w:rStyle w:val="IndexLink"/>
              </w:rPr>
              <w:t>258</w:t>
            </w:r>
          </w:hyperlink>
        </w:p>
        <w:p>
          <w:pPr>
            <w:pStyle w:val="Contents5"/>
            <w:tabs>
              <w:tab w:val="clear" w:pos="7892"/>
              <w:tab w:val="right" w:pos="9026" w:leader="dot"/>
            </w:tabs>
            <w:rPr/>
          </w:pPr>
          <w:hyperlink w:anchor="__RefHeading___Toc1856172_581953129">
            <w:r>
              <w:rPr>
                <w:webHidden/>
                <w:rStyle w:val="IndexLink"/>
              </w:rPr>
              <w:t>5</w:t>
            </w:r>
            <w:r>
              <w:rPr>
                <w:rStyle w:val="IndexLink"/>
                <w:rtl w:val="true"/>
              </w:rPr>
              <w:t>-</w:t>
            </w:r>
            <w:r>
              <w:rPr>
                <w:rStyle w:val="IndexLink"/>
                <w:rtl w:val="true"/>
              </w:rPr>
              <w:t>الزمان و المکان،و قاعدة الأهمّ فالأهمّ</w:t>
            </w:r>
            <w:r>
              <w:rPr>
                <w:rStyle w:val="IndexLink"/>
                <w:rtl w:val="true"/>
              </w:rPr>
              <w:tab/>
            </w:r>
            <w:r>
              <w:rPr>
                <w:rStyle w:val="IndexLink"/>
              </w:rPr>
              <w:t>259</w:t>
            </w:r>
          </w:hyperlink>
        </w:p>
        <w:p>
          <w:pPr>
            <w:pStyle w:val="Contents5"/>
            <w:tabs>
              <w:tab w:val="clear" w:pos="7892"/>
              <w:tab w:val="right" w:pos="9026" w:leader="dot"/>
            </w:tabs>
            <w:rPr/>
          </w:pPr>
          <w:hyperlink w:anchor="__RefHeading___Toc1856174_581953129">
            <w:r>
              <w:rPr>
                <w:webHidden/>
                <w:rStyle w:val="IndexLink"/>
              </w:rPr>
              <w:t>6</w:t>
            </w:r>
            <w:r>
              <w:rPr>
                <w:rStyle w:val="IndexLink"/>
                <w:rtl w:val="true"/>
              </w:rPr>
              <w:t>-</w:t>
            </w:r>
            <w:r>
              <w:rPr>
                <w:rStyle w:val="IndexLink"/>
                <w:rtl w:val="true"/>
              </w:rPr>
              <w:t>الزمان و المکان،و قاعدة</w:t>
            </w:r>
            <w:r>
              <w:rPr>
                <w:rStyle w:val="IndexLink"/>
                <w:rtl w:val="true"/>
              </w:rPr>
              <w:t>«</w:t>
            </w:r>
            <w:r>
              <w:rPr>
                <w:rStyle w:val="IndexLink"/>
                <w:rtl w:val="true"/>
              </w:rPr>
              <w:t>الضرورات تبیح المحظورات</w:t>
            </w:r>
            <w:r>
              <w:rPr>
                <w:rStyle w:val="IndexLink"/>
                <w:rtl w:val="true"/>
              </w:rPr>
              <w:t>»</w:t>
              <w:tab/>
            </w:r>
            <w:r>
              <w:rPr>
                <w:rStyle w:val="IndexLink"/>
              </w:rPr>
              <w:t>259</w:t>
            </w:r>
          </w:hyperlink>
        </w:p>
        <w:p>
          <w:pPr>
            <w:pStyle w:val="Contents3"/>
            <w:tabs>
              <w:tab w:val="clear" w:pos="8459"/>
              <w:tab w:val="right" w:pos="9026" w:leader="dot"/>
            </w:tabs>
            <w:rPr/>
          </w:pPr>
          <w:hyperlink w:anchor="__RefHeading___Toc1856176_581953129">
            <w:r>
              <w:rPr>
                <w:webHidden/>
                <w:rStyle w:val="IndexLink"/>
                <w:rtl w:val="true"/>
              </w:rPr>
              <w:t>الفصل الثانی</w:t>
            </w:r>
            <w:r>
              <w:rPr>
                <w:rStyle w:val="IndexLink"/>
                <w:rtl w:val="true"/>
              </w:rPr>
              <w:t>:</w:t>
            </w:r>
            <w:r>
              <w:rPr>
                <w:rStyle w:val="IndexLink"/>
                <w:rtl w:val="true"/>
              </w:rPr>
              <w:t>کیفیّة تأثیر الزمان و المکان،و دائرتهما</w:t>
            </w:r>
            <w:r>
              <w:rPr>
                <w:rStyle w:val="IndexLink"/>
                <w:rtl w:val="true"/>
              </w:rPr>
              <w:tab/>
            </w:r>
            <w:r>
              <w:rPr>
                <w:rStyle w:val="IndexLink"/>
              </w:rPr>
              <w:t>261</w:t>
            </w:r>
          </w:hyperlink>
        </w:p>
        <w:p>
          <w:pPr>
            <w:pStyle w:val="Contents4"/>
            <w:tabs>
              <w:tab w:val="clear" w:pos="8176"/>
              <w:tab w:val="right" w:pos="9026" w:leader="dot"/>
            </w:tabs>
            <w:rPr/>
          </w:pPr>
          <w:hyperlink w:anchor="__RefHeading___Toc1856178_581953129">
            <w:r>
              <w:rPr>
                <w:webHidden/>
                <w:rStyle w:val="IndexLink"/>
                <w:rtl w:val="true"/>
              </w:rPr>
              <w:t>أ</w:t>
            </w:r>
            <w:r>
              <w:rPr>
                <w:rStyle w:val="IndexLink"/>
                <w:rtl w:val="true"/>
              </w:rPr>
              <w:t>)</w:t>
            </w:r>
            <w:r>
              <w:rPr>
                <w:rStyle w:val="IndexLink"/>
                <w:rtl w:val="true"/>
              </w:rPr>
              <w:t>تأثیر الزمان و المکان فی ملاکات الأحکام</w:t>
            </w:r>
            <w:r>
              <w:rPr>
                <w:rStyle w:val="IndexLink"/>
                <w:rtl w:val="true"/>
              </w:rPr>
              <w:tab/>
            </w:r>
            <w:r>
              <w:rPr>
                <w:rStyle w:val="IndexLink"/>
              </w:rPr>
              <w:t>261</w:t>
            </w:r>
          </w:hyperlink>
        </w:p>
        <w:p>
          <w:pPr>
            <w:pStyle w:val="Contents5"/>
            <w:tabs>
              <w:tab w:val="clear" w:pos="7892"/>
              <w:tab w:val="right" w:pos="9026" w:leader="dot"/>
            </w:tabs>
            <w:rPr/>
          </w:pPr>
          <w:hyperlink w:anchor="__RefHeading___Toc1856180_581953129">
            <w:r>
              <w:rPr>
                <w:webHidden/>
                <w:rStyle w:val="IndexLink"/>
                <w:rtl w:val="true"/>
              </w:rPr>
              <w:t>اشارة</w:t>
            </w:r>
            <w:r>
              <w:rPr>
                <w:rStyle w:val="IndexLink"/>
                <w:rtl w:val="true"/>
              </w:rPr>
              <w:tab/>
            </w:r>
            <w:r>
              <w:rPr>
                <w:rStyle w:val="IndexLink"/>
              </w:rPr>
              <w:t>261</w:t>
            </w:r>
          </w:hyperlink>
        </w:p>
        <w:p>
          <w:pPr>
            <w:pStyle w:val="Contents5"/>
            <w:tabs>
              <w:tab w:val="clear" w:pos="7892"/>
              <w:tab w:val="right" w:pos="9026" w:leader="dot"/>
            </w:tabs>
            <w:rPr/>
          </w:pPr>
          <w:hyperlink w:anchor="__RefHeading___Toc1856182_581953129">
            <w:r>
              <w:rPr>
                <w:webHidden/>
                <w:rStyle w:val="IndexLink"/>
              </w:rPr>
              <w:t>1</w:t>
            </w:r>
            <w:r>
              <w:rPr>
                <w:rStyle w:val="IndexLink"/>
                <w:rtl w:val="true"/>
              </w:rPr>
              <w:t>-</w:t>
            </w:r>
            <w:r>
              <w:rPr>
                <w:rStyle w:val="IndexLink"/>
                <w:rtl w:val="true"/>
              </w:rPr>
              <w:t>ملاکات الأحکام العبادیّة</w:t>
            </w:r>
            <w:r>
              <w:rPr>
                <w:rStyle w:val="IndexLink"/>
                <w:rtl w:val="true"/>
              </w:rPr>
              <w:tab/>
            </w:r>
            <w:r>
              <w:rPr>
                <w:rStyle w:val="IndexLink"/>
              </w:rPr>
              <w:t>262</w:t>
            </w:r>
          </w:hyperlink>
        </w:p>
        <w:p>
          <w:pPr>
            <w:pStyle w:val="Contents5"/>
            <w:tabs>
              <w:tab w:val="clear" w:pos="7892"/>
              <w:tab w:val="right" w:pos="9026" w:leader="dot"/>
            </w:tabs>
            <w:rPr/>
          </w:pPr>
          <w:hyperlink w:anchor="__RefHeading___Toc1856184_581953129">
            <w:r>
              <w:rPr>
                <w:webHidden/>
                <w:rStyle w:val="IndexLink"/>
              </w:rPr>
              <w:t>2</w:t>
            </w:r>
            <w:r>
              <w:rPr>
                <w:rStyle w:val="IndexLink"/>
                <w:rtl w:val="true"/>
              </w:rPr>
              <w:t>-</w:t>
            </w:r>
            <w:r>
              <w:rPr>
                <w:rStyle w:val="IndexLink"/>
                <w:rtl w:val="true"/>
              </w:rPr>
              <w:t>ملاکات الأحکام المعاملاتیّة</w:t>
            </w:r>
            <w:r>
              <w:rPr>
                <w:rStyle w:val="IndexLink"/>
                <w:rtl w:val="true"/>
              </w:rPr>
              <w:tab/>
            </w:r>
            <w:r>
              <w:rPr>
                <w:rStyle w:val="IndexLink"/>
              </w:rPr>
              <w:t>263</w:t>
            </w:r>
          </w:hyperlink>
        </w:p>
        <w:p>
          <w:pPr>
            <w:pStyle w:val="Contents5"/>
            <w:tabs>
              <w:tab w:val="clear" w:pos="7892"/>
              <w:tab w:val="right" w:pos="9026" w:leader="dot"/>
            </w:tabs>
            <w:rPr/>
          </w:pPr>
          <w:hyperlink w:anchor="__RefHeading___Toc1856186_581953129">
            <w:r>
              <w:rPr>
                <w:webHidden/>
                <w:rStyle w:val="IndexLink"/>
              </w:rPr>
              <w:t>3</w:t>
            </w:r>
            <w:r>
              <w:rPr>
                <w:rStyle w:val="IndexLink"/>
                <w:rtl w:val="true"/>
              </w:rPr>
              <w:t>-</w:t>
            </w:r>
            <w:r>
              <w:rPr>
                <w:rStyle w:val="IndexLink"/>
                <w:rtl w:val="true"/>
              </w:rPr>
              <w:t>ملاکات الأحکام الشخصیّة</w:t>
            </w:r>
            <w:r>
              <w:rPr>
                <w:rStyle w:val="IndexLink"/>
                <w:rtl w:val="true"/>
              </w:rPr>
              <w:tab/>
            </w:r>
            <w:r>
              <w:rPr>
                <w:rStyle w:val="IndexLink"/>
              </w:rPr>
              <w:t>265</w:t>
            </w:r>
          </w:hyperlink>
        </w:p>
        <w:p>
          <w:pPr>
            <w:pStyle w:val="Contents5"/>
            <w:tabs>
              <w:tab w:val="clear" w:pos="7892"/>
              <w:tab w:val="right" w:pos="9026" w:leader="dot"/>
            </w:tabs>
            <w:rPr/>
          </w:pPr>
          <w:hyperlink w:anchor="__RefHeading___Toc1856188_581953129">
            <w:r>
              <w:rPr>
                <w:webHidden/>
                <w:rStyle w:val="IndexLink"/>
              </w:rPr>
              <w:t>4</w:t>
            </w:r>
            <w:r>
              <w:rPr>
                <w:rStyle w:val="IndexLink"/>
                <w:rtl w:val="true"/>
              </w:rPr>
              <w:t>-</w:t>
            </w:r>
            <w:r>
              <w:rPr>
                <w:rStyle w:val="IndexLink"/>
                <w:rtl w:val="true"/>
              </w:rPr>
              <w:t>ملاکات الأحکام الاجتماعیّة</w:t>
            </w:r>
            <w:r>
              <w:rPr>
                <w:rStyle w:val="IndexLink"/>
                <w:rtl w:val="true"/>
              </w:rPr>
              <w:tab/>
            </w:r>
            <w:r>
              <w:rPr>
                <w:rStyle w:val="IndexLink"/>
              </w:rPr>
              <w:t>265</w:t>
            </w:r>
          </w:hyperlink>
        </w:p>
        <w:p>
          <w:pPr>
            <w:pStyle w:val="Contents4"/>
            <w:tabs>
              <w:tab w:val="clear" w:pos="8176"/>
              <w:tab w:val="right" w:pos="9026" w:leader="dot"/>
            </w:tabs>
            <w:rPr/>
          </w:pPr>
          <w:hyperlink w:anchor="__RefHeading___Toc1856190_581953129">
            <w:r>
              <w:rPr>
                <w:webHidden/>
                <w:rStyle w:val="IndexLink"/>
                <w:rtl w:val="true"/>
              </w:rPr>
              <w:t>ب</w:t>
            </w:r>
            <w:r>
              <w:rPr>
                <w:rStyle w:val="IndexLink"/>
                <w:rtl w:val="true"/>
              </w:rPr>
              <w:t>)</w:t>
            </w:r>
            <w:r>
              <w:rPr>
                <w:rStyle w:val="IndexLink"/>
                <w:rtl w:val="true"/>
              </w:rPr>
              <w:t>تأثیر الزمان و المکان فی موضوعات و متعلّقات الأحکام</w:t>
            </w:r>
            <w:r>
              <w:rPr>
                <w:rStyle w:val="IndexLink"/>
                <w:rtl w:val="true"/>
              </w:rPr>
              <w:tab/>
            </w:r>
            <w:r>
              <w:rPr>
                <w:rStyle w:val="IndexLink"/>
              </w:rPr>
              <w:t>266</w:t>
            </w:r>
          </w:hyperlink>
        </w:p>
        <w:p>
          <w:pPr>
            <w:pStyle w:val="Contents5"/>
            <w:tabs>
              <w:tab w:val="clear" w:pos="7892"/>
              <w:tab w:val="right" w:pos="9026" w:leader="dot"/>
            </w:tabs>
            <w:rPr/>
          </w:pPr>
          <w:hyperlink w:anchor="__RefHeading___Toc1856192_581953129">
            <w:r>
              <w:rPr>
                <w:webHidden/>
                <w:rStyle w:val="IndexLink"/>
              </w:rPr>
              <w:t>1</w:t>
            </w:r>
            <w:r>
              <w:rPr>
                <w:rStyle w:val="IndexLink"/>
                <w:rtl w:val="true"/>
              </w:rPr>
              <w:t>-</w:t>
            </w:r>
            <w:r>
              <w:rPr>
                <w:rStyle w:val="IndexLink"/>
                <w:rtl w:val="true"/>
              </w:rPr>
              <w:t>تعریف الموضوع و المتعلّق</w:t>
            </w:r>
            <w:r>
              <w:rPr>
                <w:rStyle w:val="IndexLink"/>
                <w:rtl w:val="true"/>
              </w:rPr>
              <w:tab/>
            </w:r>
            <w:r>
              <w:rPr>
                <w:rStyle w:val="IndexLink"/>
              </w:rPr>
              <w:t>266</w:t>
            </w:r>
          </w:hyperlink>
        </w:p>
        <w:p>
          <w:pPr>
            <w:pStyle w:val="Contents5"/>
            <w:tabs>
              <w:tab w:val="clear" w:pos="7892"/>
              <w:tab w:val="right" w:pos="9026" w:leader="dot"/>
            </w:tabs>
            <w:rPr/>
          </w:pPr>
          <w:hyperlink w:anchor="__RefHeading___Toc1856194_581953129">
            <w:r>
              <w:rPr>
                <w:webHidden/>
                <w:rStyle w:val="IndexLink"/>
              </w:rPr>
              <w:t>2</w:t>
            </w:r>
            <w:r>
              <w:rPr>
                <w:rStyle w:val="IndexLink"/>
                <w:rtl w:val="true"/>
              </w:rPr>
              <w:t>-</w:t>
            </w:r>
            <w:r>
              <w:rPr>
                <w:rStyle w:val="IndexLink"/>
                <w:rtl w:val="true"/>
              </w:rPr>
              <w:t>أقسام التغییر فی خصوصیّات و شرائط الموضوع</w:t>
            </w:r>
            <w:r>
              <w:rPr>
                <w:rStyle w:val="IndexLink"/>
                <w:rtl w:val="true"/>
              </w:rPr>
              <w:tab/>
            </w:r>
            <w:r>
              <w:rPr>
                <w:rStyle w:val="IndexLink"/>
              </w:rPr>
              <w:t>268</w:t>
            </w:r>
          </w:hyperlink>
        </w:p>
        <w:p>
          <w:pPr>
            <w:pStyle w:val="Contents4"/>
            <w:tabs>
              <w:tab w:val="clear" w:pos="8176"/>
              <w:tab w:val="right" w:pos="9026" w:leader="dot"/>
            </w:tabs>
            <w:rPr/>
          </w:pPr>
          <w:hyperlink w:anchor="__RefHeading___Toc1856196_581953129">
            <w:r>
              <w:rPr>
                <w:webHidden/>
                <w:rStyle w:val="IndexLink"/>
                <w:rtl w:val="true"/>
              </w:rPr>
              <w:t>ج</w:t>
            </w:r>
            <w:r>
              <w:rPr>
                <w:rStyle w:val="IndexLink"/>
                <w:rtl w:val="true"/>
              </w:rPr>
              <w:t>)</w:t>
            </w:r>
            <w:r>
              <w:rPr>
                <w:rStyle w:val="IndexLink"/>
                <w:rtl w:val="true"/>
              </w:rPr>
              <w:t>تأثیر الزمان و المکان فی مفاد الأدلّة،و مبانی الاجتهاد</w:t>
            </w:r>
            <w:r>
              <w:rPr>
                <w:rStyle w:val="IndexLink"/>
                <w:rtl w:val="true"/>
              </w:rPr>
              <w:tab/>
            </w:r>
            <w:r>
              <w:rPr>
                <w:rStyle w:val="IndexLink"/>
              </w:rPr>
              <w:t>274</w:t>
            </w:r>
          </w:hyperlink>
        </w:p>
        <w:p>
          <w:pPr>
            <w:pStyle w:val="Contents5"/>
            <w:tabs>
              <w:tab w:val="clear" w:pos="7892"/>
              <w:tab w:val="right" w:pos="9026" w:leader="dot"/>
            </w:tabs>
            <w:rPr/>
          </w:pPr>
          <w:hyperlink w:anchor="__RefHeading___Toc1856198_581953129">
            <w:r>
              <w:rPr>
                <w:webHidden/>
                <w:rStyle w:val="IndexLink"/>
              </w:rPr>
              <w:t>1</w:t>
            </w:r>
            <w:r>
              <w:rPr>
                <w:rStyle w:val="IndexLink"/>
                <w:rtl w:val="true"/>
              </w:rPr>
              <w:t>-</w:t>
            </w:r>
            <w:r>
              <w:rPr>
                <w:rStyle w:val="IndexLink"/>
                <w:rtl w:val="true"/>
              </w:rPr>
              <w:t>الزمان و المکان،و مفاد الأدلّة</w:t>
            </w:r>
            <w:r>
              <w:rPr>
                <w:rStyle w:val="IndexLink"/>
                <w:rtl w:val="true"/>
              </w:rPr>
              <w:tab/>
            </w:r>
            <w:r>
              <w:rPr>
                <w:rStyle w:val="IndexLink"/>
              </w:rPr>
              <w:t>274</w:t>
            </w:r>
          </w:hyperlink>
        </w:p>
        <w:p>
          <w:pPr>
            <w:pStyle w:val="Contents5"/>
            <w:tabs>
              <w:tab w:val="clear" w:pos="7892"/>
              <w:tab w:val="right" w:pos="9026" w:leader="dot"/>
            </w:tabs>
            <w:rPr/>
          </w:pPr>
          <w:hyperlink w:anchor="__RefHeading___Toc1856200_581953129">
            <w:r>
              <w:rPr>
                <w:webHidden/>
                <w:rStyle w:val="IndexLink"/>
              </w:rPr>
              <w:t>2</w:t>
            </w:r>
            <w:r>
              <w:rPr>
                <w:rStyle w:val="IndexLink"/>
                <w:rtl w:val="true"/>
              </w:rPr>
              <w:t>-</w:t>
            </w:r>
            <w:r>
              <w:rPr>
                <w:rStyle w:val="IndexLink"/>
                <w:rtl w:val="true"/>
              </w:rPr>
              <w:t>الزمان و المکان،و مبانی الاجتهاد</w:t>
            </w:r>
            <w:r>
              <w:rPr>
                <w:rStyle w:val="IndexLink"/>
                <w:rtl w:val="true"/>
              </w:rPr>
              <w:tab/>
            </w:r>
            <w:r>
              <w:rPr>
                <w:rStyle w:val="IndexLink"/>
              </w:rPr>
              <w:t>279</w:t>
            </w:r>
          </w:hyperlink>
        </w:p>
        <w:p>
          <w:pPr>
            <w:pStyle w:val="Contents4"/>
            <w:tabs>
              <w:tab w:val="clear" w:pos="8176"/>
              <w:tab w:val="right" w:pos="9026" w:leader="dot"/>
            </w:tabs>
            <w:rPr/>
          </w:pPr>
          <w:hyperlink w:anchor="__RefHeading___Toc1856202_581953129">
            <w:r>
              <w:rPr>
                <w:webHidden/>
                <w:rStyle w:val="IndexLink"/>
                <w:rtl w:val="true"/>
              </w:rPr>
              <w:t>د</w:t>
            </w:r>
            <w:r>
              <w:rPr>
                <w:rStyle w:val="IndexLink"/>
                <w:rtl w:val="true"/>
              </w:rPr>
              <w:t>)</w:t>
            </w:r>
            <w:r>
              <w:rPr>
                <w:rStyle w:val="IndexLink"/>
                <w:rtl w:val="true"/>
              </w:rPr>
              <w:t>حدود تأثیر الزمان و المکان</w:t>
            </w:r>
            <w:r>
              <w:rPr>
                <w:rStyle w:val="IndexLink"/>
                <w:rtl w:val="true"/>
              </w:rPr>
              <w:tab/>
            </w:r>
            <w:r>
              <w:rPr>
                <w:rStyle w:val="IndexLink"/>
              </w:rPr>
              <w:t>281</w:t>
            </w:r>
          </w:hyperlink>
        </w:p>
        <w:p>
          <w:pPr>
            <w:pStyle w:val="Contents5"/>
            <w:tabs>
              <w:tab w:val="clear" w:pos="7892"/>
              <w:tab w:val="right" w:pos="9026" w:leader="dot"/>
            </w:tabs>
            <w:rPr/>
          </w:pPr>
          <w:hyperlink w:anchor="__RefHeading___Toc1856204_581953129">
            <w:r>
              <w:rPr>
                <w:webHidden/>
                <w:rStyle w:val="IndexLink"/>
              </w:rPr>
              <w:t>1</w:t>
            </w:r>
            <w:r>
              <w:rPr>
                <w:rStyle w:val="IndexLink"/>
                <w:rtl w:val="true"/>
              </w:rPr>
              <w:t>-</w:t>
            </w:r>
            <w:r>
              <w:rPr>
                <w:rStyle w:val="IndexLink"/>
                <w:rtl w:val="true"/>
              </w:rPr>
              <w:t>الزمان و المکان،و الحکم الأوّلی و الثانوی</w:t>
            </w:r>
            <w:r>
              <w:rPr>
                <w:rStyle w:val="IndexLink"/>
                <w:rtl w:val="true"/>
              </w:rPr>
              <w:tab/>
            </w:r>
            <w:r>
              <w:rPr>
                <w:rStyle w:val="IndexLink"/>
              </w:rPr>
              <w:t>281</w:t>
            </w:r>
          </w:hyperlink>
        </w:p>
        <w:p>
          <w:pPr>
            <w:pStyle w:val="Contents5"/>
            <w:tabs>
              <w:tab w:val="clear" w:pos="7892"/>
              <w:tab w:val="right" w:pos="9026" w:leader="dot"/>
            </w:tabs>
            <w:rPr/>
          </w:pPr>
          <w:hyperlink w:anchor="__RefHeading___Toc1856206_581953129">
            <w:r>
              <w:rPr>
                <w:webHidden/>
                <w:rStyle w:val="IndexLink"/>
              </w:rPr>
              <w:t>2</w:t>
            </w:r>
            <w:r>
              <w:rPr>
                <w:rStyle w:val="IndexLink"/>
                <w:rtl w:val="true"/>
              </w:rPr>
              <w:t>-</w:t>
            </w:r>
            <w:r>
              <w:rPr>
                <w:rStyle w:val="IndexLink"/>
                <w:rtl w:val="true"/>
              </w:rPr>
              <w:t>الزمان و المکان،و الأحکام الضروریّة</w:t>
            </w:r>
            <w:r>
              <w:rPr>
                <w:rStyle w:val="IndexLink"/>
                <w:rtl w:val="true"/>
              </w:rPr>
              <w:tab/>
            </w:r>
            <w:r>
              <w:rPr>
                <w:rStyle w:val="IndexLink"/>
              </w:rPr>
              <w:t>283</w:t>
            </w:r>
          </w:hyperlink>
        </w:p>
        <w:p>
          <w:pPr>
            <w:pStyle w:val="Contents5"/>
            <w:tabs>
              <w:tab w:val="clear" w:pos="7892"/>
              <w:tab w:val="right" w:pos="9026" w:leader="dot"/>
            </w:tabs>
            <w:rPr/>
          </w:pPr>
          <w:hyperlink w:anchor="__RefHeading___Toc1856208_581953129">
            <w:r>
              <w:rPr>
                <w:webHidden/>
                <w:rStyle w:val="IndexLink"/>
              </w:rPr>
              <w:t>3</w:t>
            </w:r>
            <w:r>
              <w:rPr>
                <w:rStyle w:val="IndexLink"/>
                <w:rtl w:val="true"/>
              </w:rPr>
              <w:t>-</w:t>
            </w:r>
            <w:r>
              <w:rPr>
                <w:rStyle w:val="IndexLink"/>
                <w:rtl w:val="true"/>
              </w:rPr>
              <w:t>تأثیر الزمان و المکان مع وجود النصّ الخاصّ</w:t>
            </w:r>
            <w:r>
              <w:rPr>
                <w:rStyle w:val="IndexLink"/>
                <w:rtl w:val="true"/>
              </w:rPr>
              <w:tab/>
            </w:r>
            <w:r>
              <w:rPr>
                <w:rStyle w:val="IndexLink"/>
              </w:rPr>
              <w:t>284</w:t>
            </w:r>
          </w:hyperlink>
        </w:p>
        <w:p>
          <w:pPr>
            <w:pStyle w:val="Contents3"/>
            <w:tabs>
              <w:tab w:val="clear" w:pos="8459"/>
              <w:tab w:val="right" w:pos="9026" w:leader="dot"/>
            </w:tabs>
            <w:rPr/>
          </w:pPr>
          <w:hyperlink w:anchor="__RefHeading___Toc1856210_581953129">
            <w:r>
              <w:rPr>
                <w:webHidden/>
                <w:rStyle w:val="IndexLink"/>
                <w:rtl w:val="true"/>
              </w:rPr>
              <w:t>الفصل الثالث</w:t>
            </w:r>
            <w:r>
              <w:rPr>
                <w:rStyle w:val="IndexLink"/>
                <w:rtl w:val="true"/>
              </w:rPr>
              <w:t>:</w:t>
            </w:r>
            <w:r>
              <w:rPr>
                <w:rStyle w:val="IndexLink"/>
                <w:rtl w:val="true"/>
              </w:rPr>
              <w:t>دور الزمان و المکان،و بعض الشبهات،و الإجابة عنها</w:t>
            </w:r>
            <w:r>
              <w:rPr>
                <w:rStyle w:val="IndexLink"/>
                <w:rtl w:val="true"/>
              </w:rPr>
              <w:tab/>
            </w:r>
            <w:r>
              <w:rPr>
                <w:rStyle w:val="IndexLink"/>
              </w:rPr>
              <w:t>286</w:t>
            </w:r>
          </w:hyperlink>
        </w:p>
        <w:p>
          <w:pPr>
            <w:pStyle w:val="Contents4"/>
            <w:tabs>
              <w:tab w:val="clear" w:pos="8176"/>
              <w:tab w:val="right" w:pos="9026" w:leader="dot"/>
            </w:tabs>
            <w:rPr/>
          </w:pPr>
          <w:hyperlink w:anchor="__RefHeading___Toc1856212_581953129">
            <w:r>
              <w:rPr>
                <w:webHidden/>
                <w:rStyle w:val="IndexLink"/>
                <w:rtl w:val="true"/>
              </w:rPr>
              <w:t>اشارة</w:t>
            </w:r>
            <w:r>
              <w:rPr>
                <w:rStyle w:val="IndexLink"/>
                <w:rtl w:val="true"/>
              </w:rPr>
              <w:tab/>
            </w:r>
            <w:r>
              <w:rPr>
                <w:rStyle w:val="IndexLink"/>
              </w:rPr>
              <w:t>286</w:t>
            </w:r>
          </w:hyperlink>
        </w:p>
        <w:p>
          <w:pPr>
            <w:pStyle w:val="Contents4"/>
            <w:tabs>
              <w:tab w:val="clear" w:pos="8176"/>
              <w:tab w:val="right" w:pos="9026" w:leader="dot"/>
            </w:tabs>
            <w:rPr/>
          </w:pPr>
          <w:hyperlink w:anchor="__RefHeading___Toc1856214_581953129">
            <w:r>
              <w:rPr>
                <w:webHidden/>
                <w:rStyle w:val="IndexLink"/>
                <w:rtl w:val="true"/>
              </w:rPr>
              <w:t>أ</w:t>
            </w:r>
            <w:r>
              <w:rPr>
                <w:rStyle w:val="IndexLink"/>
                <w:rtl w:val="true"/>
              </w:rPr>
              <w:t>)</w:t>
            </w:r>
            <w:r>
              <w:rPr>
                <w:rStyle w:val="IndexLink"/>
                <w:rtl w:val="true"/>
              </w:rPr>
              <w:t>منافاتهما لبعض الروایات</w:t>
            </w:r>
            <w:r>
              <w:rPr>
                <w:rStyle w:val="IndexLink"/>
                <w:rtl w:val="true"/>
              </w:rPr>
              <w:tab/>
            </w:r>
            <w:r>
              <w:rPr>
                <w:rStyle w:val="IndexLink"/>
              </w:rPr>
              <w:t>286</w:t>
            </w:r>
          </w:hyperlink>
        </w:p>
        <w:p>
          <w:pPr>
            <w:pStyle w:val="Contents5"/>
            <w:tabs>
              <w:tab w:val="clear" w:pos="7892"/>
              <w:tab w:val="right" w:pos="9026" w:leader="dot"/>
            </w:tabs>
            <w:rPr/>
          </w:pPr>
          <w:hyperlink w:anchor="__RefHeading___Toc1856216_581953129">
            <w:r>
              <w:rPr>
                <w:webHidden/>
                <w:rStyle w:val="IndexLink"/>
              </w:rPr>
              <w:t>1</w:t>
            </w:r>
            <w:r>
              <w:rPr>
                <w:rStyle w:val="IndexLink"/>
                <w:rtl w:val="true"/>
              </w:rPr>
              <w:t>-«</w:t>
            </w:r>
            <w:r>
              <w:rPr>
                <w:rStyle w:val="IndexLink"/>
                <w:rtl w:val="true"/>
              </w:rPr>
              <w:t>حلال محمّد صلّی اللّه علیه و اله حلال أبدا إلی یوم القیامة</w:t>
            </w:r>
            <w:r>
              <w:rPr>
                <w:rStyle w:val="IndexLink"/>
                <w:rtl w:val="true"/>
              </w:rPr>
              <w:t>».</w:t>
              <w:tab/>
            </w:r>
            <w:r>
              <w:rPr>
                <w:rStyle w:val="IndexLink"/>
              </w:rPr>
              <w:t>286</w:t>
            </w:r>
          </w:hyperlink>
        </w:p>
        <w:p>
          <w:pPr>
            <w:pStyle w:val="Contents5"/>
            <w:tabs>
              <w:tab w:val="clear" w:pos="7892"/>
              <w:tab w:val="right" w:pos="9026" w:leader="dot"/>
            </w:tabs>
            <w:rPr/>
          </w:pPr>
          <w:hyperlink w:anchor="__RefHeading___Toc1856218_581953129">
            <w:r>
              <w:rPr>
                <w:webHidden/>
                <w:rStyle w:val="IndexLink"/>
              </w:rPr>
              <w:t>2</w:t>
            </w:r>
            <w:r>
              <w:rPr>
                <w:rStyle w:val="IndexLink"/>
                <w:rtl w:val="true"/>
              </w:rPr>
              <w:t>-«</w:t>
            </w:r>
            <w:r>
              <w:rPr>
                <w:rStyle w:val="IndexLink"/>
                <w:rtl w:val="true"/>
              </w:rPr>
              <w:t>إنّ للّه فی کلّ واقعة حکما</w:t>
            </w:r>
            <w:r>
              <w:rPr>
                <w:rStyle w:val="IndexLink"/>
                <w:rtl w:val="true"/>
              </w:rPr>
              <w:t>»</w:t>
              <w:tab/>
            </w:r>
            <w:r>
              <w:rPr>
                <w:rStyle w:val="IndexLink"/>
              </w:rPr>
              <w:t>288</w:t>
            </w:r>
          </w:hyperlink>
        </w:p>
        <w:p>
          <w:pPr>
            <w:pStyle w:val="Contents4"/>
            <w:tabs>
              <w:tab w:val="clear" w:pos="8176"/>
              <w:tab w:val="right" w:pos="9026" w:leader="dot"/>
            </w:tabs>
            <w:rPr/>
          </w:pPr>
          <w:hyperlink w:anchor="__RefHeading___Toc1856220_581953129">
            <w:r>
              <w:rPr>
                <w:webHidden/>
                <w:rStyle w:val="IndexLink"/>
                <w:rtl w:val="true"/>
              </w:rPr>
              <w:t>ب</w:t>
            </w:r>
            <w:r>
              <w:rPr>
                <w:rStyle w:val="IndexLink"/>
                <w:rtl w:val="true"/>
              </w:rPr>
              <w:t>)</w:t>
            </w:r>
            <w:r>
              <w:rPr>
                <w:rStyle w:val="IndexLink"/>
                <w:rtl w:val="true"/>
              </w:rPr>
              <w:t>شبهات حول الفقه</w:t>
            </w:r>
            <w:r>
              <w:rPr>
                <w:rStyle w:val="IndexLink"/>
                <w:rtl w:val="true"/>
              </w:rPr>
              <w:tab/>
            </w:r>
            <w:r>
              <w:rPr>
                <w:rStyle w:val="IndexLink"/>
              </w:rPr>
              <w:t>291</w:t>
            </w:r>
          </w:hyperlink>
        </w:p>
        <w:p>
          <w:pPr>
            <w:pStyle w:val="Contents5"/>
            <w:tabs>
              <w:tab w:val="clear" w:pos="7892"/>
              <w:tab w:val="right" w:pos="9026" w:leader="dot"/>
            </w:tabs>
            <w:rPr/>
          </w:pPr>
          <w:hyperlink w:anchor="__RefHeading___Toc1856222_581953129">
            <w:r>
              <w:rPr>
                <w:webHidden/>
                <w:rStyle w:val="IndexLink"/>
              </w:rPr>
              <w:t>1</w:t>
            </w:r>
            <w:r>
              <w:rPr>
                <w:rStyle w:val="IndexLink"/>
                <w:rtl w:val="true"/>
              </w:rPr>
              <w:t>-</w:t>
            </w:r>
            <w:r>
              <w:rPr>
                <w:rStyle w:val="IndexLink"/>
                <w:rtl w:val="true"/>
              </w:rPr>
              <w:t>الزمان و المکان،و استلزام فقه جدید</w:t>
            </w:r>
            <w:r>
              <w:rPr>
                <w:rStyle w:val="IndexLink"/>
                <w:rtl w:val="true"/>
              </w:rPr>
              <w:tab/>
            </w:r>
            <w:r>
              <w:rPr>
                <w:rStyle w:val="IndexLink"/>
              </w:rPr>
              <w:t>291</w:t>
            </w:r>
          </w:hyperlink>
        </w:p>
        <w:p>
          <w:pPr>
            <w:pStyle w:val="Contents5"/>
            <w:tabs>
              <w:tab w:val="clear" w:pos="7892"/>
              <w:tab w:val="right" w:pos="9026" w:leader="dot"/>
            </w:tabs>
            <w:rPr/>
          </w:pPr>
          <w:hyperlink w:anchor="__RefHeading___Toc1856224_581953129">
            <w:r>
              <w:rPr>
                <w:webHidden/>
                <w:rStyle w:val="IndexLink"/>
              </w:rPr>
              <w:t>2</w:t>
            </w:r>
            <w:r>
              <w:rPr>
                <w:rStyle w:val="IndexLink"/>
                <w:rtl w:val="true"/>
              </w:rPr>
              <w:t>-</w:t>
            </w:r>
            <w:r>
              <w:rPr>
                <w:rStyle w:val="IndexLink"/>
                <w:rtl w:val="true"/>
              </w:rPr>
              <w:t>الزمان و المکان هما السبیل الوحید لحلّ مشکلات الفقه</w:t>
            </w:r>
            <w:r>
              <w:rPr>
                <w:rStyle w:val="IndexLink"/>
                <w:rtl w:val="true"/>
              </w:rPr>
              <w:tab/>
            </w:r>
            <w:r>
              <w:rPr>
                <w:rStyle w:val="IndexLink"/>
              </w:rPr>
              <w:t>291</w:t>
            </w:r>
          </w:hyperlink>
        </w:p>
        <w:p>
          <w:pPr>
            <w:pStyle w:val="Contents5"/>
            <w:tabs>
              <w:tab w:val="clear" w:pos="7892"/>
              <w:tab w:val="right" w:pos="9026" w:leader="dot"/>
            </w:tabs>
            <w:rPr/>
          </w:pPr>
          <w:hyperlink w:anchor="__RefHeading___Toc1856226_581953129">
            <w:r>
              <w:rPr>
                <w:webHidden/>
                <w:rStyle w:val="IndexLink"/>
              </w:rPr>
              <w:t>3</w:t>
            </w:r>
            <w:r>
              <w:rPr>
                <w:rStyle w:val="IndexLink"/>
                <w:rtl w:val="true"/>
              </w:rPr>
              <w:t>-</w:t>
            </w:r>
            <w:r>
              <w:rPr>
                <w:rStyle w:val="IndexLink"/>
                <w:rtl w:val="true"/>
              </w:rPr>
              <w:t>الزمان و المکان،و استلزام قبول فقه أهل السنّة</w:t>
            </w:r>
            <w:r>
              <w:rPr>
                <w:rStyle w:val="IndexLink"/>
                <w:rtl w:val="true"/>
              </w:rPr>
              <w:tab/>
            </w:r>
            <w:r>
              <w:rPr>
                <w:rStyle w:val="IndexLink"/>
              </w:rPr>
              <w:t>292</w:t>
            </w:r>
          </w:hyperlink>
        </w:p>
        <w:p>
          <w:pPr>
            <w:pStyle w:val="Contents4"/>
            <w:tabs>
              <w:tab w:val="clear" w:pos="8176"/>
              <w:tab w:val="right" w:pos="9026" w:leader="dot"/>
            </w:tabs>
            <w:rPr/>
          </w:pPr>
          <w:hyperlink w:anchor="__RefHeading___Toc1856228_581953129">
            <w:r>
              <w:rPr>
                <w:webHidden/>
                <w:rStyle w:val="IndexLink"/>
                <w:rtl w:val="true"/>
              </w:rPr>
              <w:t>ج</w:t>
            </w:r>
            <w:r>
              <w:rPr>
                <w:rStyle w:val="IndexLink"/>
                <w:rtl w:val="true"/>
              </w:rPr>
              <w:t>)</w:t>
            </w:r>
            <w:r>
              <w:rPr>
                <w:rStyle w:val="IndexLink"/>
                <w:rtl w:val="true"/>
              </w:rPr>
              <w:t>الزمان و المکان،و البدعة</w:t>
            </w:r>
            <w:r>
              <w:rPr>
                <w:rStyle w:val="IndexLink"/>
                <w:rtl w:val="true"/>
              </w:rPr>
              <w:tab/>
            </w:r>
            <w:r>
              <w:rPr>
                <w:rStyle w:val="IndexLink"/>
              </w:rPr>
              <w:t>295</w:t>
            </w:r>
          </w:hyperlink>
        </w:p>
        <w:p>
          <w:pPr>
            <w:pStyle w:val="Contents4"/>
            <w:tabs>
              <w:tab w:val="clear" w:pos="8176"/>
              <w:tab w:val="right" w:pos="9026" w:leader="dot"/>
            </w:tabs>
            <w:rPr/>
          </w:pPr>
          <w:hyperlink w:anchor="__RefHeading___Toc1856230_581953129">
            <w:r>
              <w:rPr>
                <w:webHidden/>
                <w:rStyle w:val="IndexLink"/>
                <w:rtl w:val="true"/>
              </w:rPr>
              <w:t>د</w:t>
            </w:r>
            <w:r>
              <w:rPr>
                <w:rStyle w:val="IndexLink"/>
                <w:rtl w:val="true"/>
              </w:rPr>
              <w:t>)</w:t>
            </w:r>
            <w:r>
              <w:rPr>
                <w:rStyle w:val="IndexLink"/>
                <w:rtl w:val="true"/>
              </w:rPr>
              <w:t>الزمان و المکان،و المعارضة مع دعوی الإطلاق،أو إجماع فقهاء السلف</w:t>
            </w:r>
            <w:r>
              <w:rPr>
                <w:rStyle w:val="IndexLink"/>
                <w:rtl w:val="true"/>
              </w:rPr>
              <w:tab/>
            </w:r>
            <w:r>
              <w:rPr>
                <w:rStyle w:val="IndexLink"/>
              </w:rPr>
              <w:t>296</w:t>
            </w:r>
          </w:hyperlink>
        </w:p>
        <w:p>
          <w:pPr>
            <w:pStyle w:val="Contents4"/>
            <w:tabs>
              <w:tab w:val="clear" w:pos="8176"/>
              <w:tab w:val="right" w:pos="9026" w:leader="dot"/>
            </w:tabs>
            <w:rPr/>
          </w:pPr>
          <w:hyperlink w:anchor="__RefHeading___Toc1856232_581953129">
            <w:r>
              <w:rPr>
                <w:webHidden/>
                <w:rStyle w:val="IndexLink"/>
                <w:rtl w:val="true"/>
              </w:rPr>
              <w:t>النتیجة</w:t>
            </w:r>
            <w:r>
              <w:rPr>
                <w:rStyle w:val="IndexLink"/>
                <w:rtl w:val="true"/>
              </w:rPr>
              <w:tab/>
            </w:r>
            <w:r>
              <w:rPr>
                <w:rStyle w:val="IndexLink"/>
              </w:rPr>
              <w:t>298</w:t>
            </w:r>
          </w:hyperlink>
        </w:p>
        <w:p>
          <w:pPr>
            <w:pStyle w:val="Contents2"/>
            <w:tabs>
              <w:tab w:val="clear" w:pos="8743"/>
              <w:tab w:val="right" w:pos="9026" w:leader="dot"/>
            </w:tabs>
            <w:rPr/>
          </w:pPr>
          <w:hyperlink w:anchor="__RefHeading___Toc1856234_581953129">
            <w:r>
              <w:rPr>
                <w:webHidden/>
                <w:rStyle w:val="IndexLink"/>
                <w:rtl w:val="true"/>
              </w:rPr>
              <w:t>رسالة مختصرة لمنهج الملاّ أحمد النراقی فی الاستنباط فی مستند الشیعة</w:t>
            </w:r>
            <w:r>
              <w:rPr>
                <w:rStyle w:val="IndexLink"/>
                <w:rtl w:val="true"/>
              </w:rPr>
              <w:tab/>
            </w:r>
            <w:r>
              <w:rPr>
                <w:rStyle w:val="IndexLink"/>
              </w:rPr>
              <w:t>301</w:t>
            </w:r>
          </w:hyperlink>
        </w:p>
        <w:p>
          <w:pPr>
            <w:pStyle w:val="Contents3"/>
            <w:tabs>
              <w:tab w:val="clear" w:pos="8459"/>
              <w:tab w:val="right" w:pos="9026" w:leader="dot"/>
            </w:tabs>
            <w:rPr/>
          </w:pPr>
          <w:hyperlink w:anchor="__RefHeading___Toc1856236_581953129">
            <w:r>
              <w:rPr>
                <w:webHidden/>
                <w:rStyle w:val="IndexLink"/>
                <w:rtl w:val="true"/>
              </w:rPr>
              <w:t>اشارة</w:t>
            </w:r>
            <w:r>
              <w:rPr>
                <w:rStyle w:val="IndexLink"/>
                <w:rtl w:val="true"/>
              </w:rPr>
              <w:tab/>
            </w:r>
            <w:r>
              <w:rPr>
                <w:rStyle w:val="IndexLink"/>
              </w:rPr>
              <w:t>301</w:t>
            </w:r>
          </w:hyperlink>
        </w:p>
        <w:p>
          <w:pPr>
            <w:pStyle w:val="Contents3"/>
            <w:tabs>
              <w:tab w:val="clear" w:pos="8459"/>
              <w:tab w:val="right" w:pos="9026" w:leader="dot"/>
            </w:tabs>
            <w:rPr/>
          </w:pPr>
          <w:hyperlink w:anchor="__RefHeading___Toc1856238_581953129">
            <w:r>
              <w:rPr>
                <w:webHidden/>
                <w:rStyle w:val="IndexLink"/>
                <w:rtl w:val="true"/>
              </w:rPr>
              <w:t>تمهید</w:t>
            </w:r>
            <w:r>
              <w:rPr>
                <w:rStyle w:val="IndexLink"/>
                <w:rtl w:val="true"/>
              </w:rPr>
              <w:tab/>
            </w:r>
            <w:r>
              <w:rPr>
                <w:rStyle w:val="IndexLink"/>
              </w:rPr>
              <w:t>302</w:t>
            </w:r>
          </w:hyperlink>
        </w:p>
        <w:p>
          <w:pPr>
            <w:pStyle w:val="Contents3"/>
            <w:tabs>
              <w:tab w:val="clear" w:pos="8459"/>
              <w:tab w:val="right" w:pos="9026" w:leader="dot"/>
            </w:tabs>
            <w:rPr/>
          </w:pPr>
          <w:hyperlink w:anchor="__RefHeading___Toc1856240_581953129">
            <w:r>
              <w:rPr>
                <w:webHidden/>
                <w:rStyle w:val="IndexLink"/>
              </w:rPr>
              <w:t>1</w:t>
            </w:r>
            <w:r>
              <w:rPr>
                <w:rStyle w:val="IndexLink"/>
                <w:rtl w:val="true"/>
              </w:rPr>
              <w:t>-</w:t>
            </w:r>
            <w:r>
              <w:rPr>
                <w:rStyle w:val="IndexLink"/>
                <w:rtl w:val="true"/>
              </w:rPr>
              <w:t>الاستفادة من المسائل،و القواعد الاصولیّة فی الفقه</w:t>
            </w:r>
            <w:r>
              <w:rPr>
                <w:rStyle w:val="IndexLink"/>
                <w:rtl w:val="true"/>
              </w:rPr>
              <w:tab/>
            </w:r>
            <w:r>
              <w:rPr>
                <w:rStyle w:val="IndexLink"/>
              </w:rPr>
              <w:t>303</w:t>
            </w:r>
          </w:hyperlink>
        </w:p>
        <w:p>
          <w:pPr>
            <w:pStyle w:val="Contents3"/>
            <w:tabs>
              <w:tab w:val="clear" w:pos="8459"/>
              <w:tab w:val="right" w:pos="9026" w:leader="dot"/>
            </w:tabs>
            <w:rPr/>
          </w:pPr>
          <w:hyperlink w:anchor="__RefHeading___Toc1856242_581953129">
            <w:r>
              <w:rPr>
                <w:webHidden/>
                <w:rStyle w:val="IndexLink"/>
              </w:rPr>
              <w:t>2</w:t>
            </w:r>
            <w:r>
              <w:rPr>
                <w:rStyle w:val="IndexLink"/>
                <w:rtl w:val="true"/>
              </w:rPr>
              <w:t>-</w:t>
            </w:r>
            <w:r>
              <w:rPr>
                <w:rStyle w:val="IndexLink"/>
                <w:rtl w:val="true"/>
              </w:rPr>
              <w:t>الاستفادة من آیات الأحکام فی الفقه</w:t>
            </w:r>
            <w:r>
              <w:rPr>
                <w:rStyle w:val="IndexLink"/>
                <w:rtl w:val="true"/>
              </w:rPr>
              <w:tab/>
            </w:r>
            <w:r>
              <w:rPr>
                <w:rStyle w:val="IndexLink"/>
              </w:rPr>
              <w:t>311</w:t>
            </w:r>
          </w:hyperlink>
        </w:p>
        <w:p>
          <w:pPr>
            <w:pStyle w:val="Contents3"/>
            <w:tabs>
              <w:tab w:val="clear" w:pos="8459"/>
              <w:tab w:val="right" w:pos="9026" w:leader="dot"/>
            </w:tabs>
            <w:rPr/>
          </w:pPr>
          <w:hyperlink w:anchor="__RefHeading___Toc1856244_581953129">
            <w:r>
              <w:rPr>
                <w:webHidden/>
                <w:rStyle w:val="IndexLink"/>
              </w:rPr>
              <w:t>3</w:t>
            </w:r>
            <w:r>
              <w:rPr>
                <w:rStyle w:val="IndexLink"/>
                <w:rtl w:val="true"/>
              </w:rPr>
              <w:t>-</w:t>
            </w:r>
            <w:r>
              <w:rPr>
                <w:rStyle w:val="IndexLink"/>
                <w:rtl w:val="true"/>
              </w:rPr>
              <w:t>فقه الحدیث،و مسألة الجمع بین الروایات</w:t>
            </w:r>
            <w:r>
              <w:rPr>
                <w:rStyle w:val="IndexLink"/>
                <w:rtl w:val="true"/>
              </w:rPr>
              <w:tab/>
            </w:r>
            <w:r>
              <w:rPr>
                <w:rStyle w:val="IndexLink"/>
              </w:rPr>
              <w:t>314</w:t>
            </w:r>
          </w:hyperlink>
        </w:p>
        <w:p>
          <w:pPr>
            <w:pStyle w:val="Contents3"/>
            <w:tabs>
              <w:tab w:val="clear" w:pos="8459"/>
              <w:tab w:val="right" w:pos="9026" w:leader="dot"/>
            </w:tabs>
            <w:rPr/>
          </w:pPr>
          <w:hyperlink w:anchor="__RefHeading___Toc1856246_581953129">
            <w:r>
              <w:rPr>
                <w:webHidden/>
                <w:rStyle w:val="IndexLink"/>
              </w:rPr>
              <w:t>4</w:t>
            </w:r>
            <w:r>
              <w:rPr>
                <w:rStyle w:val="IndexLink"/>
                <w:rtl w:val="true"/>
              </w:rPr>
              <w:t>-</w:t>
            </w:r>
            <w:r>
              <w:rPr>
                <w:rStyle w:val="IndexLink"/>
                <w:rtl w:val="true"/>
              </w:rPr>
              <w:t>الاهتمام و العنایة بالقواعد الفقهیّة</w:t>
            </w:r>
            <w:r>
              <w:rPr>
                <w:rStyle w:val="IndexLink"/>
                <w:rtl w:val="true"/>
              </w:rPr>
              <w:tab/>
            </w:r>
            <w:r>
              <w:rPr>
                <w:rStyle w:val="IndexLink"/>
              </w:rPr>
              <w:t>320</w:t>
            </w:r>
          </w:hyperlink>
        </w:p>
        <w:p>
          <w:pPr>
            <w:pStyle w:val="Contents3"/>
            <w:tabs>
              <w:tab w:val="clear" w:pos="8459"/>
              <w:tab w:val="right" w:pos="9026" w:leader="dot"/>
            </w:tabs>
            <w:rPr/>
          </w:pPr>
          <w:hyperlink w:anchor="__RefHeading___Toc1856248_581953129">
            <w:r>
              <w:rPr>
                <w:webHidden/>
                <w:rStyle w:val="IndexLink"/>
              </w:rPr>
              <w:t>5</w:t>
            </w:r>
            <w:r>
              <w:rPr>
                <w:rStyle w:val="IndexLink"/>
                <w:rtl w:val="true"/>
              </w:rPr>
              <w:t>-</w:t>
            </w:r>
            <w:r>
              <w:rPr>
                <w:rStyle w:val="IndexLink"/>
                <w:rtl w:val="true"/>
              </w:rPr>
              <w:t>الشهرة،و الإجماع،و تأثیرهما فی طریقة الاستنباط</w:t>
            </w:r>
            <w:r>
              <w:rPr>
                <w:rStyle w:val="IndexLink"/>
                <w:rtl w:val="true"/>
              </w:rPr>
              <w:tab/>
            </w:r>
            <w:r>
              <w:rPr>
                <w:rStyle w:val="IndexLink"/>
              </w:rPr>
              <w:t>321</w:t>
            </w:r>
          </w:hyperlink>
        </w:p>
        <w:p>
          <w:pPr>
            <w:pStyle w:val="Contents3"/>
            <w:tabs>
              <w:tab w:val="clear" w:pos="8459"/>
              <w:tab w:val="right" w:pos="9026" w:leader="dot"/>
            </w:tabs>
            <w:rPr/>
          </w:pPr>
          <w:hyperlink w:anchor="__RefHeading___Toc1856250_581953129">
            <w:r>
              <w:rPr>
                <w:webHidden/>
                <w:rStyle w:val="IndexLink"/>
              </w:rPr>
              <w:t>6</w:t>
            </w:r>
            <w:r>
              <w:rPr>
                <w:rStyle w:val="IndexLink"/>
                <w:rtl w:val="true"/>
              </w:rPr>
              <w:t>-</w:t>
            </w:r>
            <w:r>
              <w:rPr>
                <w:rStyle w:val="IndexLink"/>
                <w:rtl w:val="true"/>
              </w:rPr>
              <w:t>لزوم التحرّک الاجتهادی فی إطار الضوابط الفقهیّة</w:t>
            </w:r>
            <w:r>
              <w:rPr>
                <w:rStyle w:val="IndexLink"/>
                <w:rtl w:val="true"/>
              </w:rPr>
              <w:tab/>
            </w:r>
            <w:r>
              <w:rPr>
                <w:rStyle w:val="IndexLink"/>
              </w:rPr>
              <w:t>323</w:t>
            </w:r>
          </w:hyperlink>
        </w:p>
        <w:p>
          <w:pPr>
            <w:pStyle w:val="Contents3"/>
            <w:tabs>
              <w:tab w:val="clear" w:pos="8459"/>
              <w:tab w:val="right" w:pos="9026" w:leader="dot"/>
            </w:tabs>
            <w:rPr/>
          </w:pPr>
          <w:hyperlink w:anchor="__RefHeading___Toc1856252_581953129">
            <w:r>
              <w:rPr>
                <w:webHidden/>
                <w:rStyle w:val="IndexLink"/>
              </w:rPr>
              <w:t>7</w:t>
            </w:r>
            <w:r>
              <w:rPr>
                <w:rStyle w:val="IndexLink"/>
                <w:rtl w:val="true"/>
              </w:rPr>
              <w:t>-</w:t>
            </w:r>
            <w:r>
              <w:rPr>
                <w:rStyle w:val="IndexLink"/>
                <w:rtl w:val="true"/>
              </w:rPr>
              <w:t>الفقیه،و الاستقلال فی عملیّة الاستنباط</w:t>
            </w:r>
            <w:r>
              <w:rPr>
                <w:rStyle w:val="IndexLink"/>
                <w:rtl w:val="true"/>
              </w:rPr>
              <w:tab/>
            </w:r>
            <w:r>
              <w:rPr>
                <w:rStyle w:val="IndexLink"/>
              </w:rPr>
              <w:t>327</w:t>
            </w:r>
          </w:hyperlink>
        </w:p>
        <w:p>
          <w:pPr>
            <w:pStyle w:val="Contents3"/>
            <w:tabs>
              <w:tab w:val="clear" w:pos="8459"/>
              <w:tab w:val="right" w:pos="9026" w:leader="dot"/>
            </w:tabs>
            <w:rPr/>
          </w:pPr>
          <w:hyperlink w:anchor="__RefHeading___Toc1856254_581953129">
            <w:r>
              <w:rPr>
                <w:webHidden/>
                <w:rStyle w:val="IndexLink"/>
              </w:rPr>
              <w:t>8</w:t>
            </w:r>
            <w:r>
              <w:rPr>
                <w:rStyle w:val="IndexLink"/>
                <w:rtl w:val="true"/>
              </w:rPr>
              <w:t>-</w:t>
            </w:r>
            <w:r>
              <w:rPr>
                <w:rStyle w:val="IndexLink"/>
                <w:rtl w:val="true"/>
              </w:rPr>
              <w:t>الفقیه،و کیفیّة التعامل مع الاحتیاط</w:t>
            </w:r>
            <w:r>
              <w:rPr>
                <w:rStyle w:val="IndexLink"/>
                <w:rtl w:val="true"/>
              </w:rPr>
              <w:tab/>
            </w:r>
            <w:r>
              <w:rPr>
                <w:rStyle w:val="IndexLink"/>
              </w:rPr>
              <w:t>330</w:t>
            </w:r>
          </w:hyperlink>
        </w:p>
        <w:p>
          <w:pPr>
            <w:pStyle w:val="Contents3"/>
            <w:tabs>
              <w:tab w:val="clear" w:pos="8459"/>
              <w:tab w:val="right" w:pos="9026" w:leader="dot"/>
            </w:tabs>
            <w:rPr/>
          </w:pPr>
          <w:hyperlink w:anchor="__RefHeading___Toc1856256_581953129">
            <w:r>
              <w:rPr>
                <w:webHidden/>
                <w:rStyle w:val="IndexLink"/>
              </w:rPr>
              <w:t>9</w:t>
            </w:r>
            <w:r>
              <w:rPr>
                <w:rStyle w:val="IndexLink"/>
                <w:rtl w:val="true"/>
              </w:rPr>
              <w:t>-</w:t>
            </w:r>
            <w:r>
              <w:rPr>
                <w:rStyle w:val="IndexLink"/>
                <w:rtl w:val="true"/>
              </w:rPr>
              <w:t>مراجعة أقوال الفقهاء،و تأثیر ذلک فی الاستنباط</w:t>
            </w:r>
            <w:r>
              <w:rPr>
                <w:rStyle w:val="IndexLink"/>
                <w:rtl w:val="true"/>
              </w:rPr>
              <w:tab/>
            </w:r>
            <w:r>
              <w:rPr>
                <w:rStyle w:val="IndexLink"/>
              </w:rPr>
              <w:t>333</w:t>
            </w:r>
          </w:hyperlink>
        </w:p>
        <w:p>
          <w:pPr>
            <w:pStyle w:val="Contents3"/>
            <w:tabs>
              <w:tab w:val="clear" w:pos="8459"/>
              <w:tab w:val="right" w:pos="9026" w:leader="dot"/>
            </w:tabs>
            <w:rPr/>
          </w:pPr>
          <w:hyperlink w:anchor="__RefHeading___Toc1856258_581953129">
            <w:r>
              <w:rPr>
                <w:webHidden/>
                <w:rStyle w:val="IndexLink"/>
              </w:rPr>
              <w:t>10</w:t>
            </w:r>
            <w:r>
              <w:rPr>
                <w:rStyle w:val="IndexLink"/>
                <w:rtl w:val="true"/>
              </w:rPr>
              <w:t>-</w:t>
            </w:r>
            <w:r>
              <w:rPr>
                <w:rStyle w:val="IndexLink"/>
                <w:rtl w:val="true"/>
              </w:rPr>
              <w:t>آراء العامّة،و تأثیرها فی الاستنباط</w:t>
            </w:r>
            <w:r>
              <w:rPr>
                <w:rStyle w:val="IndexLink"/>
                <w:rtl w:val="true"/>
              </w:rPr>
              <w:tab/>
            </w:r>
            <w:r>
              <w:rPr>
                <w:rStyle w:val="IndexLink"/>
              </w:rPr>
              <w:t>334</w:t>
            </w:r>
          </w:hyperlink>
        </w:p>
        <w:p>
          <w:pPr>
            <w:pStyle w:val="Contents2"/>
            <w:tabs>
              <w:tab w:val="clear" w:pos="8743"/>
              <w:tab w:val="right" w:pos="9026" w:leader="dot"/>
            </w:tabs>
            <w:rPr/>
          </w:pPr>
          <w:hyperlink w:anchor="__RefHeading___Toc1856260_581953129">
            <w:r>
              <w:rPr>
                <w:webHidden/>
                <w:rStyle w:val="IndexLink"/>
                <w:rtl w:val="true"/>
              </w:rPr>
              <w:t>رسالة مختصرة فی الحقّ و الحکم</w:t>
            </w:r>
            <w:r>
              <w:rPr>
                <w:rStyle w:val="IndexLink"/>
                <w:rtl w:val="true"/>
              </w:rPr>
              <w:tab/>
            </w:r>
            <w:r>
              <w:rPr>
                <w:rStyle w:val="IndexLink"/>
              </w:rPr>
              <w:t>337</w:t>
            </w:r>
          </w:hyperlink>
        </w:p>
        <w:p>
          <w:pPr>
            <w:pStyle w:val="Contents3"/>
            <w:tabs>
              <w:tab w:val="clear" w:pos="8459"/>
              <w:tab w:val="right" w:pos="9026" w:leader="dot"/>
            </w:tabs>
            <w:rPr/>
          </w:pPr>
          <w:hyperlink w:anchor="__RefHeading___Toc1856262_581953129">
            <w:r>
              <w:rPr>
                <w:webHidden/>
                <w:rStyle w:val="IndexLink"/>
                <w:rtl w:val="true"/>
              </w:rPr>
              <w:t>اشارة</w:t>
            </w:r>
            <w:r>
              <w:rPr>
                <w:rStyle w:val="IndexLink"/>
                <w:rtl w:val="true"/>
              </w:rPr>
              <w:tab/>
            </w:r>
            <w:r>
              <w:rPr>
                <w:rStyle w:val="IndexLink"/>
              </w:rPr>
              <w:t>337</w:t>
            </w:r>
          </w:hyperlink>
        </w:p>
        <w:p>
          <w:pPr>
            <w:pStyle w:val="Contents3"/>
            <w:tabs>
              <w:tab w:val="clear" w:pos="8459"/>
              <w:tab w:val="right" w:pos="9026" w:leader="dot"/>
            </w:tabs>
            <w:rPr/>
          </w:pPr>
          <w:hyperlink w:anchor="__RefHeading___Toc1856264_581953129">
            <w:r>
              <w:rPr>
                <w:webHidden/>
                <w:rStyle w:val="IndexLink"/>
                <w:rtl w:val="true"/>
              </w:rPr>
              <w:t>الأوّل</w:t>
            </w:r>
            <w:r>
              <w:rPr>
                <w:rStyle w:val="IndexLink"/>
                <w:rtl w:val="true"/>
              </w:rPr>
              <w:t>:</w:t>
            </w:r>
            <w:r>
              <w:rPr>
                <w:rStyle w:val="IndexLink"/>
                <w:rtl w:val="true"/>
              </w:rPr>
              <w:t>فی معنی الحقّ بحسب اللغة</w:t>
            </w:r>
            <w:r>
              <w:rPr>
                <w:rStyle w:val="IndexLink"/>
                <w:rtl w:val="true"/>
              </w:rPr>
              <w:tab/>
            </w:r>
            <w:r>
              <w:rPr>
                <w:rStyle w:val="IndexLink"/>
              </w:rPr>
              <w:t>338</w:t>
            </w:r>
          </w:hyperlink>
        </w:p>
        <w:p>
          <w:pPr>
            <w:pStyle w:val="Contents3"/>
            <w:tabs>
              <w:tab w:val="clear" w:pos="8459"/>
              <w:tab w:val="right" w:pos="9026" w:leader="dot"/>
            </w:tabs>
            <w:rPr/>
          </w:pPr>
          <w:hyperlink w:anchor="__RefHeading___Toc1856266_581953129">
            <w:r>
              <w:rPr>
                <w:webHidden/>
                <w:rStyle w:val="IndexLink"/>
                <w:rtl w:val="true"/>
              </w:rPr>
              <w:t>الثانی</w:t>
            </w:r>
            <w:r>
              <w:rPr>
                <w:rStyle w:val="IndexLink"/>
                <w:rtl w:val="true"/>
              </w:rPr>
              <w:t>:</w:t>
            </w:r>
            <w:r>
              <w:rPr>
                <w:rStyle w:val="IndexLink"/>
                <w:rtl w:val="true"/>
              </w:rPr>
              <w:t>فی معنی الحقّ بحسب اصطلاح الفقهاء،</w:t>
            </w:r>
            <w:r>
              <w:rPr>
                <w:rStyle w:val="IndexLink"/>
                <w:rtl w:val="true"/>
              </w:rPr>
              <w:tab/>
            </w:r>
            <w:r>
              <w:rPr>
                <w:rStyle w:val="IndexLink"/>
              </w:rPr>
              <w:t>339</w:t>
            </w:r>
          </w:hyperlink>
        </w:p>
        <w:p>
          <w:pPr>
            <w:pStyle w:val="Contents3"/>
            <w:tabs>
              <w:tab w:val="clear" w:pos="8459"/>
              <w:tab w:val="right" w:pos="9026" w:leader="dot"/>
            </w:tabs>
            <w:rPr/>
          </w:pPr>
          <w:hyperlink w:anchor="__RefHeading___Toc1856268_581953129">
            <w:r>
              <w:rPr>
                <w:webHidden/>
                <w:rStyle w:val="IndexLink"/>
                <w:rtl w:val="true"/>
              </w:rPr>
              <w:t>کون السلطنة من آثار الحق</w:t>
            </w:r>
            <w:r>
              <w:rPr>
                <w:rStyle w:val="IndexLink"/>
                <w:rtl w:val="true"/>
              </w:rPr>
              <w:tab/>
            </w:r>
            <w:r>
              <w:rPr>
                <w:rStyle w:val="IndexLink"/>
              </w:rPr>
              <w:t>341</w:t>
            </w:r>
          </w:hyperlink>
        </w:p>
        <w:p>
          <w:pPr>
            <w:pStyle w:val="Contents3"/>
            <w:tabs>
              <w:tab w:val="clear" w:pos="8459"/>
              <w:tab w:val="right" w:pos="9026" w:leader="dot"/>
            </w:tabs>
            <w:rPr/>
          </w:pPr>
          <w:hyperlink w:anchor="__RefHeading___Toc1856270_581953129">
            <w:r>
              <w:rPr>
                <w:webHidden/>
                <w:rStyle w:val="IndexLink"/>
              </w:rPr>
              <w:t>3</w:t>
            </w:r>
            <w:r>
              <w:rPr>
                <w:rStyle w:val="IndexLink"/>
                <w:rtl w:val="true"/>
              </w:rPr>
              <w:t>-</w:t>
            </w:r>
            <w:r>
              <w:rPr>
                <w:rStyle w:val="IndexLink"/>
                <w:rtl w:val="true"/>
              </w:rPr>
              <w:t>قد یقال</w:t>
            </w:r>
            <w:r>
              <w:rPr>
                <w:rStyle w:val="IndexLink"/>
                <w:rtl w:val="true"/>
              </w:rPr>
              <w:t>:</w:t>
            </w:r>
            <w:r>
              <w:rPr>
                <w:rStyle w:val="IndexLink"/>
                <w:rtl w:val="true"/>
              </w:rPr>
              <w:t>بأنّ الحقّ نفس الملک</w:t>
            </w:r>
            <w:r>
              <w:rPr>
                <w:rStyle w:val="IndexLink"/>
                <w:rtl w:val="true"/>
              </w:rPr>
              <w:tab/>
            </w:r>
            <w:r>
              <w:rPr>
                <w:rStyle w:val="IndexLink"/>
              </w:rPr>
              <w:t>342</w:t>
            </w:r>
          </w:hyperlink>
        </w:p>
        <w:p>
          <w:pPr>
            <w:pStyle w:val="Contents3"/>
            <w:tabs>
              <w:tab w:val="clear" w:pos="8459"/>
              <w:tab w:val="right" w:pos="9026" w:leader="dot"/>
            </w:tabs>
            <w:rPr/>
          </w:pPr>
          <w:hyperlink w:anchor="__RefHeading___Toc1856272_581953129">
            <w:r>
              <w:rPr>
                <w:webHidden/>
                <w:rStyle w:val="IndexLink"/>
              </w:rPr>
              <w:t>4</w:t>
            </w:r>
            <w:r>
              <w:rPr>
                <w:rStyle w:val="IndexLink"/>
                <w:rtl w:val="true"/>
              </w:rPr>
              <w:t>-</w:t>
            </w:r>
            <w:r>
              <w:rPr>
                <w:rStyle w:val="IndexLink"/>
                <w:rtl w:val="true"/>
              </w:rPr>
              <w:t>التعبیر الرابع</w:t>
            </w:r>
            <w:r>
              <w:rPr>
                <w:rStyle w:val="IndexLink"/>
                <w:rtl w:val="true"/>
              </w:rPr>
              <w:t>:</w:t>
            </w:r>
            <w:r>
              <w:rPr>
                <w:rStyle w:val="IndexLink"/>
                <w:rtl w:val="true"/>
              </w:rPr>
              <w:t>ما ذکره السیّد الخوئی قدّس سرّه من أنّه لا فرق بین الحقّ و الحکم؛</w:t>
            </w:r>
            <w:r>
              <w:rPr>
                <w:rStyle w:val="IndexLink"/>
                <w:rtl w:val="true"/>
              </w:rPr>
              <w:tab/>
            </w:r>
            <w:r>
              <w:rPr>
                <w:rStyle w:val="IndexLink"/>
              </w:rPr>
              <w:t>342</w:t>
            </w:r>
          </w:hyperlink>
        </w:p>
        <w:p>
          <w:pPr>
            <w:pStyle w:val="Contents3"/>
            <w:tabs>
              <w:tab w:val="clear" w:pos="8459"/>
              <w:tab w:val="right" w:pos="9026" w:leader="dot"/>
            </w:tabs>
            <w:rPr/>
          </w:pPr>
          <w:hyperlink w:anchor="__RefHeading___Toc1856274_581953129">
            <w:r>
              <w:rPr>
                <w:webHidden/>
                <w:rStyle w:val="IndexLink"/>
                <w:rtl w:val="true"/>
              </w:rPr>
              <w:t>و التحقیق أن یقال</w:t>
            </w:r>
            <w:r>
              <w:rPr>
                <w:rStyle w:val="IndexLink"/>
                <w:rtl w:val="true"/>
              </w:rPr>
              <w:t>:</w:t>
            </w:r>
            <w:r>
              <w:rPr>
                <w:rStyle w:val="IndexLink"/>
                <w:rtl w:val="true"/>
              </w:rPr>
              <w:t>إنّ الحقّ و إن کان اعتباره ممکنا و قابلا لأن یکون منشأ</w:t>
            </w:r>
            <w:r>
              <w:rPr>
                <w:rStyle w:val="IndexLink"/>
                <w:rtl w:val="true"/>
              </w:rPr>
              <w:tab/>
            </w:r>
            <w:r>
              <w:rPr>
                <w:rStyle w:val="IndexLink"/>
              </w:rPr>
              <w:t>344</w:t>
            </w:r>
          </w:hyperlink>
        </w:p>
        <w:p>
          <w:pPr>
            <w:pStyle w:val="Contents2"/>
            <w:tabs>
              <w:tab w:val="clear" w:pos="8743"/>
              <w:tab w:val="right" w:pos="9026" w:leader="dot"/>
            </w:tabs>
            <w:rPr/>
          </w:pPr>
          <w:hyperlink w:anchor="__RefHeading___Toc1856276_581953129">
            <w:r>
              <w:rPr>
                <w:webHidden/>
                <w:rStyle w:val="IndexLink"/>
                <w:rtl w:val="true"/>
              </w:rPr>
              <w:t>رسالة فی اکذوبة التحریف</w:t>
            </w:r>
            <w:r>
              <w:rPr>
                <w:rStyle w:val="IndexLink"/>
                <w:rtl w:val="true"/>
              </w:rPr>
              <w:tab/>
            </w:r>
            <w:r>
              <w:rPr>
                <w:rStyle w:val="IndexLink"/>
              </w:rPr>
              <w:t>345</w:t>
            </w:r>
          </w:hyperlink>
        </w:p>
        <w:p>
          <w:pPr>
            <w:pStyle w:val="Contents3"/>
            <w:tabs>
              <w:tab w:val="clear" w:pos="8459"/>
              <w:tab w:val="right" w:pos="9026" w:leader="dot"/>
            </w:tabs>
            <w:rPr/>
          </w:pPr>
          <w:hyperlink w:anchor="__RefHeading___Toc1856278_581953129">
            <w:r>
              <w:rPr>
                <w:webHidden/>
                <w:rStyle w:val="IndexLink"/>
                <w:rtl w:val="true"/>
              </w:rPr>
              <w:t>اشارة</w:t>
            </w:r>
            <w:r>
              <w:rPr>
                <w:rStyle w:val="IndexLink"/>
                <w:rtl w:val="true"/>
              </w:rPr>
              <w:tab/>
            </w:r>
            <w:r>
              <w:rPr>
                <w:rStyle w:val="IndexLink"/>
              </w:rPr>
              <w:t>345</w:t>
            </w:r>
          </w:hyperlink>
        </w:p>
        <w:p>
          <w:pPr>
            <w:pStyle w:val="Contents3"/>
            <w:tabs>
              <w:tab w:val="clear" w:pos="8459"/>
              <w:tab w:val="right" w:pos="9026" w:leader="dot"/>
            </w:tabs>
            <w:rPr/>
          </w:pPr>
          <w:hyperlink w:anchor="__RefHeading___Toc1856280_581953129">
            <w:r>
              <w:rPr>
                <w:webHidden/>
                <w:rStyle w:val="IndexLink"/>
                <w:rtl w:val="true"/>
              </w:rPr>
              <w:t>المقدّمة</w:t>
            </w:r>
            <w:r>
              <w:rPr>
                <w:rStyle w:val="IndexLink"/>
                <w:rtl w:val="true"/>
              </w:rPr>
              <w:tab/>
            </w:r>
            <w:r>
              <w:rPr>
                <w:rStyle w:val="IndexLink"/>
              </w:rPr>
              <w:t>346</w:t>
            </w:r>
          </w:hyperlink>
        </w:p>
        <w:p>
          <w:pPr>
            <w:pStyle w:val="Contents3"/>
            <w:tabs>
              <w:tab w:val="clear" w:pos="8459"/>
              <w:tab w:val="right" w:pos="9026" w:leader="dot"/>
            </w:tabs>
            <w:rPr/>
          </w:pPr>
          <w:hyperlink w:anchor="__RefHeading___Toc1856282_581953129">
            <w:r>
              <w:rPr>
                <w:webHidden/>
                <w:rStyle w:val="IndexLink"/>
                <w:rtl w:val="true"/>
              </w:rPr>
              <w:t>و نشیر إلی نکات هامّة</w:t>
            </w:r>
            <w:r>
              <w:rPr>
                <w:rStyle w:val="IndexLink"/>
                <w:rtl w:val="true"/>
              </w:rPr>
              <w:t>:</w:t>
              <w:tab/>
            </w:r>
            <w:r>
              <w:rPr>
                <w:rStyle w:val="IndexLink"/>
              </w:rPr>
              <w:t>348</w:t>
            </w:r>
          </w:hyperlink>
        </w:p>
        <w:p>
          <w:pPr>
            <w:pStyle w:val="Contents4"/>
            <w:tabs>
              <w:tab w:val="clear" w:pos="8176"/>
              <w:tab w:val="right" w:pos="9026" w:leader="dot"/>
            </w:tabs>
            <w:rPr/>
          </w:pPr>
          <w:hyperlink w:anchor="__RefHeading___Toc1856284_581953129">
            <w:r>
              <w:rPr>
                <w:webHidden/>
                <w:rStyle w:val="IndexLink"/>
                <w:rtl w:val="true"/>
              </w:rPr>
              <w:t>النکتة الاولی</w:t>
            </w:r>
            <w:r>
              <w:rPr>
                <w:rStyle w:val="IndexLink"/>
                <w:rtl w:val="true"/>
              </w:rPr>
              <w:t>:</w:t>
            </w:r>
            <w:r>
              <w:rPr>
                <w:rStyle w:val="IndexLink"/>
                <w:rtl w:val="true"/>
              </w:rPr>
              <w:t>تحقیق لفظ</w:t>
            </w:r>
            <w:r>
              <w:rPr>
                <w:rStyle w:val="IndexLink"/>
                <w:rtl w:val="true"/>
              </w:rPr>
              <w:t>«</w:t>
            </w:r>
            <w:r>
              <w:rPr>
                <w:rStyle w:val="IndexLink"/>
                <w:rtl w:val="true"/>
              </w:rPr>
              <w:t>التحریف</w:t>
            </w:r>
            <w:r>
              <w:rPr>
                <w:rStyle w:val="IndexLink"/>
                <w:rtl w:val="true"/>
              </w:rPr>
              <w:t>»</w:t>
              <w:tab/>
            </w:r>
            <w:r>
              <w:rPr>
                <w:rStyle w:val="IndexLink"/>
              </w:rPr>
              <w:t>348</w:t>
            </w:r>
          </w:hyperlink>
        </w:p>
        <w:p>
          <w:pPr>
            <w:pStyle w:val="Contents4"/>
            <w:tabs>
              <w:tab w:val="clear" w:pos="8176"/>
              <w:tab w:val="right" w:pos="9026" w:leader="dot"/>
            </w:tabs>
            <w:rPr/>
          </w:pPr>
          <w:hyperlink w:anchor="__RefHeading___Toc1856286_581953129">
            <w:r>
              <w:rPr>
                <w:webHidden/>
                <w:rStyle w:val="IndexLink"/>
                <w:rtl w:val="true"/>
              </w:rPr>
              <w:t>النکتة الثانیة</w:t>
            </w:r>
            <w:r>
              <w:rPr>
                <w:rStyle w:val="IndexLink"/>
                <w:rtl w:val="true"/>
              </w:rPr>
              <w:t>:</w:t>
            </w:r>
            <w:r>
              <w:rPr>
                <w:rStyle w:val="IndexLink"/>
                <w:rtl w:val="true"/>
              </w:rPr>
              <w:t>موارد استعمال لفط</w:t>
            </w:r>
            <w:r>
              <w:rPr>
                <w:rStyle w:val="IndexLink"/>
                <w:rtl w:val="true"/>
              </w:rPr>
              <w:t>«</w:t>
            </w:r>
            <w:r>
              <w:rPr>
                <w:rStyle w:val="IndexLink"/>
                <w:rtl w:val="true"/>
              </w:rPr>
              <w:t>التحریف</w:t>
            </w:r>
            <w:r>
              <w:rPr>
                <w:rStyle w:val="IndexLink"/>
                <w:rtl w:val="true"/>
              </w:rPr>
              <w:t>»</w:t>
            </w:r>
            <w:r>
              <w:rPr>
                <w:rStyle w:val="IndexLink"/>
                <w:rtl w:val="true"/>
              </w:rPr>
              <w:t>و أنواعه</w:t>
            </w:r>
            <w:r>
              <w:rPr>
                <w:rStyle w:val="IndexLink"/>
                <w:rtl w:val="true"/>
              </w:rPr>
              <w:tab/>
            </w:r>
            <w:r>
              <w:rPr>
                <w:rStyle w:val="IndexLink"/>
              </w:rPr>
              <w:t>349</w:t>
            </w:r>
          </w:hyperlink>
        </w:p>
        <w:p>
          <w:pPr>
            <w:pStyle w:val="Contents4"/>
            <w:tabs>
              <w:tab w:val="clear" w:pos="8176"/>
              <w:tab w:val="right" w:pos="9026" w:leader="dot"/>
            </w:tabs>
            <w:rPr/>
          </w:pPr>
          <w:hyperlink w:anchor="__RefHeading___Toc1856288_581953129">
            <w:r>
              <w:rPr>
                <w:webHidden/>
                <w:rStyle w:val="IndexLink"/>
                <w:rtl w:val="true"/>
              </w:rPr>
              <w:t>النکتة الثالثة</w:t>
            </w:r>
            <w:r>
              <w:rPr>
                <w:rStyle w:val="IndexLink"/>
                <w:rtl w:val="true"/>
              </w:rPr>
              <w:t>:</w:t>
            </w:r>
            <w:r>
              <w:rPr>
                <w:rStyle w:val="IndexLink"/>
                <w:rtl w:val="true"/>
              </w:rPr>
              <w:t>التحریف الإجمالی و التفصیلی</w:t>
            </w:r>
            <w:r>
              <w:rPr>
                <w:rStyle w:val="IndexLink"/>
                <w:rtl w:val="true"/>
              </w:rPr>
              <w:tab/>
            </w:r>
            <w:r>
              <w:rPr>
                <w:rStyle w:val="IndexLink"/>
              </w:rPr>
              <w:t>354</w:t>
            </w:r>
          </w:hyperlink>
        </w:p>
        <w:p>
          <w:pPr>
            <w:pStyle w:val="Contents4"/>
            <w:tabs>
              <w:tab w:val="clear" w:pos="8176"/>
              <w:tab w:val="right" w:pos="9026" w:leader="dot"/>
            </w:tabs>
            <w:rPr/>
          </w:pPr>
          <w:hyperlink w:anchor="__RefHeading___Toc1856290_581953129">
            <w:r>
              <w:rPr>
                <w:webHidden/>
                <w:rStyle w:val="IndexLink"/>
                <w:rtl w:val="true"/>
              </w:rPr>
              <w:t>النکتة الرابعة</w:t>
            </w:r>
            <w:r>
              <w:rPr>
                <w:rStyle w:val="IndexLink"/>
                <w:rtl w:val="true"/>
              </w:rPr>
              <w:t>:</w:t>
            </w:r>
            <w:r>
              <w:rPr>
                <w:rStyle w:val="IndexLink"/>
                <w:rtl w:val="true"/>
              </w:rPr>
              <w:t>عدم کفایة الخبر الواحد لإثبات التحریف</w:t>
            </w:r>
            <w:r>
              <w:rPr>
                <w:rStyle w:val="IndexLink"/>
                <w:rtl w:val="true"/>
              </w:rPr>
              <w:tab/>
            </w:r>
            <w:r>
              <w:rPr>
                <w:rStyle w:val="IndexLink"/>
              </w:rPr>
              <w:t>355</w:t>
            </w:r>
          </w:hyperlink>
        </w:p>
        <w:p>
          <w:pPr>
            <w:pStyle w:val="Contents4"/>
            <w:tabs>
              <w:tab w:val="clear" w:pos="8176"/>
              <w:tab w:val="right" w:pos="9026" w:leader="dot"/>
            </w:tabs>
            <w:rPr/>
          </w:pPr>
          <w:hyperlink w:anchor="__RefHeading___Toc1856292_581953129">
            <w:r>
              <w:rPr>
                <w:webHidden/>
                <w:rStyle w:val="IndexLink"/>
                <w:rtl w:val="true"/>
              </w:rPr>
              <w:t>النکتة الخامسة</w:t>
            </w:r>
            <w:r>
              <w:rPr>
                <w:rStyle w:val="IndexLink"/>
                <w:rtl w:val="true"/>
              </w:rPr>
              <w:t>:</w:t>
            </w:r>
            <w:r>
              <w:rPr>
                <w:rStyle w:val="IndexLink"/>
                <w:rtl w:val="true"/>
              </w:rPr>
              <w:t>آراء أکابر الإمامیّة حول التحریف</w:t>
            </w:r>
            <w:r>
              <w:rPr>
                <w:rStyle w:val="IndexLink"/>
                <w:rtl w:val="true"/>
              </w:rPr>
              <w:tab/>
            </w:r>
            <w:r>
              <w:rPr>
                <w:rStyle w:val="IndexLink"/>
              </w:rPr>
              <w:t>356</w:t>
            </w:r>
          </w:hyperlink>
        </w:p>
        <w:p>
          <w:pPr>
            <w:pStyle w:val="Contents4"/>
            <w:tabs>
              <w:tab w:val="clear" w:pos="8176"/>
              <w:tab w:val="right" w:pos="9026" w:leader="dot"/>
            </w:tabs>
            <w:rPr/>
          </w:pPr>
          <w:hyperlink w:anchor="__RefHeading___Toc1856294_581953129">
            <w:r>
              <w:rPr>
                <w:webHidden/>
                <w:rStyle w:val="IndexLink"/>
                <w:rtl w:val="true"/>
              </w:rPr>
              <w:t>النکتة السادسة</w:t>
            </w:r>
            <w:r>
              <w:rPr>
                <w:rStyle w:val="IndexLink"/>
                <w:rtl w:val="true"/>
              </w:rPr>
              <w:t>:</w:t>
            </w:r>
            <w:r>
              <w:rPr>
                <w:rStyle w:val="IndexLink"/>
                <w:rtl w:val="true"/>
              </w:rPr>
              <w:t>الفرق بین القرآن و سائر الکتب السماویّة</w:t>
            </w:r>
            <w:r>
              <w:rPr>
                <w:rStyle w:val="IndexLink"/>
                <w:rtl w:val="true"/>
              </w:rPr>
              <w:tab/>
            </w:r>
            <w:r>
              <w:rPr>
                <w:rStyle w:val="IndexLink"/>
              </w:rPr>
              <w:t>361</w:t>
            </w:r>
          </w:hyperlink>
        </w:p>
        <w:p>
          <w:pPr>
            <w:pStyle w:val="Contents4"/>
            <w:tabs>
              <w:tab w:val="clear" w:pos="8176"/>
              <w:tab w:val="right" w:pos="9026" w:leader="dot"/>
            </w:tabs>
            <w:rPr/>
          </w:pPr>
          <w:hyperlink w:anchor="__RefHeading___Toc1856296_581953129">
            <w:r>
              <w:rPr>
                <w:webHidden/>
                <w:rStyle w:val="IndexLink"/>
                <w:rtl w:val="true"/>
              </w:rPr>
              <w:t>النکتة السابعة</w:t>
            </w:r>
            <w:r>
              <w:rPr>
                <w:rStyle w:val="IndexLink"/>
                <w:rtl w:val="true"/>
              </w:rPr>
              <w:t>:</w:t>
            </w:r>
            <w:r>
              <w:rPr>
                <w:rStyle w:val="IndexLink"/>
                <w:rtl w:val="true"/>
              </w:rPr>
              <w:t>مراحل نزول القرآن و مواطنه</w:t>
            </w:r>
            <w:r>
              <w:rPr>
                <w:rStyle w:val="IndexLink"/>
                <w:rtl w:val="true"/>
              </w:rPr>
              <w:tab/>
            </w:r>
            <w:r>
              <w:rPr>
                <w:rStyle w:val="IndexLink"/>
              </w:rPr>
              <w:t>362</w:t>
            </w:r>
          </w:hyperlink>
        </w:p>
        <w:p>
          <w:pPr>
            <w:pStyle w:val="Contents4"/>
            <w:tabs>
              <w:tab w:val="clear" w:pos="8176"/>
              <w:tab w:val="right" w:pos="9026" w:leader="dot"/>
            </w:tabs>
            <w:rPr/>
          </w:pPr>
          <w:hyperlink w:anchor="__RefHeading___Toc1856298_581953129">
            <w:r>
              <w:rPr>
                <w:webHidden/>
                <w:rStyle w:val="IndexLink"/>
                <w:rtl w:val="true"/>
              </w:rPr>
              <w:t>النکتة الثامنة</w:t>
            </w:r>
            <w:r>
              <w:rPr>
                <w:rStyle w:val="IndexLink"/>
                <w:rtl w:val="true"/>
              </w:rPr>
              <w:t>:</w:t>
            </w:r>
            <w:r>
              <w:rPr>
                <w:rStyle w:val="IndexLink"/>
                <w:rtl w:val="true"/>
              </w:rPr>
              <w:t>إمکان تحریف القرآن من وجهة نظر العقل</w:t>
            </w:r>
            <w:r>
              <w:rPr>
                <w:rStyle w:val="IndexLink"/>
                <w:rtl w:val="true"/>
              </w:rPr>
              <w:tab/>
            </w:r>
            <w:r>
              <w:rPr>
                <w:rStyle w:val="IndexLink"/>
              </w:rPr>
              <w:t>364</w:t>
            </w:r>
          </w:hyperlink>
        </w:p>
        <w:p>
          <w:pPr>
            <w:pStyle w:val="Contents4"/>
            <w:tabs>
              <w:tab w:val="clear" w:pos="8176"/>
              <w:tab w:val="right" w:pos="9026" w:leader="dot"/>
            </w:tabs>
            <w:rPr/>
          </w:pPr>
          <w:hyperlink w:anchor="__RefHeading___Toc1856300_581953129">
            <w:r>
              <w:rPr>
                <w:webHidden/>
                <w:rStyle w:val="IndexLink"/>
                <w:rtl w:val="true"/>
              </w:rPr>
              <w:t>النکتة التاسعة</w:t>
            </w:r>
            <w:r>
              <w:rPr>
                <w:rStyle w:val="IndexLink"/>
                <w:rtl w:val="true"/>
              </w:rPr>
              <w:t>:</w:t>
            </w:r>
            <w:r>
              <w:rPr>
                <w:rStyle w:val="IndexLink"/>
                <w:rtl w:val="true"/>
              </w:rPr>
              <w:t>هل الاستدلال بالقرآن علی عدم التحریف یستلزم الدّور؟</w:t>
            </w:r>
            <w:r>
              <w:rPr>
                <w:rStyle w:val="IndexLink"/>
                <w:rtl w:val="true"/>
              </w:rPr>
              <w:tab/>
            </w:r>
            <w:r>
              <w:rPr>
                <w:rStyle w:val="IndexLink"/>
              </w:rPr>
              <w:t>364</w:t>
            </w:r>
          </w:hyperlink>
        </w:p>
        <w:p>
          <w:pPr>
            <w:pStyle w:val="Contents4"/>
            <w:tabs>
              <w:tab w:val="clear" w:pos="8176"/>
              <w:tab w:val="right" w:pos="9026" w:leader="dot"/>
            </w:tabs>
            <w:rPr/>
          </w:pPr>
          <w:hyperlink w:anchor="__RefHeading___Toc1856302_581953129">
            <w:r>
              <w:rPr>
                <w:webHidden/>
                <w:rStyle w:val="IndexLink"/>
                <w:rtl w:val="true"/>
              </w:rPr>
              <w:t>النکتة العاشرة</w:t>
            </w:r>
            <w:r>
              <w:rPr>
                <w:rStyle w:val="IndexLink"/>
                <w:rtl w:val="true"/>
              </w:rPr>
              <w:t>:</w:t>
            </w:r>
            <w:r>
              <w:rPr>
                <w:rStyle w:val="IndexLink"/>
                <w:rtl w:val="true"/>
              </w:rPr>
              <w:t>نوعین من الادّعاء فی التحریف</w:t>
            </w:r>
            <w:r>
              <w:rPr>
                <w:rStyle w:val="IndexLink"/>
                <w:rtl w:val="true"/>
              </w:rPr>
              <w:tab/>
            </w:r>
            <w:r>
              <w:rPr>
                <w:rStyle w:val="IndexLink"/>
              </w:rPr>
              <w:t>369</w:t>
            </w:r>
          </w:hyperlink>
        </w:p>
        <w:p>
          <w:pPr>
            <w:pStyle w:val="Contents4"/>
            <w:tabs>
              <w:tab w:val="clear" w:pos="8176"/>
              <w:tab w:val="right" w:pos="9026" w:leader="dot"/>
            </w:tabs>
            <w:rPr/>
          </w:pPr>
          <w:hyperlink w:anchor="__RefHeading___Toc1856304_581953129">
            <w:r>
              <w:rPr>
                <w:webHidden/>
                <w:rStyle w:val="IndexLink"/>
                <w:rtl w:val="true"/>
              </w:rPr>
              <w:t>النکتة الحادیة عشر</w:t>
            </w:r>
            <w:r>
              <w:rPr>
                <w:rStyle w:val="IndexLink"/>
                <w:rtl w:val="true"/>
              </w:rPr>
              <w:t>:</w:t>
            </w:r>
            <w:r>
              <w:rPr>
                <w:rStyle w:val="IndexLink"/>
                <w:rtl w:val="true"/>
              </w:rPr>
              <w:t>الدلیل العقلی و العقلائی فی عدم التحریف</w:t>
            </w:r>
            <w:r>
              <w:rPr>
                <w:rStyle w:val="IndexLink"/>
                <w:rtl w:val="true"/>
              </w:rPr>
              <w:tab/>
            </w:r>
            <w:r>
              <w:rPr>
                <w:rStyle w:val="IndexLink"/>
              </w:rPr>
              <w:t>369</w:t>
            </w:r>
          </w:hyperlink>
        </w:p>
        <w:p>
          <w:pPr>
            <w:pStyle w:val="Contents5"/>
            <w:tabs>
              <w:tab w:val="clear" w:pos="7892"/>
              <w:tab w:val="right" w:pos="9026" w:leader="dot"/>
            </w:tabs>
            <w:rPr/>
          </w:pPr>
          <w:hyperlink w:anchor="__RefHeading___Toc1856306_581953129">
            <w:r>
              <w:rPr>
                <w:webHidden/>
                <w:rStyle w:val="IndexLink"/>
                <w:rtl w:val="true"/>
              </w:rPr>
              <w:t>اشارة</w:t>
            </w:r>
            <w:r>
              <w:rPr>
                <w:rStyle w:val="IndexLink"/>
                <w:rtl w:val="true"/>
              </w:rPr>
              <w:tab/>
            </w:r>
            <w:r>
              <w:rPr>
                <w:rStyle w:val="IndexLink"/>
              </w:rPr>
              <w:t>369</w:t>
            </w:r>
          </w:hyperlink>
        </w:p>
        <w:p>
          <w:pPr>
            <w:pStyle w:val="Contents5"/>
            <w:tabs>
              <w:tab w:val="clear" w:pos="7892"/>
              <w:tab w:val="right" w:pos="9026" w:leader="dot"/>
            </w:tabs>
            <w:rPr/>
          </w:pPr>
          <w:hyperlink w:anchor="__RefHeading___Toc1856308_581953129">
            <w:r>
              <w:rPr>
                <w:webHidden/>
                <w:rStyle w:val="IndexLink"/>
                <w:rtl w:val="true"/>
              </w:rPr>
              <w:t>فلبیان هذا الدلیل هناک طریقان</w:t>
            </w:r>
            <w:r>
              <w:rPr>
                <w:rStyle w:val="IndexLink"/>
                <w:rtl w:val="true"/>
              </w:rPr>
              <w:t>:</w:t>
              <w:tab/>
            </w:r>
            <w:r>
              <w:rPr>
                <w:rStyle w:val="IndexLink"/>
              </w:rPr>
              <w:t>370</w:t>
            </w:r>
          </w:hyperlink>
        </w:p>
        <w:p>
          <w:pPr>
            <w:pStyle w:val="Contents6"/>
            <w:tabs>
              <w:tab w:val="clear" w:pos="7609"/>
              <w:tab w:val="right" w:pos="9026" w:leader="dot"/>
            </w:tabs>
            <w:rPr/>
          </w:pPr>
          <w:hyperlink w:anchor="__RefHeading___Toc1856310_581953129">
            <w:r>
              <w:rPr>
                <w:webHidden/>
                <w:rStyle w:val="IndexLink"/>
                <w:rtl w:val="true"/>
              </w:rPr>
              <w:t>الطریق الأوّل</w:t>
            </w:r>
            <w:r>
              <w:rPr>
                <w:rStyle w:val="IndexLink"/>
                <w:rtl w:val="true"/>
              </w:rPr>
              <w:t>:</w:t>
            </w:r>
            <w:r>
              <w:rPr>
                <w:rStyle w:val="IndexLink"/>
                <w:rtl w:val="true"/>
              </w:rPr>
              <w:t>أنّ الوارد فی کلمات المحقّق الخوئی رحمه اللّه هو بصورة دلیل عقلیّ</w:t>
            </w:r>
            <w:r>
              <w:rPr>
                <w:rStyle w:val="IndexLink"/>
                <w:rtl w:val="true"/>
              </w:rPr>
              <w:tab/>
            </w:r>
            <w:r>
              <w:rPr>
                <w:rStyle w:val="IndexLink"/>
              </w:rPr>
              <w:t>370</w:t>
            </w:r>
          </w:hyperlink>
        </w:p>
        <w:p>
          <w:pPr>
            <w:pStyle w:val="Contents6"/>
            <w:tabs>
              <w:tab w:val="clear" w:pos="7609"/>
              <w:tab w:val="right" w:pos="9026" w:leader="dot"/>
            </w:tabs>
            <w:rPr/>
          </w:pPr>
          <w:hyperlink w:anchor="__RefHeading___Toc1856312_581953129">
            <w:r>
              <w:rPr>
                <w:webHidden/>
                <w:rStyle w:val="IndexLink"/>
                <w:rtl w:val="true"/>
              </w:rPr>
              <w:t>الطریق الثانی</w:t>
            </w:r>
            <w:r>
              <w:rPr>
                <w:rStyle w:val="IndexLink"/>
                <w:rtl w:val="true"/>
              </w:rPr>
              <w:t>:</w:t>
            </w:r>
            <w:r>
              <w:rPr>
                <w:rStyle w:val="IndexLink"/>
                <w:rtl w:val="true"/>
              </w:rPr>
              <w:t>فی هذا الطریق یلزم بیان مقدّمتین</w:t>
            </w:r>
            <w:r>
              <w:rPr>
                <w:rStyle w:val="IndexLink"/>
                <w:rtl w:val="true"/>
              </w:rPr>
              <w:t>:</w:t>
              <w:tab/>
            </w:r>
            <w:r>
              <w:rPr>
                <w:rStyle w:val="IndexLink"/>
              </w:rPr>
              <w:t>372</w:t>
            </w:r>
          </w:hyperlink>
        </w:p>
        <w:p>
          <w:pPr>
            <w:pStyle w:val="Contents4"/>
            <w:tabs>
              <w:tab w:val="clear" w:pos="8176"/>
              <w:tab w:val="right" w:pos="9026" w:leader="dot"/>
            </w:tabs>
            <w:rPr/>
          </w:pPr>
          <w:hyperlink w:anchor="__RefHeading___Toc1856314_581953129">
            <w:r>
              <w:rPr>
                <w:webHidden/>
                <w:rStyle w:val="IndexLink"/>
                <w:rtl w:val="true"/>
              </w:rPr>
              <w:t>النکتة الثانیة عشر</w:t>
            </w:r>
            <w:r>
              <w:rPr>
                <w:rStyle w:val="IndexLink"/>
                <w:rtl w:val="true"/>
              </w:rPr>
              <w:t>:</w:t>
            </w:r>
            <w:r>
              <w:rPr>
                <w:rStyle w:val="IndexLink"/>
                <w:rtl w:val="true"/>
              </w:rPr>
              <w:t>أوضح الآیات دلالة علی عدم التحریف</w:t>
            </w:r>
            <w:r>
              <w:rPr>
                <w:rStyle w:val="IndexLink"/>
                <w:rtl w:val="true"/>
              </w:rPr>
              <w:tab/>
            </w:r>
            <w:r>
              <w:rPr>
                <w:rStyle w:val="IndexLink"/>
              </w:rPr>
              <w:t>374</w:t>
            </w:r>
          </w:hyperlink>
        </w:p>
        <w:p>
          <w:pPr>
            <w:pStyle w:val="Contents4"/>
            <w:tabs>
              <w:tab w:val="clear" w:pos="8176"/>
              <w:tab w:val="right" w:pos="9026" w:leader="dot"/>
            </w:tabs>
            <w:rPr/>
          </w:pPr>
          <w:hyperlink w:anchor="__RefHeading___Toc1856316_581953129">
            <w:r>
              <w:rPr>
                <w:webHidden/>
                <w:rStyle w:val="IndexLink"/>
                <w:rtl w:val="true"/>
              </w:rPr>
              <w:t>النکتة الثالثة عشر</w:t>
            </w:r>
            <w:r>
              <w:rPr>
                <w:rStyle w:val="IndexLink"/>
                <w:rtl w:val="true"/>
              </w:rPr>
              <w:t>:</w:t>
            </w:r>
            <w:r>
              <w:rPr>
                <w:rStyle w:val="IndexLink"/>
                <w:rtl w:val="true"/>
              </w:rPr>
              <w:t>استلزام التحریف لعدم حجّیة ظواهر الکتاب</w:t>
            </w:r>
            <w:r>
              <w:rPr>
                <w:rStyle w:val="IndexLink"/>
                <w:rtl w:val="true"/>
              </w:rPr>
              <w:tab/>
            </w:r>
            <w:r>
              <w:rPr>
                <w:rStyle w:val="IndexLink"/>
              </w:rPr>
              <w:t>376</w:t>
            </w:r>
          </w:hyperlink>
        </w:p>
        <w:p>
          <w:pPr>
            <w:pStyle w:val="Contents4"/>
            <w:tabs>
              <w:tab w:val="clear" w:pos="8176"/>
              <w:tab w:val="right" w:pos="9026" w:leader="dot"/>
            </w:tabs>
            <w:rPr/>
          </w:pPr>
          <w:hyperlink w:anchor="__RefHeading___Toc1856318_581953129">
            <w:r>
              <w:rPr>
                <w:webHidden/>
                <w:rStyle w:val="IndexLink"/>
                <w:rtl w:val="true"/>
              </w:rPr>
              <w:t>النکتة الرابعة عشر</w:t>
            </w:r>
            <w:r>
              <w:rPr>
                <w:rStyle w:val="IndexLink"/>
                <w:rtl w:val="true"/>
              </w:rPr>
              <w:t>:</w:t>
            </w:r>
            <w:r>
              <w:rPr>
                <w:rStyle w:val="IndexLink"/>
                <w:rtl w:val="true"/>
              </w:rPr>
              <w:t>دلالة حدیث الثقلین علی عدم التحریف</w:t>
            </w:r>
            <w:r>
              <w:rPr>
                <w:rStyle w:val="IndexLink"/>
                <w:rtl w:val="true"/>
              </w:rPr>
              <w:tab/>
            </w:r>
            <w:r>
              <w:rPr>
                <w:rStyle w:val="IndexLink"/>
              </w:rPr>
              <w:t>377</w:t>
            </w:r>
          </w:hyperlink>
        </w:p>
        <w:p>
          <w:pPr>
            <w:pStyle w:val="Contents4"/>
            <w:tabs>
              <w:tab w:val="clear" w:pos="8176"/>
              <w:tab w:val="right" w:pos="9026" w:leader="dot"/>
            </w:tabs>
            <w:rPr/>
          </w:pPr>
          <w:hyperlink w:anchor="__RefHeading___Toc1856320_581953129">
            <w:r>
              <w:rPr>
                <w:webHidden/>
                <w:rStyle w:val="IndexLink"/>
                <w:rtl w:val="true"/>
              </w:rPr>
              <w:t>النکتة الخامسة عشر</w:t>
            </w:r>
            <w:r>
              <w:rPr>
                <w:rStyle w:val="IndexLink"/>
                <w:rtl w:val="true"/>
              </w:rPr>
              <w:t>:</w:t>
            </w:r>
            <w:r>
              <w:rPr>
                <w:rStyle w:val="IndexLink"/>
                <w:rtl w:val="true"/>
              </w:rPr>
              <w:t>نسخ التلاوة و الإنساء</w:t>
            </w:r>
            <w:r>
              <w:rPr>
                <w:rStyle w:val="IndexLink"/>
                <w:rtl w:val="true"/>
              </w:rPr>
              <w:tab/>
            </w:r>
            <w:r>
              <w:rPr>
                <w:rStyle w:val="IndexLink"/>
              </w:rPr>
              <w:t>380</w:t>
            </w:r>
          </w:hyperlink>
        </w:p>
        <w:p>
          <w:pPr>
            <w:pStyle w:val="Contents4"/>
            <w:tabs>
              <w:tab w:val="clear" w:pos="8176"/>
              <w:tab w:val="right" w:pos="9026" w:leader="dot"/>
            </w:tabs>
            <w:rPr/>
          </w:pPr>
          <w:hyperlink w:anchor="__RefHeading___Toc1856322_581953129">
            <w:r>
              <w:rPr>
                <w:webHidden/>
                <w:rStyle w:val="IndexLink"/>
                <w:rtl w:val="true"/>
              </w:rPr>
              <w:t>النکتة السادسة عشر</w:t>
            </w:r>
            <w:r>
              <w:rPr>
                <w:rStyle w:val="IndexLink"/>
                <w:rtl w:val="true"/>
              </w:rPr>
              <w:t>:</w:t>
            </w:r>
            <w:r>
              <w:rPr>
                <w:rStyle w:val="IndexLink"/>
                <w:rtl w:val="true"/>
              </w:rPr>
              <w:t>لا یمکن للشیعة الاعتقاد بالتحریف</w:t>
            </w:r>
            <w:r>
              <w:rPr>
                <w:rStyle w:val="IndexLink"/>
                <w:rtl w:val="true"/>
              </w:rPr>
              <w:tab/>
            </w:r>
            <w:r>
              <w:rPr>
                <w:rStyle w:val="IndexLink"/>
              </w:rPr>
              <w:t>382</w:t>
            </w:r>
          </w:hyperlink>
        </w:p>
        <w:p>
          <w:pPr>
            <w:pStyle w:val="Contents4"/>
            <w:tabs>
              <w:tab w:val="clear" w:pos="8176"/>
              <w:tab w:val="right" w:pos="9026" w:leader="dot"/>
            </w:tabs>
            <w:rPr/>
          </w:pPr>
          <w:hyperlink w:anchor="__RefHeading___Toc1856324_581953129">
            <w:r>
              <w:rPr>
                <w:webHidden/>
                <w:rStyle w:val="IndexLink"/>
                <w:rtl w:val="true"/>
              </w:rPr>
              <w:t>النکتة السابعة عشر</w:t>
            </w:r>
            <w:r>
              <w:rPr>
                <w:rStyle w:val="IndexLink"/>
                <w:rtl w:val="true"/>
              </w:rPr>
              <w:t>:</w:t>
            </w:r>
            <w:r>
              <w:rPr>
                <w:rStyle w:val="IndexLink"/>
                <w:rtl w:val="true"/>
              </w:rPr>
              <w:t>دراسة عامّة لروایات التحریف</w:t>
            </w:r>
            <w:r>
              <w:rPr>
                <w:rStyle w:val="IndexLink"/>
                <w:rtl w:val="true"/>
              </w:rPr>
              <w:tab/>
            </w:r>
            <w:r>
              <w:rPr>
                <w:rStyle w:val="IndexLink"/>
              </w:rPr>
              <w:t>383</w:t>
            </w:r>
          </w:hyperlink>
        </w:p>
        <w:p>
          <w:pPr>
            <w:pStyle w:val="Contents5"/>
            <w:tabs>
              <w:tab w:val="clear" w:pos="7892"/>
              <w:tab w:val="right" w:pos="9026" w:leader="dot"/>
            </w:tabs>
            <w:rPr/>
          </w:pPr>
          <w:hyperlink w:anchor="__RefHeading___Toc1856326_581953129">
            <w:r>
              <w:rPr>
                <w:webHidden/>
                <w:rStyle w:val="IndexLink"/>
                <w:rtl w:val="true"/>
              </w:rPr>
              <w:t>اشارة</w:t>
            </w:r>
            <w:r>
              <w:rPr>
                <w:rStyle w:val="IndexLink"/>
                <w:rtl w:val="true"/>
              </w:rPr>
              <w:tab/>
            </w:r>
            <w:r>
              <w:rPr>
                <w:rStyle w:val="IndexLink"/>
              </w:rPr>
              <w:t>383</w:t>
            </w:r>
          </w:hyperlink>
        </w:p>
        <w:p>
          <w:pPr>
            <w:pStyle w:val="Contents5"/>
            <w:tabs>
              <w:tab w:val="clear" w:pos="7892"/>
              <w:tab w:val="right" w:pos="9026" w:leader="dot"/>
            </w:tabs>
            <w:rPr/>
          </w:pPr>
          <w:hyperlink w:anchor="__RefHeading___Toc1856328_581953129">
            <w:r>
              <w:rPr>
                <w:webHidden/>
                <w:rStyle w:val="IndexLink"/>
                <w:rtl w:val="true"/>
              </w:rPr>
              <w:t>الجهة الاولی</w:t>
            </w:r>
            <w:r>
              <w:rPr>
                <w:rStyle w:val="IndexLink"/>
                <w:rtl w:val="true"/>
              </w:rPr>
              <w:t>:</w:t>
            </w:r>
            <w:r>
              <w:rPr>
                <w:rStyle w:val="IndexLink"/>
                <w:rtl w:val="true"/>
              </w:rPr>
              <w:t>الإشکال من حیث السند،</w:t>
            </w:r>
            <w:r>
              <w:rPr>
                <w:rStyle w:val="IndexLink"/>
                <w:rtl w:val="true"/>
              </w:rPr>
              <w:tab/>
            </w:r>
            <w:r>
              <w:rPr>
                <w:rStyle w:val="IndexLink"/>
              </w:rPr>
              <w:t>384</w:t>
            </w:r>
          </w:hyperlink>
        </w:p>
        <w:p>
          <w:pPr>
            <w:pStyle w:val="Contents5"/>
            <w:tabs>
              <w:tab w:val="clear" w:pos="7892"/>
              <w:tab w:val="right" w:pos="9026" w:leader="dot"/>
            </w:tabs>
            <w:rPr/>
          </w:pPr>
          <w:hyperlink w:anchor="__RefHeading___Toc1856330_581953129">
            <w:r>
              <w:rPr>
                <w:webHidden/>
                <w:rStyle w:val="IndexLink"/>
                <w:rtl w:val="true"/>
              </w:rPr>
              <w:t>و أمّا توضیح الجهة الثانیة</w:t>
            </w:r>
            <w:r>
              <w:rPr>
                <w:rStyle w:val="IndexLink"/>
                <w:rtl w:val="true"/>
              </w:rPr>
              <w:t>:</w:t>
            </w:r>
            <w:r>
              <w:rPr>
                <w:rStyle w:val="IndexLink"/>
                <w:rtl w:val="true"/>
              </w:rPr>
              <w:t>فإنّ هذه الروایات</w:t>
            </w:r>
            <w:r>
              <w:rPr>
                <w:rStyle w:val="IndexLink"/>
                <w:rtl w:val="true"/>
              </w:rPr>
              <w:tab/>
            </w:r>
            <w:r>
              <w:rPr>
                <w:rStyle w:val="IndexLink"/>
              </w:rPr>
              <w:t>386</w:t>
            </w:r>
          </w:hyperlink>
        </w:p>
        <w:p>
          <w:pPr>
            <w:pStyle w:val="Contents5"/>
            <w:tabs>
              <w:tab w:val="clear" w:pos="7892"/>
              <w:tab w:val="right" w:pos="9026" w:leader="dot"/>
            </w:tabs>
            <w:rPr/>
          </w:pPr>
          <w:hyperlink w:anchor="__RefHeading___Toc1856332_581953129">
            <w:r>
              <w:rPr>
                <w:webHidden/>
                <w:rStyle w:val="IndexLink"/>
                <w:rtl w:val="true"/>
              </w:rPr>
              <w:t>الطائفة الثامنة</w:t>
            </w:r>
            <w:r>
              <w:rPr>
                <w:rStyle w:val="IndexLink"/>
                <w:rtl w:val="true"/>
              </w:rPr>
              <w:t>:</w:t>
            </w:r>
            <w:r>
              <w:rPr>
                <w:rStyle w:val="IndexLink"/>
                <w:rtl w:val="true"/>
              </w:rPr>
              <w:t>الروایات التی تدلّ علی وجود نقیصة فی الکتاب الشریف،</w:t>
            </w:r>
            <w:r>
              <w:rPr>
                <w:rStyle w:val="IndexLink"/>
                <w:rtl w:val="true"/>
              </w:rPr>
              <w:tab/>
            </w:r>
            <w:r>
              <w:rPr>
                <w:rStyle w:val="IndexLink"/>
              </w:rPr>
              <w:t>388</w:t>
            </w:r>
          </w:hyperlink>
        </w:p>
        <w:p>
          <w:pPr>
            <w:pStyle w:val="Contents2"/>
            <w:tabs>
              <w:tab w:val="clear" w:pos="8743"/>
              <w:tab w:val="right" w:pos="9026" w:leader="dot"/>
            </w:tabs>
            <w:rPr/>
          </w:pPr>
          <w:hyperlink w:anchor="__RefHeading___Toc1856334_581953129">
            <w:r>
              <w:rPr>
                <w:webHidden/>
                <w:rStyle w:val="IndexLink"/>
                <w:rtl w:val="true"/>
              </w:rPr>
              <w:t>رسالة فی الدراسة الفقهیّة حول الطواف فی الطابق الأوّل من المسجد الحرام</w:t>
            </w:r>
            <w:r>
              <w:rPr>
                <w:rStyle w:val="IndexLink"/>
                <w:rtl w:val="true"/>
              </w:rPr>
              <w:tab/>
            </w:r>
            <w:r>
              <w:rPr>
                <w:rStyle w:val="IndexLink"/>
              </w:rPr>
              <w:t>389</w:t>
            </w:r>
          </w:hyperlink>
        </w:p>
        <w:p>
          <w:pPr>
            <w:pStyle w:val="Contents3"/>
            <w:tabs>
              <w:tab w:val="clear" w:pos="8459"/>
              <w:tab w:val="right" w:pos="9026" w:leader="dot"/>
            </w:tabs>
            <w:rPr/>
          </w:pPr>
          <w:hyperlink w:anchor="__RefHeading___Toc1856336_581953129">
            <w:r>
              <w:rPr>
                <w:webHidden/>
                <w:rStyle w:val="IndexLink"/>
                <w:rtl w:val="true"/>
              </w:rPr>
              <w:t>اشارة</w:t>
            </w:r>
            <w:r>
              <w:rPr>
                <w:rStyle w:val="IndexLink"/>
                <w:rtl w:val="true"/>
              </w:rPr>
              <w:tab/>
            </w:r>
            <w:r>
              <w:rPr>
                <w:rStyle w:val="IndexLink"/>
              </w:rPr>
              <w:t>389</w:t>
            </w:r>
          </w:hyperlink>
        </w:p>
        <w:p>
          <w:pPr>
            <w:pStyle w:val="Contents3"/>
            <w:tabs>
              <w:tab w:val="clear" w:pos="8459"/>
              <w:tab w:val="right" w:pos="9026" w:leader="dot"/>
            </w:tabs>
            <w:rPr/>
          </w:pPr>
          <w:hyperlink w:anchor="__RefHeading___Toc1856338_581953129">
            <w:r>
              <w:rPr>
                <w:webHidden/>
                <w:rStyle w:val="IndexLink"/>
                <w:rtl w:val="true"/>
              </w:rPr>
              <w:t>تمهید</w:t>
            </w:r>
            <w:r>
              <w:rPr>
                <w:rStyle w:val="IndexLink"/>
                <w:rtl w:val="true"/>
              </w:rPr>
              <w:tab/>
            </w:r>
            <w:r>
              <w:rPr>
                <w:rStyle w:val="IndexLink"/>
              </w:rPr>
              <w:t>390</w:t>
            </w:r>
          </w:hyperlink>
        </w:p>
        <w:p>
          <w:pPr>
            <w:pStyle w:val="Contents3"/>
            <w:tabs>
              <w:tab w:val="clear" w:pos="8459"/>
              <w:tab w:val="right" w:pos="9026" w:leader="dot"/>
            </w:tabs>
            <w:rPr/>
          </w:pPr>
          <w:hyperlink w:anchor="__RefHeading___Toc1856340_581953129">
            <w:r>
              <w:rPr>
                <w:webHidden/>
                <w:rStyle w:val="IndexLink"/>
                <w:rtl w:val="true"/>
              </w:rPr>
              <w:t>علاقة البحث بفکرة حدّ المطاف</w:t>
            </w:r>
            <w:r>
              <w:rPr>
                <w:rStyle w:val="IndexLink"/>
                <w:rtl w:val="true"/>
              </w:rPr>
              <w:tab/>
            </w:r>
            <w:r>
              <w:rPr>
                <w:rStyle w:val="IndexLink"/>
              </w:rPr>
              <w:t>390</w:t>
            </w:r>
          </w:hyperlink>
        </w:p>
        <w:p>
          <w:pPr>
            <w:pStyle w:val="Contents3"/>
            <w:tabs>
              <w:tab w:val="clear" w:pos="8459"/>
              <w:tab w:val="right" w:pos="9026" w:leader="dot"/>
            </w:tabs>
            <w:rPr/>
          </w:pPr>
          <w:hyperlink w:anchor="__RefHeading___Toc1856342_581953129">
            <w:r>
              <w:rPr>
                <w:webHidden/>
                <w:rStyle w:val="IndexLink"/>
                <w:rtl w:val="true"/>
              </w:rPr>
              <w:t>علاقة البحث بمسألة الزیادة علی ارتفاع الکعبة</w:t>
            </w:r>
            <w:r>
              <w:rPr>
                <w:rStyle w:val="IndexLink"/>
                <w:rtl w:val="true"/>
              </w:rPr>
              <w:tab/>
            </w:r>
            <w:r>
              <w:rPr>
                <w:rStyle w:val="IndexLink"/>
              </w:rPr>
              <w:t>391</w:t>
            </w:r>
          </w:hyperlink>
        </w:p>
        <w:p>
          <w:pPr>
            <w:pStyle w:val="Contents3"/>
            <w:tabs>
              <w:tab w:val="clear" w:pos="8459"/>
              <w:tab w:val="right" w:pos="9026" w:leader="dot"/>
            </w:tabs>
            <w:rPr/>
          </w:pPr>
          <w:hyperlink w:anchor="__RefHeading___Toc1856344_581953129">
            <w:r>
              <w:rPr>
                <w:webHidden/>
                <w:rStyle w:val="IndexLink"/>
                <w:rtl w:val="true"/>
              </w:rPr>
              <w:t>جریان البحث فی الطواف الواجب و المندوب</w:t>
            </w:r>
            <w:r>
              <w:rPr>
                <w:rStyle w:val="IndexLink"/>
                <w:rtl w:val="true"/>
              </w:rPr>
              <w:tab/>
            </w:r>
            <w:r>
              <w:rPr>
                <w:rStyle w:val="IndexLink"/>
              </w:rPr>
              <w:t>392</w:t>
            </w:r>
          </w:hyperlink>
        </w:p>
        <w:p>
          <w:pPr>
            <w:pStyle w:val="Contents3"/>
            <w:tabs>
              <w:tab w:val="clear" w:pos="8459"/>
              <w:tab w:val="right" w:pos="9026" w:leader="dot"/>
            </w:tabs>
            <w:rPr/>
          </w:pPr>
          <w:hyperlink w:anchor="__RefHeading___Toc1856346_581953129">
            <w:r>
              <w:rPr>
                <w:webHidden/>
                <w:rStyle w:val="IndexLink"/>
                <w:rtl w:val="true"/>
              </w:rPr>
              <w:t>لزوم دخول جمیع أجزاء البدن فی المطاف،و عدمه</w:t>
            </w:r>
            <w:r>
              <w:rPr>
                <w:rStyle w:val="IndexLink"/>
                <w:rtl w:val="true"/>
              </w:rPr>
              <w:tab/>
            </w:r>
            <w:r>
              <w:rPr>
                <w:rStyle w:val="IndexLink"/>
              </w:rPr>
              <w:t>393</w:t>
            </w:r>
          </w:hyperlink>
        </w:p>
        <w:p>
          <w:pPr>
            <w:pStyle w:val="Contents3"/>
            <w:tabs>
              <w:tab w:val="clear" w:pos="8459"/>
              <w:tab w:val="right" w:pos="9026" w:leader="dot"/>
            </w:tabs>
            <w:rPr/>
          </w:pPr>
          <w:hyperlink w:anchor="__RefHeading___Toc1856348_581953129">
            <w:r>
              <w:rPr>
                <w:webHidden/>
                <w:rStyle w:val="IndexLink"/>
                <w:rtl w:val="true"/>
              </w:rPr>
              <w:t>حکم البناء فی مکّة المکرّمة مرتفعا عن البیت</w:t>
            </w:r>
            <w:r>
              <w:rPr>
                <w:rStyle w:val="IndexLink"/>
                <w:rtl w:val="true"/>
              </w:rPr>
              <w:tab/>
            </w:r>
            <w:r>
              <w:rPr>
                <w:rStyle w:val="IndexLink"/>
              </w:rPr>
              <w:t>395</w:t>
            </w:r>
          </w:hyperlink>
        </w:p>
        <w:p>
          <w:pPr>
            <w:pStyle w:val="Contents3"/>
            <w:tabs>
              <w:tab w:val="clear" w:pos="8459"/>
              <w:tab w:val="right" w:pos="9026" w:leader="dot"/>
            </w:tabs>
            <w:rPr/>
          </w:pPr>
          <w:hyperlink w:anchor="__RefHeading___Toc1856350_581953129">
            <w:r>
              <w:rPr>
                <w:webHidden/>
                <w:rStyle w:val="IndexLink"/>
                <w:rtl w:val="true"/>
              </w:rPr>
              <w:t>الطواف من الطابق الأعلی من البیت</w:t>
            </w:r>
            <w:r>
              <w:rPr>
                <w:rStyle w:val="IndexLink"/>
                <w:rtl w:val="true"/>
              </w:rPr>
              <w:tab/>
            </w:r>
            <w:r>
              <w:rPr>
                <w:rStyle w:val="IndexLink"/>
              </w:rPr>
              <w:t>397</w:t>
            </w:r>
          </w:hyperlink>
        </w:p>
        <w:p>
          <w:pPr>
            <w:pStyle w:val="Contents3"/>
            <w:tabs>
              <w:tab w:val="clear" w:pos="8459"/>
              <w:tab w:val="right" w:pos="9026" w:leader="dot"/>
            </w:tabs>
            <w:rPr/>
          </w:pPr>
          <w:hyperlink w:anchor="__RefHeading___Toc1856352_581953129">
            <w:r>
              <w:rPr>
                <w:webHidden/>
                <w:rStyle w:val="IndexLink"/>
                <w:rtl w:val="true"/>
              </w:rPr>
              <w:t>اشکالات و أجوبة</w:t>
            </w:r>
            <w:r>
              <w:rPr>
                <w:rStyle w:val="IndexLink"/>
                <w:rtl w:val="true"/>
              </w:rPr>
              <w:tab/>
            </w:r>
            <w:r>
              <w:rPr>
                <w:rStyle w:val="IndexLink"/>
              </w:rPr>
              <w:t>399</w:t>
            </w:r>
          </w:hyperlink>
        </w:p>
        <w:p>
          <w:pPr>
            <w:pStyle w:val="Contents3"/>
            <w:tabs>
              <w:tab w:val="clear" w:pos="8459"/>
              <w:tab w:val="right" w:pos="9026" w:leader="dot"/>
            </w:tabs>
            <w:rPr/>
          </w:pPr>
          <w:hyperlink w:anchor="__RefHeading___Toc1856354_581953129">
            <w:r>
              <w:rPr>
                <w:webHidden/>
                <w:rStyle w:val="IndexLink"/>
                <w:rtl w:val="true"/>
              </w:rPr>
              <w:t>الطواف من الطابق الأوّل عند السنّة</w:t>
            </w:r>
            <w:r>
              <w:rPr>
                <w:rStyle w:val="IndexLink"/>
                <w:rtl w:val="true"/>
              </w:rPr>
              <w:tab/>
            </w:r>
            <w:r>
              <w:rPr>
                <w:rStyle w:val="IndexLink"/>
              </w:rPr>
              <w:t>406</w:t>
            </w:r>
          </w:hyperlink>
        </w:p>
        <w:p>
          <w:pPr>
            <w:pStyle w:val="Contents3"/>
            <w:tabs>
              <w:tab w:val="clear" w:pos="8459"/>
              <w:tab w:val="right" w:pos="9026" w:leader="dot"/>
            </w:tabs>
            <w:rPr/>
          </w:pPr>
          <w:hyperlink w:anchor="__RefHeading___Toc1856356_581953129">
            <w:r>
              <w:rPr>
                <w:webHidden/>
                <w:rStyle w:val="IndexLink"/>
                <w:rtl w:val="true"/>
              </w:rPr>
              <w:t>فروع ملحقة</w:t>
            </w:r>
            <w:r>
              <w:rPr>
                <w:rStyle w:val="IndexLink"/>
                <w:rtl w:val="true"/>
              </w:rPr>
              <w:t>:</w:t>
              <w:tab/>
            </w:r>
            <w:r>
              <w:rPr>
                <w:rStyle w:val="IndexLink"/>
              </w:rPr>
              <w:t>407</w:t>
            </w:r>
          </w:hyperlink>
        </w:p>
        <w:p>
          <w:pPr>
            <w:pStyle w:val="Contents4"/>
            <w:tabs>
              <w:tab w:val="clear" w:pos="8176"/>
              <w:tab w:val="right" w:pos="9026" w:leader="dot"/>
            </w:tabs>
            <w:rPr/>
          </w:pPr>
          <w:hyperlink w:anchor="__RefHeading___Toc1856358_581953129">
            <w:r>
              <w:rPr>
                <w:webHidden/>
                <w:rStyle w:val="IndexLink"/>
                <w:rtl w:val="true"/>
              </w:rPr>
              <w:t>الأوّل</w:t>
            </w:r>
            <w:r>
              <w:rPr>
                <w:rStyle w:val="IndexLink"/>
                <w:rtl w:val="true"/>
              </w:rPr>
              <w:t>:</w:t>
            </w:r>
            <w:r>
              <w:rPr>
                <w:rStyle w:val="IndexLink"/>
                <w:rtl w:val="true"/>
              </w:rPr>
              <w:t>الطواف فی المکان المرتفع من البیت قلیلا</w:t>
            </w:r>
            <w:r>
              <w:rPr>
                <w:rStyle w:val="IndexLink"/>
                <w:rtl w:val="true"/>
              </w:rPr>
              <w:tab/>
            </w:r>
            <w:r>
              <w:rPr>
                <w:rStyle w:val="IndexLink"/>
              </w:rPr>
              <w:t>407</w:t>
            </w:r>
          </w:hyperlink>
        </w:p>
        <w:p>
          <w:pPr>
            <w:pStyle w:val="Contents4"/>
            <w:tabs>
              <w:tab w:val="clear" w:pos="8176"/>
              <w:tab w:val="right" w:pos="9026" w:leader="dot"/>
            </w:tabs>
            <w:rPr/>
          </w:pPr>
          <w:hyperlink w:anchor="__RefHeading___Toc1856360_581953129">
            <w:r>
              <w:rPr>
                <w:webHidden/>
                <w:rStyle w:val="IndexLink"/>
                <w:rtl w:val="true"/>
              </w:rPr>
              <w:t>الثانی</w:t>
            </w:r>
            <w:r>
              <w:rPr>
                <w:rStyle w:val="IndexLink"/>
                <w:rtl w:val="true"/>
              </w:rPr>
              <w:t>:</w:t>
            </w:r>
            <w:r>
              <w:rPr>
                <w:rStyle w:val="IndexLink"/>
                <w:rtl w:val="true"/>
              </w:rPr>
              <w:t>شمول الحکم لحال الاضطرار،و عدمه</w:t>
            </w:r>
            <w:r>
              <w:rPr>
                <w:rStyle w:val="IndexLink"/>
                <w:rtl w:val="true"/>
              </w:rPr>
              <w:tab/>
            </w:r>
            <w:r>
              <w:rPr>
                <w:rStyle w:val="IndexLink"/>
              </w:rPr>
              <w:t>407</w:t>
            </w:r>
          </w:hyperlink>
        </w:p>
        <w:p>
          <w:pPr>
            <w:pStyle w:val="Contents4"/>
            <w:tabs>
              <w:tab w:val="clear" w:pos="8176"/>
              <w:tab w:val="right" w:pos="9026" w:leader="dot"/>
            </w:tabs>
            <w:rPr/>
          </w:pPr>
          <w:hyperlink w:anchor="__RefHeading___Toc1856362_581953129">
            <w:r>
              <w:rPr>
                <w:webHidden/>
                <w:rStyle w:val="IndexLink"/>
                <w:rtl w:val="true"/>
              </w:rPr>
              <w:t>الثالث</w:t>
            </w:r>
            <w:r>
              <w:rPr>
                <w:rStyle w:val="IndexLink"/>
                <w:rtl w:val="true"/>
              </w:rPr>
              <w:t>:</w:t>
            </w:r>
            <w:r>
              <w:rPr>
                <w:rStyle w:val="IndexLink"/>
                <w:rtl w:val="true"/>
              </w:rPr>
              <w:t>الاستنابة و مشروعیّتها</w:t>
            </w:r>
            <w:r>
              <w:rPr>
                <w:rStyle w:val="IndexLink"/>
                <w:rtl w:val="true"/>
              </w:rPr>
              <w:tab/>
            </w:r>
            <w:r>
              <w:rPr>
                <w:rStyle w:val="IndexLink"/>
              </w:rPr>
              <w:t>408</w:t>
            </w:r>
          </w:hyperlink>
        </w:p>
        <w:p>
          <w:pPr>
            <w:pStyle w:val="Contents3"/>
            <w:tabs>
              <w:tab w:val="clear" w:pos="8459"/>
              <w:tab w:val="right" w:pos="9026" w:leader="dot"/>
            </w:tabs>
            <w:rPr/>
          </w:pPr>
          <w:hyperlink w:anchor="__RefHeading___Toc1856364_581953129">
            <w:r>
              <w:rPr>
                <w:webHidden/>
                <w:rStyle w:val="IndexLink"/>
                <w:rtl w:val="true"/>
              </w:rPr>
              <w:t>سوال و جواب</w:t>
            </w:r>
            <w:r>
              <w:rPr>
                <w:rStyle w:val="IndexLink"/>
                <w:rtl w:val="true"/>
              </w:rPr>
              <w:tab/>
            </w:r>
            <w:r>
              <w:rPr>
                <w:rStyle w:val="IndexLink"/>
              </w:rPr>
              <w:t>409</w:t>
            </w:r>
          </w:hyperlink>
        </w:p>
        <w:p>
          <w:pPr>
            <w:pStyle w:val="Contents3"/>
            <w:tabs>
              <w:tab w:val="clear" w:pos="8459"/>
              <w:tab w:val="right" w:pos="9026" w:leader="dot"/>
            </w:tabs>
            <w:rPr/>
          </w:pPr>
          <w:hyperlink w:anchor="__RefHeading___Toc1856366_581953129">
            <w:r>
              <w:rPr>
                <w:webHidden/>
                <w:rStyle w:val="IndexLink"/>
                <w:rtl w:val="true"/>
              </w:rPr>
              <w:t>خلاصة البحث،و نتیجة الدراسة</w:t>
            </w:r>
            <w:r>
              <w:rPr>
                <w:rStyle w:val="IndexLink"/>
                <w:rtl w:val="true"/>
              </w:rPr>
              <w:tab/>
            </w:r>
            <w:r>
              <w:rPr>
                <w:rStyle w:val="IndexLink"/>
              </w:rPr>
              <w:t>410</w:t>
            </w:r>
          </w:hyperlink>
        </w:p>
        <w:p>
          <w:pPr>
            <w:pStyle w:val="Contents2"/>
            <w:tabs>
              <w:tab w:val="clear" w:pos="8743"/>
              <w:tab w:val="right" w:pos="9026" w:leader="dot"/>
            </w:tabs>
            <w:rPr/>
          </w:pPr>
          <w:hyperlink w:anchor="__RefHeading___Toc1856368_581953129">
            <w:r>
              <w:rPr>
                <w:webHidden/>
                <w:rStyle w:val="IndexLink"/>
                <w:rtl w:val="true"/>
              </w:rPr>
              <w:t>رسالة فی اعتبار الأجهزة الحدیثة فی رؤیة الهلال</w:t>
            </w:r>
            <w:r>
              <w:rPr>
                <w:rStyle w:val="IndexLink"/>
                <w:rtl w:val="true"/>
              </w:rPr>
              <w:tab/>
            </w:r>
            <w:r>
              <w:rPr>
                <w:rStyle w:val="IndexLink"/>
              </w:rPr>
              <w:t>412</w:t>
            </w:r>
          </w:hyperlink>
        </w:p>
        <w:p>
          <w:pPr>
            <w:pStyle w:val="Contents3"/>
            <w:tabs>
              <w:tab w:val="clear" w:pos="8459"/>
              <w:tab w:val="right" w:pos="9026" w:leader="dot"/>
            </w:tabs>
            <w:rPr/>
          </w:pPr>
          <w:hyperlink w:anchor="__RefHeading___Toc1856370_581953129">
            <w:r>
              <w:rPr>
                <w:webHidden/>
                <w:rStyle w:val="IndexLink"/>
                <w:rtl w:val="true"/>
              </w:rPr>
              <w:t>اشارة</w:t>
            </w:r>
            <w:r>
              <w:rPr>
                <w:rStyle w:val="IndexLink"/>
                <w:rtl w:val="true"/>
              </w:rPr>
              <w:tab/>
            </w:r>
            <w:r>
              <w:rPr>
                <w:rStyle w:val="IndexLink"/>
              </w:rPr>
              <w:t>412</w:t>
            </w:r>
          </w:hyperlink>
        </w:p>
        <w:p>
          <w:pPr>
            <w:pStyle w:val="Contents3"/>
            <w:tabs>
              <w:tab w:val="clear" w:pos="8459"/>
              <w:tab w:val="right" w:pos="9026" w:leader="dot"/>
            </w:tabs>
            <w:rPr/>
          </w:pPr>
          <w:hyperlink w:anchor="__RefHeading___Toc1856372_581953129">
            <w:r>
              <w:rPr>
                <w:webHidden/>
                <w:rStyle w:val="IndexLink"/>
                <w:rtl w:val="true"/>
              </w:rPr>
              <w:t>مقدّمة</w:t>
            </w:r>
            <w:r>
              <w:rPr>
                <w:rStyle w:val="IndexLink"/>
                <w:rtl w:val="true"/>
              </w:rPr>
              <w:tab/>
            </w:r>
            <w:r>
              <w:rPr>
                <w:rStyle w:val="IndexLink"/>
              </w:rPr>
              <w:t>413</w:t>
            </w:r>
          </w:hyperlink>
        </w:p>
        <w:p>
          <w:pPr>
            <w:pStyle w:val="Contents3"/>
            <w:tabs>
              <w:tab w:val="clear" w:pos="8459"/>
              <w:tab w:val="right" w:pos="9026" w:leader="dot"/>
            </w:tabs>
            <w:rPr/>
          </w:pPr>
          <w:hyperlink w:anchor="__RefHeading___Toc1856374_581953129">
            <w:r>
              <w:rPr>
                <w:webHidden/>
                <w:rStyle w:val="IndexLink"/>
                <w:rtl w:val="true"/>
              </w:rPr>
              <w:t>تحریر محلّ النزاع</w:t>
            </w:r>
            <w:r>
              <w:rPr>
                <w:rStyle w:val="IndexLink"/>
                <w:rtl w:val="true"/>
              </w:rPr>
              <w:tab/>
            </w:r>
            <w:r>
              <w:rPr>
                <w:rStyle w:val="IndexLink"/>
              </w:rPr>
              <w:t>414</w:t>
            </w:r>
          </w:hyperlink>
        </w:p>
        <w:p>
          <w:pPr>
            <w:pStyle w:val="Contents3"/>
            <w:tabs>
              <w:tab w:val="clear" w:pos="8459"/>
              <w:tab w:val="right" w:pos="9026" w:leader="dot"/>
            </w:tabs>
            <w:rPr/>
          </w:pPr>
          <w:hyperlink w:anchor="__RefHeading___Toc1856376_581953129">
            <w:r>
              <w:rPr>
                <w:webHidden/>
                <w:rStyle w:val="IndexLink"/>
                <w:rtl w:val="true"/>
              </w:rPr>
              <w:t>تعریف الهلال</w:t>
            </w:r>
            <w:r>
              <w:rPr>
                <w:rStyle w:val="IndexLink"/>
                <w:rtl w:val="true"/>
              </w:rPr>
              <w:tab/>
            </w:r>
            <w:r>
              <w:rPr>
                <w:rStyle w:val="IndexLink"/>
              </w:rPr>
              <w:t>415</w:t>
            </w:r>
          </w:hyperlink>
        </w:p>
        <w:p>
          <w:pPr>
            <w:pStyle w:val="Contents3"/>
            <w:tabs>
              <w:tab w:val="clear" w:pos="8459"/>
              <w:tab w:val="right" w:pos="9026" w:leader="dot"/>
            </w:tabs>
            <w:rPr/>
          </w:pPr>
          <w:hyperlink w:anchor="__RefHeading___Toc1856378_581953129">
            <w:r>
              <w:rPr>
                <w:webHidden/>
                <w:rStyle w:val="IndexLink"/>
                <w:rtl w:val="true"/>
              </w:rPr>
              <w:t>أدلّة الموافقین بالرؤیة بالعین المسلّحة</w:t>
            </w:r>
            <w:r>
              <w:rPr>
                <w:rStyle w:val="IndexLink"/>
                <w:rtl w:val="true"/>
              </w:rPr>
              <w:tab/>
            </w:r>
            <w:r>
              <w:rPr>
                <w:rStyle w:val="IndexLink"/>
              </w:rPr>
              <w:t>419</w:t>
            </w:r>
          </w:hyperlink>
        </w:p>
        <w:p>
          <w:pPr>
            <w:pStyle w:val="Contents3"/>
            <w:tabs>
              <w:tab w:val="clear" w:pos="8459"/>
              <w:tab w:val="right" w:pos="9026" w:leader="dot"/>
            </w:tabs>
            <w:rPr/>
          </w:pPr>
          <w:hyperlink w:anchor="__RefHeading___Toc1856380_581953129">
            <w:r>
              <w:rPr>
                <w:webHidden/>
                <w:rStyle w:val="IndexLink"/>
                <w:rtl w:val="true"/>
              </w:rPr>
              <w:t>أدلّة المخالفین بالرؤیة بالعین المسلّحة</w:t>
            </w:r>
            <w:r>
              <w:rPr>
                <w:rStyle w:val="IndexLink"/>
                <w:rtl w:val="true"/>
              </w:rPr>
              <w:tab/>
            </w:r>
            <w:r>
              <w:rPr>
                <w:rStyle w:val="IndexLink"/>
              </w:rPr>
              <w:t>421</w:t>
            </w:r>
          </w:hyperlink>
        </w:p>
        <w:p>
          <w:pPr>
            <w:pStyle w:val="Contents4"/>
            <w:tabs>
              <w:tab w:val="clear" w:pos="8176"/>
              <w:tab w:val="right" w:pos="9026" w:leader="dot"/>
            </w:tabs>
            <w:rPr/>
          </w:pPr>
          <w:hyperlink w:anchor="__RefHeading___Toc1856382_581953129">
            <w:r>
              <w:rPr>
                <w:webHidden/>
                <w:rStyle w:val="IndexLink"/>
                <w:rtl w:val="true"/>
              </w:rPr>
              <w:t>و أمّا من استدلّ علی عدم کفایة الرؤیة بالعین المسلّحة فمجموع ما استدلّ به</w:t>
            </w:r>
            <w:r>
              <w:rPr>
                <w:rStyle w:val="IndexLink"/>
                <w:rtl w:val="true"/>
              </w:rPr>
              <w:tab/>
            </w:r>
            <w:r>
              <w:rPr>
                <w:rStyle w:val="IndexLink"/>
              </w:rPr>
              <w:t>421</w:t>
            </w:r>
          </w:hyperlink>
        </w:p>
        <w:p>
          <w:pPr>
            <w:pStyle w:val="Contents5"/>
            <w:tabs>
              <w:tab w:val="clear" w:pos="7892"/>
              <w:tab w:val="right" w:pos="9026" w:leader="dot"/>
            </w:tabs>
            <w:rPr/>
          </w:pPr>
          <w:hyperlink w:anchor="__RefHeading___Toc1856384_581953129">
            <w:r>
              <w:rPr>
                <w:webHidden/>
                <w:rStyle w:val="IndexLink"/>
                <w:rtl w:val="true"/>
              </w:rPr>
              <w:t>اشارة</w:t>
            </w:r>
            <w:r>
              <w:rPr>
                <w:rStyle w:val="IndexLink"/>
                <w:rtl w:val="true"/>
              </w:rPr>
              <w:tab/>
            </w:r>
            <w:r>
              <w:rPr>
                <w:rStyle w:val="IndexLink"/>
              </w:rPr>
              <w:t>421</w:t>
            </w:r>
          </w:hyperlink>
        </w:p>
        <w:p>
          <w:pPr>
            <w:pStyle w:val="Contents5"/>
            <w:tabs>
              <w:tab w:val="clear" w:pos="7892"/>
              <w:tab w:val="right" w:pos="9026" w:leader="dot"/>
            </w:tabs>
            <w:rPr/>
          </w:pPr>
          <w:hyperlink w:anchor="__RefHeading___Toc1856386_581953129">
            <w:r>
              <w:rPr>
                <w:webHidden/>
                <w:rStyle w:val="IndexLink"/>
                <w:rtl w:val="true"/>
              </w:rPr>
              <w:t>الدعوی الاولی</w:t>
            </w:r>
            <w:r>
              <w:rPr>
                <w:rStyle w:val="IndexLink"/>
                <w:rtl w:val="true"/>
              </w:rPr>
              <w:t>:</w:t>
            </w:r>
            <w:r>
              <w:rPr>
                <w:rStyle w:val="IndexLink"/>
                <w:rtl w:val="true"/>
              </w:rPr>
              <w:t>الانصراف</w:t>
            </w:r>
            <w:r>
              <w:rPr>
                <w:rStyle w:val="IndexLink"/>
                <w:rtl w:val="true"/>
              </w:rPr>
              <w:tab/>
            </w:r>
            <w:r>
              <w:rPr>
                <w:rStyle w:val="IndexLink"/>
              </w:rPr>
              <w:t>422</w:t>
            </w:r>
          </w:hyperlink>
        </w:p>
        <w:p>
          <w:pPr>
            <w:pStyle w:val="Contents6"/>
            <w:tabs>
              <w:tab w:val="clear" w:pos="7609"/>
              <w:tab w:val="right" w:pos="9026" w:leader="dot"/>
            </w:tabs>
            <w:rPr/>
          </w:pPr>
          <w:hyperlink w:anchor="__RefHeading___Toc1856388_581953129">
            <w:r>
              <w:rPr>
                <w:webHidden/>
                <w:rStyle w:val="IndexLink"/>
                <w:rtl w:val="true"/>
              </w:rPr>
              <w:t>اشارة</w:t>
            </w:r>
            <w:r>
              <w:rPr>
                <w:rStyle w:val="IndexLink"/>
                <w:rtl w:val="true"/>
              </w:rPr>
              <w:tab/>
            </w:r>
            <w:r>
              <w:rPr>
                <w:rStyle w:val="IndexLink"/>
              </w:rPr>
              <w:t>422</w:t>
            </w:r>
          </w:hyperlink>
        </w:p>
        <w:p>
          <w:pPr>
            <w:pStyle w:val="Contents6"/>
            <w:tabs>
              <w:tab w:val="clear" w:pos="7609"/>
              <w:tab w:val="right" w:pos="9026" w:leader="dot"/>
            </w:tabs>
            <w:rPr/>
          </w:pPr>
          <w:hyperlink w:anchor="__RefHeading___Toc1856390_581953129">
            <w:r>
              <w:rPr>
                <w:webHidden/>
                <w:rStyle w:val="IndexLink"/>
                <w:rtl w:val="true"/>
              </w:rPr>
              <w:t>تحلیل الروایات</w:t>
            </w:r>
            <w:r>
              <w:rPr>
                <w:rStyle w:val="IndexLink"/>
                <w:rtl w:val="true"/>
              </w:rPr>
              <w:tab/>
            </w:r>
            <w:r>
              <w:rPr>
                <w:rStyle w:val="IndexLink"/>
              </w:rPr>
              <w:t>424</w:t>
            </w:r>
          </w:hyperlink>
        </w:p>
        <w:p>
          <w:pPr>
            <w:pStyle w:val="Contents6"/>
            <w:tabs>
              <w:tab w:val="clear" w:pos="7609"/>
              <w:tab w:val="right" w:pos="9026" w:leader="dot"/>
            </w:tabs>
            <w:rPr/>
          </w:pPr>
          <w:hyperlink w:anchor="__RefHeading___Toc1856392_581953129">
            <w:r>
              <w:rPr>
                <w:webHidden/>
                <w:rStyle w:val="IndexLink"/>
                <w:rtl w:val="true"/>
              </w:rPr>
              <w:t>و المتحصّل</w:t>
            </w:r>
            <w:r>
              <w:rPr>
                <w:rStyle w:val="IndexLink"/>
                <w:rtl w:val="true"/>
              </w:rPr>
              <w:t>:</w:t>
              <w:tab/>
            </w:r>
            <w:r>
              <w:rPr>
                <w:rStyle w:val="IndexLink"/>
              </w:rPr>
              <w:t>432</w:t>
            </w:r>
          </w:hyperlink>
        </w:p>
        <w:p>
          <w:pPr>
            <w:pStyle w:val="Contents6"/>
            <w:tabs>
              <w:tab w:val="clear" w:pos="7609"/>
              <w:tab w:val="right" w:pos="9026" w:leader="dot"/>
            </w:tabs>
            <w:rPr/>
          </w:pPr>
          <w:hyperlink w:anchor="__RefHeading___Toc1856394_581953129">
            <w:r>
              <w:rPr>
                <w:webHidden/>
                <w:rStyle w:val="IndexLink"/>
                <w:rtl w:val="true"/>
              </w:rPr>
              <w:t>موارد من عدم حمل الفقهاء المطلقات علی الفرد المتعارف فی الفقه</w:t>
            </w:r>
            <w:r>
              <w:rPr>
                <w:rStyle w:val="IndexLink"/>
                <w:rtl w:val="true"/>
              </w:rPr>
              <w:t>:</w:t>
              <w:tab/>
            </w:r>
            <w:r>
              <w:rPr>
                <w:rStyle w:val="IndexLink"/>
              </w:rPr>
              <w:t>432</w:t>
            </w:r>
          </w:hyperlink>
        </w:p>
        <w:p>
          <w:pPr>
            <w:pStyle w:val="Contents6"/>
            <w:tabs>
              <w:tab w:val="clear" w:pos="7609"/>
              <w:tab w:val="right" w:pos="9026" w:leader="dot"/>
            </w:tabs>
            <w:rPr/>
          </w:pPr>
          <w:hyperlink w:anchor="__RefHeading___Toc1856396_581953129">
            <w:r>
              <w:rPr>
                <w:webHidden/>
                <w:rStyle w:val="IndexLink"/>
                <w:rtl w:val="true"/>
              </w:rPr>
              <w:t>نتائج البحث</w:t>
            </w:r>
            <w:r>
              <w:rPr>
                <w:rStyle w:val="IndexLink"/>
                <w:rtl w:val="true"/>
              </w:rPr>
              <w:t>:</w:t>
              <w:tab/>
            </w:r>
            <w:r>
              <w:rPr>
                <w:rStyle w:val="IndexLink"/>
              </w:rPr>
              <w:t>443</w:t>
            </w:r>
          </w:hyperlink>
        </w:p>
        <w:p>
          <w:pPr>
            <w:pStyle w:val="Contents5"/>
            <w:tabs>
              <w:tab w:val="clear" w:pos="7892"/>
              <w:tab w:val="right" w:pos="9026" w:leader="dot"/>
            </w:tabs>
            <w:rPr/>
          </w:pPr>
          <w:hyperlink w:anchor="__RefHeading___Toc1856398_581953129">
            <w:r>
              <w:rPr>
                <w:webHidden/>
                <w:rStyle w:val="IndexLink"/>
                <w:rtl w:val="true"/>
              </w:rPr>
              <w:t>الدعوی الثانیة</w:t>
            </w:r>
            <w:r>
              <w:rPr>
                <w:rStyle w:val="IndexLink"/>
                <w:rtl w:val="true"/>
              </w:rPr>
              <w:t>:</w:t>
            </w:r>
            <w:r>
              <w:rPr>
                <w:rStyle w:val="IndexLink"/>
                <w:rtl w:val="true"/>
              </w:rPr>
              <w:t>الطریقیّة و الموضوعیّة</w:t>
            </w:r>
            <w:r>
              <w:rPr>
                <w:rStyle w:val="IndexLink"/>
                <w:rtl w:val="true"/>
              </w:rPr>
              <w:tab/>
            </w:r>
            <w:r>
              <w:rPr>
                <w:rStyle w:val="IndexLink"/>
              </w:rPr>
              <w:t>444</w:t>
            </w:r>
          </w:hyperlink>
        </w:p>
        <w:p>
          <w:pPr>
            <w:pStyle w:val="Contents6"/>
            <w:tabs>
              <w:tab w:val="clear" w:pos="7609"/>
              <w:tab w:val="right" w:pos="9026" w:leader="dot"/>
            </w:tabs>
            <w:rPr/>
          </w:pPr>
          <w:hyperlink w:anchor="__RefHeading___Toc1856400_581953129">
            <w:r>
              <w:rPr>
                <w:webHidden/>
                <w:rStyle w:val="IndexLink"/>
                <w:rtl w:val="true"/>
              </w:rPr>
              <w:t>اشارة</w:t>
            </w:r>
            <w:r>
              <w:rPr>
                <w:rStyle w:val="IndexLink"/>
                <w:rtl w:val="true"/>
              </w:rPr>
              <w:tab/>
            </w:r>
            <w:r>
              <w:rPr>
                <w:rStyle w:val="IndexLink"/>
              </w:rPr>
              <w:t>444</w:t>
            </w:r>
          </w:hyperlink>
        </w:p>
        <w:p>
          <w:pPr>
            <w:pStyle w:val="Contents6"/>
            <w:tabs>
              <w:tab w:val="clear" w:pos="7609"/>
              <w:tab w:val="right" w:pos="9026" w:leader="dot"/>
            </w:tabs>
            <w:rPr/>
          </w:pPr>
          <w:hyperlink w:anchor="__RefHeading___Toc1856402_581953129">
            <w:r>
              <w:rPr>
                <w:webHidden/>
                <w:rStyle w:val="IndexLink"/>
                <w:rtl w:val="true"/>
              </w:rPr>
              <w:t>موضوع الرؤیة</w:t>
            </w:r>
            <w:r>
              <w:rPr>
                <w:rStyle w:val="IndexLink"/>
                <w:rtl w:val="true"/>
              </w:rPr>
              <w:tab/>
            </w:r>
            <w:r>
              <w:rPr>
                <w:rStyle w:val="IndexLink"/>
              </w:rPr>
              <w:t>447</w:t>
            </w:r>
          </w:hyperlink>
        </w:p>
        <w:p>
          <w:pPr>
            <w:pStyle w:val="Contents6"/>
            <w:tabs>
              <w:tab w:val="clear" w:pos="7609"/>
              <w:tab w:val="right" w:pos="9026" w:leader="dot"/>
            </w:tabs>
            <w:rPr/>
          </w:pPr>
          <w:hyperlink w:anchor="__RefHeading___Toc1856404_581953129">
            <w:r>
              <w:rPr>
                <w:webHidden/>
                <w:rStyle w:val="IndexLink"/>
                <w:rtl w:val="true"/>
              </w:rPr>
              <w:t>إیرادات و توهّمات</w:t>
            </w:r>
            <w:r>
              <w:rPr>
                <w:rStyle w:val="IndexLink"/>
                <w:rtl w:val="true"/>
              </w:rPr>
              <w:t>:</w:t>
              <w:tab/>
            </w:r>
            <w:r>
              <w:rPr>
                <w:rStyle w:val="IndexLink"/>
              </w:rPr>
              <w:t>448</w:t>
            </w:r>
          </w:hyperlink>
        </w:p>
        <w:p>
          <w:pPr>
            <w:pStyle w:val="Contents2"/>
            <w:tabs>
              <w:tab w:val="clear" w:pos="8743"/>
              <w:tab w:val="right" w:pos="9026" w:leader="dot"/>
            </w:tabs>
            <w:rPr/>
          </w:pPr>
          <w:hyperlink w:anchor="__RefHeading___Toc1856406_581953129">
            <w:r>
              <w:rPr>
                <w:webHidden/>
                <w:rStyle w:val="IndexLink"/>
                <w:rtl w:val="true"/>
              </w:rPr>
              <w:t>فهرس مصادر التحقیق</w:t>
            </w:r>
            <w:r>
              <w:rPr>
                <w:rStyle w:val="IndexLink"/>
                <w:rtl w:val="true"/>
              </w:rPr>
              <w:tab/>
            </w:r>
            <w:r>
              <w:rPr>
                <w:rStyle w:val="IndexLink"/>
              </w:rPr>
              <w:t>453</w:t>
            </w:r>
          </w:hyperlink>
        </w:p>
        <w:p>
          <w:pPr>
            <w:pStyle w:val="Contents3"/>
            <w:tabs>
              <w:tab w:val="clear" w:pos="8459"/>
              <w:tab w:val="right" w:pos="9026" w:leader="dot"/>
            </w:tabs>
            <w:rPr/>
          </w:pPr>
          <w:hyperlink w:anchor="__RefHeading___Toc1856408_581953129">
            <w:r>
              <w:rPr>
                <w:webHidden/>
                <w:rStyle w:val="IndexLink"/>
                <w:rtl w:val="true"/>
              </w:rPr>
              <w:t>-</w:t>
            </w:r>
            <w:r>
              <w:rPr>
                <w:rStyle w:val="IndexLink"/>
                <w:rtl w:val="true"/>
              </w:rPr>
              <w:t>أ</w:t>
            </w:r>
            <w:r>
              <w:rPr>
                <w:rStyle w:val="IndexLink"/>
                <w:rtl w:val="true"/>
              </w:rPr>
              <w:t>-</w:t>
              <w:tab/>
            </w:r>
            <w:r>
              <w:rPr>
                <w:rStyle w:val="IndexLink"/>
              </w:rPr>
              <w:t>453</w:t>
            </w:r>
          </w:hyperlink>
        </w:p>
        <w:p>
          <w:pPr>
            <w:pStyle w:val="Contents3"/>
            <w:tabs>
              <w:tab w:val="clear" w:pos="8459"/>
              <w:tab w:val="right" w:pos="9026" w:leader="dot"/>
            </w:tabs>
            <w:rPr/>
          </w:pPr>
          <w:hyperlink w:anchor="__RefHeading___Toc1856410_581953129">
            <w:r>
              <w:rPr>
                <w:webHidden/>
                <w:rStyle w:val="IndexLink"/>
                <w:rtl w:val="true"/>
              </w:rPr>
              <w:t>-</w:t>
            </w:r>
            <w:r>
              <w:rPr>
                <w:rStyle w:val="IndexLink"/>
                <w:rtl w:val="true"/>
              </w:rPr>
              <w:t>ب</w:t>
            </w:r>
            <w:r>
              <w:rPr>
                <w:rStyle w:val="IndexLink"/>
                <w:rtl w:val="true"/>
              </w:rPr>
              <w:t>-</w:t>
              <w:tab/>
            </w:r>
            <w:r>
              <w:rPr>
                <w:rStyle w:val="IndexLink"/>
              </w:rPr>
              <w:t>455</w:t>
            </w:r>
          </w:hyperlink>
        </w:p>
        <w:p>
          <w:pPr>
            <w:pStyle w:val="Contents3"/>
            <w:tabs>
              <w:tab w:val="clear" w:pos="8459"/>
              <w:tab w:val="right" w:pos="9026" w:leader="dot"/>
            </w:tabs>
            <w:rPr/>
          </w:pPr>
          <w:hyperlink w:anchor="__RefHeading___Toc1856412_581953129">
            <w:r>
              <w:rPr>
                <w:webHidden/>
                <w:rStyle w:val="IndexLink"/>
                <w:rtl w:val="true"/>
              </w:rPr>
              <w:t>-</w:t>
            </w:r>
            <w:r>
              <w:rPr>
                <w:rStyle w:val="IndexLink"/>
                <w:rtl w:val="true"/>
              </w:rPr>
              <w:t>ت</w:t>
            </w:r>
            <w:r>
              <w:rPr>
                <w:rStyle w:val="IndexLink"/>
                <w:rtl w:val="true"/>
              </w:rPr>
              <w:t>-</w:t>
              <w:tab/>
            </w:r>
            <w:r>
              <w:rPr>
                <w:rStyle w:val="IndexLink"/>
              </w:rPr>
              <w:t>456</w:t>
            </w:r>
          </w:hyperlink>
        </w:p>
        <w:p>
          <w:pPr>
            <w:pStyle w:val="Contents3"/>
            <w:tabs>
              <w:tab w:val="clear" w:pos="8459"/>
              <w:tab w:val="right" w:pos="9026" w:leader="dot"/>
            </w:tabs>
            <w:rPr/>
          </w:pPr>
          <w:hyperlink w:anchor="__RefHeading___Toc1856414_581953129">
            <w:r>
              <w:rPr>
                <w:webHidden/>
                <w:rStyle w:val="IndexLink"/>
                <w:rtl w:val="true"/>
              </w:rPr>
              <w:t>-</w:t>
            </w:r>
            <w:r>
              <w:rPr>
                <w:rStyle w:val="IndexLink"/>
                <w:rtl w:val="true"/>
              </w:rPr>
              <w:t>ث</w:t>
            </w:r>
            <w:r>
              <w:rPr>
                <w:rStyle w:val="IndexLink"/>
                <w:rtl w:val="true"/>
              </w:rPr>
              <w:t>-</w:t>
              <w:tab/>
            </w:r>
            <w:r>
              <w:rPr>
                <w:rStyle w:val="IndexLink"/>
              </w:rPr>
              <w:t>460</w:t>
            </w:r>
          </w:hyperlink>
        </w:p>
        <w:p>
          <w:pPr>
            <w:pStyle w:val="Contents3"/>
            <w:tabs>
              <w:tab w:val="clear" w:pos="8459"/>
              <w:tab w:val="right" w:pos="9026" w:leader="dot"/>
            </w:tabs>
            <w:rPr/>
          </w:pPr>
          <w:hyperlink w:anchor="__RefHeading___Toc1856416_581953129">
            <w:r>
              <w:rPr>
                <w:webHidden/>
                <w:rStyle w:val="IndexLink"/>
                <w:rtl w:val="true"/>
              </w:rPr>
              <w:t>-</w:t>
            </w:r>
            <w:r>
              <w:rPr>
                <w:rStyle w:val="IndexLink"/>
                <w:rtl w:val="true"/>
              </w:rPr>
              <w:t>ج</w:t>
            </w:r>
            <w:r>
              <w:rPr>
                <w:rStyle w:val="IndexLink"/>
                <w:rtl w:val="true"/>
              </w:rPr>
              <w:t>-</w:t>
              <w:tab/>
            </w:r>
            <w:r>
              <w:rPr>
                <w:rStyle w:val="IndexLink"/>
              </w:rPr>
              <w:t>460</w:t>
            </w:r>
          </w:hyperlink>
        </w:p>
        <w:p>
          <w:pPr>
            <w:pStyle w:val="Contents3"/>
            <w:tabs>
              <w:tab w:val="clear" w:pos="8459"/>
              <w:tab w:val="right" w:pos="9026" w:leader="dot"/>
            </w:tabs>
            <w:rPr/>
          </w:pPr>
          <w:hyperlink w:anchor="__RefHeading___Toc1856418_581953129">
            <w:r>
              <w:rPr>
                <w:webHidden/>
                <w:rStyle w:val="IndexLink"/>
                <w:rtl w:val="true"/>
              </w:rPr>
              <w:t>-</w:t>
            </w:r>
            <w:r>
              <w:rPr>
                <w:rStyle w:val="IndexLink"/>
                <w:rtl w:val="true"/>
              </w:rPr>
              <w:t>ح</w:t>
            </w:r>
            <w:r>
              <w:rPr>
                <w:rStyle w:val="IndexLink"/>
                <w:rtl w:val="true"/>
              </w:rPr>
              <w:t>-</w:t>
              <w:tab/>
            </w:r>
            <w:r>
              <w:rPr>
                <w:rStyle w:val="IndexLink"/>
              </w:rPr>
              <w:t>461</w:t>
            </w:r>
          </w:hyperlink>
        </w:p>
        <w:p>
          <w:pPr>
            <w:pStyle w:val="Contents3"/>
            <w:tabs>
              <w:tab w:val="clear" w:pos="8459"/>
              <w:tab w:val="right" w:pos="9026" w:leader="dot"/>
            </w:tabs>
            <w:rPr/>
          </w:pPr>
          <w:hyperlink w:anchor="__RefHeading___Toc1856420_581953129">
            <w:r>
              <w:rPr>
                <w:webHidden/>
                <w:rStyle w:val="IndexLink"/>
                <w:rtl w:val="true"/>
              </w:rPr>
              <w:t>-</w:t>
            </w:r>
            <w:r>
              <w:rPr>
                <w:rStyle w:val="IndexLink"/>
                <w:rtl w:val="true"/>
              </w:rPr>
              <w:t>خ</w:t>
            </w:r>
            <w:r>
              <w:rPr>
                <w:rStyle w:val="IndexLink"/>
                <w:rtl w:val="true"/>
              </w:rPr>
              <w:t>-</w:t>
              <w:tab/>
            </w:r>
            <w:r>
              <w:rPr>
                <w:rStyle w:val="IndexLink"/>
              </w:rPr>
              <w:t>462</w:t>
            </w:r>
          </w:hyperlink>
        </w:p>
        <w:p>
          <w:pPr>
            <w:pStyle w:val="Contents3"/>
            <w:tabs>
              <w:tab w:val="clear" w:pos="8459"/>
              <w:tab w:val="right" w:pos="9026" w:leader="dot"/>
            </w:tabs>
            <w:rPr/>
          </w:pPr>
          <w:hyperlink w:anchor="__RefHeading___Toc1856422_581953129">
            <w:r>
              <w:rPr>
                <w:webHidden/>
                <w:rStyle w:val="IndexLink"/>
                <w:rtl w:val="true"/>
              </w:rPr>
              <w:t>-</w:t>
            </w:r>
            <w:r>
              <w:rPr>
                <w:rStyle w:val="IndexLink"/>
                <w:rtl w:val="true"/>
              </w:rPr>
              <w:t>د</w:t>
            </w:r>
            <w:r>
              <w:rPr>
                <w:rStyle w:val="IndexLink"/>
                <w:rtl w:val="true"/>
              </w:rPr>
              <w:t>-</w:t>
              <w:tab/>
            </w:r>
            <w:r>
              <w:rPr>
                <w:rStyle w:val="IndexLink"/>
              </w:rPr>
              <w:t>463</w:t>
            </w:r>
          </w:hyperlink>
        </w:p>
        <w:p>
          <w:pPr>
            <w:pStyle w:val="Contents3"/>
            <w:tabs>
              <w:tab w:val="clear" w:pos="8459"/>
              <w:tab w:val="right" w:pos="9026" w:leader="dot"/>
            </w:tabs>
            <w:rPr/>
          </w:pPr>
          <w:hyperlink w:anchor="__RefHeading___Toc1856424_581953129">
            <w:r>
              <w:rPr>
                <w:webHidden/>
                <w:rStyle w:val="IndexLink"/>
                <w:rtl w:val="true"/>
              </w:rPr>
              <w:t>-</w:t>
            </w:r>
            <w:r>
              <w:rPr>
                <w:rStyle w:val="IndexLink"/>
                <w:rtl w:val="true"/>
              </w:rPr>
              <w:t>ذ</w:t>
            </w:r>
            <w:r>
              <w:rPr>
                <w:rStyle w:val="IndexLink"/>
                <w:rtl w:val="true"/>
              </w:rPr>
              <w:t>-</w:t>
              <w:tab/>
            </w:r>
            <w:r>
              <w:rPr>
                <w:rStyle w:val="IndexLink"/>
              </w:rPr>
              <w:t>464</w:t>
            </w:r>
          </w:hyperlink>
        </w:p>
        <w:p>
          <w:pPr>
            <w:pStyle w:val="Contents3"/>
            <w:tabs>
              <w:tab w:val="clear" w:pos="8459"/>
              <w:tab w:val="right" w:pos="9026" w:leader="dot"/>
            </w:tabs>
            <w:rPr/>
          </w:pPr>
          <w:hyperlink w:anchor="__RefHeading___Toc1856426_581953129">
            <w:r>
              <w:rPr>
                <w:webHidden/>
                <w:rStyle w:val="IndexLink"/>
                <w:rtl w:val="true"/>
              </w:rPr>
              <w:t>-</w:t>
            </w:r>
            <w:r>
              <w:rPr>
                <w:rStyle w:val="IndexLink"/>
                <w:rtl w:val="true"/>
              </w:rPr>
              <w:t>ر</w:t>
            </w:r>
            <w:r>
              <w:rPr>
                <w:rStyle w:val="IndexLink"/>
                <w:rtl w:val="true"/>
              </w:rPr>
              <w:t>-</w:t>
              <w:tab/>
            </w:r>
            <w:r>
              <w:rPr>
                <w:rStyle w:val="IndexLink"/>
              </w:rPr>
              <w:t>464</w:t>
            </w:r>
          </w:hyperlink>
        </w:p>
        <w:p>
          <w:pPr>
            <w:pStyle w:val="Contents3"/>
            <w:tabs>
              <w:tab w:val="clear" w:pos="8459"/>
              <w:tab w:val="right" w:pos="9026" w:leader="dot"/>
            </w:tabs>
            <w:rPr/>
          </w:pPr>
          <w:hyperlink w:anchor="__RefHeading___Toc1856428_581953129">
            <w:r>
              <w:rPr>
                <w:webHidden/>
                <w:rStyle w:val="IndexLink"/>
                <w:rtl w:val="true"/>
              </w:rPr>
              <w:t>-</w:t>
            </w:r>
            <w:r>
              <w:rPr>
                <w:rStyle w:val="IndexLink"/>
                <w:rtl w:val="true"/>
              </w:rPr>
              <w:t>ز</w:t>
            </w:r>
            <w:r>
              <w:rPr>
                <w:rStyle w:val="IndexLink"/>
                <w:rtl w:val="true"/>
              </w:rPr>
              <w:t>-</w:t>
              <w:tab/>
            </w:r>
            <w:r>
              <w:rPr>
                <w:rStyle w:val="IndexLink"/>
              </w:rPr>
              <w:t>465</w:t>
            </w:r>
          </w:hyperlink>
        </w:p>
        <w:p>
          <w:pPr>
            <w:pStyle w:val="Contents3"/>
            <w:tabs>
              <w:tab w:val="clear" w:pos="8459"/>
              <w:tab w:val="right" w:pos="9026" w:leader="dot"/>
            </w:tabs>
            <w:rPr/>
          </w:pPr>
          <w:hyperlink w:anchor="__RefHeading___Toc1856430_581953129">
            <w:r>
              <w:rPr>
                <w:webHidden/>
                <w:rStyle w:val="IndexLink"/>
                <w:rtl w:val="true"/>
              </w:rPr>
              <w:t>-</w:t>
            </w:r>
            <w:r>
              <w:rPr>
                <w:rStyle w:val="IndexLink"/>
                <w:rtl w:val="true"/>
              </w:rPr>
              <w:t>س</w:t>
            </w:r>
            <w:r>
              <w:rPr>
                <w:rStyle w:val="IndexLink"/>
                <w:rtl w:val="true"/>
              </w:rPr>
              <w:t>-</w:t>
              <w:tab/>
            </w:r>
            <w:r>
              <w:rPr>
                <w:rStyle w:val="IndexLink"/>
              </w:rPr>
              <w:t>465</w:t>
            </w:r>
          </w:hyperlink>
        </w:p>
        <w:p>
          <w:pPr>
            <w:pStyle w:val="Contents3"/>
            <w:tabs>
              <w:tab w:val="clear" w:pos="8459"/>
              <w:tab w:val="right" w:pos="9026" w:leader="dot"/>
            </w:tabs>
            <w:rPr/>
          </w:pPr>
          <w:hyperlink w:anchor="__RefHeading___Toc1856432_581953129">
            <w:r>
              <w:rPr>
                <w:webHidden/>
                <w:rStyle w:val="IndexLink"/>
                <w:rtl w:val="true"/>
              </w:rPr>
              <w:t>-</w:t>
            </w:r>
            <w:r>
              <w:rPr>
                <w:rStyle w:val="IndexLink"/>
                <w:rtl w:val="true"/>
              </w:rPr>
              <w:t>ش</w:t>
            </w:r>
            <w:r>
              <w:rPr>
                <w:rStyle w:val="IndexLink"/>
                <w:rtl w:val="true"/>
              </w:rPr>
              <w:t>-</w:t>
              <w:tab/>
            </w:r>
            <w:r>
              <w:rPr>
                <w:rStyle w:val="IndexLink"/>
              </w:rPr>
              <w:t>466</w:t>
            </w:r>
          </w:hyperlink>
        </w:p>
        <w:p>
          <w:pPr>
            <w:pStyle w:val="Contents3"/>
            <w:tabs>
              <w:tab w:val="clear" w:pos="8459"/>
              <w:tab w:val="right" w:pos="9026" w:leader="dot"/>
            </w:tabs>
            <w:rPr/>
          </w:pPr>
          <w:hyperlink w:anchor="__RefHeading___Toc1856434_581953129">
            <w:r>
              <w:rPr>
                <w:webHidden/>
                <w:rStyle w:val="IndexLink"/>
                <w:rtl w:val="true"/>
              </w:rPr>
              <w:t>-</w:t>
            </w:r>
            <w:r>
              <w:rPr>
                <w:rStyle w:val="IndexLink"/>
                <w:rtl w:val="true"/>
              </w:rPr>
              <w:t>ص</w:t>
            </w:r>
            <w:r>
              <w:rPr>
                <w:rStyle w:val="IndexLink"/>
                <w:rtl w:val="true"/>
              </w:rPr>
              <w:t>-</w:t>
              <w:tab/>
            </w:r>
            <w:r>
              <w:rPr>
                <w:rStyle w:val="IndexLink"/>
              </w:rPr>
              <w:t>467</w:t>
            </w:r>
          </w:hyperlink>
        </w:p>
        <w:p>
          <w:pPr>
            <w:pStyle w:val="Contents3"/>
            <w:tabs>
              <w:tab w:val="clear" w:pos="8459"/>
              <w:tab w:val="right" w:pos="9026" w:leader="dot"/>
            </w:tabs>
            <w:rPr/>
          </w:pPr>
          <w:hyperlink w:anchor="__RefHeading___Toc1856436_581953129">
            <w:r>
              <w:rPr>
                <w:webHidden/>
                <w:rStyle w:val="IndexLink"/>
                <w:rtl w:val="true"/>
              </w:rPr>
              <w:t>-</w:t>
            </w:r>
            <w:r>
              <w:rPr>
                <w:rStyle w:val="IndexLink"/>
                <w:rtl w:val="true"/>
              </w:rPr>
              <w:t>ع</w:t>
            </w:r>
            <w:r>
              <w:rPr>
                <w:rStyle w:val="IndexLink"/>
                <w:rtl w:val="true"/>
              </w:rPr>
              <w:t>-</w:t>
              <w:tab/>
            </w:r>
            <w:r>
              <w:rPr>
                <w:rStyle w:val="IndexLink"/>
              </w:rPr>
              <w:t>467</w:t>
            </w:r>
          </w:hyperlink>
        </w:p>
        <w:p>
          <w:pPr>
            <w:pStyle w:val="Contents3"/>
            <w:tabs>
              <w:tab w:val="clear" w:pos="8459"/>
              <w:tab w:val="right" w:pos="9026" w:leader="dot"/>
            </w:tabs>
            <w:rPr/>
          </w:pPr>
          <w:hyperlink w:anchor="__RefHeading___Toc1856438_581953129">
            <w:r>
              <w:rPr>
                <w:webHidden/>
                <w:rStyle w:val="IndexLink"/>
                <w:rtl w:val="true"/>
              </w:rPr>
              <w:t>-</w:t>
            </w:r>
            <w:r>
              <w:rPr>
                <w:rStyle w:val="IndexLink"/>
                <w:rtl w:val="true"/>
              </w:rPr>
              <w:t>غ</w:t>
            </w:r>
            <w:r>
              <w:rPr>
                <w:rStyle w:val="IndexLink"/>
                <w:rtl w:val="true"/>
              </w:rPr>
              <w:t>-</w:t>
              <w:tab/>
            </w:r>
            <w:r>
              <w:rPr>
                <w:rStyle w:val="IndexLink"/>
              </w:rPr>
              <w:t>468</w:t>
            </w:r>
          </w:hyperlink>
        </w:p>
        <w:p>
          <w:pPr>
            <w:pStyle w:val="Contents3"/>
            <w:tabs>
              <w:tab w:val="clear" w:pos="8459"/>
              <w:tab w:val="right" w:pos="9026" w:leader="dot"/>
            </w:tabs>
            <w:rPr/>
          </w:pPr>
          <w:hyperlink w:anchor="__RefHeading___Toc1856440_581953129">
            <w:r>
              <w:rPr>
                <w:webHidden/>
                <w:rStyle w:val="IndexLink"/>
                <w:rtl w:val="true"/>
              </w:rPr>
              <w:t>-</w:t>
            </w:r>
            <w:r>
              <w:rPr>
                <w:rStyle w:val="IndexLink"/>
                <w:rtl w:val="true"/>
              </w:rPr>
              <w:t>ف</w:t>
            </w:r>
            <w:r>
              <w:rPr>
                <w:rStyle w:val="IndexLink"/>
                <w:rtl w:val="true"/>
              </w:rPr>
              <w:t>-</w:t>
              <w:tab/>
            </w:r>
            <w:r>
              <w:rPr>
                <w:rStyle w:val="IndexLink"/>
              </w:rPr>
              <w:t>469</w:t>
            </w:r>
          </w:hyperlink>
        </w:p>
        <w:p>
          <w:pPr>
            <w:pStyle w:val="Contents3"/>
            <w:tabs>
              <w:tab w:val="clear" w:pos="8459"/>
              <w:tab w:val="right" w:pos="9026" w:leader="dot"/>
            </w:tabs>
            <w:rPr/>
          </w:pPr>
          <w:hyperlink w:anchor="__RefHeading___Toc1856442_581953129">
            <w:r>
              <w:rPr>
                <w:webHidden/>
                <w:rStyle w:val="IndexLink"/>
                <w:rtl w:val="true"/>
              </w:rPr>
              <w:t>-</w:t>
            </w:r>
            <w:r>
              <w:rPr>
                <w:rStyle w:val="IndexLink"/>
                <w:rtl w:val="true"/>
              </w:rPr>
              <w:t>ق</w:t>
            </w:r>
            <w:r>
              <w:rPr>
                <w:rStyle w:val="IndexLink"/>
                <w:rtl w:val="true"/>
              </w:rPr>
              <w:t>-</w:t>
              <w:tab/>
            </w:r>
            <w:r>
              <w:rPr>
                <w:rStyle w:val="IndexLink"/>
              </w:rPr>
              <w:t>470</w:t>
            </w:r>
          </w:hyperlink>
        </w:p>
        <w:p>
          <w:pPr>
            <w:pStyle w:val="Contents3"/>
            <w:tabs>
              <w:tab w:val="clear" w:pos="8459"/>
              <w:tab w:val="right" w:pos="9026" w:leader="dot"/>
            </w:tabs>
            <w:rPr/>
          </w:pPr>
          <w:hyperlink w:anchor="__RefHeading___Toc1856444_581953129">
            <w:r>
              <w:rPr>
                <w:webHidden/>
                <w:rStyle w:val="IndexLink"/>
                <w:rtl w:val="true"/>
              </w:rPr>
              <w:t>-</w:t>
            </w:r>
            <w:r>
              <w:rPr>
                <w:rStyle w:val="IndexLink"/>
                <w:rtl w:val="true"/>
              </w:rPr>
              <w:t>ک</w:t>
            </w:r>
            <w:r>
              <w:rPr>
                <w:rStyle w:val="IndexLink"/>
                <w:rtl w:val="true"/>
              </w:rPr>
              <w:t>-</w:t>
              <w:tab/>
            </w:r>
            <w:r>
              <w:rPr>
                <w:rStyle w:val="IndexLink"/>
              </w:rPr>
              <w:t>471</w:t>
            </w:r>
          </w:hyperlink>
        </w:p>
        <w:p>
          <w:pPr>
            <w:pStyle w:val="Contents3"/>
            <w:tabs>
              <w:tab w:val="clear" w:pos="8459"/>
              <w:tab w:val="right" w:pos="9026" w:leader="dot"/>
            </w:tabs>
            <w:rPr/>
          </w:pPr>
          <w:hyperlink w:anchor="__RefHeading___Toc1856446_581953129">
            <w:r>
              <w:rPr>
                <w:webHidden/>
                <w:rStyle w:val="IndexLink"/>
                <w:rtl w:val="true"/>
              </w:rPr>
              <w:t>-</w:t>
            </w:r>
            <w:r>
              <w:rPr>
                <w:rStyle w:val="IndexLink"/>
                <w:rtl w:val="true"/>
              </w:rPr>
              <w:t>ل</w:t>
            </w:r>
            <w:r>
              <w:rPr>
                <w:rStyle w:val="IndexLink"/>
                <w:rtl w:val="true"/>
              </w:rPr>
              <w:t>-</w:t>
              <w:tab/>
            </w:r>
            <w:r>
              <w:rPr>
                <w:rStyle w:val="IndexLink"/>
              </w:rPr>
              <w:t>473</w:t>
            </w:r>
          </w:hyperlink>
        </w:p>
        <w:p>
          <w:pPr>
            <w:pStyle w:val="Contents3"/>
            <w:tabs>
              <w:tab w:val="clear" w:pos="8459"/>
              <w:tab w:val="right" w:pos="9026" w:leader="dot"/>
            </w:tabs>
            <w:rPr/>
          </w:pPr>
          <w:hyperlink w:anchor="__RefHeading___Toc1856448_581953129">
            <w:r>
              <w:rPr>
                <w:webHidden/>
                <w:rStyle w:val="IndexLink"/>
                <w:rtl w:val="true"/>
              </w:rPr>
              <w:t>-</w:t>
            </w:r>
            <w:r>
              <w:rPr>
                <w:rStyle w:val="IndexLink"/>
                <w:rtl w:val="true"/>
              </w:rPr>
              <w:t>م</w:t>
            </w:r>
            <w:r>
              <w:rPr>
                <w:rStyle w:val="IndexLink"/>
                <w:rtl w:val="true"/>
              </w:rPr>
              <w:t>-</w:t>
              <w:tab/>
            </w:r>
            <w:r>
              <w:rPr>
                <w:rStyle w:val="IndexLink"/>
              </w:rPr>
              <w:t>473</w:t>
            </w:r>
          </w:hyperlink>
        </w:p>
        <w:p>
          <w:pPr>
            <w:pStyle w:val="Contents3"/>
            <w:tabs>
              <w:tab w:val="clear" w:pos="8459"/>
              <w:tab w:val="right" w:pos="9026" w:leader="dot"/>
            </w:tabs>
            <w:rPr/>
          </w:pPr>
          <w:hyperlink w:anchor="__RefHeading___Toc1856450_581953129">
            <w:r>
              <w:rPr>
                <w:webHidden/>
                <w:rStyle w:val="IndexLink"/>
                <w:rtl w:val="true"/>
              </w:rPr>
              <w:t>-</w:t>
            </w:r>
            <w:r>
              <w:rPr>
                <w:rStyle w:val="IndexLink"/>
                <w:rtl w:val="true"/>
              </w:rPr>
              <w:t>ن</w:t>
            </w:r>
            <w:r>
              <w:rPr>
                <w:rStyle w:val="IndexLink"/>
                <w:rtl w:val="true"/>
              </w:rPr>
              <w:t>-</w:t>
              <w:tab/>
            </w:r>
            <w:r>
              <w:rPr>
                <w:rStyle w:val="IndexLink"/>
              </w:rPr>
              <w:t>482</w:t>
            </w:r>
          </w:hyperlink>
        </w:p>
        <w:p>
          <w:pPr>
            <w:pStyle w:val="Contents3"/>
            <w:tabs>
              <w:tab w:val="clear" w:pos="8459"/>
              <w:tab w:val="right" w:pos="9026" w:leader="dot"/>
            </w:tabs>
            <w:rPr/>
          </w:pPr>
          <w:hyperlink w:anchor="__RefHeading___Toc1856452_581953129">
            <w:r>
              <w:rPr>
                <w:webHidden/>
                <w:rStyle w:val="IndexLink"/>
                <w:rtl w:val="true"/>
              </w:rPr>
              <w:t>-</w:t>
            </w:r>
            <w:r>
              <w:rPr>
                <w:rStyle w:val="IndexLink"/>
                <w:rtl w:val="true"/>
              </w:rPr>
              <w:t xml:space="preserve">ه </w:t>
            </w:r>
            <w:r>
              <w:rPr>
                <w:rStyle w:val="IndexLink"/>
                <w:rtl w:val="true"/>
              </w:rPr>
              <w:t>-</w:t>
              <w:tab/>
            </w:r>
            <w:r>
              <w:rPr>
                <w:rStyle w:val="IndexLink"/>
              </w:rPr>
              <w:t>483</w:t>
            </w:r>
          </w:hyperlink>
        </w:p>
        <w:p>
          <w:pPr>
            <w:pStyle w:val="Contents3"/>
            <w:tabs>
              <w:tab w:val="clear" w:pos="8459"/>
              <w:tab w:val="right" w:pos="9026" w:leader="dot"/>
            </w:tabs>
            <w:rPr/>
          </w:pPr>
          <w:hyperlink w:anchor="__RefHeading___Toc1856454_581953129">
            <w:r>
              <w:rPr>
                <w:webHidden/>
                <w:rStyle w:val="IndexLink"/>
                <w:rtl w:val="true"/>
              </w:rPr>
              <w:t>-</w:t>
            </w:r>
            <w:r>
              <w:rPr>
                <w:rStyle w:val="IndexLink"/>
                <w:rtl w:val="true"/>
              </w:rPr>
              <w:t>و</w:t>
            </w:r>
            <w:r>
              <w:rPr>
                <w:rStyle w:val="IndexLink"/>
                <w:rtl w:val="true"/>
              </w:rPr>
              <w:t>-</w:t>
              <w:tab/>
            </w:r>
            <w:r>
              <w:rPr>
                <w:rStyle w:val="IndexLink"/>
              </w:rPr>
              <w:t>484</w:t>
            </w:r>
          </w:hyperlink>
        </w:p>
        <w:p>
          <w:pPr>
            <w:pStyle w:val="Contents2"/>
            <w:tabs>
              <w:tab w:val="clear" w:pos="8743"/>
              <w:tab w:val="right" w:pos="9026" w:leader="dot"/>
            </w:tabs>
            <w:rPr/>
          </w:pPr>
          <w:hyperlink w:anchor="__RefHeading___Toc1856456_581953129">
            <w:r>
              <w:rPr>
                <w:webHidden/>
                <w:rStyle w:val="IndexLink"/>
                <w:rtl w:val="true"/>
              </w:rPr>
              <w:t>فهرس الموضوعات</w:t>
            </w:r>
            <w:r>
              <w:rPr>
                <w:rStyle w:val="IndexLink"/>
                <w:rtl w:val="true"/>
              </w:rPr>
              <w:tab/>
            </w:r>
            <w:r>
              <w:rPr>
                <w:rStyle w:val="IndexLink"/>
              </w:rPr>
              <w:t>485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439_46601"/>
      <w:bookmarkStart w:id="1" w:name="pg5439_46601"/>
      <w:bookmarkEnd w:id="1"/>
    </w:p>
    <w:p>
      <w:pPr>
        <w:pStyle w:val="Heading2"/>
        <w:numPr>
          <w:ilvl w:val="1"/>
          <w:numId w:val="1"/>
        </w:numPr>
        <w:rPr/>
      </w:pPr>
      <w:bookmarkStart w:id="2" w:name="pg5439_46601"/>
      <w:bookmarkStart w:id="3" w:name="__RefHeading___Toc1855832_58195312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فاضل‌لنکرانی، محمدجواد، </w:t>
      </w:r>
      <w:r>
        <w:rPr>
          <w:rFonts w:ascii="IRNazanin" w:hAnsi="IRNazanin" w:eastAsia="IRNazanin"/>
          <w:color w:val="111111"/>
          <w:sz w:val="28"/>
          <w:sz w:val="28"/>
          <w:szCs w:val="28"/>
          <w:lang w:bidi="fa-IR"/>
        </w:rPr>
        <w:t>۱۳۴۱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 فی‌الفقه والاصول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محمدجوادالفاضل اللنکرانی؛ تحقیق و نشر مرکز فقه الائمه‌الاطهار علیهم‌السلام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مرکزفقه الائمه الاطهار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۱۴۲۸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۵۱۱</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7709</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حاضر شامل رسائل،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الکتابه فی الفقه الاسلامی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شرطیه الابتلاء فی منجزیه العلم الاجمالی بالحرقه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والحکم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تاثیر‌الزمان و‌المکان فی علم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اگزوبه التحریف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جلد به انگلیسی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Muhammad jawad fazel lankarani. Al- rasail fil fiqh wal - usul</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۴۶۹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۵۰۰</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 شیعه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فقهی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۳۱۲</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۱۵۹</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۱۳۸۶</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۱۱۴۲۸۲۷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855834_581953129"/>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رسائل فی‌الفقه والاصول</w:t>
      </w:r>
    </w:p>
    <w:p>
      <w:pPr>
        <w:pStyle w:val="BookText"/>
        <w:rPr/>
      </w:pPr>
      <w:r>
        <w:rPr>
          <w:rFonts w:ascii="IRNazanin" w:hAnsi="IRNazanin" w:eastAsia="IRNazanin"/>
          <w:color w:val="111111"/>
          <w:sz w:val="28"/>
          <w:sz w:val="28"/>
          <w:szCs w:val="28"/>
          <w:rtl w:val="true"/>
          <w:lang w:bidi="fa-IR"/>
        </w:rPr>
        <w:t>تالیف محمدجوادالفاضل اللنکرانی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 و نشر مرکز فقه الائمه‌الاطهار علیهم‌السلام</w:t>
      </w:r>
      <w:bookmarkStart w:id="7" w:name="pg5439_46605"/>
    </w:p>
    <w:p>
      <w:pPr>
        <w:pStyle w:val="Heading2"/>
        <w:numPr>
          <w:ilvl w:val="1"/>
          <w:numId w:val="1"/>
        </w:numPr>
        <w:rPr/>
      </w:pPr>
      <w:bookmarkStart w:id="8" w:name="__RefHeading___Toc1855836_581953129"/>
      <w:bookmarkStart w:id="9" w:name="_Toc3"/>
      <w:bookmarkEnd w:id="7"/>
      <w:bookmarkEnd w:id="8"/>
      <w:r>
        <w:rPr>
          <w:rtl w:val="true"/>
        </w:rPr>
        <w:t>مقدمه مولف</w:t>
      </w:r>
      <w:bookmarkEnd w:id="9"/>
    </w:p>
    <w:p>
      <w:pPr>
        <w:pStyle w:val="BookText"/>
        <w:rPr/>
      </w:pPr>
      <w:r>
        <w:rPr>
          <w:rFonts w:ascii="Amiri" w:hAnsi="Amiri" w:eastAsia="Amiri" w:cs="Amiri"/>
          <w:color w:val="111111"/>
          <w:sz w:val="28"/>
          <w:sz w:val="28"/>
          <w:szCs w:val="28"/>
          <w:rtl w:val="true"/>
          <w:lang w:bidi="ar-SA"/>
        </w:rPr>
        <w:t>بِسْمِ اللّهِ الرَّحْمنِ الرَّحِیمِ الحمد للّه ربّ العالمین،و الصلاة و السلام علی سیّدنا و نبیّنا أبی القاسم محمّد و آله الطیّبین الطاهرین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بعد،لا شکّ فی أنّ علم الفقه من أشرف العلوم موضوعا و غایة،و من أدقّها و أکملها اصولا و بنیانا،و من أوسعها و أشملها دائرة و شمولا لجمیع أبعاد الحیاة البشریّة الفردیّة و الاجتماعیّة،السیاسیّة و الحکومیّة،و من أجل ذلک تتوسّع دائرة موضوعاته،و فی ظلّ التحقیق عن العناوین المهمّة الموجودة فیه تنکشف فوائد و درر جدیدة،و قواعد عظیمة،و ضوابط محکمة بحیث یحتاج کلّ واحد منها إلی بسط القول مستقلاّ و منفردا،حتّی یلزم تدوین رسالة مستقلّة یذکر فیها الجذور الأصلیّة و العناوین المرتبطة بالموضوع،و یظهر استقصاء الفروع المتشعّبة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المجموعة التی بین أیدیکم هی الطبعة الثانیة التی تحتوی علی الرسائل المتعدّدة فی الموضوعات الفقهیّة و الاصولیّة،کتبت بعضها بمناسبة انعقاد المؤتمرات العالمیّة المرتبطة بالمباحث الفقهیّة،و ذلک أیّام اشتغالی بالتدریس و إدارة الامور المرتبطة بمکتب والدنا الراحل سماحة المرجع الدینی الأعلی آیة اللّه العظمی الشیخ محمّد الفاضل اللنکرانی رضوان اللّه تعالی علیه،و جعله فی أعلی علیّین،و أسکنه جنّات النعیم،و بعض هذه الرسائل فی موضوعات لم یکتب حولها رسالة من قبل،و لم ینقّح فیها حقّ التنقیح،کالبحث عن الطواف من الطابق الأوّل،الذی هو أعلی من الکعبة المعظّمة بمقدار یقرب من ثلاثین سانتیمترا،و أیضا البحث عن حجّیة الکتابة و اعتبارها فی الامور المختلفة فی الفقه الإسلامی</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فنحمد اللّه الذی أحکم قواعد الدّین بمساعی المجتهدین،و شیّد أرکانه بهدایة المؤمنین إلی</w:t>
      </w:r>
    </w:p>
    <w:p>
      <w:pPr>
        <w:pStyle w:val="BookText"/>
        <w:rPr/>
      </w:pPr>
      <w:r>
        <w:rPr>
          <w:rFonts w:ascii="IRNazanin" w:hAnsi="IRNazanin" w:eastAsia="IRNazanin"/>
          <w:color w:val="111111"/>
          <w:sz w:val="28"/>
          <w:sz w:val="28"/>
          <w:szCs w:val="28"/>
          <w:rtl w:val="true"/>
          <w:lang w:bidi="fa-IR"/>
        </w:rPr>
        <w:t>أحکام الدّین،و جعل الفقه ضامنا لسعادة العالمین و المتدیّنین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الأیّام التی تصادف ارتحال زعیم الحوزات العلمیّة،و المرجع العامّ للطائفة،الذی کان لفقدانه ثلمة عظیمة و خسارة کبیرة،قد بکت فیها المراجع و الفقهاء،و ضجّ الفضلاء و طلبة الحوزات و الناس فی تشییع جثمانه الشریف،فلطموا الرؤوس و لبسوا السواد و عطّلت البلاد،کأنّهم فقدوا أباهم، و صرّح کثیر منهم بأنّ هذا الیوم أشدّ علینا من یوم فقد أبینا،فقد أحسسنا بخروج الروح من قلوبنا، و النور من أبصارنا،و الطاقة من أبداننا،و قد انعقدت له المحافل العظیمة الکثیرة داخل البلاد و خارجها حتّی أربعینیّته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قدّس سرّه الشریف من أعاظم أساتذة الحوزة العلمیّة و أساطینها،و من ممیّزاته اهتمام الشدید فی تربیة الفقهاء و المجتهدین،و تحکیم مبانی الفقه و الأحکام،و لأجل هذا قد أسّس مرکزا عظیما للتربیة و تخریج الفضلاء فی الفقه و الاصول،سمّاه قدّس سرّه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فقه الأئمّة الأطهار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الیوم قد مضی من عمر المرکز بما یقرب من عشر سنوات،ربّیت فیه أعلام الفضلاء،و جهابذة العلم،و انتشرت من خلاله الرسائل الدقیقة حول الموضوعات المتنوّعة،سیّما المباحث المستحدثة،سائلین اللّه تبارک و تعالی أن یتقبّل هذا العمل المبارک من والدنا المعظّم الراحل،و یجعله ذخرا کبیرا له و لنا یوم الحساب، و أن یوفّقنا لحفظه و إبقائه تحت رعایة ولیّه الأعظم إمام العصر 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الختام نتقدّم بالشکر و التقدیر للمحقّقین فی هذا المرکز،الذین وقفوا علی مراجعة هذا السفر، و حقّقوا فیه مجدّدا،و أخرجوا مصادره،و نخصّ بالذکر مدیر المرکز حجّة الإسلام و المسلمین الشیخ محمّد رضا الکاشانی،و حجّة الإسلام و المسلمین الشیخ عباد اللّه سرشار الطهرانی المیانجی و حجّة الإسلام و المسلمین الشیخ المهدوی دامت توفیقاتهم،و اهدی ثواب هذا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له أجر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روح الوالد الشریف،فقد کان له علیّ حقّا عظیما،و کانت حیاتی العلمیّة مدینة له؛و إن لم أقدر علی شکر عشر من أعشار ألطافه علیّ،نطلب من اللّه تبارک و تعالی أن یجعله نورا باقیا فی أفکار المتفکّرین،و سراجا دائما للفضلاء و المجتهدین إن شاء اللّه تعالی ربّ العالمین</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جواد الفاضل اللنکرانی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المرجّب </w:t>
      </w:r>
      <w:r>
        <w:rPr>
          <w:rFonts w:eastAsia="IRNazanin" w:cs="IRNazanin"/>
          <w:color w:val="111111"/>
          <w:sz w:val="28"/>
          <w:szCs w:val="28"/>
          <w:lang w:bidi="fa-IR"/>
        </w:rPr>
        <w:t>1428</w:t>
      </w:r>
      <w:bookmarkStart w:id="10" w:name="pg5439_46607"/>
    </w:p>
    <w:p>
      <w:pPr>
        <w:pStyle w:val="Heading2"/>
        <w:numPr>
          <w:ilvl w:val="1"/>
          <w:numId w:val="1"/>
        </w:numPr>
        <w:rPr/>
      </w:pPr>
      <w:bookmarkStart w:id="11" w:name="__RefHeading___Toc1855838_581953129"/>
      <w:bookmarkStart w:id="12" w:name="_Toc4"/>
      <w:bookmarkEnd w:id="10"/>
      <w:bookmarkEnd w:id="11"/>
      <w:r>
        <w:rPr>
          <w:rtl w:val="true"/>
        </w:rPr>
        <w:t>رسالة فی التقیّة</w:t>
      </w:r>
      <w:bookmarkEnd w:id="12"/>
    </w:p>
    <w:p>
      <w:pPr>
        <w:pStyle w:val="Heading3"/>
        <w:numPr>
          <w:ilvl w:val="2"/>
          <w:numId w:val="1"/>
        </w:numPr>
        <w:rPr/>
      </w:pPr>
      <w:bookmarkStart w:id="13" w:name="__RefHeading___Toc1855840_581953129"/>
      <w:bookmarkStart w:id="14" w:name="_Toc5"/>
      <w:bookmarkEnd w:id="13"/>
      <w:r>
        <w:rPr>
          <w:rtl w:val="true"/>
        </w:rPr>
        <w:t>اشارة</w:t>
      </w:r>
      <w:bookmarkEnd w:id="14"/>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ألّفت فی سنة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بمناسبة المؤتمر العالمی للشیخ مرتضی الأنصاری قدّس سرّه،و قرأت فی صحن المؤتمر</w:t>
      </w:r>
      <w:bookmarkStart w:id="15" w:name="pg5439_46609"/>
    </w:p>
    <w:p>
      <w:pPr>
        <w:pStyle w:val="BookText"/>
        <w:rPr/>
      </w:pPr>
      <w:bookmarkEnd w:id="15"/>
      <w:r>
        <w:rPr>
          <w:rFonts w:ascii="Amiri" w:hAnsi="Amiri" w:eastAsia="Amiri" w:cs="Amiri"/>
          <w:color w:val="111111"/>
          <w:sz w:val="28"/>
          <w:sz w:val="28"/>
          <w:szCs w:val="28"/>
          <w:rtl w:val="true"/>
          <w:lang w:bidi="ar-SA"/>
        </w:rPr>
        <w:t>بِسْمِ اللّهِ الرَّحْمنِ الرَّحِیمِ</w:t>
      </w:r>
    </w:p>
    <w:p>
      <w:pPr>
        <w:pStyle w:val="Heading3"/>
        <w:numPr>
          <w:ilvl w:val="2"/>
          <w:numId w:val="1"/>
        </w:numPr>
        <w:rPr/>
      </w:pPr>
      <w:bookmarkStart w:id="16" w:name="__RefHeading___Toc1855842_581953129"/>
      <w:bookmarkStart w:id="17" w:name="_Toc6"/>
      <w:bookmarkEnd w:id="16"/>
      <w:r>
        <w:rPr>
          <w:rtl w:val="true"/>
        </w:rPr>
        <w:t>المقدّمة</w:t>
      </w:r>
      <w:r>
        <w:rPr>
          <w:rtl w:val="true"/>
        </w:rPr>
        <w:t>:</w:t>
      </w:r>
      <w:bookmarkEnd w:id="17"/>
    </w:p>
    <w:p>
      <w:pPr>
        <w:pStyle w:val="BookText"/>
        <w:rPr/>
      </w:pPr>
      <w:r>
        <w:rPr>
          <w:rFonts w:ascii="IRNazanin" w:hAnsi="IRNazanin" w:eastAsia="IRNazanin"/>
          <w:color w:val="111111"/>
          <w:sz w:val="28"/>
          <w:sz w:val="28"/>
          <w:szCs w:val="28"/>
          <w:rtl w:val="true"/>
          <w:lang w:bidi="fa-IR"/>
        </w:rPr>
        <w:t>مسألة التقیّة من المباحث المهمّة القرآنیّة التی تعدّ من القواعد الفقهیّة،و تتفرّع علیها فروع کثیرة؛و هی التی تعرف بها الإمامیّة،و صارت دثارهم و شعارهم من جانب،مع أنّها من ناحیة اخری کانت وسیلة للتشنیع علیهم،و حیث إنّه لم یستوف البحث عنها فی کتب القوم،و عن موارد جریانها و أقسامها و أنواعها إلاّ فی کلمات الشیخ الأعظم،و بعض من تأخّر عنه،کان اللازم البحث عنها و عن الامور المرتبطة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السبب الوحید لتشنیع العامّة و علمائهم علی الإمامیّة،هو عدم الاطّلاع عن حقیقتها،و عدم الوصول إلی قمّتها،کما أنّ هذه هی العلّة الأساسیّة لسائر المباحث الاختلافیّة بیننا و بینهم،فالواجب التدبّر فیها حقّ التدبّر</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العجب أنّ علماء العامّة لم یصلوا إلی حقیقتها،و سمعوا من هذا البحث الدقیق ما هو المشهور بین العوامّ منهم،فهجموا علینا هجمة جهل و عناد،من دون مراجعة</w:t>
      </w:r>
    </w:p>
    <w:p>
      <w:pPr>
        <w:pStyle w:val="BookText"/>
        <w:rPr/>
      </w:pPr>
      <w:r>
        <w:rPr>
          <w:rFonts w:ascii="IRNazanin" w:hAnsi="IRNazanin" w:eastAsia="IRNazanin"/>
          <w:color w:val="111111"/>
          <w:sz w:val="28"/>
          <w:sz w:val="28"/>
          <w:szCs w:val="28"/>
          <w:rtl w:val="true"/>
          <w:lang w:bidi="fa-IR"/>
        </w:rPr>
        <w:t xml:space="preserve">کتبنا الفقهیّة الاستدلالیّة،فقال بعض </w:t>
      </w:r>
      <w:r>
        <w:rPr>
          <w:rStyle w:val="FootnoteAnchor"/>
          <w:rtl w:val="true"/>
        </w:rPr>
        <w:footnoteReference w:id="2"/>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إنّها مساوقة للکذب،و ذهب بعض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آخر إلی أنّها مساوقة للنفاق،و کیف یکون کذبا و نفاقا و القرآن الکریم ینادی بمشروعیّتها،و یحکی عن استعمالها عند الأنبیاء علیهم السّلام؟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ثمّ إنّه قد ذکر الآلوسی فی تفسیره بیانا طویلا لنفی التقیّة و ردّها،و نحن نجمعه فی ضمن امور و نجیب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کلمات الإمامیّة مضطربة فی هذا الموضوع من حیث الحکم الشرعی،فقال بعض منهم بالوجوب،و ذهب بعضهم إلی الاستحباب،و مال ثالث إلی الجواز،و الاضطراب دلیل علی عدم تنقیح الموضوع عندهم،و کاشف عن عدم دلیل معتبر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أنّهم لم یعلموا أنّ الموضوع الواحد یصلح أن یکون متعلّقا للأحکام المختلفة بالجهات المتعدّدة،و التقیّة تنقسم بحسب الحکم التکلیفی إلی الأحکام الخمسة،و سیأتی </w:t>
      </w:r>
      <w:r>
        <w:rPr>
          <w:rStyle w:val="FootnoteAnchor"/>
          <w:rtl w:val="true"/>
        </w:rPr>
        <w:footnoteReference w:id="5"/>
      </w:r>
      <w:r>
        <w:rPr>
          <w:rFonts w:ascii="IRNazanin" w:hAnsi="IRNazanin" w:eastAsia="IRNazanin"/>
          <w:color w:val="111111"/>
          <w:sz w:val="28"/>
          <w:sz w:val="28"/>
          <w:szCs w:val="28"/>
          <w:rtl w:val="true"/>
          <w:lang w:bidi="fa-IR"/>
        </w:rPr>
        <w:t>تفصیلها إن شاء اللّه تعالی</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فی کلمات أئمّة الإمامیّة کعلیّ علیه السّلام و بنیه،ما یبطل مشروعیّة التقیّة،فضلا عن استحبابها و فضلها؛لقوله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علامة الإیمان إیثارک الصدق، حیث یضرّک،علی الکذب حیث ینفعک </w:t>
      </w:r>
      <w:r>
        <w:rPr>
          <w:rStyle w:val="FootnoteAnchor"/>
          <w:rtl w:val="true"/>
        </w:rPr>
        <w:footnoteReference w:id="6"/>
      </w:r>
      <w:r>
        <w:rPr>
          <w:rFonts w:ascii="IRNazanin" w:hAnsi="IRNazanin" w:eastAsia="IRNazanin"/>
          <w:color w:val="111111"/>
          <w:sz w:val="28"/>
          <w:sz w:val="28"/>
          <w:szCs w:val="28"/>
          <w:rtl w:val="true"/>
          <w:lang w:bidi="fa-IR"/>
        </w:rPr>
        <w:t>،و أیضا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إنّی و اللّه لو لقیتم واحدا و هم طلاع الأرض کلّها ما بالیت و لا استوحشت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هذه الکلمات دلالة علی لزوم اختیار الصدق و إن کان مضرّا،و دلالة علی أنّ الأمیر لم یخف و هو منفرد عن حرب الأعداء و هم جموع،ثمّ قال بعد هذه العبارات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یفسّرون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أَکْرَمَکُمْ عِنْدَ اللّهِ أَتْقاکُمْ بأکثرکم تقیّة </w:t>
      </w:r>
      <w:r>
        <w:rPr>
          <w:rStyle w:val="FootnoteAnchor"/>
          <w:rtl w:val="true"/>
        </w:rPr>
        <w:footnoteReference w:id="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التقیّة لیست بکذب،و لا یصدق علیها تعریف الکذب؛لأنّ من مقوّمات الکذب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المخالفة للواقع،و التقیّة لیست کذلک؛لأنّها مع تحقّق شرائطها تکون مأمورا بها بالأمر الاضطراری؛و هو أمر واقعیّ ثانویّ،فالعمل علی طبق التقیّة عمل بالحکم الواقعی الثانوی،و إلاّ یلزم أن یکون جمیع الموارد الاضطراری موجبا للکذب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الکذب من مقولة الخبر،و التقیّة لیست بخبر،اللّهمّ إلاّ فی التقیّة فی الأقوال،فتأمّل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سلّمنا کونها من مصادیق الکذب،لکنّ المراد من کلام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الضرر الذی لم یبلغ حدّ القتل،و لا یکون هتکا للعرض،فلو کان الکذب موجبا لحفظ النفس؛فبما أنّ حفظها أهمّ من قبح الکذب فیرجّح علیه، و مسألة الأهمّ و المهمّ و ترجیحه علیه من القواعد العقلیّة العقلائیّة التی لا یعتریها 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من الأتقی فی الآیة الشریفة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التقیّة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التی یعبّر عنها فی الشریعة بالتقوی التی حثّ علیها الکتاب و السنّة، و سیأتی </w:t>
      </w:r>
      <w:r>
        <w:rPr>
          <w:rStyle w:val="FootnoteAnchor"/>
          <w:rtl w:val="true"/>
        </w:rPr>
        <w:footnoteReference w:id="9"/>
      </w:r>
      <w:r>
        <w:rPr>
          <w:rFonts w:ascii="IRNazanin" w:hAnsi="IRNazanin" w:eastAsia="IRNazanin"/>
          <w:color w:val="111111"/>
          <w:sz w:val="28"/>
          <w:sz w:val="28"/>
          <w:szCs w:val="28"/>
          <w:rtl w:val="true"/>
          <w:lang w:bidi="fa-IR"/>
        </w:rPr>
        <w:t>أنّها خارجة عن بحث التقیّة المبحوث عنها فی الفقه</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الاستدلال ببعض الروایات التی تدلّ علی عدم جواز التقیّة فی</w:t>
      </w:r>
    </w:p>
    <w:p>
      <w:pPr>
        <w:pStyle w:val="BookText"/>
        <w:rPr/>
      </w:pPr>
      <w:r>
        <w:rPr>
          <w:rFonts w:ascii="IRNazanin" w:hAnsi="IRNazanin" w:eastAsia="IRNazanin"/>
          <w:color w:val="111111"/>
          <w:sz w:val="28"/>
          <w:sz w:val="28"/>
          <w:szCs w:val="28"/>
          <w:rtl w:val="true"/>
          <w:lang w:bidi="fa-IR"/>
        </w:rPr>
        <w:t xml:space="preserve">المسح علی الخفّین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المسح علی الخفّین و نظیره من موارد الاستثناء،و نحن نقول أیضا بعدم جریان التقیّة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 بما رواه الکلینی عن معاذ بن کثیر،عن أبی عبد اللّه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 علی نبیّه صلّی اللّه علیه و اله و سلّم کتابا،فقال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هذه وصیّتک إلی النجباء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النجباء؟</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طالب و ولده علیهم السّلام،و کان علی الکتاب خواتم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الخاتم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قل الحقّ فی الأمن و الخوف،و لا تخش إلاّ اللّه تعالی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هذه الروایة صریحة بأنّ أولئک الکرام لیس دینهم التقیّة،کما تزعمه الشیعة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سیأتی </w:t>
      </w:r>
      <w:r>
        <w:rPr>
          <w:rStyle w:val="FootnoteAnchor"/>
          <w:rtl w:val="true"/>
        </w:rPr>
        <w:footnoteReference w:id="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مشروعة فیما إذا لم ینجرّ إلی الفساد فی الدین، و فی بعض الموارد یحتمل أنّ سکوت الإمام علیه السّلام موجب لفساد الدین،فیجب علیه إظهار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البیان یظهر فساد ما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کانت التقیّة واجبة لم یتوقّف إمام الأئمّة عن بیعة خلیفة المسلمین </w:t>
      </w:r>
      <w:r>
        <w:rPr>
          <w:rStyle w:val="FootnoteAnchor"/>
          <w:rtl w:val="true"/>
        </w:rPr>
        <w:footnoteReference w:id="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فتدبّر فی فساده</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فیا عجبا من هذه الاستدلالات الموهونة البعیدة عن المتفقّه،فضلا عمّن یسمّی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بعد العامّة عن الفقه الأصیل هو السبب لهذه</w:t>
      </w:r>
      <w:bookmarkStart w:id="18" w:name="pg5439_46613"/>
    </w:p>
    <w:p>
      <w:pPr>
        <w:pStyle w:val="BookText"/>
        <w:rPr/>
      </w:pPr>
      <w:bookmarkEnd w:id="18"/>
      <w:r>
        <w:rPr>
          <w:rFonts w:ascii="IRNazanin" w:hAnsi="IRNazanin" w:eastAsia="IRNazanin"/>
          <w:color w:val="111111"/>
          <w:sz w:val="28"/>
          <w:sz w:val="28"/>
          <w:szCs w:val="28"/>
          <w:rtl w:val="true"/>
          <w:lang w:bidi="fa-IR"/>
        </w:rPr>
        <w:t>الاحتجاجات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کیف کان،إنّ الشیخ الأعظم قد دقّق النظر و أتمّ الفکر فی مبحث التقیّة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أکثر ما یوجد فی کتب الفقهاء المتأخّرین عنه من التحقیقات فیها قد اخذت جذورها من کلماته،سیّما مبحث الإجزاء؛فإنّه قد استدلّ بروایات معتبرة لم نر الاستدلال بها قبل الشیخ فی کلمات من تعرّض لهذا البحث،کالمحقّق الثانی فی رسالته </w:t>
      </w:r>
      <w:r>
        <w:rPr>
          <w:rStyle w:val="FootnoteAnchor"/>
          <w:rtl w:val="true"/>
        </w:rPr>
        <w:footnoteReference w:id="16"/>
      </w:r>
      <w:r>
        <w:rPr>
          <w:rFonts w:ascii="IRNazanin" w:hAnsi="IRNazanin" w:eastAsia="IRNazanin"/>
          <w:color w:val="111111"/>
          <w:sz w:val="28"/>
          <w:sz w:val="28"/>
          <w:szCs w:val="28"/>
          <w:rtl w:val="true"/>
          <w:lang w:bidi="fa-IR"/>
        </w:rPr>
        <w:t xml:space="preserve">،و الشهید الأوّل فی قواعده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الرسالة التی بین یدیک کتبتها أداء لبعض حقوقه الکثیرة علی جمیع المجتهدین،و إجابة لطلب بعض الأعزّاء الکرام من المسؤولین فی المؤتمر العالمی بمناسبة الذکری المئویّة الثانیة لمیلاد الشیخ الأعظم،و اهدیها إلی روحه الشریف، الذی یکون الاجتهاد مرهونا له،و الفقه موسّعا و محقّقا بتحقیقاته،و أرجو من اللّه تعالی أن یتقبّلها بقبول حسن،و من القرّاء الکرام أن ینظروا فیها بعین الدقّة و الإغماض عن القصور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إِلَیْهِ یَصْعَدُ الْکَلِمُ الطَّیِّبُ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 w:name="__RefHeading___Toc1855844_581953129"/>
      <w:bookmarkStart w:id="20" w:name="_Toc7"/>
      <w:bookmarkEnd w:id="19"/>
      <w:r>
        <w:rPr>
          <w:rtl w:val="true"/>
        </w:rPr>
        <w:t>و البحث یقع هنا فی فصول</w:t>
      </w:r>
      <w:r>
        <w:rPr>
          <w:rtl w:val="true"/>
        </w:rPr>
        <w:t>:</w:t>
      </w:r>
      <w:bookmarkEnd w:id="20"/>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1" w:name="__RefHeading___Toc1855846_581953129"/>
      <w:bookmarkStart w:id="22" w:name="_Toc8"/>
      <w:bookmarkEnd w:id="21"/>
      <w:r>
        <w:rPr>
          <w:rtl w:val="true"/>
        </w:rPr>
        <w:t>اشارة</w:t>
      </w:r>
      <w:bookmarkStart w:id="23" w:name="pg5439_46615"/>
      <w:bookmarkEnd w:id="22"/>
    </w:p>
    <w:p>
      <w:pPr>
        <w:pStyle w:val="Heading4"/>
        <w:numPr>
          <w:ilvl w:val="3"/>
          <w:numId w:val="1"/>
        </w:numPr>
        <w:rPr/>
      </w:pPr>
      <w:bookmarkStart w:id="24" w:name="__RefHeading___Toc1855848_581953129"/>
      <w:bookmarkStart w:id="25" w:name="_Toc9"/>
      <w:bookmarkEnd w:id="23"/>
      <w:bookmarkEnd w:id="24"/>
      <w:r>
        <w:rPr>
          <w:rtl w:val="true"/>
        </w:rPr>
        <w:t>الفصل الأوّل</w:t>
      </w:r>
      <w:r>
        <w:rPr>
          <w:rtl w:val="true"/>
        </w:rPr>
        <w:t>:</w:t>
      </w:r>
      <w:r>
        <w:rPr>
          <w:rtl w:val="true"/>
        </w:rPr>
        <w:t>کلمة التقیّة</w:t>
      </w:r>
      <w:bookmarkEnd w:id="25"/>
    </w:p>
    <w:p>
      <w:pPr>
        <w:pStyle w:val="BookText"/>
        <w:rPr/>
      </w:pPr>
      <w:r>
        <w:rPr>
          <w:rFonts w:ascii="IRNazanin" w:hAnsi="IRNazanin" w:eastAsia="IRNazanin"/>
          <w:color w:val="111111"/>
          <w:sz w:val="28"/>
          <w:sz w:val="28"/>
          <w:szCs w:val="28"/>
          <w:rtl w:val="true"/>
          <w:lang w:bidi="fa-IR"/>
        </w:rPr>
        <w:t>و هی إمّا مأخوذة من الثلاثی المجرّد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 یتقی تقیّة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إمّا من الثلاثی المزید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اتّقی یتّقی اتّقاء و تقیّة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کلا التقدیرین تکون مصدرا،کما هو المستفاد من کلمات اللغویّین </w:t>
      </w:r>
      <w:r>
        <w:rPr>
          <w:rStyle w:val="FootnoteAnchor"/>
          <w:rtl w:val="true"/>
        </w:rPr>
        <w:footnoteReference w:id="19"/>
      </w:r>
      <w:r>
        <w:rPr>
          <w:rFonts w:ascii="IRNazanin" w:hAnsi="IRNazanin" w:eastAsia="IRNazanin"/>
          <w:color w:val="111111"/>
          <w:sz w:val="28"/>
          <w:sz w:val="28"/>
          <w:szCs w:val="28"/>
          <w:rtl w:val="true"/>
          <w:lang w:bidi="fa-IR"/>
        </w:rPr>
        <w:t xml:space="preserve">،و تکون بمعنی التحذّر و التحفّظ مطلقا،و لا یکون اسما للمصدر، کما ذهب إلیه الشیخ الأنصاری قدّس سرّه </w:t>
      </w:r>
      <w:r>
        <w:rPr>
          <w:rStyle w:val="FootnoteAnchor"/>
          <w:rtl w:val="true"/>
        </w:rPr>
        <w:footnoteReference w:id="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بحسب اللغة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فی اصطلاح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عرّفه الشیخ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بأنّها التحفّظ عن ضرر الغیر فی قول،أو فعل مخالف للحقّ</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هذا التعریف قد اخذ قیود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التقیید بأنّ القول،أو الفعل لأجل التحفّظ عن ضرر الغیر؛سواء کان ضررا عاجلا،أو آجلا،و سواء کان الضرر مالیّا،أو عرضیّا،أو نفسیّا</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الموافقة فی مجرّد القول،أو العمل،و احترز بهذا عن الموافقة بحسب الاعتقاد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تقیید القول و الفعل بأنّهما مخالفان للحقّ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وقع الخلاف فی القید الأوّل و الثالث،فذهب جمع </w:t>
      </w:r>
      <w:r>
        <w:rPr>
          <w:rStyle w:val="FootnoteAnchor"/>
          <w:rtl w:val="true"/>
        </w:rPr>
        <w:footnoteReference w:id="21"/>
      </w:r>
      <w:r>
        <w:rPr>
          <w:rFonts w:ascii="IRNazanin" w:hAnsi="IRNazanin" w:eastAsia="IRNazanin"/>
          <w:color w:val="111111"/>
          <w:sz w:val="28"/>
          <w:sz w:val="28"/>
          <w:szCs w:val="28"/>
          <w:rtl w:val="true"/>
          <w:lang w:bidi="fa-IR"/>
        </w:rPr>
        <w:t xml:space="preserve">إلی أنّ التقیّة إذا کانت خوفیّا،فمعناها التحفّظ لأجل دفع الضرر،و هذا البیان لا یجری فی التقیّة المداراتیّة المستفادة من بعض الروایات </w:t>
      </w:r>
      <w:r>
        <w:rPr>
          <w:rStyle w:val="FootnoteAnchor"/>
          <w:rtl w:val="true"/>
        </w:rPr>
        <w:footnoteReference w:id="22"/>
      </w:r>
      <w:r>
        <w:rPr>
          <w:rFonts w:ascii="IRNazanin" w:hAnsi="IRNazanin" w:eastAsia="IRNazanin"/>
          <w:color w:val="111111"/>
          <w:sz w:val="28"/>
          <w:sz w:val="28"/>
          <w:szCs w:val="28"/>
          <w:rtl w:val="true"/>
          <w:lang w:bidi="fa-IR"/>
        </w:rPr>
        <w:t>التی لا یکون فی مخالفتها ضرر،لا عاجلا، و لا آجلا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ذهب بعض </w:t>
      </w:r>
      <w:r>
        <w:rPr>
          <w:rStyle w:val="FootnoteAnchor"/>
          <w:rtl w:val="true"/>
        </w:rPr>
        <w:footnoteReference w:id="23"/>
      </w:r>
      <w:r>
        <w:rPr>
          <w:rFonts w:ascii="IRNazanin" w:hAnsi="IRNazanin" w:eastAsia="IRNazanin"/>
          <w:color w:val="111111"/>
          <w:sz w:val="28"/>
          <w:sz w:val="28"/>
          <w:szCs w:val="28"/>
          <w:rtl w:val="true"/>
          <w:lang w:bidi="fa-IR"/>
        </w:rPr>
        <w:t>إلی أنّ التقیّة أعمّ من أن یکون مخالفا للحقّ،أو موافقا له، ففعل المنافقین فی قبال المسلمین یکون من موارد التقیّة،و یصدق علیه عنوانها و إن کان موافقا للحقّ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فعل المنافقین خارج عن التقیّة فی اصطلاح الفقهاء؛فإنّهم فی مقام بیان التقیّة التی ترتّب علیها أحکام خاصّة؛تکلیفیّة و وضعیّة،و لا یترتّب علی فعلهم أثر من هذه الآثار</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لیعلم أنّ التقیّة بحسب الفقه دائرتها أوسع من التقیّة بحسب العقل؛فإنّها واجبة حتّی فی صورة الأمن و عدم وجود المداراة أیضا،کما ورد فی المأثور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علیکم بالتقیّة؛فإنّه لیس منّا من لم یجعلها شعاره و دثاره مع من یأمنه لتکون سجیّته مع من یحذره </w:t>
      </w:r>
      <w:r>
        <w:rPr>
          <w:rStyle w:val="FootnoteAnchor"/>
          <w:rtl w:val="true"/>
        </w:rPr>
        <w:footnoteReference w:id="24"/>
      </w:r>
      <w:r>
        <w:rPr>
          <w:rFonts w:ascii="IRNazanin" w:hAnsi="IRNazanin" w:eastAsia="IRNazanin"/>
          <w:color w:val="111111"/>
          <w:sz w:val="28"/>
          <w:sz w:val="28"/>
          <w:szCs w:val="28"/>
          <w:rtl w:val="true"/>
          <w:lang w:bidi="fa-IR"/>
        </w:rPr>
        <w:t>،ففی هذه الصورة تکون واجبة و إن لم یکن فی البین خوف،أو مداراة، أو کتمان</w:t>
      </w:r>
      <w:r>
        <w:rPr>
          <w:rFonts w:eastAsia="IRNazanin" w:cs="IRNazanin"/>
          <w:color w:val="111111"/>
          <w:sz w:val="28"/>
          <w:szCs w:val="28"/>
          <w:rtl w:val="true"/>
          <w:lang w:bidi="fa-IR"/>
        </w:rPr>
        <w:t>.</w:t>
      </w:r>
      <w:bookmarkStart w:id="26" w:name="pg5439_46617"/>
    </w:p>
    <w:p>
      <w:pPr>
        <w:pStyle w:val="Heading4"/>
        <w:numPr>
          <w:ilvl w:val="3"/>
          <w:numId w:val="1"/>
        </w:numPr>
        <w:rPr/>
      </w:pPr>
      <w:bookmarkStart w:id="27" w:name="__RefHeading___Toc1855850_581953129"/>
      <w:bookmarkStart w:id="28" w:name="_Toc10"/>
      <w:bookmarkEnd w:id="26"/>
      <w:bookmarkEnd w:id="27"/>
      <w:r>
        <w:rPr>
          <w:rtl w:val="true"/>
        </w:rPr>
        <w:t>الفصل الثانی</w:t>
      </w:r>
      <w:r>
        <w:rPr>
          <w:rtl w:val="true"/>
        </w:rPr>
        <w:t>:</w:t>
      </w:r>
      <w:r>
        <w:rPr>
          <w:rtl w:val="true"/>
        </w:rPr>
        <w:t>تقسیمات التقیّة</w:t>
      </w:r>
      <w:bookmarkEnd w:id="28"/>
    </w:p>
    <w:p>
      <w:pPr>
        <w:pStyle w:val="Heading5"/>
        <w:numPr>
          <w:ilvl w:val="4"/>
          <w:numId w:val="1"/>
        </w:numPr>
        <w:rPr/>
      </w:pPr>
      <w:bookmarkStart w:id="29" w:name="__RefHeading___Toc1855852_581953129"/>
      <w:bookmarkStart w:id="30" w:name="_Toc11"/>
      <w:bookmarkEnd w:id="29"/>
      <w:r>
        <w:rPr>
          <w:rtl w:val="true"/>
        </w:rPr>
        <w:t>اشارة</w:t>
      </w:r>
      <w:bookmarkEnd w:id="30"/>
    </w:p>
    <w:p>
      <w:pPr>
        <w:pStyle w:val="BookText"/>
        <w:rPr/>
      </w:pPr>
      <w:r>
        <w:rPr>
          <w:rFonts w:ascii="IRNazanin" w:hAnsi="IRNazanin" w:eastAsia="IRNazanin"/>
          <w:color w:val="111111"/>
          <w:sz w:val="28"/>
          <w:sz w:val="28"/>
          <w:szCs w:val="28"/>
          <w:rtl w:val="true"/>
          <w:lang w:bidi="fa-IR"/>
        </w:rPr>
        <w:t>إنّ التقیّة لها جهات أربع تنقسم من کلّ جهة إلی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التقیّة بحسب الذات تنقسم إلی الخوفی،و المداراتی، و الإکراهی،و الکتمانی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 الخوفی أن یکون منشأ التقیّة هو الخوف من ضرر الغیر؛بأن یخاف إیصال الضرر إلیه؛سواء کان الضرر علی نفسه،أو عرضه،أو ماله،أو ما یتعلّق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 المداراتی أن یکون المطلوب فیها المداراة مع العامّة لأجل وحدة کلمة المسلمین،و جلب مودّتهم لأجل تقویة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المراد من الإکراهی أن یکون منشأ التقیّة هو الإکراه من ناحیة الغیر، و سیأتی </w:t>
      </w:r>
      <w:r>
        <w:rPr>
          <w:rStyle w:val="FootnoteAnchor"/>
          <w:rtl w:val="true"/>
        </w:rPr>
        <w:footnoteReference w:id="25"/>
      </w:r>
      <w:r>
        <w:rPr>
          <w:rFonts w:ascii="IRNazanin" w:hAnsi="IRNazanin" w:eastAsia="IRNazanin"/>
          <w:color w:val="111111"/>
          <w:sz w:val="28"/>
          <w:sz w:val="28"/>
          <w:szCs w:val="28"/>
          <w:rtl w:val="true"/>
          <w:lang w:bidi="fa-IR"/>
        </w:rPr>
        <w:t>البحث فی الفرق بین الإکراه و التقیّة فانتظر</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من الکتمانی؛و هو الذی یکون واجبا لا لأجل التحفّظ عن ضرر الغیر به،أو المداراة معه،أو إکراه منه،بل لحفظ المذهب و التحفّظ عن إفشاء سرّ</w:t>
      </w:r>
    </w:p>
    <w:p>
      <w:pPr>
        <w:pStyle w:val="BookText"/>
        <w:rPr/>
      </w:pPr>
      <w:r>
        <w:rPr>
          <w:rFonts w:ascii="IRNazanin" w:hAnsi="IRNazanin" w:eastAsia="IRNazanin"/>
          <w:color w:val="111111"/>
          <w:sz w:val="28"/>
          <w:sz w:val="28"/>
          <w:szCs w:val="28"/>
          <w:rtl w:val="true"/>
          <w:lang w:bidi="fa-IR"/>
        </w:rPr>
        <w:t>أهل البیت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سیأتی </w:t>
      </w:r>
      <w:r>
        <w:rPr>
          <w:rStyle w:val="FootnoteAnchor"/>
          <w:rtl w:val="true"/>
        </w:rPr>
        <w:footnoteReference w:id="26"/>
      </w:r>
      <w:r>
        <w:rPr>
          <w:rFonts w:ascii="IRNazanin" w:hAnsi="IRNazanin" w:eastAsia="IRNazanin"/>
          <w:color w:val="111111"/>
          <w:sz w:val="28"/>
          <w:sz w:val="28"/>
          <w:szCs w:val="28"/>
          <w:rtl w:val="true"/>
          <w:lang w:bidi="fa-IR"/>
        </w:rPr>
        <w:t>تفصیل هذه الأقسام فی البحث عن أنواع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تقسیمها بحسب المتّقی؛فإنّه قد یکون من العوامّ،و قد یکون من رؤساء المذهب،فقد یکون ارتکاب بعض الأعمال الصادرة من الشخصیّات البارزة الدینیّة موجبا لهتک حرمة المذهب،و وهن عقائد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التقسیم بحسب المتّقی منه؛فإنّه قد یکون من الکفّار،و قد یکون من سلاطین العامّة،کما أنّه یمکن أن یکون سلطانا شیعیّا،أو قاضیا کذلک، و قد یکون من العوامّ،و یمکن أن یکون من اللّه سبحانه و تعالی،و سیأتی المراد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تقسیمها بحسب المتّقی فیه،فهو إمّا أن یکون حکما شرعیّا، و إمّا أن یکون موضوعا خارجیّا،و الأوّل قد یکون فعلا محرّما،و قد یکون ترکا للواجب؛و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یکون ترکا لأصل الواجب،أو یکون ترکا للجزء، أو الشرط،و قد یکون إتیانا للمانع،أو القاطع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التقسیم بحسب الجهات الأربعة من أشعّة أضواء فکر الإمام الخمینی قدّس سرّه، علی ما جاء فی رسالته فیها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هاهنا تقسیم جاء فی کلمات السیّد الخوئی قدّس سرّه؛فإنّه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تنقسم إلی أقسام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یراد بها المعنی العامّ؛و هو التحفّظ عمّا یخاف ضرره و لو فی الامور التکوینیّة،کما إذا اتّقی من الداء بشرب الدواء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یراد بها المعنی الخاصّ؛و هی التقیّة المصطلح علیها؛أعنی التقیّة من العامّة</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التقیّة من اللّه سبحانه و تعالی؛و هی مساوق لإتیان الواجبات و ترک</w:t>
      </w:r>
      <w:bookmarkStart w:id="31" w:name="pg5439_46619"/>
    </w:p>
    <w:p>
      <w:pPr>
        <w:pStyle w:val="BookText"/>
        <w:rPr/>
      </w:pPr>
      <w:bookmarkEnd w:id="31"/>
      <w:r>
        <w:rPr>
          <w:rFonts w:ascii="IRNazanin" w:hAnsi="IRNazanin" w:eastAsia="IRNazanin"/>
          <w:color w:val="111111"/>
          <w:sz w:val="28"/>
          <w:sz w:val="28"/>
          <w:szCs w:val="28"/>
          <w:rtl w:val="true"/>
          <w:lang w:bidi="fa-IR"/>
        </w:rPr>
        <w:t xml:space="preserve">المحرّمات،و لیس لها حکم شرعیّ،بل العقل یحکم بوجوبها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 w:name="__RefHeading___Toc1855854_581953129"/>
      <w:bookmarkStart w:id="33" w:name="_Toc12"/>
      <w:bookmarkEnd w:id="32"/>
      <w:r>
        <w:rPr>
          <w:rtl w:val="true"/>
        </w:rPr>
        <w:t>النتیجة</w:t>
      </w:r>
      <w:r>
        <w:rPr>
          <w:rtl w:val="true"/>
        </w:rPr>
        <w:t>:</w:t>
      </w:r>
      <w:bookmarkEnd w:id="33"/>
    </w:p>
    <w:p>
      <w:pPr>
        <w:pStyle w:val="BookText"/>
        <w:rPr/>
      </w:pPr>
      <w:r>
        <w:rPr>
          <w:rFonts w:ascii="IRNazanin" w:hAnsi="IRNazanin" w:eastAsia="IRNazanin"/>
          <w:color w:val="111111"/>
          <w:sz w:val="28"/>
          <w:sz w:val="28"/>
          <w:szCs w:val="28"/>
          <w:rtl w:val="true"/>
          <w:lang w:bidi="fa-IR"/>
        </w:rPr>
        <w:t>فالمستفاد من مجموع الکلمات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خروج التقیّة فی التکوینیّات و التقیّة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محلّ الکلام؛لعدم شمول تعریفها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تنقسم إلی التقیّة بالمعنی الأخصّ؛و هی التقیّة عن العامّة فیما یرتبط بالمذهب؛و هی المبحوث عنها فی الفقه،و إلی التقیّة بالمعنی الأعمّ؛و هی التقیّة من العامّة و غیرهم لأجل الاضطرار و الخوف فی التشریعیّات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ینقسم إلی الخوفی،و المداراتی و الإکراهی،و الکتمانی</w:t>
      </w:r>
      <w:r>
        <w:rPr>
          <w:rFonts w:eastAsia="IRNazanin" w:cs="IRNazanin"/>
          <w:color w:val="111111"/>
          <w:sz w:val="28"/>
          <w:szCs w:val="28"/>
          <w:rtl w:val="true"/>
          <w:lang w:bidi="fa-IR"/>
        </w:rPr>
        <w:t>.</w:t>
      </w:r>
    </w:p>
    <w:p>
      <w:pPr>
        <w:pStyle w:val="Heading5"/>
        <w:numPr>
          <w:ilvl w:val="4"/>
          <w:numId w:val="1"/>
        </w:numPr>
        <w:rPr/>
      </w:pPr>
      <w:bookmarkStart w:id="34" w:name="__RefHeading___Toc1855856_581953129"/>
      <w:bookmarkStart w:id="35" w:name="_Toc13"/>
      <w:bookmarkEnd w:id="34"/>
      <w:r>
        <w:rPr>
          <w:rtl w:val="true"/>
        </w:rPr>
        <w:t>وجوه الفرق بین التقیّة بالمعنی الأخصّ،و التقیّة بالمعنی الأعمّ</w:t>
      </w:r>
      <w:bookmarkEnd w:id="35"/>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مدرک التقیّة من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مضافا،إلی العقل فی بعض أقسامها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 الروایات الواردة فی موردها </w:t>
      </w:r>
      <w:r>
        <w:rPr>
          <w:rStyle w:val="FootnoteAnchor"/>
          <w:rtl w:val="true"/>
        </w:rPr>
        <w:footnoteReference w:id="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بینما أنّ المدرک فی التقیّة بالمعنی العامّ منحصر فی العقل؛فإنّه یحکم بلزوم رعایة التقیّة فی موارد الضرر،و لهذا یکون تقسیمها إلی الأحکام الخمسة علی وفق القاعدة،فتدبّر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الملاک فی التقیّة من العامّة،هو الملاک الذی ذکر فی الروایات من الخوف،و المداراة،و الکتمان،و الإکراه،مع أنّ الملاک فی الثانی منحصر فی الخوف فقط</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التقیّة بالمعنی الأخصّ قد یکون مطلوبا بالذات،کالتقیّة الکتمانیّة،</w:t>
      </w:r>
    </w:p>
    <w:p>
      <w:pPr>
        <w:pStyle w:val="BookText"/>
        <w:rPr/>
      </w:pPr>
      <w:r>
        <w:rPr>
          <w:rFonts w:ascii="IRNazanin" w:hAnsi="IRNazanin" w:eastAsia="IRNazanin"/>
          <w:color w:val="111111"/>
          <w:sz w:val="28"/>
          <w:sz w:val="28"/>
          <w:szCs w:val="28"/>
          <w:rtl w:val="true"/>
          <w:lang w:bidi="fa-IR"/>
        </w:rPr>
        <w:t>و قد یکون مطلوبا بالغیر،کالتقیّة الخوفیّة،بینما أنّ التقیّة بالمعنی العامّ یکون مطلوبا بالغیر دائما،و مقدّمة للتحفّظ عن 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یمکن أن یقال بجریان قاعدة التزاحم فی التقیّة بالمعنی الأعمّ فی جمیع مواردها،و عدم جریان القاعدة فی جمیع موارد التقیّة بالمعنی الأخصّ،بل فی بعضها علی ما سیأتی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اعلم أنّ کلمات الشیخ الأعظم قدّس سرّه مضطربة جدّا،و لا یستفاد منها أنّه فی مقام البحث عن أیّ قسم من هذین القسمین،لکن یستفاد من بعض کلماته أنّه فی مقام البحث عن التقیّة بالمعنی الأخصّ،کتمثیله بالمداراة مع العامّة و العشرة معهم، و کذا الفرق الذی ذکره بین الأقسام الخمسة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یکتفی فی التقیّة غیر الواجبة بالموارد التی ذکرت فی الروایات،و یستفاد من المثال الذی ذکر للتقیّة المباحة و المکروهة أنّه فی مقام البحث عن التقیّة بالمعنی الأعم </w:t>
      </w:r>
      <w:r>
        <w:rPr>
          <w:rStyle w:val="FootnoteAnchor"/>
          <w:rtl w:val="true"/>
        </w:rPr>
        <w:footnoteReference w:id="31"/>
      </w:r>
      <w:r>
        <w:rPr>
          <w:rFonts w:ascii="Amiri" w:hAnsi="Amiri" w:eastAsia="Amiri" w:cs="Amiri"/>
          <w:color w:val="111111"/>
          <w:sz w:val="28"/>
          <w:sz w:val="28"/>
          <w:szCs w:val="28"/>
          <w:rtl w:val="true"/>
          <w:lang w:bidi="ar-SA"/>
        </w:rPr>
        <w:t>،فتدبّر فی کلماته قدّس سرّه</w:t>
      </w:r>
      <w:r>
        <w:rPr>
          <w:rFonts w:eastAsia="Amiri" w:cs="Amiri" w:ascii="Amiri" w:hAnsi="Amiri"/>
          <w:color w:val="111111"/>
          <w:sz w:val="28"/>
          <w:szCs w:val="28"/>
          <w:rtl w:val="true"/>
          <w:lang w:bidi="ar-SA"/>
        </w:rPr>
        <w:t>.</w:t>
      </w:r>
      <w:bookmarkStart w:id="36" w:name="pg5439_46621"/>
    </w:p>
    <w:p>
      <w:pPr>
        <w:pStyle w:val="Heading4"/>
        <w:numPr>
          <w:ilvl w:val="3"/>
          <w:numId w:val="1"/>
        </w:numPr>
        <w:rPr/>
      </w:pPr>
      <w:bookmarkStart w:id="37" w:name="__RefHeading___Toc1855858_581953129"/>
      <w:bookmarkStart w:id="38" w:name="_Toc14"/>
      <w:bookmarkEnd w:id="36"/>
      <w:bookmarkEnd w:id="37"/>
      <w:r>
        <w:rPr>
          <w:rtl w:val="true"/>
        </w:rPr>
        <w:t>الفصل الثالث</w:t>
      </w:r>
      <w:r>
        <w:rPr>
          <w:rtl w:val="true"/>
        </w:rPr>
        <w:t>:</w:t>
      </w:r>
      <w:r>
        <w:rPr>
          <w:rtl w:val="true"/>
        </w:rPr>
        <w:t>التقیّة بحسب الحکم التکلیفی</w:t>
      </w:r>
      <w:bookmarkEnd w:id="38"/>
    </w:p>
    <w:p>
      <w:pPr>
        <w:pStyle w:val="BookText"/>
        <w:rPr/>
      </w:pPr>
      <w:r>
        <w:rPr>
          <w:rFonts w:ascii="IRNazanin" w:hAnsi="IRNazanin" w:eastAsia="IRNazanin"/>
          <w:color w:val="111111"/>
          <w:sz w:val="28"/>
          <w:sz w:val="28"/>
          <w:szCs w:val="28"/>
          <w:rtl w:val="true"/>
          <w:lang w:bidi="fa-IR"/>
        </w:rPr>
        <w:t xml:space="preserve">بناء علی ما سلکنا سابقا </w:t>
      </w:r>
      <w:r>
        <w:rPr>
          <w:rStyle w:val="FootnoteAnchor"/>
          <w:rtl w:val="true"/>
        </w:rPr>
        <w:footnoteReference w:id="32"/>
      </w:r>
      <w:r>
        <w:rPr>
          <w:rFonts w:ascii="IRNazanin" w:hAnsi="IRNazanin" w:eastAsia="IRNazanin"/>
          <w:color w:val="111111"/>
          <w:sz w:val="28"/>
          <w:sz w:val="28"/>
          <w:szCs w:val="28"/>
          <w:rtl w:val="true"/>
          <w:lang w:bidi="fa-IR"/>
        </w:rPr>
        <w:t>،یجب البحث عن جریان الأحکام الخمسة التکلیفیّة فی التقیّة بالمعنی الأعمّ،و المعنی الأخصّ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جریانها فی التقیّة بالمعنی الأعمّ،فیتصوّر فیها جریان جمیع الأحکام الخمسة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تکون واجبة،کما إذا کان ترک التقیّة مستلزما لقتل نفسه،کما فی إظهار الکفر إذا کان ترکه مستلزما لذلک،و قد تکون محرّمة و هی علی نوعین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النوع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حرمة تشریعیّة؛و هی التی کان منشأ الحرمة فیها التشریع،کما إذا أجبره الحاکم علی الاقتداء خلف الفاسق،فیصلّی الشخص خلفه،لکن مع نیّة التقرّب،و هذا حرام؛لأنّ الصلاة خلف الفاسق لا یکون مقرّبا،و نیّة التقرّب بهذا العمل یکون تشریعا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النوع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الحرمة الذاتیّة،کما إذا أجبره الحاکم علی قتل نفس محترمة، فلو فعل و قتل تقیّة لکانت حراما بالحرمة الذاتیّة</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مثّل الشهید الأوّل قدّس سرّه للتقیّة المحرّمة بالتقیّة التی لم یکن فی موردها</w:t>
      </w:r>
    </w:p>
    <w:p>
      <w:pPr>
        <w:pStyle w:val="BookText"/>
        <w:rPr/>
      </w:pPr>
      <w:r>
        <w:rPr>
          <w:rFonts w:ascii="IRNazanin" w:hAnsi="IRNazanin" w:eastAsia="IRNazanin"/>
          <w:color w:val="111111"/>
          <w:sz w:val="28"/>
          <w:sz w:val="28"/>
          <w:szCs w:val="28"/>
          <w:rtl w:val="true"/>
          <w:lang w:bidi="fa-IR"/>
        </w:rPr>
        <w:t xml:space="preserve">ضرر عاجلا،و لا آجلا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أورد علیه السیّد الخوئی </w:t>
      </w:r>
      <w:r>
        <w:rPr>
          <w:rStyle w:val="FootnoteAnchor"/>
          <w:rtl w:val="true"/>
        </w:rPr>
        <w:footnoteReference w:id="34"/>
      </w:r>
      <w:r>
        <w:rPr>
          <w:rFonts w:ascii="IRNazanin" w:hAnsi="IRNazanin" w:eastAsia="IRNazanin"/>
          <w:color w:val="111111"/>
          <w:sz w:val="28"/>
          <w:sz w:val="28"/>
          <w:szCs w:val="28"/>
          <w:rtl w:val="true"/>
          <w:lang w:bidi="fa-IR"/>
        </w:rPr>
        <w:t>بأنّ هذا المورد خارج عن موضوع التقیّة؛فإنّ الملاک فی التقیّة بالمعنی العامّ خوف الضرر،فلا تتّصف بالحرمة مع عدم وجود 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التقیّة المستحبّة،فقد مثّل لها الشیخ الأعظم بالمداراة مع العامّة،و جلب مودّتهم،و الحضور فی مجالسهم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أورد علیه السیّد الخوئی بنفس الإیراد السابق،ثمّ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التقیّة کالعدالة ذات مراتب متعدّدة،و الاستحباب إنّما یتصوّر بالنسبة إلی الدرجة الشدیدة منها، ثمّ استشهد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أَکْرَمَکُمْ عِنْدَ اللّهِ أَتْقاکُمْ </w:t>
      </w:r>
      <w:r>
        <w:rPr>
          <w:rStyle w:val="FootnoteAnchor"/>
          <w:rtl w:val="true"/>
        </w:rPr>
        <w:footnoteReference w:id="36"/>
      </w:r>
      <w:r>
        <w:rPr>
          <w:rFonts w:ascii="Amiri" w:hAnsi="Amiri" w:eastAsia="Amiri" w:cs="Amiri"/>
          <w:color w:val="111111"/>
          <w:sz w:val="28"/>
          <w:sz w:val="28"/>
          <w:szCs w:val="28"/>
          <w:rtl w:val="true"/>
          <w:lang w:bidi="ar-SA"/>
        </w:rPr>
        <w:t xml:space="preserve">بمعنی أشدّکم تقیّة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قیاس التقیّة بالعدالة غیر صحیح جدّا؛لأنّ التقیّة إمّا أن تتحقّق فی الخارج،و إمّا أن لا تتحقّق،بخلاف العدالة؛لأنّها یمکن أن تتحقّق فی الإنسان علی نحو متوسّط،و یمکن أن یحصل علی نحو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استشهد به،ففساده واضح؛لأنّ التقیّة المذکورة فی الآیة هی التقیّة من اللّه تبارک و تعالی،و لها مراتب متعدّدة،بل هی عین العدالة</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قلنا سابقا </w:t>
      </w:r>
      <w:r>
        <w:rPr>
          <w:rStyle w:val="FootnoteAnchor"/>
          <w:rtl w:val="true"/>
        </w:rPr>
        <w:footnoteReference w:id="38"/>
      </w:r>
      <w:r>
        <w:rPr>
          <w:rFonts w:ascii="IRNazanin" w:hAnsi="IRNazanin" w:eastAsia="IRNazanin"/>
          <w:color w:val="111111"/>
          <w:sz w:val="28"/>
          <w:sz w:val="28"/>
          <w:szCs w:val="28"/>
          <w:rtl w:val="true"/>
          <w:lang w:bidi="fa-IR"/>
        </w:rPr>
        <w:t>بخروج هذا النوع من التقیّة عن محلّ الکلام،فالقول بوجود المراتب للتقیّة من غیر اللّه یلزم أن تتّقی منه،فاتّق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المثال الصحیح للتقیّة المستحبّة إنّما هو فیما لو کانت التقیّة فی مورد أرجح من ترکها،کما إذا اکره علی البراءة من أمیر المؤمنین علیّ علیه السّلام،فالبراءة تقیّة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جریان التقیّة فی التبرّیء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أرجح من ترکها و تعریض نفسه علی القتل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هذا البیان یظهر المثال للتقیّة المکروهة،فلو کان ترک التقیّة أرجح من التقیّة،کما إذا فرضنا أنّ تعریض النفس علی الهلاک أرجح من التبرّیء،لکان التبرّیء تقیّة مکروها،و لو لم یرجّح أحدهما علی الآخر لکانت التقیّة مباحة</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فی جریان الأحکام الخمسة فی التقیّة بالمعنی الأعمّ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جریانها فی التقیّة بالمعنی الأخصّ،فالمستفاد من الروایات </w:t>
      </w:r>
      <w:r>
        <w:rPr>
          <w:rStyle w:val="FootnoteAnchor"/>
          <w:rtl w:val="true"/>
        </w:rPr>
        <w:footnoteReference w:id="39"/>
      </w:r>
      <w:r>
        <w:rPr>
          <w:rFonts w:ascii="IRNazanin" w:hAnsi="IRNazanin" w:eastAsia="IRNazanin"/>
          <w:color w:val="111111"/>
          <w:sz w:val="28"/>
          <w:sz w:val="28"/>
          <w:szCs w:val="28"/>
          <w:rtl w:val="true"/>
          <w:lang w:bidi="fa-IR"/>
        </w:rPr>
        <w:t>أنّ هذا النوع من التقیّة إمّا واجبة،و إمّا مستحبّة،و لا تنقسم إلی الأقسام الاخر من المباحة،و المحرّمة، و المکروهة</w:t>
      </w:r>
      <w:r>
        <w:rPr>
          <w:rFonts w:eastAsia="IRNazanin" w:cs="IRNazanin"/>
          <w:color w:val="111111"/>
          <w:sz w:val="28"/>
          <w:szCs w:val="28"/>
          <w:rtl w:val="true"/>
          <w:lang w:bidi="fa-IR"/>
        </w:rPr>
        <w:t>.</w:t>
      </w:r>
      <w:bookmarkStart w:id="39" w:name="pg5439_46625"/>
    </w:p>
    <w:p>
      <w:pPr>
        <w:pStyle w:val="Heading4"/>
        <w:numPr>
          <w:ilvl w:val="3"/>
          <w:numId w:val="1"/>
        </w:numPr>
        <w:rPr/>
      </w:pPr>
      <w:bookmarkStart w:id="40" w:name="__RefHeading___Toc1855860_581953129"/>
      <w:bookmarkStart w:id="41" w:name="_Toc15"/>
      <w:bookmarkEnd w:id="39"/>
      <w:bookmarkEnd w:id="40"/>
      <w:r>
        <w:rPr>
          <w:rtl w:val="true"/>
        </w:rPr>
        <w:t>الفصل الرابع</w:t>
      </w:r>
      <w:r>
        <w:rPr>
          <w:rtl w:val="true"/>
        </w:rPr>
        <w:t>:</w:t>
      </w:r>
      <w:r>
        <w:rPr>
          <w:rtl w:val="true"/>
        </w:rPr>
        <w:t>أدلّة التقیّة بالمعنی الأخصّ و الأعمّ</w:t>
      </w:r>
      <w:bookmarkEnd w:id="41"/>
    </w:p>
    <w:p>
      <w:pPr>
        <w:pStyle w:val="BookText"/>
        <w:rPr/>
      </w:pPr>
      <w:r>
        <w:rPr>
          <w:rFonts w:ascii="IRNazanin" w:hAnsi="IRNazanin" w:eastAsia="IRNazanin"/>
          <w:color w:val="111111"/>
          <w:sz w:val="28"/>
          <w:sz w:val="28"/>
          <w:szCs w:val="28"/>
          <w:rtl w:val="true"/>
          <w:lang w:bidi="fa-IR"/>
        </w:rPr>
        <w:t>أمّا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الروایات الواردة فی المقام،و سنذکرها جمیعا فی طیّ المباحث الآتیة،فانتظر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فمضافا إلی کونها من الامور الضروریّة العقلائیّة،تدلّ علیها آیات متعدّدة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یَتَّخِذِ الْمُؤْمِنُونَ الْکافِرِینَ أَوْلِیاءَ مِنْ دُونِ الْمُؤْمِنِینَ وَ مَنْ یَفْعَلْ ذلِکَ فَلَیْسَ مِنَ اللّهِ فِی شَیْءٍ إِلاّ أَنْ تَتَّقُوا مِنْهُمْ تُقاةً وَ یُحَذِّرُکُمُ اللّهُ نَفْسَهُ وَ إِلَی اللّهِ الْمَصِیرُ </w:t>
      </w:r>
      <w:r>
        <w:rPr>
          <w:rStyle w:val="FootnoteAnchor"/>
          <w:rtl w:val="true"/>
        </w:rPr>
        <w:footnoteReference w:id="40"/>
      </w:r>
      <w:r>
        <w:rPr>
          <w:rFonts w:ascii="IRNazanin" w:hAnsi="IRNazanin" w:eastAsia="IRNazanin"/>
          <w:color w:val="111111"/>
          <w:sz w:val="28"/>
          <w:sz w:val="28"/>
          <w:szCs w:val="28"/>
          <w:rtl w:val="true"/>
          <w:lang w:bidi="fa-IR"/>
        </w:rPr>
        <w:t>،و التقاة بمعنی التقیّة،و أصلها وقیة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یکون الکفّار غالبین،و المؤمنون مغلوبین، فیخافهم المؤمن إن لم یظهر موافقتهم،و لم یحسن العشرة معهم،فعند ذلک یجوز له إظهار مودّتهم بلسانه،و مداراتهم تقیّة منه،و دفعا عن نفسه من غیر أن یعتقد ذلک</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الآیة دلالة علی أنّ التقیّة جائزة فی الدین عند الخوف علی النفس،و قال</w:t>
      </w:r>
    </w:p>
    <w:p>
      <w:pPr>
        <w:pStyle w:val="BookText"/>
        <w:rPr/>
      </w:pPr>
      <w:r>
        <w:rPr>
          <w:rFonts w:ascii="IRNazanin" w:hAnsi="IRNazanin" w:eastAsia="IRNazanin"/>
          <w:color w:val="111111"/>
          <w:sz w:val="28"/>
          <w:sz w:val="28"/>
          <w:szCs w:val="28"/>
          <w:rtl w:val="true"/>
          <w:lang w:bidi="fa-IR"/>
        </w:rPr>
        <w:t>أصحابنا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إنّها جائزة فی الأحوال کلّها عند الضرورة،و ربما وجبت فیها لضرب من اللطف و الاستصلاح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شهاب الدین الآلوسی فی تفسیره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الآیة دلیل علی مشروعیّة التقیّة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القرطبی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یتکلّم بلسانه و قلبه مطمئنّ بالإیمان، و لا یقتل و لا یأتی مأثما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التقیّة جائزة للإنسان إلی یوم القیامة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الفخر الرازی فی تفسیره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هذا القول أولی؛لأنّ دفع الضرر عن النفس واجب بقدر الإمکان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فالآیة تدلّ علی مشروعیّة التقیّة و جواز استعمالها فی الدین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کَفَرَ بِاللّهِ مِنْ بَعْدِ إِیمانِهِ إِلاّ مَنْ أُکْرِهَ وَ قَلْبُهُ مُطْمَئِنٌّ بِالْإِیمانِ وَ لکِنْ مَنْ شَرَحَ بِالْکُفْرِ صَدْراً فَعَلَیْهِمْ غَضَبٌ مِنَ اللّهِ وَ لَهُمْ عَذابٌ عَظِیمٌ </w:t>
      </w:r>
      <w:r>
        <w:rPr>
          <w:rStyle w:val="FootnoteAnchor"/>
          <w:rtl w:val="true"/>
        </w:rPr>
        <w:footnoteReference w:id="45"/>
      </w:r>
      <w:r>
        <w:rPr>
          <w:rFonts w:ascii="IRNazanin" w:hAnsi="IRNazanin" w:eastAsia="IRNazanin"/>
          <w:color w:val="111111"/>
          <w:sz w:val="28"/>
          <w:sz w:val="28"/>
          <w:szCs w:val="28"/>
          <w:rtl w:val="true"/>
          <w:lang w:bidi="fa-IR"/>
        </w:rPr>
        <w:t xml:space="preserve">،و اختلف المفسّرون فی أنّ الآیة فیمن نزلت؟و الأشهر الأصحّ بحسب الروایات الواردة أنّها نزلت فی عمّار و أصحابه </w:t>
      </w:r>
      <w:r>
        <w:rPr>
          <w:rStyle w:val="FootnoteAnchor"/>
          <w:rtl w:val="true"/>
        </w:rPr>
        <w:footnoteReference w:id="46"/>
      </w:r>
      <w:r>
        <w:rPr>
          <w:rFonts w:ascii="IRNazanin" w:hAnsi="IRNazanin" w:eastAsia="IRNazanin"/>
          <w:color w:val="111111"/>
          <w:sz w:val="28"/>
          <w:sz w:val="28"/>
          <w:szCs w:val="28"/>
          <w:rtl w:val="true"/>
          <w:lang w:bidi="fa-IR"/>
        </w:rPr>
        <w:t xml:space="preserve">،حیث أخذهم الکفّار و أکرهوهم علی کلمة الکفر،فلم یعطهم أبو عمّار و امّه فقتلا،و أعطاهم عمّار بلسانه ما أرادوا منه،فأخبر سبحانه و تعالی بذلک رسول اللّه صلّی اللّه علیه و اله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کان،فالآیة دالّة علی مشروعیة التقیّة بإظهار کلمة الکفر عند</w:t>
      </w:r>
    </w:p>
    <w:p>
      <w:pPr>
        <w:pStyle w:val="BookText"/>
        <w:rPr/>
      </w:pPr>
      <w:r>
        <w:rPr>
          <w:rFonts w:ascii="IRNazanin" w:hAnsi="IRNazanin" w:eastAsia="IRNazanin"/>
          <w:color w:val="111111"/>
          <w:sz w:val="28"/>
          <w:sz w:val="28"/>
          <w:szCs w:val="28"/>
          <w:rtl w:val="true"/>
          <w:lang w:bidi="fa-IR"/>
        </w:rPr>
        <w:t>الضرورة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الآیة و إن کانت فی مورد الإکراه،إلاّ أنّه سیأتی </w:t>
      </w:r>
      <w:r>
        <w:rPr>
          <w:rStyle w:val="FootnoteAnchor"/>
          <w:rtl w:val="true"/>
        </w:rPr>
        <w:footnoteReference w:id="48"/>
      </w:r>
      <w:r>
        <w:rPr>
          <w:rFonts w:ascii="IRNazanin" w:hAnsi="IRNazanin" w:eastAsia="IRNazanin"/>
          <w:color w:val="111111"/>
          <w:sz w:val="28"/>
          <w:sz w:val="28"/>
          <w:szCs w:val="28"/>
          <w:rtl w:val="true"/>
          <w:lang w:bidi="fa-IR"/>
        </w:rPr>
        <w:t>عدم الفرق موضوعا بین التقیّة و الإکراه،و أنّ من مصادیقها التقیّة الإکراهیّة؛بمعنی التقیّة التی یکون منشؤها الإکراه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رَجُلٌ مُؤْمِنٌ مِنْ آلِ فِرْعَوْنَ یَکْتُمُ إِیمانَهُ أَ تَقْتُلُونَ رَجُلاً أَنْ یَقُولَ رَبِّیَ اللّهُ وَ قَدْ جاءَکُمْ بِالْبَیِّناتِ مِنْ رَبِّکُمْ </w:t>
      </w:r>
      <w:r>
        <w:rPr>
          <w:rStyle w:val="FootnoteAnchor"/>
          <w:rtl w:val="true"/>
        </w:rPr>
        <w:footnoteReference w:id="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فالآیة دالّة علی جواز کتمان الإیمان عند الخوف علی النفس،و لا ریب أنّ کتمان الإیمان لا یتحقّق عادة إلاّ بإظهار خلافه،و الاشتراک مع الکفّار فی بعض أعمالهم،و ترک وظائف المؤمنین،فینطبق علی عمله عنوان التقیّة</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الآیات تدلّ علی مشروعیّة التقیّة بالمعنی الأعمّ،عند الخوف من الکفّار و غیرهم</w:t>
      </w:r>
      <w:r>
        <w:rPr>
          <w:rFonts w:eastAsia="IRNazanin" w:cs="IRNazanin"/>
          <w:color w:val="111111"/>
          <w:sz w:val="28"/>
          <w:szCs w:val="28"/>
          <w:rtl w:val="true"/>
          <w:lang w:bidi="fa-IR"/>
        </w:rPr>
        <w:t>.</w:t>
      </w:r>
      <w:bookmarkStart w:id="42" w:name="pg5439_46629"/>
    </w:p>
    <w:p>
      <w:pPr>
        <w:pStyle w:val="Heading4"/>
        <w:numPr>
          <w:ilvl w:val="3"/>
          <w:numId w:val="1"/>
        </w:numPr>
        <w:rPr/>
      </w:pPr>
      <w:bookmarkStart w:id="43" w:name="__RefHeading___Toc1855862_581953129"/>
      <w:bookmarkStart w:id="44" w:name="_Toc16"/>
      <w:bookmarkEnd w:id="42"/>
      <w:bookmarkEnd w:id="43"/>
      <w:r>
        <w:rPr>
          <w:rtl w:val="true"/>
        </w:rPr>
        <w:t>الفصل الخامس</w:t>
      </w:r>
      <w:r>
        <w:rPr>
          <w:rtl w:val="true"/>
        </w:rPr>
        <w:t>:</w:t>
      </w:r>
      <w:r>
        <w:rPr>
          <w:rtl w:val="true"/>
        </w:rPr>
        <w:t>الموارد التی لا تکون التقیّة مشروعة فیها</w:t>
      </w:r>
      <w:bookmarkEnd w:id="44"/>
    </w:p>
    <w:p>
      <w:pPr>
        <w:pStyle w:val="Heading5"/>
        <w:numPr>
          <w:ilvl w:val="4"/>
          <w:numId w:val="1"/>
        </w:numPr>
        <w:rPr/>
      </w:pPr>
      <w:bookmarkStart w:id="45" w:name="__RefHeading___Toc1855864_581953129"/>
      <w:bookmarkStart w:id="46" w:name="_Toc17"/>
      <w:bookmarkEnd w:id="45"/>
      <w:r>
        <w:rPr>
          <w:rtl w:val="true"/>
        </w:rPr>
        <w:t>اشارة</w:t>
      </w:r>
      <w:bookmarkEnd w:id="46"/>
    </w:p>
    <w:p>
      <w:pPr>
        <w:pStyle w:val="BookText"/>
        <w:rPr/>
      </w:pPr>
      <w:r>
        <w:rPr>
          <w:rFonts w:ascii="IRNazanin" w:hAnsi="IRNazanin" w:eastAsia="IRNazanin"/>
          <w:color w:val="111111"/>
          <w:sz w:val="28"/>
          <w:sz w:val="28"/>
          <w:szCs w:val="28"/>
          <w:rtl w:val="true"/>
          <w:lang w:bidi="fa-IR"/>
        </w:rPr>
        <w:t>قد استثنی فی کلمات الفقهاء أربعة موارد،و علی حسب تجزئتنا یکون بعضها مستثنی من التقیّة بالمعنی الأخصّ فقط،و بعضها مشترکة یستثنی منها بالمعنی الأخصّ و الأعمّ معا</w:t>
      </w:r>
      <w:r>
        <w:rPr>
          <w:rFonts w:eastAsia="IRNazanin" w:cs="IRNazanin"/>
          <w:color w:val="111111"/>
          <w:sz w:val="28"/>
          <w:szCs w:val="28"/>
          <w:rtl w:val="true"/>
          <w:lang w:bidi="fa-IR"/>
        </w:rPr>
        <w:t>.</w:t>
      </w:r>
    </w:p>
    <w:p>
      <w:pPr>
        <w:pStyle w:val="Heading5"/>
        <w:numPr>
          <w:ilvl w:val="4"/>
          <w:numId w:val="1"/>
        </w:numPr>
        <w:rPr/>
      </w:pPr>
      <w:bookmarkStart w:id="47" w:name="__RefHeading___Toc1855866_581953129"/>
      <w:bookmarkStart w:id="48" w:name="_Toc18"/>
      <w:bookmarkEnd w:id="47"/>
      <w:r>
        <w:rPr>
          <w:rtl w:val="true"/>
        </w:rPr>
        <w:t>المورد الأوّل</w:t>
      </w:r>
      <w:r>
        <w:rPr>
          <w:rtl w:val="true"/>
        </w:rPr>
        <w:t>:</w:t>
      </w:r>
      <w:r>
        <w:rPr>
          <w:rtl w:val="true"/>
        </w:rPr>
        <w:t>و هو من الموارد المشترکة بینهما</w:t>
      </w:r>
      <w:bookmarkEnd w:id="48"/>
    </w:p>
    <w:p>
      <w:pPr>
        <w:pStyle w:val="BookText"/>
        <w:rPr/>
      </w:pPr>
      <w:r>
        <w:rPr>
          <w:rFonts w:ascii="IRNazanin" w:hAnsi="IRNazanin" w:eastAsia="IRNazanin"/>
          <w:color w:val="111111"/>
          <w:sz w:val="28"/>
          <w:sz w:val="28"/>
          <w:szCs w:val="28"/>
          <w:rtl w:val="true"/>
          <w:lang w:bidi="fa-IR"/>
        </w:rPr>
        <w:t>؛و هو فیما إذا کانت التقیّة موهنة للمذهب،أو لاصول الأحکام،و موجبة لفساد الدین،و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سببا لتحقّق المعاصی الکبیرة التی لا یرضی الشارع بتحقّقها و لو بنحو التقیّة،کهدم الکعبة و المشاهد المشرّفة،و تفسیر باطل لکلام اللّه تبارک و تعالی،ففی هذه الموارد لا تکون التقیّة مشروعة بوجه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یستدلّ علی ذلک بأدلّة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تقدّم أدلّة التقیّة علی أدلّة سائر الواجبات و المحرّمات من باب الحکومة؛و هی ممنوعة فی الموارد التی تکون سببا لوهن المذهب،و موجبا لفساد الدین؛فإنّ أدلّة التقیّة و إن کانت ناظرة إلی مثل دلیل الصلاة و غیرها،و لکن لا تکون ناظرة إلی مثل هذه المحرّمات العظیمة</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فرضنا شمول أدلّة التقیّة بالنسبة إلی جمیع الموارد،فمن</w:t>
      </w:r>
    </w:p>
    <w:p>
      <w:pPr>
        <w:pStyle w:val="BookText"/>
        <w:rPr/>
      </w:pPr>
      <w:r>
        <w:rPr>
          <w:rFonts w:ascii="IRNazanin" w:hAnsi="IRNazanin" w:eastAsia="IRNazanin"/>
          <w:color w:val="111111"/>
          <w:sz w:val="28"/>
          <w:sz w:val="28"/>
          <w:szCs w:val="28"/>
          <w:rtl w:val="true"/>
          <w:lang w:bidi="fa-IR"/>
        </w:rPr>
        <w:t>الواضح انصراف الاطلاقات إلی الموارد التی لا تکون موجبة لفساد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هذین الدلیلین تامّان بالنسبة إلی التقیّة بالمعنی الأخصّ، و قاصران عن التقیّة بالمعنی الأعمّ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المختصّ بالتقیّة بالمعنی الأعمّ،و قد قلنا سابقا </w:t>
      </w:r>
      <w:r>
        <w:rPr>
          <w:rStyle w:val="FootnoteAnchor"/>
          <w:rtl w:val="true"/>
        </w:rPr>
        <w:footnoteReference w:id="50"/>
      </w:r>
      <w:r>
        <w:rPr>
          <w:rFonts w:ascii="IRNazanin" w:hAnsi="IRNazanin" w:eastAsia="IRNazanin"/>
          <w:color w:val="111111"/>
          <w:sz w:val="28"/>
          <w:sz w:val="28"/>
          <w:szCs w:val="28"/>
          <w:rtl w:val="true"/>
          <w:lang w:bidi="fa-IR"/>
        </w:rPr>
        <w:t>بجریان قواعد التزاحم فیها،و من البدیهی أنّ حفظ الدین أهمّ بمراتب من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 فی بعض الروایات المعتبرة من أنّ التقیّة إذا کانت مستلزمة لفساد الدین فغیر جائزة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 علیّ بن إبراهیم،عن هارون بن مسلم،عن مسعدة بن صدقة،عن أبی عبد اللّه علیه السّلام،و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تفسیر ما یتّقی مثل أن یکون قوم سوء ظاهر حکمهم و فعلهم علی غیر حکم الحقّ و فعله،فکلّ شیء یعمل المؤمن بینهم لمکان التقیّة ممّا لا یؤدّی إلی الفساد فی الدین؛فإنّه جائز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الروایة معتبرة سندا؛فإنّ مسعدة بن صدقة و إن لم یکن فی مورده توثیق خاصّ،لکن روایته معتبرة من 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له توثیقا عامّا؛لوجوده فی أسناد کتاب کامل الزیارات و تفسیر علیّ بن إبراهیم </w:t>
      </w:r>
      <w:r>
        <w:rPr>
          <w:rStyle w:val="FootnoteAnchor"/>
          <w:rtl w:val="true"/>
        </w:rPr>
        <w:footnoteReference w:id="52"/>
      </w:r>
      <w:r>
        <w:rPr>
          <w:rFonts w:ascii="IRNazanin" w:hAnsi="IRNazanin" w:eastAsia="IRNazanin"/>
          <w:color w:val="111111"/>
          <w:sz w:val="28"/>
          <w:sz w:val="28"/>
          <w:szCs w:val="28"/>
          <w:rtl w:val="true"/>
          <w:lang w:bidi="fa-IR"/>
        </w:rPr>
        <w:t>،و هذا المقدار یکفی فی الوثاقة ما لم یکن فی مقابله تضعیف خاصّ معتبر</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رواه مطابق من جهة المضمون و المدلول لما جاء فی الروایات الصحیحة،فالروایة تامّة من حیث السند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وجه الدلالة؛فإنّ فیها ضابطة کلّیة لموارد التقیّة،فقد حدّد الإمام علیه السّلام مشروعیّتها بما إذا لم یؤدّی إلی الفساد</w:t>
      </w:r>
      <w:bookmarkStart w:id="49" w:name="pg5439_46631"/>
    </w:p>
    <w:p>
      <w:pPr>
        <w:pStyle w:val="BookText"/>
        <w:rPr/>
      </w:pPr>
      <w:bookmarkEnd w:id="49"/>
      <w:r>
        <w:rPr>
          <w:rFonts w:ascii="IRNazanin" w:hAnsi="IRNazanin" w:eastAsia="IRNazanin"/>
          <w:color w:val="111111"/>
          <w:sz w:val="28"/>
          <w:sz w:val="28"/>
          <w:szCs w:val="28"/>
          <w:rtl w:val="true"/>
          <w:lang w:bidi="fa-IR"/>
        </w:rPr>
        <w:t>فی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 الشیخ الطوسی بإسناده عن محمّد بن الحسن الصفّار،عن یعقوب یعنی ابن یزید،عن الحسن بن علیّ بن فضّال،عن شعیب العقرقوفی،عن أبی حمزة الثمالی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أیم اللّه لو دعیتم لتنصرونا لقلتم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نفعل إنّما نتّقی، و لکانت التقیّة أحبّ إلیکم من آبائکم و امّهاتکم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المستفاد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التقیّة غیر مشروعة فیما إذا وجبت نصرة الإمام علیه السّلام؛فإنّ نصرته من أعظم الفرائض،و التقیّة إن کانت مؤدّیة إلی عدم نصرته فغیر جائزة</w:t>
      </w:r>
      <w:r>
        <w:rPr>
          <w:rFonts w:eastAsia="IRNazanin" w:cs="IRNazanin"/>
          <w:color w:val="111111"/>
          <w:sz w:val="28"/>
          <w:szCs w:val="28"/>
          <w:rtl w:val="true"/>
          <w:lang w:bidi="fa-IR"/>
        </w:rPr>
        <w:t>.</w:t>
      </w:r>
    </w:p>
    <w:p>
      <w:pPr>
        <w:pStyle w:val="Heading5"/>
        <w:numPr>
          <w:ilvl w:val="4"/>
          <w:numId w:val="1"/>
        </w:numPr>
        <w:rPr/>
      </w:pPr>
      <w:bookmarkStart w:id="50" w:name="__RefHeading___Toc1855868_581953129"/>
      <w:bookmarkStart w:id="51" w:name="_Toc19"/>
      <w:bookmarkEnd w:id="50"/>
      <w:r>
        <w:rPr>
          <w:rtl w:val="true"/>
        </w:rPr>
        <w:t>المورد الثانی</w:t>
      </w:r>
      <w:r>
        <w:rPr>
          <w:rtl w:val="true"/>
        </w:rPr>
        <w:t>:</w:t>
      </w:r>
      <w:r>
        <w:rPr>
          <w:rtl w:val="true"/>
        </w:rPr>
        <w:t>و هو أیضا من الموارد المشترکة فی مسألة الدماء؛</w:t>
      </w:r>
      <w:bookmarkEnd w:id="51"/>
    </w:p>
    <w:p>
      <w:pPr>
        <w:pStyle w:val="BookText"/>
        <w:rPr/>
      </w:pPr>
      <w:r>
        <w:rPr>
          <w:rFonts w:ascii="IRNazanin" w:hAnsi="IRNazanin" w:eastAsia="IRNazanin"/>
          <w:color w:val="111111"/>
          <w:sz w:val="28"/>
          <w:sz w:val="28"/>
          <w:szCs w:val="28"/>
          <w:rtl w:val="true"/>
          <w:lang w:bidi="fa-IR"/>
        </w:rPr>
        <w:t>فإنّ التقیّة مشروعة فیما إذا لم تبلغ الدم،فإذا بلغ فلا تقیّة،فلو اکره شخص علی قتل نفس محترمة لکان القتل من جهة التقیّة غیر مشروعة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الدلیل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مضافا إلی أنّه ادّعی ابن ادریس عدم الخلاف فی ذلک </w:t>
      </w:r>
      <w:r>
        <w:rPr>
          <w:rStyle w:val="FootnoteAnchor"/>
          <w:rtl w:val="true"/>
        </w:rPr>
        <w:footnoteReference w:id="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محمّد بن یعقوب،عن أبی علیّ الأشعری،عن محمّد بن عبد الجبّار،عن صفوان،عن شعیب الحدّاد،عن محمّد بن مسلم،عن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جعلت التقیّة لیحقن بها الدم،فإذا بلغ الدم فلیس تقیّة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الروایة صریحة فی عدم مشروعیّة التقیّة فیما إذا بلغ الدم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 إشکال یجب طرحه و الجواب عنه،و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المثال فی هذا المورد منحصر بمسألة الإکراه،بینما أنّ بین التقیّة و الإکراه فرقا من وجوه مختلفة</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جهة التعریف؛فإنّ تعریف التقیّة علی ما جاء فی روایة</w:t>
      </w:r>
    </w:p>
    <w:p>
      <w:pPr>
        <w:pStyle w:val="BookText"/>
        <w:rPr/>
      </w:pPr>
      <w:r>
        <w:rPr>
          <w:rFonts w:ascii="IRNazanin" w:hAnsi="IRNazanin" w:eastAsia="IRNazanin"/>
          <w:color w:val="111111"/>
          <w:sz w:val="28"/>
          <w:sz w:val="28"/>
          <w:szCs w:val="28"/>
          <w:rtl w:val="true"/>
          <w:lang w:bidi="fa-IR"/>
        </w:rPr>
        <w:t>مسعدة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قوم سوء ظاهر فعلهم و حکمهم علی خلاف حکم الحقّ، و التحفّظ عن القوم بإتیان الفعل الموافق لمذهبهم یکون تقیّة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تعریف الإکراه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یکره شخص علی إتیان فعل و مع التوعید علی ترکه،فالإکراه أمر إضافیّ فیما بین المکره و المکره و المکره علیه مع وجود التوعید علی ترک المکره علیه،بخلاف التقیّة الخالیة عن التوعید و المکره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التقیّة تصلح لأن تکون متعلّقة للحکم الشرعیّ،کالوجوب و الاستحباب،بخلاف الإکراه،فلا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العمل المکره علیه واجب أو مستحبّ،بل غایته أنّ الإکراه یرفع الحکم الإلزامیّ المتعلّق به؛و هی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 بینهما من جهة المتعلّق؛فإنّ التقیّة مشروعة لحفظ الدم؛ من دون فرق بین دم المتّقی و دم غیره،بخلاف الإکراه؛فإنّ النظر فیه إلی نفس المکره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هذه الأوجه الثلاثة لا یصحّ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مورد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تدلّ علی عدم مشروعیّة التقیّة فی الدم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الإکراه،کما مال إلیه جمع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أجاب عن هذا الإشکال السیّد الإمام الخمینی قدّس سرّه بالأجوبة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التقیّة أعمّ من الإکراه من حیث اللغة،فالتقیّة فیها عبارة عن مطلق الاجتناب و التجنّب،و التجنّب عن المکره علیه من مصادیق التجنّب المطلق،فعلی هذا یکون الإکراه من مصادیق التقیّة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اللازم حمل کلمة التقیّة فی الروایات علی التقیّة بالمعنی اللغوی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ما جاء فی روایة مسعدة المتقدّمة فی تفسیر التقیّة؛فإنّه فی مقام بیان المصداق لها،و لیس فی مقام بیان حقیقتها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یستفاد من بعض الروایات عدم الفرق بین التقیّة و الإکراه</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بن إبراهیم،عن أبیه،عن ابن أبی عمیر،عن جمیل،عن محمّد بن</w:t>
      </w:r>
    </w:p>
    <w:p>
      <w:pPr>
        <w:pStyle w:val="BookText"/>
        <w:rPr/>
      </w:pPr>
      <w:r>
        <w:rPr>
          <w:rFonts w:ascii="Amiri" w:hAnsi="Amiri" w:eastAsia="Amiri" w:cs="Amiri"/>
          <w:color w:val="111111"/>
          <w:sz w:val="28"/>
          <w:sz w:val="28"/>
          <w:szCs w:val="28"/>
          <w:rtl w:val="true"/>
          <w:lang w:bidi="ar-SA"/>
        </w:rPr>
        <w:t>مروان،قال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لی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منع میثم رحمه اللّه من التقیّة؟فواللّه لقد علم أنّ هذه الآیة نزلت فی عمّار و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أُکْرِهَ وَ قَلْبُهُ مُطْمَئِنٌّ بِالْإِیمانِ </w:t>
      </w:r>
      <w:r>
        <w:rPr>
          <w:rStyle w:val="FootnoteAnchor"/>
          <w:rtl w:val="true"/>
        </w:rPr>
        <w:footnoteReference w:id="57"/>
      </w:r>
      <w:r>
        <w:rPr>
          <w:rFonts w:ascii="IRNazanin" w:hAnsi="IRNazanin" w:eastAsia="IRNazanin"/>
          <w:color w:val="111111"/>
          <w:sz w:val="28"/>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و الروایة و إن کانت ضعیفة لمجهولیّة محمّد بن مروان،إلاّ أنّ الإمام علیه السّلام استشهد لجواز التقیّة بآیة الإکراه،فهی تدلّ علی عدم الفرق بین الإکراه و التقیّة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درست الواسطی،عن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بلغت تقیّة أحد ما بلغت تقیّة أصحاب الکهف،إنّهم کانوا یشدّون الزنانیر،و یشهدون الأعیاد، فآتاهم اللّه أجرهم مرّتین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فهذه الروایة بضمیمة روایة عبد اللّه بن یحیی،عن أبی عبد اللّه علیه السّلام أنّه ذکر أصحاب الکهف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کلّفکم قومکم ما کلّفهم قومهم،فقیل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کلّفهم قومهم؟فقال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کلّفوهم الشرک باللّه العظیم،فأظهروا لهم الشرک،و أسرّوا الإیمان حتّی جاءهم الفرج </w:t>
      </w:r>
      <w:r>
        <w:rPr>
          <w:rStyle w:val="FootnoteAnchor"/>
          <w:rtl w:val="true"/>
        </w:rPr>
        <w:footnoteReference w:id="60"/>
      </w:r>
      <w:r>
        <w:rPr>
          <w:rFonts w:ascii="IRNazanin" w:hAnsi="IRNazanin" w:eastAsia="IRNazanin"/>
          <w:color w:val="111111"/>
          <w:sz w:val="28"/>
          <w:sz w:val="28"/>
          <w:szCs w:val="28"/>
          <w:rtl w:val="true"/>
          <w:lang w:bidi="fa-IR"/>
        </w:rPr>
        <w:t>تدلاّن علی أنّ الإکراه من مصادیق التقیّة؛فإنّ أصحاب الکهف قد اکرهوا و کلّفوا الشرک باللّه،و قد سمّی الإمام الصادق علیه السّلام هذا الإکراه بالتقیّة،فتدبّر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التعبیرات العامّة الواردة فی روایات التقیّة،کقوله علیه السّلام</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التقیّة فی کلّ ضرورة </w:t>
      </w:r>
      <w:r>
        <w:rPr>
          <w:rStyle w:val="FootnoteAnchor"/>
          <w:rtl w:val="true"/>
        </w:rPr>
        <w:footnoteReference w:id="61"/>
      </w:r>
      <w:r>
        <w:rPr>
          <w:rFonts w:ascii="Amiri" w:hAnsi="Amiri" w:eastAsia="Amiri" w:cs="Amiri"/>
          <w:color w:val="111111"/>
          <w:sz w:val="28"/>
          <w:sz w:val="28"/>
          <w:szCs w:val="28"/>
          <w:rtl w:val="true"/>
          <w:lang w:bidi="ar-SA"/>
        </w:rPr>
        <w:t>،أو التقیّة فی کلّ شیء یضطرّ إلیه ابن آدم فقد أحلّه اللّه</w:t>
      </w:r>
    </w:p>
    <w:p>
      <w:pPr>
        <w:pStyle w:val="BookText"/>
        <w:rPr/>
      </w:pPr>
      <w:r>
        <w:rPr>
          <w:rFonts w:ascii="IRNazanin" w:hAnsi="IRNazanin" w:eastAsia="IRNazanin"/>
          <w:color w:val="111111"/>
          <w:sz w:val="28"/>
          <w:sz w:val="28"/>
          <w:szCs w:val="28"/>
          <w:rtl w:val="true"/>
          <w:lang w:bidi="fa-IR"/>
        </w:rPr>
        <w:t xml:space="preserve">له </w:t>
      </w:r>
      <w:r>
        <w:rPr>
          <w:rStyle w:val="FootnoteAnchor"/>
          <w:rtl w:val="true"/>
        </w:rPr>
        <w:footnoteReference w:id="62"/>
      </w:r>
      <w:r>
        <w:rPr>
          <w:rFonts w:ascii="IRNazanin" w:hAnsi="IRNazanin" w:eastAsia="IRNazanin"/>
          <w:color w:val="111111"/>
          <w:sz w:val="28"/>
          <w:sz w:val="28"/>
          <w:szCs w:val="28"/>
          <w:rtl w:val="true"/>
          <w:lang w:bidi="fa-IR"/>
        </w:rPr>
        <w:t>،و لا شکّ فی أنّ الإکراه من مصادیق الضرورة و الاضطرار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الجواب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أغمضنا عن الجواب الأوّل و الثانی،و قلنا بوجوب الفرق الموضوعی بین التقیّة و الإکراه،نقول بأنّ الإکراه ملحق بالتقیّة من حیث الحکم،و الشاهد للإلحاق قوله علیه السّلام فی روایة بکر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التقیّة ترس المؤمن، و لا إیمان لمن لا تقیّة له،فقلت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فداک،قول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أُکْرِهَ وَ قَلْبُهُ مُطْمَئِنٌّ بِالْإِیمانِ،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هل التقیّة إلاّ هذا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فهذه الروایة دالّة علی اتّحاد التقیّة مع الإکراه من حیث الموضوع،و لا أقلّ من حیث الحکم،فکما أنّ التقیّة غیر مشروعة فیما إذا بلغ الدم،فکذلک الإکراه </w:t>
      </w:r>
      <w:r>
        <w:rPr>
          <w:rStyle w:val="FootnoteAnchor"/>
          <w:rtl w:val="true"/>
        </w:rPr>
        <w:footnoteReference w:id="64"/>
      </w:r>
      <w:r>
        <w:rPr>
          <w:rFonts w:ascii="IRNazanin" w:hAnsi="IRNazanin" w:eastAsia="IRNazanin"/>
          <w:color w:val="111111"/>
          <w:sz w:val="28"/>
          <w:sz w:val="28"/>
          <w:szCs w:val="28"/>
          <w:rtl w:val="true"/>
          <w:lang w:bidi="fa-IR"/>
        </w:rPr>
        <w:t>، انتهی خلاصة ما ذکره السیّد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البیان و إن کان متینا و دقیقا،إلاّ أنّه لا ینحلّ به ما ذکره المستشکل فی الوجه الثانی،فتدبّر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الإکراه من مصادیق التقیّة بالمعنی الأعمّ،و یختلف الإکراه عن التقیّة بالمعنی الأخصّ فی التعریف،و الغایة،و الموضوع،و الحکم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بهذا البیان تظهر المناقشة فیما ذکره قدّس سرّه من أنّ الروایات فی مقام بیان مصداق التقیّة؛فإنّ روایة مسعدة بن صدقة المتقدّمة صریحة فی مقام تفسیر التقیّة بالمعنی</w:t>
      </w:r>
      <w:bookmarkStart w:id="52" w:name="pg5439_46635"/>
    </w:p>
    <w:p>
      <w:pPr>
        <w:pStyle w:val="BookText"/>
        <w:rPr/>
      </w:pPr>
      <w:bookmarkEnd w:id="52"/>
      <w:r>
        <w:rPr>
          <w:rFonts w:ascii="Amiri" w:hAnsi="Amiri" w:eastAsia="Amiri" w:cs="Amiri"/>
          <w:color w:val="111111"/>
          <w:sz w:val="28"/>
          <w:sz w:val="28"/>
          <w:szCs w:val="28"/>
          <w:rtl w:val="true"/>
          <w:lang w:bidi="ar-SA"/>
        </w:rPr>
        <w:t>الأخصّ،فتدبّر</w:t>
      </w:r>
      <w:r>
        <w:rPr>
          <w:rFonts w:eastAsia="Amiri" w:cs="Amiri" w:ascii="Amiri" w:hAnsi="Amiri"/>
          <w:color w:val="111111"/>
          <w:sz w:val="28"/>
          <w:szCs w:val="28"/>
          <w:rtl w:val="true"/>
          <w:lang w:bidi="ar-SA"/>
        </w:rPr>
        <w:t>.</w:t>
      </w:r>
    </w:p>
    <w:p>
      <w:pPr>
        <w:pStyle w:val="Heading5"/>
        <w:numPr>
          <w:ilvl w:val="4"/>
          <w:numId w:val="1"/>
        </w:numPr>
        <w:rPr/>
      </w:pPr>
      <w:bookmarkStart w:id="53" w:name="__RefHeading___Toc1855870_581953129"/>
      <w:bookmarkStart w:id="54" w:name="_Toc20"/>
      <w:bookmarkEnd w:id="53"/>
      <w:r>
        <w:rPr>
          <w:rtl w:val="true"/>
        </w:rPr>
        <w:t>المورد الثالث</w:t>
      </w:r>
      <w:r>
        <w:rPr>
          <w:rtl w:val="true"/>
        </w:rPr>
        <w:t>:</w:t>
      </w:r>
      <w:r>
        <w:rPr>
          <w:rtl w:val="true"/>
        </w:rPr>
        <w:t>و هو المستثنی من التقیّة بالمعنی الأخصّ فقط،</w:t>
      </w:r>
      <w:bookmarkEnd w:id="54"/>
    </w:p>
    <w:p>
      <w:pPr>
        <w:pStyle w:val="BookText"/>
        <w:rPr/>
      </w:pPr>
      <w:r>
        <w:rPr>
          <w:rFonts w:ascii="IRNazanin" w:hAnsi="IRNazanin" w:eastAsia="IRNazanin"/>
          <w:color w:val="111111"/>
          <w:sz w:val="28"/>
          <w:sz w:val="28"/>
          <w:szCs w:val="28"/>
          <w:rtl w:val="true"/>
          <w:lang w:bidi="fa-IR"/>
        </w:rPr>
        <w:t>و لا یرتبط بالتقیّة بالمعنی الأعمّ،و هو أنّه قد یقال بعدم جریان التقیّة فی الامور الخمسة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المسح علی الخفّین،و متعة الحجّ،و شرب المسکر،و شرب النبیذ،و الجهر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بما أنّ المدرک فی التقیّة بالمعنی الأخصّ هی الروایات الموجودة، فیجب الفحص عمّا ورد فی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هناک طائفتین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دلّ بظاهره علی عدم جریان التقیّة فی هذه الامور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بن إبراهیم،عن أبیه،عن ابن أبی عمیر،عن هشام بن سالم،عن أبی عمر الأعجمی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عمر الأعجمی 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 فی حدیث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دین لمن لا تقیّة له،و التقیّة فی کلّ شیء إلاّ فی النبیذ و المسح علی الخفّین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بن إبراهیم،عن أبیه،عن حمّاد،عن حریز،عن زرارة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مسح الخفّین تقیّة؟فقال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لا أتّقی فیهنّ أحدا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 المسکر، و مسح الخّفین،و متعة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 یقل الواجب علیکم أن لا تتّقوا فیهنّ أحدا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علیّ الأشعری،عن الحسن بن علیّ الکوفی،عن عثمان بن عیسی،</w:t>
      </w:r>
    </w:p>
    <w:p>
      <w:pPr>
        <w:pStyle w:val="BookText"/>
        <w:rPr/>
      </w:pPr>
      <w:r>
        <w:rPr>
          <w:rFonts w:ascii="IRNazanin" w:hAnsi="IRNazanin" w:eastAsia="IRNazanin"/>
          <w:color w:val="111111"/>
          <w:sz w:val="28"/>
          <w:sz w:val="28"/>
          <w:szCs w:val="28"/>
          <w:rtl w:val="true"/>
          <w:lang w:bidi="fa-IR"/>
        </w:rPr>
        <w:t>عن سعید بن یسار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فی شرب النبیذ تقیّة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الخصال بسنده عن علیّ علیه السّلام فی حدیث الأربعمائة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فی شرب المسکر و المسح علی الخفّین تقیّة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دلّ بظاهره علی جریان التقیّة فی هذه الامور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بإسناده عن الحسین بن سعید،عن فضالة،عن حمّاد بن عثمان،عن محمّد بن النعمان،عن أبی الورد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أبا ظبیان حدّثنی أنّه رأی علیّا علیه السّلام أراق الماء ثمّ مسح علی الخفّین؟فقال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 أبو ظبیان، أما بلغک قول علیّ علیه السّلام فیکم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 الکتاب الخفّین،فقلت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فیهما رخصة؟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لا،الاّ من عدوّ تتّقیه،أو ثلج تخاف علی رجلیک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عمر الکشّی فی کتاب الرجال،عن نصر بن الصباح،عن إسحاق بن یزید بن محمّد البصری،عن جعفر بن محمّد بن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الفضیل 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محمّد بن علیّ الهمدانی،عن درست بن أبی منصور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عند أبی الحسن موسی علیه السّلام و عنده الکمیت بن زید،فقال للکمیت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الذی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فالآن صرت إلی امیّ ة و الامور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مصائر؟</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ذاک و اللّه ما رجعت عن إیمانی،و إنّی لکم لموال،و لعدوّکم لقال، و لکنّی قلته علی التقیّة،قال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لئن قلت ذلک إنّ التقیّة تجوز فی شرب الخمر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تفسیرها احتمالان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قلت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الخ،أنّ هذا الشعر من باب الجواز،کما أنّ شرب الخمر جائز من باب التقیّة،و علی هذا التفسیر تکون الروایة من الطائفة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الإمام علیه السّلام لم یقبل عذر الکمیت،بل قال فی ردّ عذره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التقیّة إن کانت واسعة بهذا المقدار حتّی یجوز الشعر فی مدح بنی امیّة،لکانت مجوّزة لشرب الخمر مع عدم جوازه و لو تقیّة،و علی هذا الاحتمال تکون من الطائفة الاولی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عدّة من أصحابنا،عن سهل بن زیاد،عن محمّد بن عبد الحمید،عن یونس بن یعقوب،عن عمرو بن مروان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هؤلاء ربما حضرت معهم العشاء،فیجیئون بالنبیذ بعد ذلک،فإن لم أشربه خفت أن یقولوا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فلانی،فکیف أصنع؟فقال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اکسره بالماء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أنا کسرته بالماء أشربه؟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فهذه الطائفة تدلّ علی جریان التقیّة فی الامور المذکورة،فیقع التعارض بحسب الظاهر بین الطائفتین،و قد ذکر للجمع بینهما طرق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الطریق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یقال </w:t>
      </w:r>
      <w:r>
        <w:rPr>
          <w:rStyle w:val="FootnoteAnchor"/>
          <w:rtl w:val="true"/>
        </w:rPr>
        <w:footnoteReference w:id="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عدم جریان التقیّة فی الامور المذکورة من اختصاصات الأئمّة المعصومین علیهم السّلام،و الطائفة الاولی ناظرة إلی هذا المطلب، و الشاهد علی ذلک التعبیر بصیغة المتکلّم وحده،أعنی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لأجل هذا التعبیر فهم زرارة اختصاص الحکم بالإمام علیه السّلام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یرد علی هذا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وردت فی بعض النسخ بصیغة المتکلّم مع الغیر،أو</w:t>
      </w:r>
    </w:p>
    <w:p>
      <w:pPr>
        <w:pStyle w:val="BookText"/>
        <w:rPr/>
      </w:pPr>
      <w:r>
        <w:rPr>
          <w:rFonts w:ascii="IRNazanin" w:hAnsi="IRNazanin" w:eastAsia="IRNazanin"/>
          <w:color w:val="111111"/>
          <w:sz w:val="28"/>
          <w:sz w:val="28"/>
          <w:szCs w:val="28"/>
          <w:rtl w:val="true"/>
          <w:lang w:bidi="fa-IR"/>
        </w:rPr>
        <w:t>بصیغة المضارع المجهول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زرارة و إن فهم الاختصاص من کلام الإمام علیه السّلام،لکن فهمه لیس بحجّة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الاختصاص یحتاج إلی وجه معقول،و ما هو الفارق بین التکتّف و المسح علی الخفّین حتّی یقال باختصاص الثانی بالإمام علیه السّلام،و عدم اختصاص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عدم وجود الوجه للاختصاص عدا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الأئمّة علیهم السّلام من شؤونهم الإفتاء،کسائر فقهاء العامّة، و السلاطین فی زمانهم لا یمنعونهم عن الإفتاء،بل یمنعون الناس عن الاجتماع حولهم،فالروایات الدالّة علی عدم جواز التقیّة فی هذه الموارد بصدد بیان الفتوی من جانب الأئمّة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فتوی الأئمّة علیهم السّلام فی عدم جواز المسح علی الخفّین،و متعة الحجّ،و عدم جواز شرب المسکر کان أمرا واضحا بین الناس،فلا معنی للتقیّة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کلا الوجهین مخدوشان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الأوّل؛فلمنافاته لظاهر الروایات؛فإنّها ظاهرة فی عدم جریان التقیّة فیها بعد کون الامور المذکورة مفروغا عنها من جهة الفتوی، و أمّا الثانی؛فلأنّ وضوح الفتوی بین الناس کیف یکون موجبا لاختصاص عدم التقیّة بالأئمّة علیهم السّلام؟بل علی هذا یلزم عدم مشروعیّة التقیّة للجمیع؛من دون فرق بین الإمام علیه السّلام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فالطریق الأوّل للجمع غیر صحیح لما عرفت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الطریق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ذهب إلیه السیّد الخوئی قدّس سرّه؛من أنّ خروج هذه الموارد لا یکون خروجا حکمیّا،بل من باب التخصّص و الخروج الموضوعی؛فإنّ التقیّة منتفیة فیها شرطا،أو موضوعا،و قد یقرّب بتقریبین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التقریب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فی جمیع هذه الموارد یمکن التخلّص عن التقیّة دائما،فبهذا اللحاظ لا تجری التقیّة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هذا مبنیّ علی شرطیّة عدم المندوحة،مع ذهاب المشهور </w:t>
      </w:r>
      <w:r>
        <w:rPr>
          <w:rStyle w:val="FootnoteAnchor"/>
          <w:rtl w:val="true"/>
        </w:rPr>
        <w:footnoteReference w:id="73"/>
      </w:r>
      <w:r>
        <w:rPr>
          <w:rFonts w:ascii="IRNazanin" w:hAnsi="IRNazanin" w:eastAsia="IRNazanin"/>
          <w:color w:val="111111"/>
          <w:sz w:val="28"/>
          <w:sz w:val="28"/>
          <w:szCs w:val="28"/>
          <w:rtl w:val="true"/>
          <w:lang w:bidi="fa-IR"/>
        </w:rPr>
        <w:t>إلی عدم اعتباره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التقریب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التقیّة تتحقّق فی العمل الذی قد أفتی علماء العامّة علی وفق ذاک العمل علی خلاف مذهب الإمامیّة،مع أنّه لم یفت أحد من علمائهم بجواز شرب 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نعم،یمکن جریان الإکراه و الإجبار فیه،لکن هذا أمر آخر غیر التقیّة؛فلا معنی للتقیّة المصطلحة فی شرب الخمر؛فإنّها إنّما تتحقّق فیما إذا کان الأمر علی خلاف مذهبهم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مع الموافقة فلا موضوع للتقیّة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بالنسبة إلی شرب 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علّة عدم جریان التقیّة فی متعة الحج؛ فلعدم وجود شرط التقیّة فیها؛فإنّ من شرائطها خوف ترتّب الضرر علی خلافها مع إمکان تحقّق حجّ التمتّع من دون خوف الضرر؛فإنّ حجّ التمتّع یکون فی الظاهر کحجّ القران إلاّ فی النیّة و التقصیر،و الأوّل أمر قلبیّ لا یجری فیه التقیّة،و الثانی یمکن أن یفعل فی الخفاء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عدم جریانها فی المسح علی الخفّین،فلعدم وجود إجماع بینهم فیه،بل أکثرهم قائلون بالتخییر بین المسح علی الخفّفین و غسل الرجلین،و جریان التقیّة فی غسل الرجلین إجماعیّ بیننا،فلا موضوع للتقیّة فی المسح علی الخفّین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یرد علی هذا التقریب</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البیان مخالف لظاهر الروایات؛فإنّ لسانها ظاهر فی الخروج الحکمی لا الموضوعی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الخروج الموضوعی کیف یجری فی الجهر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فقهاء العامّة قائلون بعدم جواز قراءة البسلمة،و لا أقل کراهة قراءتها،و الظاهر أنّه لیس أحد منهم یفتی بالجهر حتّی ینتفی موضوع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الطریق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ذهب إلیه السیّد الإمام الخمینی </w:t>
      </w:r>
      <w:r>
        <w:rPr>
          <w:rStyle w:val="FootnoteAnchor"/>
          <w:rtl w:val="true"/>
        </w:rPr>
        <w:footnoteReference w:id="75"/>
      </w:r>
      <w:r>
        <w:rPr>
          <w:rFonts w:ascii="IRNazanin" w:hAnsi="IRNazanin" w:eastAsia="IRNazanin"/>
          <w:color w:val="111111"/>
          <w:sz w:val="28"/>
          <w:sz w:val="28"/>
          <w:szCs w:val="28"/>
          <w:rtl w:val="true"/>
          <w:lang w:bidi="fa-IR"/>
        </w:rPr>
        <w:t>من أنّ المراد من عدم جریان التقیّة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شرب المسکر،و المسح علی الخفّین،و متعة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جریانها من حیث التقیّة المداراتیّة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التقیّة الخوفیّة فیجری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کلمة التقیّة عند الاستعمال مطلقا تنصرف إلی التقیّة الخوفیّة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التقیّة المداراتیّة،فتحتاج إلی قرینة زائدة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قد ذکر فی بعض هذه الروایات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دین لمن لا تقیّة له</w:t>
      </w:r>
      <w:r>
        <w:rPr>
          <w:rFonts w:eastAsia="IRNazanin" w:cs="IRNazanin"/>
          <w:color w:val="111111"/>
          <w:sz w:val="28"/>
          <w:szCs w:val="28"/>
          <w:rtl w:val="true"/>
          <w:lang w:bidi="fa-IR"/>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الالتزام بأنّ ترک التقیّة المداراتیّة موجب للخروج عن الدین مشکل جدّا،سیّما علی القول باستحباب المداراة مع العامّة،کما ذهب إلیه الشیخ الأعظم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الطریق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الطریق الصحیح الذی اخترناه،و لم یذکر فی کلمات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جریان التقیّة فی شرب الخمر،و المسح علی الخفّین،و متعة الحجّ یؤدّی إلی الفساد فی الدین،و المخالفة مع ما جاء فی الکتاب العزیز،و علی هذا یکون وزان هذه الروایات وزان الروایات التی قد حدّد جریان التقیّة بما لا یؤدّی إلی الفساد فی الدین</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من الدین لیس خصوص الاعتقادات،بل المراد ما یرتبط بالدین و ما یکون من الدین قطعا،و من الواضح أنّ ما جاء فی الکتاب العزیز یکون من الدین قطعا،فالمخالفة معه أو بغیره موجب لوهن الدین و فساده</w:t>
      </w:r>
      <w:r>
        <w:rPr>
          <w:rFonts w:eastAsia="IRNazanin" w:cs="IRNazanin"/>
          <w:color w:val="111111"/>
          <w:sz w:val="28"/>
          <w:szCs w:val="28"/>
          <w:rtl w:val="true"/>
          <w:lang w:bidi="fa-IR"/>
        </w:rPr>
        <w:t>.</w:t>
      </w:r>
      <w:bookmarkStart w:id="55" w:name="pg5439_46641"/>
    </w:p>
    <w:p>
      <w:pPr>
        <w:pStyle w:val="BookText"/>
        <w:rPr/>
      </w:pPr>
      <w:bookmarkEnd w:id="55"/>
      <w:r>
        <w:rPr>
          <w:rFonts w:ascii="Amiri" w:hAnsi="Amiri" w:eastAsia="Amiri" w:cs="Amiri"/>
          <w:color w:val="111111"/>
          <w:sz w:val="28"/>
          <w:sz w:val="28"/>
          <w:szCs w:val="28"/>
          <w:rtl w:val="true"/>
          <w:lang w:bidi="ar-SA"/>
        </w:rPr>
        <w:t>فقد جاء حکم متعة الحجّ فی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تَمَتَّعَ بِالْعُمْرَةِ إِلَی الْحَجِّ فَمَا اسْتَیْسَرَ مِنَ الْهَدْیِ فَمَنْ لَمْ یَجِدْ فَصِیامُ ثَلاثَةِ أَیّامٍ فِی الْحَجِّ وَ سَبْعَةٍ إِذا رَجَعْتُمْ تِلْکَ عَشَرَةٌ کامِلَةٌ ذلِکَ لِمَنْ لَمْ یَکُنْ أَهْلُهُ حاضِرِی الْمَسْجِدِ الْحَرامِ </w:t>
      </w:r>
      <w:r>
        <w:rPr>
          <w:rStyle w:val="FootnoteAnchor"/>
          <w:rtl w:val="true"/>
        </w:rPr>
        <w:footnoteReference w:id="78"/>
      </w:r>
      <w:r>
        <w:rPr>
          <w:rFonts w:ascii="Amiri" w:hAnsi="Amiri" w:eastAsia="Amiri" w:cs="Amiri"/>
          <w:color w:val="111111"/>
          <w:sz w:val="28"/>
          <w:sz w:val="28"/>
          <w:szCs w:val="28"/>
          <w:rtl w:val="true"/>
          <w:lang w:bidi="ar-SA"/>
        </w:rPr>
        <w:t>، و کذلک قد ذکر لزوم المسح علی الرجلین فی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امْسَحُوا بِرُؤُسِکُمْ وَ أَرْجُلَکُمْ إِلَی الْکَعْبَیْنِ </w:t>
      </w:r>
      <w:r>
        <w:rPr>
          <w:rStyle w:val="FootnoteAnchor"/>
          <w:rtl w:val="true"/>
        </w:rPr>
        <w:footnoteReference w:id="79"/>
      </w:r>
      <w:r>
        <w:rPr>
          <w:rFonts w:ascii="IRNazanin" w:hAnsi="IRNazanin" w:eastAsia="IRNazanin"/>
          <w:color w:val="111111"/>
          <w:sz w:val="28"/>
          <w:sz w:val="28"/>
          <w:szCs w:val="28"/>
          <w:rtl w:val="true"/>
          <w:lang w:bidi="fa-IR"/>
        </w:rPr>
        <w:t>،و أیضا حرمة شرب الخمر من ضروریات الدین مع التعرّض لها فی الکتاب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فتبیّن أنّ الأئمّة علیهم السّلام لمّا رأوا أنّ جریان التقیّة فی هذه الامور مستلزم لتغییر الکتاب و المخالفة مع ما جاء فیه،فصرّحوا بعدم جریانها فی هذه الامور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یرجع المورد الثالث من موارد الاستثناء إلی المورد الأوّل الذی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هذا،لکن یبقی فی المقام مسألة الجهر بالبسملة،و الأمر فیه سهل؛لخلوّ أکثر الروایات التی تکون فی مقام بیان موارد الاستثناء عن هذا المورد</w:t>
      </w:r>
      <w:r>
        <w:rPr>
          <w:rFonts w:eastAsia="IRNazanin" w:cs="IRNazanin"/>
          <w:color w:val="111111"/>
          <w:sz w:val="28"/>
          <w:szCs w:val="28"/>
          <w:rtl w:val="true"/>
          <w:lang w:bidi="fa-IR"/>
        </w:rPr>
        <w:t>.</w:t>
      </w:r>
    </w:p>
    <w:p>
      <w:pPr>
        <w:pStyle w:val="Heading5"/>
        <w:numPr>
          <w:ilvl w:val="4"/>
          <w:numId w:val="1"/>
        </w:numPr>
        <w:rPr/>
      </w:pPr>
      <w:bookmarkStart w:id="56" w:name="__RefHeading___Toc1855872_581953129"/>
      <w:bookmarkStart w:id="57" w:name="_Toc21"/>
      <w:bookmarkEnd w:id="56"/>
      <w:r>
        <w:rPr>
          <w:rtl w:val="true"/>
        </w:rPr>
        <w:t>المورد الرابع</w:t>
      </w:r>
      <w:r>
        <w:rPr>
          <w:rtl w:val="true"/>
        </w:rPr>
        <w:t>:</w:t>
      </w:r>
      <w:r>
        <w:rPr>
          <w:rtl w:val="true"/>
        </w:rPr>
        <w:t>و هو الذی یستثنی من التقیّة بالمعنی الأخصّ،البراءة</w:t>
      </w:r>
      <w:bookmarkEnd w:id="57"/>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أمیر المؤمنین علیّ و سائر الأئمّة علیهم السّلام،و فیه روایات متعدّدة </w:t>
      </w:r>
      <w:r>
        <w:rPr>
          <w:rStyle w:val="FootnoteAnchor"/>
          <w:rtl w:val="true"/>
        </w:rPr>
        <w:footnoteReference w:id="80"/>
      </w:r>
      <w:r>
        <w:rPr>
          <w:rFonts w:ascii="IRNazanin" w:hAnsi="IRNazanin" w:eastAsia="IRNazanin"/>
          <w:color w:val="111111"/>
          <w:sz w:val="28"/>
          <w:sz w:val="28"/>
          <w:szCs w:val="28"/>
          <w:rtl w:val="true"/>
          <w:lang w:bidi="fa-IR"/>
        </w:rPr>
        <w:t>،و البحث عنها خارج عن مجال رسالتنا،و یحتاج إلی بحث مفصّل</w:t>
      </w:r>
      <w:r>
        <w:rPr>
          <w:rFonts w:eastAsia="IRNazanin" w:cs="IRNazanin"/>
          <w:color w:val="111111"/>
          <w:sz w:val="28"/>
          <w:szCs w:val="28"/>
          <w:rtl w:val="true"/>
          <w:lang w:bidi="fa-IR"/>
        </w:rPr>
        <w:t>.</w:t>
      </w:r>
      <w:bookmarkStart w:id="58" w:name="pg5439_46643"/>
    </w:p>
    <w:p>
      <w:pPr>
        <w:pStyle w:val="Heading4"/>
        <w:numPr>
          <w:ilvl w:val="3"/>
          <w:numId w:val="1"/>
        </w:numPr>
        <w:rPr/>
      </w:pPr>
      <w:bookmarkStart w:id="59" w:name="__RefHeading___Toc1855874_581953129"/>
      <w:bookmarkStart w:id="60" w:name="_Toc22"/>
      <w:bookmarkEnd w:id="58"/>
      <w:bookmarkEnd w:id="59"/>
      <w:r>
        <w:rPr>
          <w:rtl w:val="true"/>
        </w:rPr>
        <w:t>الفصل السادس</w:t>
      </w:r>
      <w:r>
        <w:rPr>
          <w:rtl w:val="true"/>
        </w:rPr>
        <w:t>:</w:t>
      </w:r>
      <w:r>
        <w:rPr>
          <w:rtl w:val="true"/>
        </w:rPr>
        <w:t>أنواع التقیّة</w:t>
      </w:r>
      <w:bookmarkEnd w:id="60"/>
    </w:p>
    <w:p>
      <w:pPr>
        <w:pStyle w:val="Heading5"/>
        <w:numPr>
          <w:ilvl w:val="4"/>
          <w:numId w:val="1"/>
        </w:numPr>
        <w:rPr/>
      </w:pPr>
      <w:bookmarkStart w:id="61" w:name="__RefHeading___Toc1855876_581953129"/>
      <w:bookmarkStart w:id="62" w:name="_Toc23"/>
      <w:bookmarkEnd w:id="61"/>
      <w:r>
        <w:rPr>
          <w:rtl w:val="true"/>
        </w:rPr>
        <w:t>اشارة</w:t>
      </w:r>
      <w:bookmarkEnd w:id="62"/>
    </w:p>
    <w:p>
      <w:pPr>
        <w:pStyle w:val="BookText"/>
        <w:rPr/>
      </w:pPr>
      <w:r>
        <w:rPr>
          <w:rFonts w:ascii="IRNazanin" w:hAnsi="IRNazanin" w:eastAsia="IRNazanin"/>
          <w:color w:val="111111"/>
          <w:sz w:val="28"/>
          <w:sz w:val="28"/>
          <w:szCs w:val="28"/>
          <w:rtl w:val="true"/>
          <w:lang w:bidi="fa-IR"/>
        </w:rPr>
        <w:t>یستفاد من کلمات الفقهاء رحمهم اللّه أنّ التقیّة علی أنواع أربعة</w:t>
      </w:r>
      <w:r>
        <w:rPr>
          <w:rFonts w:eastAsia="IRNazanin" w:cs="IRNazanin"/>
          <w:color w:val="111111"/>
          <w:sz w:val="28"/>
          <w:szCs w:val="28"/>
          <w:rtl w:val="true"/>
          <w:lang w:bidi="fa-IR"/>
        </w:rPr>
        <w:t>:</w:t>
      </w:r>
    </w:p>
    <w:p>
      <w:pPr>
        <w:pStyle w:val="Heading5"/>
        <w:numPr>
          <w:ilvl w:val="4"/>
          <w:numId w:val="1"/>
        </w:numPr>
        <w:rPr/>
      </w:pPr>
      <w:bookmarkStart w:id="63" w:name="__RefHeading___Toc1855878_581953129"/>
      <w:bookmarkStart w:id="64" w:name="_Toc24"/>
      <w:bookmarkEnd w:id="63"/>
      <w:r>
        <w:rPr>
          <w:rtl w:val="true"/>
        </w:rPr>
        <w:t>الأوّل</w:t>
      </w:r>
      <w:r>
        <w:rPr>
          <w:rtl w:val="true"/>
        </w:rPr>
        <w:t>:</w:t>
      </w:r>
      <w:r>
        <w:rPr>
          <w:rtl w:val="true"/>
        </w:rPr>
        <w:t>التقیّة الإکراهیّة؛</w:t>
      </w:r>
      <w:bookmarkEnd w:id="64"/>
    </w:p>
    <w:p>
      <w:pPr>
        <w:pStyle w:val="BookText"/>
        <w:rPr/>
      </w:pPr>
      <w:r>
        <w:rPr>
          <w:rFonts w:ascii="Amiri" w:hAnsi="Amiri" w:eastAsia="Amiri" w:cs="Amiri"/>
          <w:color w:val="111111"/>
          <w:sz w:val="28"/>
          <w:sz w:val="28"/>
          <w:szCs w:val="28"/>
          <w:rtl w:val="true"/>
          <w:lang w:bidi="ar-SA"/>
        </w:rPr>
        <w:t>و هی التی یکون منشأ التقیّة فیها الإکراه من قبل الغیر،و الدلیل علی ذلک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أُکْرِهَ وَ قَلْبُهُ مُطْمَئِنٌّ بِالْإِیمانِ </w:t>
      </w:r>
      <w:r>
        <w:rPr>
          <w:rStyle w:val="FootnoteAnchor"/>
          <w:rtl w:val="true"/>
        </w:rPr>
        <w:footnoteReference w:id="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کون هذا النوع من التقیّة،مبنی علی کون الإکراه من مصادیق التقیّة؛أمّا بناء علی تباینهما،فلا موضوع لهذا النوع،و قد فصّلنا البحث فی ذلک سابقا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 w:name="__RefHeading___Toc1855880_581953129"/>
      <w:bookmarkStart w:id="66" w:name="_Toc25"/>
      <w:bookmarkEnd w:id="65"/>
      <w:r>
        <w:rPr>
          <w:rtl w:val="true"/>
        </w:rPr>
        <w:t>الثانی</w:t>
      </w:r>
      <w:r>
        <w:rPr>
          <w:rtl w:val="true"/>
        </w:rPr>
        <w:t>:</w:t>
      </w:r>
      <w:r>
        <w:rPr>
          <w:rtl w:val="true"/>
        </w:rPr>
        <w:t>التقیّة الخوفیّة</w:t>
      </w:r>
      <w:r>
        <w:rPr>
          <w:rtl w:val="true"/>
        </w:rPr>
        <w:t>:</w:t>
      </w:r>
      <w:bookmarkEnd w:id="66"/>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هی التقیّة المعروفة،و یکون منشأ التقیّة فیها خوف ترتّب الضرر علی الإنسان مالا،أو عرضا،أو نفسا،و الدلیل علیها هی الأدلّة التی ذکرناها سابقا </w:t>
      </w:r>
      <w:r>
        <w:rPr>
          <w:rStyle w:val="FootnoteAnchor"/>
          <w:rtl w:val="true"/>
        </w:rPr>
        <w:footnoteReference w:id="83"/>
      </w:r>
      <w:r>
        <w:rPr>
          <w:rFonts w:ascii="IRNazanin" w:hAnsi="IRNazanin" w:eastAsia="IRNazanin"/>
          <w:color w:val="111111"/>
          <w:sz w:val="28"/>
          <w:sz w:val="28"/>
          <w:szCs w:val="28"/>
          <w:rtl w:val="true"/>
          <w:lang w:bidi="fa-IR"/>
        </w:rPr>
        <w:t>فی التقیّة بالمعنی الأعمّ؛مضافا إلی الروایات المتعدّدة،</w:t>
      </w:r>
      <w:bookmarkStart w:id="67" w:name="pg5439_46644"/>
    </w:p>
    <w:p>
      <w:pPr>
        <w:pStyle w:val="BookText"/>
        <w:rPr/>
      </w:pPr>
      <w:bookmarkEnd w:id="67"/>
      <w:r>
        <w:rPr>
          <w:rFonts w:ascii="IRNazanin" w:hAnsi="IRNazanin" w:eastAsia="IRNazanin"/>
          <w:color w:val="111111"/>
          <w:sz w:val="28"/>
          <w:sz w:val="28"/>
          <w:szCs w:val="28"/>
          <w:rtl w:val="true"/>
          <w:lang w:bidi="fa-IR"/>
        </w:rPr>
        <w:t xml:space="preserve">و قد ذکرنا بعضها سابقا </w:t>
      </w:r>
      <w:r>
        <w:rPr>
          <w:rStyle w:val="FootnoteAnchor"/>
          <w:rtl w:val="true"/>
        </w:rPr>
        <w:footnoteReference w:id="84"/>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Heading5"/>
        <w:numPr>
          <w:ilvl w:val="4"/>
          <w:numId w:val="1"/>
        </w:numPr>
        <w:rPr/>
      </w:pPr>
      <w:bookmarkStart w:id="68" w:name="__RefHeading___Toc1855882_581953129"/>
      <w:bookmarkStart w:id="69" w:name="_Toc26"/>
      <w:bookmarkEnd w:id="68"/>
      <w:r>
        <w:rPr>
          <w:rtl w:val="true"/>
        </w:rPr>
        <w:t>الثالث</w:t>
      </w:r>
      <w:r>
        <w:rPr>
          <w:rtl w:val="true"/>
        </w:rPr>
        <w:t>:</w:t>
      </w:r>
      <w:r>
        <w:rPr>
          <w:rtl w:val="true"/>
        </w:rPr>
        <w:t>التقیّة الکتمانیّة؛</w:t>
      </w:r>
      <w:bookmarkEnd w:id="69"/>
    </w:p>
    <w:p>
      <w:pPr>
        <w:pStyle w:val="BookText"/>
        <w:rPr/>
      </w:pPr>
      <w:r>
        <w:rPr>
          <w:rFonts w:ascii="IRNazanin" w:hAnsi="IRNazanin" w:eastAsia="IRNazanin"/>
          <w:color w:val="111111"/>
          <w:sz w:val="28"/>
          <w:sz w:val="28"/>
          <w:szCs w:val="28"/>
          <w:rtl w:val="true"/>
          <w:lang w:bidi="fa-IR"/>
        </w:rPr>
        <w:t>بمعنی التحفّظ عن إفشاء المذهب،و إبراز أسرار أهل البیت علیهم السّلام،و الدلیل علیه هی الروایات التی ذکرها صاحب الوسائل، کقوله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سلیمان إنّکم علی دین،من کتمه أعزّه اللّه،و من أذاعه أذلّه اللّه </w:t>
      </w:r>
      <w:r>
        <w:rPr>
          <w:rStyle w:val="FootnoteAnchor"/>
          <w:rtl w:val="true"/>
        </w:rPr>
        <w:footnoteReference w:id="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غیره من الأحادیث الواردة فی باب وجوب کتم الدین من غیر أهله مع التقیّة </w:t>
      </w:r>
      <w:r>
        <w:rPr>
          <w:rStyle w:val="FootnoteAnchor"/>
          <w:rtl w:val="true"/>
        </w:rPr>
        <w:footnoteReference w:id="86"/>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Heading5"/>
        <w:numPr>
          <w:ilvl w:val="4"/>
          <w:numId w:val="1"/>
        </w:numPr>
        <w:rPr/>
      </w:pPr>
      <w:bookmarkStart w:id="70" w:name="__RefHeading___Toc1855884_581953129"/>
      <w:bookmarkStart w:id="71" w:name="_Toc27"/>
      <w:bookmarkEnd w:id="70"/>
      <w:r>
        <w:rPr>
          <w:rtl w:val="true"/>
        </w:rPr>
        <w:t>الرابع</w:t>
      </w:r>
      <w:r>
        <w:rPr>
          <w:rtl w:val="true"/>
        </w:rPr>
        <w:t>:</w:t>
      </w:r>
      <w:r>
        <w:rPr>
          <w:rtl w:val="true"/>
        </w:rPr>
        <w:t>التقیّة المداراتیّة؛</w:t>
      </w:r>
      <w:bookmarkEnd w:id="71"/>
    </w:p>
    <w:p>
      <w:pPr>
        <w:pStyle w:val="Heading6"/>
        <w:numPr>
          <w:ilvl w:val="5"/>
          <w:numId w:val="1"/>
        </w:numPr>
        <w:rPr/>
      </w:pPr>
      <w:bookmarkStart w:id="72" w:name="__RefHeading___Toc1855886_581953129"/>
      <w:bookmarkStart w:id="73" w:name="_Toc28"/>
      <w:bookmarkEnd w:id="72"/>
      <w:r>
        <w:rPr>
          <w:rtl w:val="true"/>
        </w:rPr>
        <w:t>اشارة</w:t>
      </w:r>
      <w:bookmarkEnd w:id="73"/>
    </w:p>
    <w:p>
      <w:pPr>
        <w:pStyle w:val="BookText"/>
        <w:rPr/>
      </w:pPr>
      <w:r>
        <w:rPr>
          <w:rFonts w:ascii="IRNazanin" w:hAnsi="IRNazanin" w:eastAsia="IRNazanin"/>
          <w:color w:val="111111"/>
          <w:sz w:val="28"/>
          <w:sz w:val="28"/>
          <w:szCs w:val="28"/>
          <w:rtl w:val="true"/>
          <w:lang w:bidi="fa-IR"/>
        </w:rPr>
        <w:t>و هی التی لا یکون فیها خوف،أو إکراه،أو کتمان دین،بل شرّعت لأجل المداراة مع العامّة،و جلب مودّتهم،و وحدة الکلمة بیننا و بینهم،و لأجل شوکة الدین و اقتدار المسلمین؛و الدلیل علی ذلک أیضا الروایات المتعدّدة التی ذکرها صاحب الوسائل فی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عشرة العامّة بالتقیّة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عبارة عن</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 محمّد بن یعقوب،عن أحمد بن محمّد،عن علیّ بن الحکم،عن هشام الکندی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إیّاکم أن تعملوا عملا نعیّر به،فإنّ ولد السوء یعیّر والده بعمله،کونوا لمن انقطعتم إلیه زینا،و لا تکونوا علیه شینا، صلّوا فی عشائرهم،و عودوا مرضاهم،و اشهدوا جنائزهم،و لا یسبقونکم إلی شیء من الخیر،فأنتم أولی به منهم،و اللّه ما عبد اللّه بشیء أحبّ إلیه من الخبء،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الخبء؟قال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التقیّة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الروایة صحیحة سندا،و یستفاد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المداراة مع العامّة و الحضور فی مجالسهم و مساجدهم کان أمرا مطلوبا عند الأئمّة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تسمیة المداراة بالتقیّة؛فإنّ المداراة مع العامّة قد سمّیت عندهم بالتقیّة،و علی هذا یصطلح علیها بالتقیّة المداراتیّة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 محمّد بن علیّ بن الحسین،عن أبیه،عن سعد،عن أیّوب بن نوح، عن ابن أبی عمیر،عن سیف بن عمیرة،عن مدرک بن الهزهاز،عن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 اللّه عبدا اجترّ مودّة الناس إلی نفسه،فحدّثهم بما یعرفون،و ترک ما ینکرون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عن محمّد بن الحسن،عن الصفّار،عن محمّد بن الحسین،عن علیّ بن أسباط، عن علیّ بن أبی حمزة،عن أبی بصیر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علیه السّلام 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اصْبِرُوا وَ صابِرُوا وَ رابِطُوا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اِصْبِرُوا علی المصائب، وَ صابِرُوا هم علی التقیّة، وَ رابِطُوا علی من تقتدون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اللّهَ لَعَلَّکُمْ تُفْلِحُونَ </w:t>
      </w:r>
      <w:r>
        <w:rPr>
          <w:rStyle w:val="FootnoteAnchor"/>
          <w:rtl w:val="true"/>
        </w:rPr>
        <w:footnoteReference w:id="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غیر ذلک من الروایات التی ذکرها صاحب الوسائل فی أبواب الأمر و النهی،و فی أبواب صلاة الجماعة </w:t>
      </w:r>
      <w:r>
        <w:rPr>
          <w:rStyle w:val="FootnoteAnchor"/>
          <w:rtl w:val="true"/>
        </w:rPr>
        <w:footnoteReference w:id="90"/>
      </w:r>
      <w:r>
        <w:rPr>
          <w:rFonts w:ascii="IRNazanin" w:hAnsi="IRNazanin" w:eastAsia="IRNazanin"/>
          <w:color w:val="111111"/>
          <w:sz w:val="28"/>
          <w:sz w:val="28"/>
          <w:szCs w:val="28"/>
          <w:rtl w:val="true"/>
          <w:lang w:bidi="fa-IR"/>
        </w:rPr>
        <w:t xml:space="preserve">،و فی أبواب العشرة من کتاب الحج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فالمطلوب عند الأئمّة علیهم السّلام المعاشرة مع العامّة،و الصلاة فی مساجدهم، و عیادة مرضاهم،و أمروا علیهم السّلام بأنّکم إن استطعم أن تکونوا الأئمّة و المؤذّنین</w:t>
      </w:r>
    </w:p>
    <w:p>
      <w:pPr>
        <w:pStyle w:val="BookText"/>
        <w:rPr/>
      </w:pPr>
      <w:r>
        <w:rPr>
          <w:rFonts w:ascii="IRNazanin" w:hAnsi="IRNazanin" w:eastAsia="IRNazanin"/>
          <w:color w:val="111111"/>
          <w:sz w:val="28"/>
          <w:sz w:val="28"/>
          <w:szCs w:val="28"/>
          <w:rtl w:val="true"/>
          <w:lang w:bidi="fa-IR"/>
        </w:rPr>
        <w:t>فافعلوا؛فإنّکم إذا فعلتم ذلک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الجعفریّة،رحم اللّه جعفرا،ما کان أحسن ما یؤدّب أصحابه،و إذا ترکتم ذلک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هؤلاء الجعفریّة،ما کان أسوأ ما یؤدّب أصحابه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هذا النوع من التقیّة نکات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النکتة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یتوهّم </w:t>
      </w:r>
      <w:r>
        <w:rPr>
          <w:rStyle w:val="FootnoteAnchor"/>
          <w:rtl w:val="true"/>
        </w:rPr>
        <w:footnoteReference w:id="93"/>
      </w:r>
      <w:r>
        <w:rPr>
          <w:rFonts w:ascii="IRNazanin" w:hAnsi="IRNazanin" w:eastAsia="IRNazanin"/>
          <w:color w:val="111111"/>
          <w:sz w:val="28"/>
          <w:sz w:val="28"/>
          <w:szCs w:val="28"/>
          <w:rtl w:val="true"/>
          <w:lang w:bidi="fa-IR"/>
        </w:rPr>
        <w:t>أنّ مطلوبیّة المداراة مع العامّة مشروطة بما إذا احتمل ترتّب ضرر علی ترکه،فوجب حمل الروایات الواردة فی المداراة علی فرض خوف الضرر فی ترک المداراة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یدفعه کثرة الروایات المطلقة فی ذلک،مضافا إلی مخالفته لکثیر من التعابیر الواردة فی الروایات،کقوله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کونوا لنا زینا،و لا تکونوا علینا شینا </w:t>
      </w:r>
      <w:r>
        <w:rPr>
          <w:rStyle w:val="FootnoteAnchor"/>
          <w:rtl w:val="true"/>
        </w:rPr>
        <w:footnoteReference w:id="94"/>
      </w: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إیّاکم أن تعملو عملا نعیّر به</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النکتة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المستفاد من الروایات وجوب المعاشرة معهم،أو مطلق المطلوبیّة و الرجحان؟</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 جمع،منهم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الوسائل إلی الوجوب،للأمر بها فی الروایات، و هو ظاهر فی الوجوب،و لهذا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وجوب عشرة العامّة</w:t>
      </w:r>
      <w:r>
        <w:rPr>
          <w:rFonts w:eastAsia="IRNazanin" w:cs="IRNazanin"/>
          <w:color w:val="111111"/>
          <w:sz w:val="28"/>
          <w:szCs w:val="28"/>
          <w:rtl w:val="true"/>
          <w:lang w:bidi="fa-IR"/>
        </w:rPr>
        <w:t xml:space="preserve">» </w:t>
      </w:r>
      <w:r>
        <w:rPr>
          <w:rStyle w:val="FootnoteAnchor"/>
          <w:rtl w:val="true"/>
        </w:rPr>
        <w:footnoteReference w:id="96"/>
      </w:r>
      <w:r>
        <w:rPr>
          <w:rFonts w:ascii="IRNazanin" w:hAnsi="IRNazanin" w:eastAsia="IRNazanin"/>
          <w:color w:val="111111"/>
          <w:sz w:val="28"/>
          <w:sz w:val="28"/>
          <w:szCs w:val="28"/>
          <w:rtl w:val="true"/>
          <w:lang w:bidi="fa-IR"/>
        </w:rPr>
        <w:t xml:space="preserve">،و یستفاد من کلمات الشیخ الأعظم الاستحباب </w:t>
      </w:r>
      <w:r>
        <w:rPr>
          <w:rStyle w:val="FootnoteAnchor"/>
          <w:rtl w:val="true"/>
        </w:rPr>
        <w:footnoteReference w:id="97"/>
      </w:r>
      <w:r>
        <w:rPr>
          <w:rFonts w:ascii="IRNazanin" w:hAnsi="IRNazanin" w:eastAsia="IRNazanin"/>
          <w:color w:val="111111"/>
          <w:sz w:val="28"/>
          <w:sz w:val="28"/>
          <w:szCs w:val="28"/>
          <w:rtl w:val="true"/>
          <w:lang w:bidi="fa-IR"/>
        </w:rPr>
        <w:t>،و هو الصحیح؛لأنّ الأمر فیها مسوق فی مقام توهّم الحذر و المنع؛لأنّ الأصحاب یتوهّمون حرمة المشارکة معهم،و عدم صحّة الصلاة خلفهم،و عدم مطلوبیّة المعاشرة معهم،فالأمر فی الروایات مسوق</w:t>
      </w:r>
    </w:p>
    <w:p>
      <w:pPr>
        <w:pStyle w:val="BookText"/>
        <w:rPr/>
      </w:pPr>
      <w:r>
        <w:rPr>
          <w:rFonts w:ascii="IRNazanin" w:hAnsi="IRNazanin" w:eastAsia="IRNazanin"/>
          <w:color w:val="111111"/>
          <w:sz w:val="28"/>
          <w:sz w:val="28"/>
          <w:szCs w:val="28"/>
          <w:rtl w:val="true"/>
          <w:lang w:bidi="fa-IR"/>
        </w:rPr>
        <w:t>بتوهّم الحذر،و لا یکون ظاهرا فی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یکون المعاشرة و المداراة معهم مستحبّا؛نعم،لو کان ترک المداراة موجبا لوهن المذهب،لکانت العشرة معهم واجبة،و ترکها محرّما لأجل حرمة وهن المذهب،لا لنفسها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النکتة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المداراة مختصّة بزمان شوکة العامّة و اقتدارهم،کما فی زمن الأئمّة علیهم السّلام،أم لا تختصّ بذلک؟ذهب المحقّق الهمدانی إلی الأوّل </w:t>
      </w:r>
      <w:r>
        <w:rPr>
          <w:rStyle w:val="FootnoteAnchor"/>
          <w:rtl w:val="true"/>
        </w:rPr>
        <w:footnoteReference w:id="98"/>
      </w:r>
      <w:r>
        <w:rPr>
          <w:rFonts w:ascii="IRNazanin" w:hAnsi="IRNazanin" w:eastAsia="IRNazanin"/>
          <w:color w:val="111111"/>
          <w:sz w:val="28"/>
          <w:sz w:val="28"/>
          <w:szCs w:val="28"/>
          <w:rtl w:val="true"/>
          <w:lang w:bidi="fa-IR"/>
        </w:rPr>
        <w:t>،و خالفه جمع،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السیّد الخوئی </w:t>
      </w:r>
      <w:r>
        <w:rPr>
          <w:rStyle w:val="FootnoteAnchor"/>
          <w:rtl w:val="true"/>
        </w:rPr>
        <w:footnoteReference w:id="99"/>
      </w:r>
      <w:r>
        <w:rPr>
          <w:rFonts w:ascii="IRNazanin" w:hAnsi="IRNazanin" w:eastAsia="IRNazanin"/>
          <w:color w:val="111111"/>
          <w:sz w:val="28"/>
          <w:sz w:val="28"/>
          <w:szCs w:val="28"/>
          <w:rtl w:val="true"/>
          <w:lang w:bidi="fa-IR"/>
        </w:rPr>
        <w:t>،و هو الحقّ،و الدلیل علی ذلک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الاختصاص متوقّف علی کون الملاک فی هذا النوع من التقیّة خوف ترتّب الضرر،مع أنّا قلنا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التقیّة المداراتیّة فی قبال الخوفیّة، و ملاکها المداراة و وحدة الکلمة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إطلاق بعض الروایات،کقوله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صلّی معهم فی الصفّ الأوّل کان کمن صلّی خلف رسول اللّه صلّی اللّه علیه و اله فی الصفّ الأوّل </w:t>
      </w:r>
      <w:r>
        <w:rPr>
          <w:rStyle w:val="FootnoteAnchor"/>
          <w:rtl w:val="true"/>
        </w:rPr>
        <w:footnoteReference w:id="100"/>
      </w:r>
      <w:r>
        <w:rPr>
          <w:rFonts w:ascii="IRNazanin" w:hAnsi="IRNazanin" w:eastAsia="IRNazanin"/>
          <w:color w:val="111111"/>
          <w:sz w:val="28"/>
          <w:sz w:val="28"/>
          <w:szCs w:val="28"/>
          <w:rtl w:val="true"/>
          <w:lang w:bidi="fa-IR"/>
        </w:rPr>
        <w:t>،فإطلاق هذا الحدیث مع هذا التعبیر العظیم لا یناسب الاختصاص</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النکتة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التقیّة المداراتیّة مسوّغة لارتکاب الحرام،کالحضور فی مجالس الرقص و الفساد،أو ترک الواجب،کما أنّ التقیّة الخوفیّة مسوّغة له،أم لا؟ الصحیح أنّها غیر مسوّغة لذلک،و الدلیل علی ذلک أنّ المستفاد من الروایات الواردة فی هذا النوع من التقیّة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المداراة منحصرة فی الحضور فی المجالس الدینیّة و الاجتماعات التی تکون مرتبطة بالشرع،علی أنّ مشروعیّة التقیّة لأجل أنّ ترکها</w:t>
      </w:r>
      <w:bookmarkStart w:id="74" w:name="pg5439_46648"/>
    </w:p>
    <w:p>
      <w:pPr>
        <w:pStyle w:val="BookText"/>
        <w:rPr/>
      </w:pPr>
      <w:bookmarkEnd w:id="74"/>
      <w:r>
        <w:rPr>
          <w:rFonts w:ascii="IRNazanin" w:hAnsi="IRNazanin" w:eastAsia="IRNazanin"/>
          <w:color w:val="111111"/>
          <w:sz w:val="28"/>
          <w:sz w:val="28"/>
          <w:szCs w:val="28"/>
          <w:rtl w:val="true"/>
          <w:lang w:bidi="fa-IR"/>
        </w:rPr>
        <w:t>موجب لوهن المذهب،و ارتکاب الحرام و لو من أجل التقیّة مساوق لوهن المذهب،و موجب لتضعیف أهله و تعییر أئمّتنا علیهم السّلام</w:t>
      </w:r>
      <w:r>
        <w:rPr>
          <w:rFonts w:eastAsia="IRNazanin" w:cs="IRNazanin"/>
          <w:color w:val="111111"/>
          <w:sz w:val="28"/>
          <w:szCs w:val="28"/>
          <w:rtl w:val="true"/>
          <w:lang w:bidi="fa-IR"/>
        </w:rPr>
        <w:t>.</w:t>
      </w:r>
    </w:p>
    <w:p>
      <w:pPr>
        <w:pStyle w:val="Heading6"/>
        <w:numPr>
          <w:ilvl w:val="5"/>
          <w:numId w:val="1"/>
        </w:numPr>
        <w:rPr/>
      </w:pPr>
      <w:bookmarkStart w:id="75" w:name="__RefHeading___Toc1855888_581953129"/>
      <w:bookmarkStart w:id="76" w:name="_Toc29"/>
      <w:bookmarkEnd w:id="75"/>
      <w:r>
        <w:rPr>
          <w:rtl w:val="true"/>
        </w:rPr>
        <w:t>تکملة</w:t>
      </w:r>
      <w:bookmarkEnd w:id="76"/>
    </w:p>
    <w:p>
      <w:pPr>
        <w:pStyle w:val="BookText"/>
        <w:rPr/>
      </w:pPr>
      <w:r>
        <w:rPr>
          <w:rFonts w:ascii="IRNazanin" w:hAnsi="IRNazanin" w:eastAsia="IRNazanin"/>
          <w:color w:val="111111"/>
          <w:sz w:val="28"/>
          <w:sz w:val="28"/>
          <w:szCs w:val="28"/>
          <w:rtl w:val="true"/>
          <w:lang w:bidi="fa-IR"/>
        </w:rPr>
        <w:t>هل التقیّة الخوفیّة و الإکراهیّة مسوّغتان لکلّ شیء ما عدا الدم؟و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یکون دائرتهما واسعة لجمیع الموارد من المال،و العرض،و النفس،و من حقوق اللّه،و حقوق الناس إلاّ الدم،أم لا؟</w:t>
      </w:r>
    </w:p>
    <w:p>
      <w:pPr>
        <w:pStyle w:val="BookText"/>
        <w:rPr/>
      </w:pPr>
      <w:r>
        <w:rPr>
          <w:rFonts w:ascii="IRNazanin" w:hAnsi="IRNazanin" w:eastAsia="IRNazanin"/>
          <w:color w:val="111111"/>
          <w:sz w:val="28"/>
          <w:sz w:val="28"/>
          <w:szCs w:val="28"/>
          <w:rtl w:val="true"/>
          <w:lang w:bidi="fa-IR"/>
        </w:rPr>
        <w:t>ذهب جمع إلی الشمول و العمومیّة،و الدلیل علی ذلک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العمومات الواردة فی روایات التقیّة،کقوله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التقیّة فی کلّ شیء حتّی یبلغ الدم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ورد فی روایة محمّد بن مسلم،و موثّقة أبی حمزة الثمالی </w:t>
      </w:r>
      <w:r>
        <w:rPr>
          <w:rStyle w:val="FootnoteAnchor"/>
          <w:rtl w:val="true"/>
        </w:rPr>
        <w:footnoteReference w:id="101"/>
      </w:r>
      <w:r>
        <w:rPr>
          <w:rFonts w:ascii="Amiri" w:hAnsi="Amiri" w:eastAsia="Amiri" w:cs="Amiri"/>
          <w:color w:val="111111"/>
          <w:sz w:val="28"/>
          <w:sz w:val="28"/>
          <w:szCs w:val="28"/>
          <w:rtl w:val="true"/>
          <w:lang w:bidi="ar-SA"/>
        </w:rPr>
        <w:t xml:space="preserve">،و مرسلة الصدوق </w:t>
      </w:r>
      <w:r>
        <w:rPr>
          <w:rStyle w:val="FootnoteAnchor"/>
          <w:rtl w:val="true"/>
        </w:rPr>
        <w:footnoteReference w:id="102"/>
      </w:r>
      <w:r>
        <w:rPr>
          <w:rFonts w:ascii="IRNazanin" w:hAnsi="IRNazanin" w:eastAsia="IRNazanin"/>
          <w:color w:val="111111"/>
          <w:sz w:val="28"/>
          <w:sz w:val="28"/>
          <w:szCs w:val="28"/>
          <w:rtl w:val="true"/>
          <w:lang w:bidi="fa-IR"/>
        </w:rPr>
        <w:t>بدعوی أنّ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شاملة لجمیع أنواعها من الخوفی،و الإکراهی،و المداراتی،کما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ظاهرة فی جمیع أفرادها من الواجبات،و المحرّمات،و حقوق اللّه،و حقوق الناس،ما عدا الدم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کلمة التقیّة تنصرف إلی خصوص التقیّة الخوفیّة</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ذکره الإمام الخمینی </w:t>
      </w:r>
      <w:r>
        <w:rPr>
          <w:rStyle w:val="FootnoteAnchor"/>
          <w:rtl w:val="true"/>
        </w:rPr>
        <w:footnoteReference w:id="103"/>
      </w:r>
      <w:r>
        <w:rPr>
          <w:rFonts w:ascii="IRNazanin" w:hAnsi="IRNazanin" w:eastAsia="IRNazanin"/>
          <w:color w:val="111111"/>
          <w:sz w:val="28"/>
          <w:sz w:val="28"/>
          <w:szCs w:val="28"/>
          <w:rtl w:val="true"/>
          <w:lang w:bidi="fa-IR"/>
        </w:rPr>
        <w:t>من أنّ المستفاد من الروایة هو السلب الکلّی؛أعنی عدم جریان التقیّة فی الدم،و لا یستفاد منها الإیجاب الکلّی فی جمیع أنواع التقیّة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نعم،یستفاد منها العموم بحسب الأفراد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استثناء النبیذ،و المسح علی الخفّین من التقیّة فی بعض الروایات </w:t>
      </w:r>
      <w:r>
        <w:rPr>
          <w:rStyle w:val="FootnoteAnchor"/>
          <w:rtl w:val="true"/>
        </w:rPr>
        <w:footnoteReference w:id="104"/>
      </w:r>
      <w:r>
        <w:rPr>
          <w:rFonts w:ascii="IRNazanin" w:hAnsi="IRNazanin" w:eastAsia="IRNazanin"/>
          <w:color w:val="111111"/>
          <w:sz w:val="28"/>
          <w:sz w:val="28"/>
          <w:szCs w:val="28"/>
          <w:rtl w:val="true"/>
          <w:lang w:bidi="fa-IR"/>
        </w:rPr>
        <w:t>قرینة علی کون المراد من المستثنی منه؛أعنی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التقیّة فی 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الواجبات و المحرّمات الإلهیّة التی لا تعلّق لها بحقوق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صحیحة ربما یستفاد منها العمومیّة بالنسبة إلی جمیع الحقوق،و هی ما رواه زرارة و غیره،عن الباقر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التقیّة فی کلّ ضرورة، و صاحبها أعلم بها حین تنزل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التقیّة فی کلّ شیء یضطرّ إلیه ابن آدم فقد أحلّه اللّه له </w:t>
      </w:r>
      <w:r>
        <w:rPr>
          <w:rStyle w:val="FootnoteAnchor"/>
          <w:rtl w:val="true"/>
        </w:rPr>
        <w:footnoteReference w:id="1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الروایة و إن کانت واردة فی التقیّة الخوفیّة؛لکنّها ظاهرة فی شمول جواز التقیّة بالنسبة إلی جمیع الحقوق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مشروعیّة التقیّة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ورد فی بعض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من باب الامتنان،و جواز التعدّی علی حقوق الناس و لو تقیّة لا یکون امتنانا؛فإنّه لا یناسب وقوع الضرر علی الغیر،أو إیقاعه فی 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أدلّة نفی الحرج حاکمة علی عمومیّة هذه الروایة؛فإنّ جواز إیقاع الغیر فی الضرر و لو علی نحو التقیّة یکون حکما حرجیّا بالنسبة إلی الغیر،و الأدلّة تنفیه</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 من ذلک عدم عمومیّة التقیّة الخوفیّة،بل إنّما هی مشروعة فیما إذا لم یستلزم وقوع الغیر فی الضرر،فلا یکون فی غیر الدم عامّا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البیان یظهر الحکم فی التقیّة الإکراهیّة؛فإنّ الإکراه إن قلنا بأنّه من مصادیق التقیّة لغة و عرفا، فلا فرق بینهما من هذه الجهة،و إن قلنا باختلافهما موضوعا،فیکون ملحقا بالتقیّة فی الحکم،لما ذکرنا سابقا</w:t>
      </w:r>
      <w:r>
        <w:rPr>
          <w:rFonts w:eastAsia="IRNazanin" w:cs="IRNazanin"/>
          <w:color w:val="111111"/>
          <w:sz w:val="28"/>
          <w:szCs w:val="28"/>
          <w:rtl w:val="true"/>
          <w:lang w:bidi="fa-IR"/>
        </w:rPr>
        <w:t>.</w:t>
      </w:r>
      <w:bookmarkStart w:id="77" w:name="pg5439_46651"/>
    </w:p>
    <w:p>
      <w:pPr>
        <w:pStyle w:val="Heading4"/>
        <w:numPr>
          <w:ilvl w:val="3"/>
          <w:numId w:val="1"/>
        </w:numPr>
        <w:rPr/>
      </w:pPr>
      <w:bookmarkStart w:id="78" w:name="__RefHeading___Toc1855890_581953129"/>
      <w:bookmarkStart w:id="79" w:name="_Toc30"/>
      <w:bookmarkEnd w:id="77"/>
      <w:bookmarkEnd w:id="78"/>
      <w:r>
        <w:rPr>
          <w:rtl w:val="true"/>
        </w:rPr>
        <w:t>الفصل السابع</w:t>
      </w:r>
      <w:r>
        <w:rPr>
          <w:rtl w:val="true"/>
        </w:rPr>
        <w:t>:</w:t>
      </w:r>
      <w:r>
        <w:rPr>
          <w:rtl w:val="true"/>
        </w:rPr>
        <w:t>هل العمل الموافق للتقیّة مجزئ عن المأمور به الواقعی،أم لا؟</w:t>
      </w:r>
      <w:bookmarkEnd w:id="79"/>
    </w:p>
    <w:p>
      <w:pPr>
        <w:pStyle w:val="Heading5"/>
        <w:numPr>
          <w:ilvl w:val="4"/>
          <w:numId w:val="1"/>
        </w:numPr>
        <w:rPr/>
      </w:pPr>
      <w:bookmarkStart w:id="80" w:name="__RefHeading___Toc1855892_581953129"/>
      <w:bookmarkStart w:id="81" w:name="_Toc31"/>
      <w:bookmarkEnd w:id="80"/>
      <w:r>
        <w:rPr>
          <w:rtl w:val="true"/>
        </w:rPr>
        <w:t>بیان محلّ النزاع</w:t>
      </w:r>
      <w:bookmarkEnd w:id="81"/>
    </w:p>
    <w:p>
      <w:pPr>
        <w:pStyle w:val="Heading6"/>
        <w:numPr>
          <w:ilvl w:val="5"/>
          <w:numId w:val="1"/>
        </w:numPr>
        <w:rPr/>
      </w:pPr>
      <w:bookmarkStart w:id="82" w:name="__RefHeading___Toc1855894_581953129"/>
      <w:bookmarkStart w:id="83" w:name="_Toc32"/>
      <w:bookmarkEnd w:id="82"/>
      <w:r>
        <w:rPr>
          <w:rtl w:val="true"/>
        </w:rPr>
        <w:t>اشارة</w:t>
      </w:r>
      <w:bookmarkEnd w:id="83"/>
    </w:p>
    <w:p>
      <w:pPr>
        <w:pStyle w:val="BookText"/>
        <w:rPr/>
      </w:pPr>
      <w:r>
        <w:rPr>
          <w:rFonts w:ascii="IRNazanin" w:hAnsi="IRNazanin" w:eastAsia="IRNazanin"/>
          <w:color w:val="111111"/>
          <w:sz w:val="28"/>
          <w:sz w:val="28"/>
          <w:szCs w:val="28"/>
          <w:rtl w:val="true"/>
          <w:lang w:bidi="fa-IR"/>
        </w:rPr>
        <w:t>فاعلم أنّ تحریر محلّ النزاع یحتاج إلی امور ثلاثة</w:t>
      </w:r>
      <w:r>
        <w:rPr>
          <w:rFonts w:eastAsia="IRNazanin" w:cs="IRNazanin"/>
          <w:color w:val="111111"/>
          <w:sz w:val="28"/>
          <w:szCs w:val="28"/>
          <w:rtl w:val="true"/>
          <w:lang w:bidi="fa-IR"/>
        </w:rPr>
        <w:t>:</w:t>
      </w:r>
    </w:p>
    <w:p>
      <w:pPr>
        <w:pStyle w:val="Heading6"/>
        <w:numPr>
          <w:ilvl w:val="5"/>
          <w:numId w:val="1"/>
        </w:numPr>
        <w:rPr/>
      </w:pPr>
      <w:bookmarkStart w:id="84" w:name="__RefHeading___Toc1855896_581953129"/>
      <w:bookmarkStart w:id="85" w:name="_Toc33"/>
      <w:bookmarkEnd w:id="84"/>
      <w:r>
        <w:rPr>
          <w:rtl w:val="true"/>
        </w:rPr>
        <w:t>الأمر الأوّل</w:t>
      </w:r>
      <w:r>
        <w:rPr>
          <w:rtl w:val="true"/>
        </w:rPr>
        <w:t>:</w:t>
      </w:r>
      <w:r>
        <w:rPr>
          <w:rtl w:val="true"/>
        </w:rPr>
        <w:t>أنّ النزاع واقع فیما إذا أتی المکلّف بالعمل ناقصا؛</w:t>
      </w:r>
      <w:bookmarkEnd w:id="85"/>
    </w:p>
    <w:p>
      <w:pPr>
        <w:pStyle w:val="BookText"/>
        <w:rPr/>
      </w:pPr>
      <w:r>
        <w:rPr>
          <w:rFonts w:ascii="IRNazanin" w:hAnsi="IRNazanin" w:eastAsia="IRNazanin"/>
          <w:color w:val="111111"/>
          <w:sz w:val="28"/>
          <w:sz w:val="28"/>
          <w:szCs w:val="28"/>
          <w:rtl w:val="true"/>
          <w:lang w:bidi="fa-IR"/>
        </w:rPr>
        <w:t>یعنی من دون جزء،أو شرط،أو أتی به مع مانع،أمّا لو ترک العمل رأسا من جهة التقیّة،کما إذا اقتضت ترک الصلاة رأسا،فلا ینبغی الإشکال فی عدم الإجزاء؛و لا خلاف بین الأعلام فی اعتبار هذا الأمر من جهة الکبری،و لکن وقع الخلاف فی بعض المصادیق نشیر إلی واحد منها</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لو اقتضت التقیّة الإفطار فی یوم حکم حاکمهم بأنّه یوم العید،مع أنّ المکلّف یعلم بأنّه آخر یوم من شهر رمضان،فهل هذا من باب ترک الصیام رأسا،کما ذهب إلیه المشهور </w:t>
      </w:r>
      <w:r>
        <w:rPr>
          <w:rStyle w:val="FootnoteAnchor"/>
          <w:rtl w:val="true"/>
        </w:rPr>
        <w:footnoteReference w:id="106"/>
      </w:r>
      <w:r>
        <w:rPr>
          <w:rFonts w:ascii="IRNazanin" w:hAnsi="IRNazanin" w:eastAsia="IRNazanin"/>
          <w:color w:val="111111"/>
          <w:sz w:val="28"/>
          <w:sz w:val="28"/>
          <w:szCs w:val="28"/>
          <w:rtl w:val="true"/>
          <w:lang w:bidi="fa-IR"/>
        </w:rPr>
        <w:t xml:space="preserve">،و منهم المحقّق الإمام الخمینی </w:t>
      </w:r>
      <w:r>
        <w:rPr>
          <w:rStyle w:val="FootnoteAnchor"/>
          <w:rtl w:val="true"/>
        </w:rPr>
        <w:footnoteReference w:id="107"/>
      </w:r>
      <w:r>
        <w:rPr>
          <w:rFonts w:ascii="IRNazanin" w:hAnsi="IRNazanin" w:eastAsia="IRNazanin"/>
          <w:color w:val="111111"/>
          <w:sz w:val="28"/>
          <w:sz w:val="28"/>
          <w:szCs w:val="28"/>
          <w:rtl w:val="true"/>
          <w:lang w:bidi="fa-IR"/>
        </w:rPr>
        <w:t xml:space="preserve">،فیخرج عن محلّ النزاع،أم من باب إتیان العمل ناقصا،کما ذهب إلیه المحقّق الخوئی </w:t>
      </w:r>
      <w:r>
        <w:rPr>
          <w:rStyle w:val="FootnoteAnchor"/>
          <w:rtl w:val="true"/>
        </w:rPr>
        <w:footnoteReference w:id="108"/>
      </w:r>
      <w:r>
        <w:rPr>
          <w:rFonts w:ascii="IRNazanin" w:hAnsi="IRNazanin" w:eastAsia="IRNazanin"/>
          <w:color w:val="111111"/>
          <w:sz w:val="28"/>
          <w:sz w:val="28"/>
          <w:szCs w:val="28"/>
          <w:rtl w:val="true"/>
          <w:lang w:bidi="fa-IR"/>
        </w:rPr>
        <w:t>،فیدخل فی</w:t>
      </w:r>
    </w:p>
    <w:p>
      <w:pPr>
        <w:pStyle w:val="BookText"/>
        <w:rPr/>
      </w:pPr>
      <w:r>
        <w:rPr>
          <w:rFonts w:ascii="IRNazanin" w:hAnsi="IRNazanin" w:eastAsia="IRNazanin"/>
          <w:color w:val="111111"/>
          <w:sz w:val="28"/>
          <w:sz w:val="28"/>
          <w:szCs w:val="28"/>
          <w:rtl w:val="true"/>
          <w:lang w:bidi="fa-IR"/>
        </w:rPr>
        <w:t>محلّ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للأوّل بأنّ المطلوب فی الصیام هو الإمساک فی مجموع الزمان المعتبر، 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المطلوب هو الإمساک فی المجموع من حیث المجموع،و ترک الإمساک فی لحظة مّا موجب للإخلال بالمطلوب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مرجع هذا إلی ترک المأمور به رأسا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اضطرّ الصائم إلی شرب کأس من الماء لحفظ نفسه من الموت، فقد قالوا بجواز هذا الشرب،و عدم جواز الشرب فی بقیّة الأوقات،و معنی هذا أنّ ذاک الشرب موجب لنقصان العمل،لا ترک العمل رأسا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وجوب الإمساک فی بقیّة الأوقات من باب وجوب رعایة شهر الصیام،و حرمة التظاهر بالأکل فی شهر الصیام،لا من باب کونه صائما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استشهد لهذا القول بروایتین أظنّ أنّهما روایة واحدة فی الواقع،فتدبّر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داود بن الحصین،عن رجل من أصحابه،عن أبی عبد اللّه علیه السّلام أنّه قال و هو بالحیرة فی زمان أبی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دخلت علیه و قد شکّ الناس فی الصوم،و هو و اللّه من شهر رمضان،فسلّمت علیه،فقال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عبد اللّه،أصمت الیوم؟فقلت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 المائدة بین یدیه،قال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فادن فکل،قال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فدنوت فأکلت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الصوم معک و الفطر معک،فقال الرجل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تفطر یوما من شهر رمضان؟فقال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و اللّه،أفطر یوما من شهر رمضان أحبّ إلیّ من أن یضرب عنقی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الروایة و إن لم تشتمل علی التعبیر بالقضاء،إلاّ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صدرت منه علیه السّلام ظاهرة فی أنّ ما فعله علیه السّلام کان مفطرا لصومه،فلو کان الإفطار تقیّة غیر مبطل للصوم لم یکن وجه لتوصیف الفعل بالإفطار،و التعبیر بالإفطار یدلّ علی ترک العمل راسا</w:t>
      </w:r>
      <w:r>
        <w:rPr>
          <w:rFonts w:eastAsia="IRNazanin" w:cs="IRNazanin"/>
          <w:color w:val="111111"/>
          <w:sz w:val="28"/>
          <w:szCs w:val="28"/>
          <w:rtl w:val="true"/>
          <w:lang w:bidi="fa-IR"/>
        </w:rPr>
        <w:t>.</w:t>
      </w:r>
      <w:bookmarkStart w:id="86" w:name="pg5439_46653"/>
    </w:p>
    <w:p>
      <w:pPr>
        <w:pStyle w:val="BookText"/>
        <w:rPr/>
      </w:pPr>
      <w:bookmarkEnd w:id="86"/>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رفاعة،عن رجل،عن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علی أبی العبّاس بالحیرة،فقال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عبد اللّه ما تقول فی الصیام الیوم؟</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إلی الإمام،إن صمت صمنا،و إن أفطرت أفطرنا،فقال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غلام علیّ بالمائدة،فأکلت معه و أنا أعلم و اللّه أنّه یوم من شهر رمضان،فکان إفطاری یوما و قضاؤه أیسر علیّ من أن یضرب عنقی و لا یعبد اللّه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هذه الروایة صریحة فی وجوب القضاء،و مرجعه إلی أنّ الإفطار موجب لترک العمل رأسا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استدلّ للثانی بأنّ التقیّة لا تقتضی أزید من الإفطار فی قطعة خاصّة من النهار،لا فی مجموع النهار،فلا یسقط عن المکلّف الأمر بالصوم فی بقیّة الزمان، و لذا لا یجوز أن یتناول شیئا من المفطرات فی غیر ساعة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هذا،مضافا إلی أنّ هذا نظیر ما إذا أفطر بما لا یراه العامّة مفطرا تقیّة،فکما أنّه محکوم بالصحّة و الإجزاء،و لا یجب معه القضاء،فکذلک الحال فی ما نحن فیه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بالنظر إلی أصل الاستدلال،فیکفی فی فساده ما قلنا فی الاستدلال علی القول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بالنسبة إلی التنظیر و القیاس،ففساده أوضح من الاستدلال،و لا یتوقّع هذا القیاس من الأصل الذی یکون هو المقیاس؛لأنّ الإفطار بما لا یراه العامّة مفطرا خارج عن موضوع الإفطار بجهة أدلّة التقیّة،و بمعنی أنّه بعد ملاحظة هذه الأدلّة لا یکون إفطارا أصلا،بخلاف ما نحن فیه،فتدبّر</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87" w:name="__RefHeading___Toc1855898_581953129"/>
      <w:bookmarkStart w:id="88" w:name="_Toc34"/>
      <w:bookmarkEnd w:id="87"/>
      <w:r>
        <w:rPr>
          <w:rtl w:val="true"/>
        </w:rPr>
        <w:t>الأمر الثانی</w:t>
      </w:r>
      <w:r>
        <w:rPr>
          <w:rtl w:val="true"/>
        </w:rPr>
        <w:t>:</w:t>
      </w:r>
      <w:r>
        <w:rPr>
          <w:rtl w:val="true"/>
        </w:rPr>
        <w:t>أنّ محلّ النزاع فی الإجزاء و عدمه إنّما هو فیما إذا کان الدلیل الذی</w:t>
      </w:r>
      <w:bookmarkStart w:id="89" w:name="pg5439_46654"/>
      <w:bookmarkEnd w:id="88"/>
    </w:p>
    <w:p>
      <w:pPr>
        <w:pStyle w:val="BookText"/>
        <w:rPr/>
      </w:pPr>
      <w:bookmarkEnd w:id="89"/>
      <w:r>
        <w:rPr>
          <w:rFonts w:ascii="IRNazanin" w:hAnsi="IRNazanin" w:eastAsia="IRNazanin"/>
          <w:color w:val="111111"/>
          <w:sz w:val="28"/>
          <w:sz w:val="28"/>
          <w:szCs w:val="28"/>
          <w:rtl w:val="true"/>
          <w:lang w:bidi="fa-IR"/>
        </w:rPr>
        <w:t>تنتزع منه الجزئیّة،أو الشرطیّة،أو المانعیّة،عامّا،أو مطلقا شاملا لصورة الاضطرار إلی ترکها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لم یکن کذلک،کما إذا ثبتت الامور المذکورة بالسیرة أو مثلها،أو بدلیل لفظیّ غیر شامل،فهو خارج عن محلّ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 ذلک أنّه فی الفرض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ثبوت الجزئیّة من طریق الإطلاق أو العموم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یقع البحث فی أنّ أدلّة التقیّة هل تصلح لرفع الجزئیّة أو الشرطیّة، أم لا تصلح؟</w:t>
      </w:r>
    </w:p>
    <w:p>
      <w:pPr>
        <w:pStyle w:val="BookText"/>
        <w:rPr/>
      </w:pPr>
      <w:r>
        <w:rPr>
          <w:rFonts w:ascii="IRNazanin" w:hAnsi="IRNazanin" w:eastAsia="IRNazanin"/>
          <w:color w:val="111111"/>
          <w:sz w:val="28"/>
          <w:sz w:val="28"/>
          <w:szCs w:val="28"/>
          <w:rtl w:val="true"/>
          <w:lang w:bidi="fa-IR"/>
        </w:rPr>
        <w:t>و أمّا فی الفرض الثانی،فیتمسّک لنفی الجزئیّة أو الشرطیّة بأصالة البراءة عنها،و لا یحتاج إلی أدلّة التقیّة</w:t>
      </w:r>
      <w:r>
        <w:rPr>
          <w:rFonts w:eastAsia="IRNazanin" w:cs="IRNazanin"/>
          <w:color w:val="111111"/>
          <w:sz w:val="28"/>
          <w:szCs w:val="28"/>
          <w:rtl w:val="true"/>
          <w:lang w:bidi="fa-IR"/>
        </w:rPr>
        <w:t>.</w:t>
      </w:r>
    </w:p>
    <w:p>
      <w:pPr>
        <w:pStyle w:val="Heading6"/>
        <w:numPr>
          <w:ilvl w:val="5"/>
          <w:numId w:val="1"/>
        </w:numPr>
        <w:rPr/>
      </w:pPr>
      <w:bookmarkStart w:id="90" w:name="__RefHeading___Toc1855900_581953129"/>
      <w:bookmarkStart w:id="91" w:name="_Toc35"/>
      <w:bookmarkEnd w:id="90"/>
      <w:r>
        <w:rPr>
          <w:rtl w:val="true"/>
        </w:rPr>
        <w:t>الأمر الثالث</w:t>
      </w:r>
      <w:r>
        <w:rPr>
          <w:rtl w:val="true"/>
        </w:rPr>
        <w:t>:</w:t>
      </w:r>
      <w:r>
        <w:rPr>
          <w:rtl w:val="true"/>
        </w:rPr>
        <w:t>قد وقع الخلاف فی أنّ المانعیّة النفسیّة هل هی داخلة فی محلّ</w:t>
      </w:r>
      <w:bookmarkEnd w:id="91"/>
    </w:p>
    <w:p>
      <w:pPr>
        <w:pStyle w:val="BookText"/>
        <w:rPr/>
      </w:pPr>
      <w:r>
        <w:rPr>
          <w:rFonts w:ascii="IRNazanin" w:hAnsi="IRNazanin" w:eastAsia="IRNazanin"/>
          <w:color w:val="111111"/>
          <w:sz w:val="28"/>
          <w:sz w:val="28"/>
          <w:szCs w:val="28"/>
          <w:rtl w:val="true"/>
          <w:lang w:bidi="fa-IR"/>
        </w:rPr>
        <w:t>النزاع و مورد للنفی و الإثبات،أم لا،بل هی خارجة عنه؟بمعنی عدم وقوع الخلاف فی الإجزاء فیها،مثلا لو أتی بالصلاة فی الدار المغصوبة تقیّة،فکما أنّه ترتفع الحرمة بالاضطرار و التقیّة،فکذلک ترتفع المانعیّة و تقع الصلاة 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 المحقّق النائینی </w:t>
      </w:r>
      <w:r>
        <w:rPr>
          <w:rStyle w:val="FootnoteAnchor"/>
          <w:rtl w:val="true"/>
        </w:rPr>
        <w:footnoteReference w:id="113"/>
      </w:r>
      <w:r>
        <w:rPr>
          <w:rFonts w:ascii="IRNazanin" w:hAnsi="IRNazanin" w:eastAsia="IRNazanin"/>
          <w:color w:val="111111"/>
          <w:sz w:val="28"/>
          <w:sz w:val="28"/>
          <w:szCs w:val="28"/>
          <w:rtl w:val="true"/>
          <w:lang w:bidi="fa-IR"/>
        </w:rPr>
        <w:t xml:space="preserve">إلی أنّ المانعیّة النفسیّة التی تنتزع من الحرمة النفسیّة داخلة فی محلّ النزاع،کالمانعیّة الغیریّة التی تنتزع من الحرمة الغیریّة،و خالفه فی ذلک السیّد الخوئی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استدلّ علی الأوّل بأنّ الاضطرار و التقیّة و غیرهما من الروافع و الأعذار إنّما یقتضی ارتفاع الحرمة فحسب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الملاک المقتضی للحرمة فهو بعد بحاله، و لا موجب لارتفاعه بالاضطرار أو التقیّة،و مع بقاء الملاک المقتضی للحرمة تبقی المانعیّة أیضا بحالها؛لأنّ للملاک و المفسدة الملزمة معلولین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الحرمة النفسیّة،و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المانعیّة،و إذا سقط أحدهما؛و هی الحرمة بالتقیّة</w:t>
      </w:r>
    </w:p>
    <w:p>
      <w:pPr>
        <w:pStyle w:val="BookText"/>
        <w:rPr/>
      </w:pPr>
      <w:r>
        <w:rPr>
          <w:rFonts w:ascii="IRNazanin" w:hAnsi="IRNazanin" w:eastAsia="IRNazanin"/>
          <w:color w:val="111111"/>
          <w:sz w:val="28"/>
          <w:sz w:val="28"/>
          <w:szCs w:val="28"/>
          <w:rtl w:val="true"/>
          <w:lang w:bidi="fa-IR"/>
        </w:rPr>
        <w:t>أو بالاضطرار،فیبقی معلوله الثانی بحاله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الملاک من الامور الواقعیّة الّتی تجری فیها 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 لا یصدر منه إلاّ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یعقل أن یکون للملاک معلولان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سلّمنا عدم جریان هذه القاعدة الفلسفیّة،کنظائرها فی هذه العلوم الاعتباریّة،لکنّ المانعیّة لیست فی عرض الحرمة،بل هی منتزعة منها، فکیف یعقل المنتزع بعد رفع منشأ الانتزاع؟و القول بأنّ المانعیّة تستفاد من نفس الملاک بعید عن 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جواب ثالث ذکره السیّد المحقّق الخوئی؛و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بعد تسلیم بقاء الملاک لا نسلّم تأثیره فی المانعیّة؛لوجود ترخیص الشارع فی الفعل،مثلا إذا کان التصرّف فی مال الغیر مباحا بترخیص الشارع نفسه فی صورة الاضطرار،فکما أنّه فی غیر الصلاة یکون التصرّف جائزا،فکذلک فی الصلاة؛لأنّهما من هذه الجهة سیّان،فالملاک غیر مؤثّر فی المانعیّة فی الصلاة و غیرها،بخلاف المانعیّة الغیریّة، فمثلا إذا اضطرّ إلی لبس الحریر للبرودة،فمع ذلک لا یجوز لبسه فی الصلاة،بل یجب علیه إیقاع الصلاة فی غیر الحریر؛لعدم سقوط المانعیّة الغیریّة عن لبس الحریر بسبب سقوط الحرمة النفسیّة؛لأنّ المانعیّة منتزعة عن النهی عن الصلاة فی الحریر،و هذا النهی باق حتّی بعد سقوط الحرمة النفسیّة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الجواب مخدوش؛لأنّ بقاء الملاک لو کان مؤثّرا فی المانعیّة،فلا فرق بین النفسی و الغیری،و لو کان غیر مؤثّر فکذلک لا فرق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یذکر وجه الفرق بینهما من هذه الجهة؛فنحن نسأله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الملاک فی النهی الغیری بعد رفع الخطاب مؤثّر فی المانعیّة،أم لا؟</w:t>
      </w:r>
      <w:bookmarkStart w:id="92" w:name="pg5439_46656"/>
    </w:p>
    <w:p>
      <w:pPr>
        <w:pStyle w:val="BookText"/>
        <w:rPr/>
      </w:pPr>
      <w:bookmarkEnd w:id="92"/>
      <w:r>
        <w:rPr>
          <w:rFonts w:ascii="IRNazanin" w:hAnsi="IRNazanin" w:eastAsia="IRNazanin"/>
          <w:color w:val="111111"/>
          <w:sz w:val="28"/>
          <w:sz w:val="28"/>
          <w:szCs w:val="28"/>
          <w:rtl w:val="true"/>
          <w:lang w:bidi="fa-IR"/>
        </w:rPr>
        <w:t>و بما أنّکم ذهبتم إلی أنّ ترخیص الشارع مانع عن تأثیر الملاک فی المانعیّة، فاللازم خروج المانعیّة الغیریّة عن محلّ النزاع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دخول المانعیّة النفسیّة فی محلّ النزاع؛لأنّ الکلام فی أنّ ترخیص الشارع هل هو موجب لرفع المانعیّة،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أنّه موجب لرفع التکلیف و العقاب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لا؟هذا أوّل الکلام و النزاع،و هذا أساس البحث و النزاع،کما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مانعیّة ترخیص الشارع عن تأثیر الملاک فی المانعیّة لیست أمرا قطعیّا،بل هو أوّل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فیجب البحث فی أنّه هل الملاک فی المانعیّة عبارة عن نفس الملاک فی الحرمة حتّی ترتفع المانعیّة بارتفاع الحرمة،أم لا،بل ملاکها غیر ملاک الحرمة،و مع ارتفاع ملاک الحرمة یبقی ملاک المانعیّة؟و لا فرق فی هذه الجهة بین الحرمة النفسیّة و الغیریّة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بعد هذه الامور الثلاثة نقول</w:t>
      </w:r>
      <w:r>
        <w:rPr>
          <w:rFonts w:eastAsia="Amiri" w:cs="Amiri" w:ascii="Amiri" w:hAnsi="Amiri"/>
          <w:color w:val="111111"/>
          <w:sz w:val="28"/>
          <w:szCs w:val="28"/>
          <w:rtl w:val="true"/>
          <w:lang w:bidi="ar-SA"/>
        </w:rPr>
        <w:t>:</w:t>
      </w:r>
    </w:p>
    <w:p>
      <w:pPr>
        <w:pStyle w:val="Heading6"/>
        <w:numPr>
          <w:ilvl w:val="5"/>
          <w:numId w:val="1"/>
        </w:numPr>
        <w:rPr/>
      </w:pPr>
      <w:bookmarkStart w:id="93" w:name="__RefHeading___Toc1855902_581953129"/>
      <w:bookmarkStart w:id="94" w:name="_Toc36"/>
      <w:bookmarkEnd w:id="93"/>
      <w:r>
        <w:rPr>
          <w:rtl w:val="true"/>
        </w:rPr>
        <w:t>ذهب المحقّق الثانی إلی التفصیل</w:t>
      </w:r>
      <w:bookmarkEnd w:id="94"/>
    </w:p>
    <w:p>
      <w:pPr>
        <w:pStyle w:val="BookText"/>
        <w:rPr/>
      </w:pPr>
      <w:r>
        <w:rPr>
          <w:rFonts w:ascii="IRNazanin" w:hAnsi="IRNazanin" w:eastAsia="IRNazanin"/>
          <w:color w:val="111111"/>
          <w:sz w:val="28"/>
          <w:sz w:val="28"/>
          <w:szCs w:val="28"/>
          <w:rtl w:val="true"/>
          <w:lang w:bidi="fa-IR"/>
        </w:rPr>
        <w:t xml:space="preserve">بین ما إذا ورد فیه نصّ بخصوصه،فیکون العمل صحیحا مجزئا إذا فعل علی الوجه المأذون فیه،التفاتا إلی أنّ الشارع أقام ذلک الفعل مقام المأمور به حین التقیّة،و ادّعی عدم وجود الخلاف بین الأصحاب فی هذه الصورة،و بین ما إذا لم یرد فیه نصّ بخصوصه،کالصلاة إلی غیر القبلة، و الوضوء بالنبیذ،و الإخلال بالموالاة بحیث یجفّ البلل،کما یراه بعض العامّة، فلا یکون العمل مجزئا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5" w:name="__RefHeading___Toc1855904_581953129"/>
      <w:bookmarkStart w:id="96" w:name="_Toc37"/>
      <w:bookmarkEnd w:id="95"/>
      <w:r>
        <w:rPr>
          <w:rtl w:val="true"/>
        </w:rPr>
        <w:t>و خالفه الشیخ الأعظم الأنصاری</w:t>
      </w:r>
      <w:bookmarkEnd w:id="96"/>
    </w:p>
    <w:p>
      <w:pPr>
        <w:pStyle w:val="BookText"/>
        <w:rPr/>
      </w:pPr>
      <w:r>
        <w:rPr>
          <w:rFonts w:ascii="Amiri" w:hAnsi="Amiri" w:eastAsia="Amiri" w:cs="Amiri"/>
          <w:color w:val="111111"/>
          <w:sz w:val="28"/>
          <w:sz w:val="28"/>
          <w:szCs w:val="28"/>
          <w:rtl w:val="true"/>
          <w:lang w:bidi="ar-SA"/>
        </w:rPr>
        <w:t>قدّس سرّه فقال ما خلاصته</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الإجزاء یتوقّف علی کون الفعل المتّقی به مأذونا من قبل الشارع،و هذا الإذن</w:t>
      </w:r>
    </w:p>
    <w:p>
      <w:pPr>
        <w:pStyle w:val="BookText"/>
        <w:rPr/>
      </w:pPr>
      <w:r>
        <w:rPr>
          <w:rFonts w:ascii="IRNazanin" w:hAnsi="IRNazanin" w:eastAsia="IRNazanin"/>
          <w:color w:val="111111"/>
          <w:sz w:val="28"/>
          <w:sz w:val="28"/>
          <w:szCs w:val="28"/>
          <w:rtl w:val="true"/>
          <w:lang w:bidi="fa-IR"/>
        </w:rPr>
        <w:t>علی نحوین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النحو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صدور الإذن الخاصّ فی المورد الخاصّ،کالإذن فی خصوص المسح علی الخفّین،کما فی صحیحة أبی الورد </w:t>
      </w:r>
      <w:r>
        <w:rPr>
          <w:rStyle w:val="FootnoteAnchor"/>
          <w:rtl w:val="true"/>
        </w:rPr>
        <w:footnoteReference w:id="117"/>
      </w:r>
      <w:r>
        <w:rPr>
          <w:rFonts w:ascii="IRNazanin" w:hAnsi="IRNazanin" w:eastAsia="IRNazanin"/>
          <w:color w:val="111111"/>
          <w:sz w:val="28"/>
          <w:sz w:val="28"/>
          <w:szCs w:val="28"/>
          <w:rtl w:val="true"/>
          <w:lang w:bidi="fa-IR"/>
        </w:rPr>
        <w:t xml:space="preserve">،أو الإذن العامّ </w:t>
      </w:r>
      <w:r>
        <w:rPr>
          <w:rStyle w:val="FootnoteAnchor"/>
          <w:rtl w:val="true"/>
        </w:rPr>
        <w:footnoteReference w:id="118"/>
      </w:r>
      <w:r>
        <w:rPr>
          <w:rFonts w:ascii="IRNazanin" w:hAnsi="IRNazanin" w:eastAsia="IRNazanin"/>
          <w:color w:val="111111"/>
          <w:sz w:val="28"/>
          <w:sz w:val="28"/>
          <w:szCs w:val="28"/>
          <w:rtl w:val="true"/>
          <w:lang w:bidi="fa-IR"/>
        </w:rPr>
        <w:t>الذی یستفاد من نظیر قولهم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التقیّة فی کلّ شیء </w:t>
      </w:r>
      <w:r>
        <w:rPr>
          <w:rStyle w:val="FootnoteAnchor"/>
          <w:rtl w:val="true"/>
        </w:rPr>
        <w:footnoteReference w:id="119"/>
      </w:r>
      <w:r>
        <w:rPr>
          <w:rFonts w:ascii="IRNazanin" w:hAnsi="IRNazanin" w:eastAsia="IRNazanin"/>
          <w:color w:val="111111"/>
          <w:sz w:val="28"/>
          <w:sz w:val="28"/>
          <w:szCs w:val="28"/>
          <w:rtl w:val="true"/>
          <w:lang w:bidi="fa-IR"/>
        </w:rPr>
        <w:t>،ففی هذا النوع تکون المسألة من صغریات مسألة الإجزاء؛لأنّه مع وجود الإذن خاصّا أو عامّا یکون الفعل مأمورا به علی نحو الاضطرار،و یقع البحث فی أنّ الفعل الاضطراری هل یکون مجزئا عن الواقعی،أم لا؟</w:t>
      </w:r>
    </w:p>
    <w:p>
      <w:pPr>
        <w:pStyle w:val="BookText"/>
        <w:rPr/>
      </w:pPr>
      <w:r>
        <w:rPr>
          <w:rFonts w:ascii="IRNazanin" w:hAnsi="IRNazanin" w:eastAsia="IRNazanin"/>
          <w:color w:val="111111"/>
          <w:sz w:val="28"/>
          <w:sz w:val="28"/>
          <w:szCs w:val="28"/>
          <w:rtl w:val="true"/>
          <w:lang w:bidi="fa-IR"/>
        </w:rPr>
        <w:t>النحو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فرضنا عدم صدور الإذن الخاصّ،و سلّمنا عدم إمکان استفادة الإذن العامّ من الأدلّة العامّة،فبین أیدینا نوعان من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النوع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بالعبادة؛کالأمر بالصلاة مثلا</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النوع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الأوامر العامّة التی وردت فی التقیّة،نظیر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التقیّة دینی و دین آبائی </w:t>
      </w:r>
      <w:r>
        <w:rPr>
          <w:rStyle w:val="FootnoteAnchor"/>
          <w:rtl w:val="true"/>
        </w:rPr>
        <w:footnoteReference w:id="120"/>
      </w:r>
      <w:r>
        <w:rPr>
          <w:rFonts w:ascii="IRNazanin" w:hAnsi="IRNazanin" w:eastAsia="IRNazanin"/>
          <w:color w:val="111111"/>
          <w:sz w:val="28"/>
          <w:sz w:val="28"/>
          <w:szCs w:val="28"/>
          <w:rtl w:val="true"/>
          <w:lang w:bidi="fa-IR"/>
        </w:rPr>
        <w:t xml:space="preserve">، </w:t>
      </w:r>
      <w:r>
        <w:rPr>
          <w:rStyle w:val="FootnoteAnchor"/>
          <w:rtl w:val="true"/>
        </w:rPr>
        <w:footnoteReference w:id="121"/>
      </w:r>
      <w:r>
        <w:rPr>
          <w:rFonts w:ascii="IRNazanin" w:hAnsi="IRNazanin" w:eastAsia="IRNazanin"/>
          <w:color w:val="111111"/>
          <w:sz w:val="28"/>
          <w:sz w:val="28"/>
          <w:szCs w:val="28"/>
          <w:rtl w:val="true"/>
          <w:lang w:bidi="fa-IR"/>
        </w:rPr>
        <w:t>،الذی هو فی مقام الأمر بالتقیّة،فحینئذ یقع البحث فی أنّه هل یستفاد من انضمام النوع الثانی إلی النوع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الفعل المتّقی به یکون مأمورا</w:t>
      </w:r>
    </w:p>
    <w:p>
      <w:pPr>
        <w:pStyle w:val="BookText"/>
        <w:rPr/>
      </w:pPr>
      <w:r>
        <w:rPr>
          <w:rFonts w:ascii="IRNazanin" w:hAnsi="IRNazanin" w:eastAsia="IRNazanin"/>
          <w:color w:val="111111"/>
          <w:sz w:val="28"/>
          <w:sz w:val="28"/>
          <w:szCs w:val="28"/>
          <w:rtl w:val="true"/>
          <w:lang w:bidi="fa-IR"/>
        </w:rPr>
        <w:t>به اضطراریّا حتّی تکون المسألة من صغریات مسألة الإجزاء أم لا؟بل أدلّة التقیّة العامّة یستفاد منها الحکم التکلیفی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حینئذ لو کان دلیل النوع الأوّل عامّا شاملا لصورة التقیّة و عدمها،فیکون الأمر ساقطا؛لعدم وجود القدرة فی فرض التقیّة و لو لم یکن عامّا،بل مختصّا بصورة التمکّن،ففی صورة التقیّة و عدم التمکّن یکون من مصادیق اولی الأعذار،و یجب الفرق بین العذر المستوعب و غیره </w:t>
      </w:r>
      <w:r>
        <w:rPr>
          <w:rStyle w:val="FootnoteAnchor"/>
          <w:rtl w:val="true"/>
        </w:rPr>
        <w:footnoteReference w:id="1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خلاصة کلام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 بین النحو الأوّل،و بین النحو الثانی من الإذن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یکون النزاع فی الثانی فی تحقّق الصغری لبحث الإجزاء،بینما یکون النزاع فی الأوّل کبرویا و الصغری مفروغا عنها،فتدبّر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فتبیّن أنّ المحقّق الثانی قد خصّ مسألة الإجزاء بما إذا ورد نصّ بالخصوص </w:t>
      </w:r>
      <w:r>
        <w:rPr>
          <w:rStyle w:val="FootnoteAnchor"/>
          <w:rtl w:val="true"/>
        </w:rPr>
        <w:footnoteReference w:id="123"/>
      </w:r>
      <w:r>
        <w:rPr>
          <w:rFonts w:ascii="IRNazanin" w:hAnsi="IRNazanin" w:eastAsia="IRNazanin"/>
          <w:color w:val="111111"/>
          <w:sz w:val="28"/>
          <w:sz w:val="28"/>
          <w:szCs w:val="28"/>
          <w:rtl w:val="true"/>
          <w:lang w:bidi="fa-IR"/>
        </w:rPr>
        <w:t>، بینما أنّ الشیخ الأعظم الأنصاری ذهب إلی أنّ الإجزاء متوقّف علی الإذن،و لا فرق بین کون الإذن خاصّا أو عامّا،و کذلک یکفی فی الإذن انضمام الأدلّة بعضها مع بعض،و هذا طریق ثالث للإذن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عدم إمکان استفادة الإذن من الطریق الثالث؛لأنّه فرع کون أدلّة التقیّة ناظرة إلی سائر الأدلّة فی هذه الجهة،مع عدم کونها ناظرة عرفا،و لا أقلّ کانت النظارة مشکوکة</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الصحیح وجود الإذن العامّ فی أدلّة التقیّة،و لا نحتاج فی صحّة کلّ عبادة علی وجه التقیّة إلی النصّ الخاصّ،و قبل بیان الإذن العامّ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دائرة هذا الإذن</w:t>
      </w:r>
      <w:bookmarkStart w:id="97" w:name="pg5439_46659"/>
    </w:p>
    <w:p>
      <w:pPr>
        <w:pStyle w:val="BookText"/>
        <w:rPr/>
      </w:pPr>
      <w:bookmarkEnd w:id="97"/>
      <w:r>
        <w:rPr>
          <w:rFonts w:ascii="IRNazanin" w:hAnsi="IRNazanin" w:eastAsia="IRNazanin"/>
          <w:color w:val="111111"/>
          <w:sz w:val="28"/>
          <w:sz w:val="28"/>
          <w:szCs w:val="28"/>
          <w:rtl w:val="true"/>
          <w:lang w:bidi="fa-IR"/>
        </w:rPr>
        <w:t xml:space="preserve">مع کونه عامّا یکون محدودا بما لا یؤدّی إلی الفساد فی الدین،و مشروطا بأنّ ترک التقیّة مستلزم لوهن المذهب؛فالصلاة إلی غیر القبلة یمینا أو شمالا أو دبرها لا تکون صحیحة قطعا؛لمخالفتها لکلام اللّه تبارک و تعالی </w:t>
      </w:r>
      <w:r>
        <w:rPr>
          <w:rStyle w:val="FootnoteAnchor"/>
          <w:rtl w:val="true"/>
        </w:rPr>
        <w:footnoteReference w:id="124"/>
      </w:r>
      <w:r>
        <w:rPr>
          <w:rFonts w:ascii="IRNazanin" w:hAnsi="IRNazanin" w:eastAsia="IRNazanin"/>
          <w:color w:val="111111"/>
          <w:sz w:val="28"/>
          <w:sz w:val="28"/>
          <w:szCs w:val="28"/>
          <w:rtl w:val="true"/>
          <w:lang w:bidi="fa-IR"/>
        </w:rPr>
        <w:t>،و هو مستلزم لفساد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ترک هذه الصلاة لا یکون موجبا لوهن المذهب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الذوق الفقهی یشهد بوجود الفرق بین الصلاة بدون السورة،أو مع التکتّف، و بین الصلاة إلی غیر جهة القبلة،و بهذا البیان یندفع بعض النقوض التی أوردها المحقّق الثانی فی رسالته </w:t>
      </w:r>
      <w:r>
        <w:rPr>
          <w:rStyle w:val="FootnoteAnchor"/>
          <w:rtl w:val="true"/>
        </w:rPr>
        <w:footnoteReference w:id="125"/>
      </w:r>
      <w:r>
        <w:rPr>
          <w:rFonts w:ascii="IRNazanin" w:hAnsi="IRNazanin" w:eastAsia="IRNazanin"/>
          <w:color w:val="111111"/>
          <w:sz w:val="28"/>
          <w:sz w:val="28"/>
          <w:szCs w:val="28"/>
          <w:rtl w:val="true"/>
          <w:lang w:bidi="fa-IR"/>
        </w:rPr>
        <w:t>،کما أنّه یندفع بعضها بخروجها عن محلّ الکلام لأجل أنّها تقیّة فی الموضوعات،لا فی الأحکام</w:t>
      </w:r>
      <w:r>
        <w:rPr>
          <w:rFonts w:eastAsia="IRNazanin" w:cs="IRNazanin"/>
          <w:color w:val="111111"/>
          <w:sz w:val="28"/>
          <w:szCs w:val="28"/>
          <w:rtl w:val="true"/>
          <w:lang w:bidi="fa-IR"/>
        </w:rPr>
        <w:t>.</w:t>
      </w:r>
    </w:p>
    <w:p>
      <w:pPr>
        <w:pStyle w:val="Heading6"/>
        <w:numPr>
          <w:ilvl w:val="5"/>
          <w:numId w:val="1"/>
        </w:numPr>
        <w:rPr/>
      </w:pPr>
      <w:bookmarkStart w:id="98" w:name="__RefHeading___Toc1855906_581953129"/>
      <w:bookmarkStart w:id="99" w:name="_Toc38"/>
      <w:bookmarkEnd w:id="98"/>
      <w:r>
        <w:rPr>
          <w:rtl w:val="true"/>
        </w:rPr>
        <w:t>و الروایات التی یستفادها منها الإذن العامّ</w:t>
      </w:r>
      <w:r>
        <w:rPr>
          <w:rtl w:val="true"/>
        </w:rPr>
        <w:t>-</w:t>
      </w:r>
      <w:bookmarkEnd w:id="99"/>
    </w:p>
    <w:p>
      <w:pPr>
        <w:pStyle w:val="Heading6"/>
        <w:numPr>
          <w:ilvl w:val="5"/>
          <w:numId w:val="1"/>
        </w:numPr>
        <w:rPr/>
      </w:pPr>
      <w:bookmarkStart w:id="100" w:name="__RefHeading___Toc1855908_581953129"/>
      <w:bookmarkStart w:id="101" w:name="_Toc39"/>
      <w:bookmarkEnd w:id="100"/>
      <w:r>
        <w:rPr>
          <w:rtl w:val="true"/>
        </w:rPr>
        <w:t>اشارة</w:t>
      </w:r>
      <w:bookmarkEnd w:id="101"/>
    </w:p>
    <w:p>
      <w:pPr>
        <w:pStyle w:val="BookText"/>
        <w:rPr/>
      </w:pPr>
      <w:r>
        <w:rPr>
          <w:rFonts w:ascii="IRNazanin" w:hAnsi="IRNazanin" w:eastAsia="IRNazanin"/>
          <w:color w:val="111111"/>
          <w:sz w:val="28"/>
          <w:sz w:val="28"/>
          <w:szCs w:val="28"/>
          <w:rtl w:val="true"/>
          <w:lang w:bidi="fa-IR"/>
        </w:rPr>
        <w:t>و هی الأساس لمسألة الإجزاء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فکثیرة جدّا</w:t>
      </w:r>
      <w:r>
        <w:rPr>
          <w:rFonts w:eastAsia="IRNazanin" w:cs="IRNazanin"/>
          <w:color w:val="111111"/>
          <w:sz w:val="28"/>
          <w:szCs w:val="28"/>
          <w:rtl w:val="true"/>
          <w:lang w:bidi="fa-IR"/>
        </w:rPr>
        <w:t>.</w:t>
      </w:r>
    </w:p>
    <w:p>
      <w:pPr>
        <w:pStyle w:val="Heading6"/>
        <w:numPr>
          <w:ilvl w:val="5"/>
          <w:numId w:val="1"/>
        </w:numPr>
        <w:rPr/>
      </w:pPr>
      <w:bookmarkStart w:id="102" w:name="__RefHeading___Toc1855910_581953129"/>
      <w:bookmarkStart w:id="103" w:name="_Toc40"/>
      <w:bookmarkEnd w:id="102"/>
      <w:r>
        <w:rPr>
          <w:rtl w:val="true"/>
        </w:rPr>
        <w:t>منها</w:t>
      </w:r>
      <w:r>
        <w:rPr>
          <w:rtl w:val="true"/>
        </w:rPr>
        <w:t>:</w:t>
      </w:r>
      <w:r>
        <w:rPr>
          <w:rtl w:val="true"/>
        </w:rPr>
        <w:t>حدیث الرفع المشهور</w:t>
      </w:r>
      <w:bookmarkEnd w:id="1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عن امّتی تسعة،التی منها قوله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اضطرّوا إلیه</w:t>
      </w:r>
      <w:r>
        <w:rPr>
          <w:rFonts w:eastAsia="IRNazanin" w:cs="IRNazanin"/>
          <w:color w:val="111111"/>
          <w:sz w:val="28"/>
          <w:szCs w:val="28"/>
          <w:rtl w:val="true"/>
          <w:lang w:bidi="fa-IR"/>
        </w:rPr>
        <w:t xml:space="preserve">» </w:t>
      </w:r>
      <w:r>
        <w:rPr>
          <w:rStyle w:val="FootnoteAnchor"/>
          <w:rtl w:val="true"/>
        </w:rPr>
        <w:footnoteReference w:id="126"/>
      </w:r>
      <w:r>
        <w:rPr>
          <w:rFonts w:ascii="IRNazanin" w:hAnsi="IRNazanin" w:eastAsia="IRNazanin"/>
          <w:color w:val="111111"/>
          <w:sz w:val="28"/>
          <w:sz w:val="28"/>
          <w:szCs w:val="28"/>
          <w:rtl w:val="true"/>
          <w:lang w:bidi="fa-IR"/>
        </w:rPr>
        <w:t>بیان الاستدلال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کان المکلّف مضطرّا إلی ترک جزء، أو شرط من العبادة،أو إتیان مانع،فمقتضی الحدیث ارتفاع الجزئیّة،أو الشرطیّة، أو المانعیّة،و مرجع هذا إلی عدم کون العمل معتبرا فیه الجزء،أو الشرط،فهذا إذن فی إتیان العمل فاقدا للجزء أو الشرط</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الحدیث یتکفّل شیئین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ارتفاع الجزئیّة،أو الشرطیّة،و إثبات کون المأمور به هو الفعل الفاقد للجزء،أو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کون الاستدلال متوقّفا علی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الآثار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ذهب إلیه السیّد المحقّق الإمام الخمینی قدّس سرّه </w:t>
      </w:r>
      <w:r>
        <w:rPr>
          <w:rStyle w:val="FootnoteAnchor"/>
          <w:rtl w:val="true"/>
        </w:rPr>
        <w:footnoteReference w:id="127"/>
      </w:r>
      <w:r>
        <w:rPr>
          <w:rFonts w:ascii="IRNazanin" w:hAnsi="IRNazanin" w:eastAsia="IRNazanin"/>
          <w:color w:val="111111"/>
          <w:sz w:val="28"/>
          <w:sz w:val="28"/>
          <w:szCs w:val="28"/>
          <w:rtl w:val="true"/>
          <w:lang w:bidi="fa-IR"/>
        </w:rPr>
        <w:t>حتّی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یضطرّ إلیه المکلّف مرفوع بلحاظ جمیع الآثار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الحدیث صریح فی ارتفاع التکلیف،و لا یکون بصدد إثبات تکلیف، فلا یستفاد منه الإذن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أورده السیّد المحقّق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 الجزئیّة،و الشرطیّة،و المانعیّة إنّما تنتزع من الأمر بالعمل المرکّب،و هی بأنفسها ممّا لا تناله ید الوضع و الرفع، و إنّما ترتفع برفع منشأ انتزاعها،و بناء علیه إذا اضطرّ المکلّف إلی ترک السورة فی الصلاة مثلا؛فمقتضی الحدیث إنّما هو ارتفاع الأمر عن الصلاة مع السورة،و أمّا الأمر بالصلاة الفاقدة للسورة فلا یمکن استفادته من الحدیث،بل یحتاج إثبات الأمر بالعمل الفاقد المضطرّ إلی دلیل غیر هذا الحدیث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الدلیل أخصّ من المدّعی؛لأنّ الحدیث مختصّ بالوجودیّات، کالتکتّف و قول آمین،دون العدمیّات،فلا یشمل مثل ترک القراءة؛فإنّ شأن الرفع تنزیل الموجود منزلة المعدوم،لا العکس؛فإنّه یکون وضعا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أجاب عن هذا الإشکال السیّد المحقّق الإمام الخمینی قدّس سرّه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الرفع متوجّه إلی العناوین المأخوذة فیه؛أی فی حدیث الرفع،و هذه العناوین لها نحو ثبوت قابل للرفع،و قد ینطبق علی الأمر العدمی،لکنّ الرفع غیر متوجّه إلی العدم،بل إلی عنوان ما اضطرّوا إلیه،و هو قابل للرفع عرفا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کلّه،لکنّ الإنصاف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تسلیم کون المقدّر هو جمیع الآثار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bookmarkStart w:id="104" w:name="pg5439_46661"/>
    </w:p>
    <w:p>
      <w:pPr>
        <w:pStyle w:val="BookText"/>
        <w:rPr/>
      </w:pPr>
      <w:bookmarkEnd w:id="104"/>
      <w:r>
        <w:rPr>
          <w:rFonts w:ascii="IRNazanin" w:hAnsi="IRNazanin" w:eastAsia="IRNazanin"/>
          <w:color w:val="111111"/>
          <w:sz w:val="28"/>
          <w:sz w:val="28"/>
          <w:szCs w:val="28"/>
          <w:rtl w:val="true"/>
          <w:lang w:bidi="fa-IR"/>
        </w:rPr>
        <w:t>الاستدلال بالحدیث تامّ؛لوجود الملازمة العرفیّة بین رفع الجزئیّة مثلا،و بین کون المأمور به هو الفعل الفاقد للجزء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الشرط؛اللّهمّ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لیس تمسّکا بالحدیث فقط،بل تمسّک بالحدیث و الملازمة معا،فتدبّر</w:t>
      </w:r>
      <w:r>
        <w:rPr>
          <w:rFonts w:eastAsia="IRNazanin" w:cs="IRNazanin"/>
          <w:color w:val="111111"/>
          <w:sz w:val="28"/>
          <w:szCs w:val="28"/>
          <w:rtl w:val="true"/>
          <w:lang w:bidi="fa-IR"/>
        </w:rPr>
        <w:t>.</w:t>
      </w:r>
    </w:p>
    <w:p>
      <w:pPr>
        <w:pStyle w:val="Heading6"/>
        <w:numPr>
          <w:ilvl w:val="5"/>
          <w:numId w:val="1"/>
        </w:numPr>
        <w:rPr/>
      </w:pPr>
      <w:bookmarkStart w:id="105" w:name="__RefHeading___Toc1855912_581953129"/>
      <w:bookmarkStart w:id="106" w:name="_Toc41"/>
      <w:bookmarkEnd w:id="105"/>
      <w:r>
        <w:rPr>
          <w:rtl w:val="true"/>
        </w:rPr>
        <w:t>و منها</w:t>
      </w:r>
      <w:r>
        <w:rPr>
          <w:rtl w:val="true"/>
        </w:rPr>
        <w:t>:</w:t>
      </w:r>
      <w:r>
        <w:rPr>
          <w:rtl w:val="true"/>
        </w:rPr>
        <w:t>ما استدلّ به الشیخ الأنصاری قدّس سرّه و هی صحیحة الفضلاء</w:t>
      </w:r>
      <w:bookmarkEnd w:id="106"/>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استدلّ به الشیخ الأنصاری قدّس سرّه و هی صحیحة الفضلاء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و استفاد منه الإذن؛و هی ما رواه إسماعیل الجعفی،و معمر بن یحیی بن سالم،و محمّد بن مسلم،و 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روایة صحیحة معروفة بصحیحة الفضلاء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سمعنا أبا جعفر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التقیّة فی کلّ شیء یضطرّ إلیه ابن آدم فقد أحلّه اللّه له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تقریب الاستدلال یتوقّف علی بیان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أداة العموم،و الروایة دلّت علی أنّ التقیّة جاریة فی کلّ شیء یضطرّ إلیه الإنسان،و هذا عامّ شامل للعبادات و المعاملات و الأحکام و الموضوعات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یکفی فی صدق الإضطرار کون المکلّف مضطرّا إلی ترک الجزء، أو الشرط،أو إتیان المانع و إن لم یکن مضطرّا إلی أصل الصلاة مثلا فی الوقت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الروایة دلّت علی أنّ ذاک الشیء المحرّم یکون محلّلا فی حقّ المتّقی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الحلّیّة أعمّ من التکلیفیّة و الوضعیّة،کما فی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اللّهُ الْبَیْعَ </w:t>
      </w:r>
      <w:r>
        <w:rPr>
          <w:rStyle w:val="FootnoteAnchor"/>
          <w:rtl w:val="true"/>
        </w:rPr>
        <w:footnoteReference w:id="132"/>
      </w:r>
      <w:r>
        <w:rPr>
          <w:rFonts w:ascii="IRNazanin" w:hAnsi="IRNazanin" w:eastAsia="IRNazanin"/>
          <w:color w:val="111111"/>
          <w:sz w:val="28"/>
          <w:sz w:val="28"/>
          <w:szCs w:val="28"/>
          <w:rtl w:val="true"/>
          <w:lang w:bidi="fa-IR"/>
        </w:rPr>
        <w:t>الذی هو ظاهر فی خصوص الوضع،أو الأعمّ من الوضع و التکلیف؛ فإنّ الحلال لا یکون فی العرف و اللغة و القرآن و السنّة مختصّا بالتکلیف؛فالمحرّم عبارة عن الممنوع،و المحلّل عبارة عن الجواز</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بالإحلال رفع المنع الثابت فی کلّ ممنوع</w:t>
      </w:r>
    </w:p>
    <w:p>
      <w:pPr>
        <w:pStyle w:val="BookText"/>
        <w:rPr/>
      </w:pPr>
      <w:r>
        <w:rPr>
          <w:rFonts w:ascii="IRNazanin" w:hAnsi="IRNazanin" w:eastAsia="IRNazanin"/>
          <w:color w:val="111111"/>
          <w:sz w:val="28"/>
          <w:sz w:val="28"/>
          <w:szCs w:val="28"/>
          <w:rtl w:val="true"/>
          <w:lang w:bidi="fa-IR"/>
        </w:rPr>
        <w:t xml:space="preserve">بحسب حاله من التحریم النفسی،کشرب الخمر،و التحریم الغیری،کالتکفیر فی الصلاة </w:t>
      </w:r>
      <w:r>
        <w:rPr>
          <w:rStyle w:val="FootnoteAnchor"/>
          <w:rtl w:val="true"/>
        </w:rPr>
        <w:footnoteReference w:id="1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مقصوده قدّس سرّه أنّ الحدیث لم یکن مختصّا بما یکون المضطرّ إلیه مستقلاّ فی المنع الغیری،و ترک الجزء أو الشرط حرام غیریّ،ففی صورة التقیّة یکون جائزا و حلالا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هذه الامور الأربعة نستفید منها أنّ التکتّف فی الصلاة،و ترک السورة، و لبس الحریر،و الإفطار عند سقوط الشمس،و الوقوف بعرفات و المشعر قبل وقته حلال فی صورة الاضطرار؛و واضح أنّ الحلّیّة بمعنی الإذن و الترخیص فی الإتیان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المحقّق الإمام الخمینی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ریب فی استفادة الوضع منها </w:t>
      </w:r>
      <w:r>
        <w:rPr>
          <w:rStyle w:val="FootnoteAnchor"/>
          <w:rtl w:val="true"/>
        </w:rPr>
        <w:footnoteReference w:id="134"/>
      </w:r>
      <w:r>
        <w:rPr>
          <w:rFonts w:ascii="IRNazanin" w:hAnsi="IRNazanin" w:eastAsia="IRNazanin"/>
          <w:color w:val="111111"/>
          <w:sz w:val="28"/>
          <w:sz w:val="28"/>
          <w:szCs w:val="28"/>
          <w:rtl w:val="true"/>
          <w:lang w:bidi="fa-IR"/>
        </w:rPr>
        <w:t>،و قد یعبّر عن الوضع بالتکلیف الغیری قبال التکلیف النفسی؛فإنّ التکفیر أو ترک البسملة من المحرّمات الغیریّة؛لاشتراط الصلاة بعدمهما و إن کان کلّ واحد منهما حلالا مع قطع النظر عن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لکن خالف السیّد المحقّق الخوئی مع الشیخ الأنصاری،و ذهب إلی عدم صحّة التمسّک بهذا الحدیث،و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توضیح 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الظاهر من الصحیحة أنّ کلّ عمل کان محرّما بأیّ عنوان من العناوین المفروضة تزول عنه حرمته بعنوان التقیّة،فیصیر العمل المعنون بذلک العنوان متّصفا بالحلّیّة لأجلها،فمثلا کان التکتّف حراما بعنوان کونه مبطلا للصلاة،بناء علی کون إبطال الصلاة محرّما فی نفسه،و إلاّ فمع قطع النظر عن هذا العنوان لا یکون حراما</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فرض التقیّة تنقلب الحرمة إلی الحلّیّة من دون تغیّر فی الموضوع، فالموضوع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التکتّف المبطل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حلالا فی فرض التقیّة،و بما أنّ الحکم</w:t>
      </w:r>
      <w:bookmarkStart w:id="107" w:name="pg5439_46663"/>
    </w:p>
    <w:p>
      <w:pPr>
        <w:pStyle w:val="BookText"/>
        <w:rPr/>
      </w:pPr>
      <w:bookmarkEnd w:id="107"/>
      <w:r>
        <w:rPr>
          <w:rFonts w:ascii="IRNazanin" w:hAnsi="IRNazanin" w:eastAsia="IRNazanin"/>
          <w:color w:val="111111"/>
          <w:sz w:val="28"/>
          <w:sz w:val="28"/>
          <w:szCs w:val="28"/>
          <w:rtl w:val="true"/>
          <w:lang w:bidi="fa-IR"/>
        </w:rPr>
        <w:t>لا معنی لأن یتصرّف فی الموضوع،أو فی قیوده،فلا یتغیّر الموضوع فی فرض التقیّة، 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الإبطال فی فرض التقیّة حلالا </w:t>
      </w:r>
      <w:r>
        <w:rPr>
          <w:rStyle w:val="FootnoteAnchor"/>
          <w:rtl w:val="true"/>
        </w:rPr>
        <w:footnoteReference w:id="135"/>
      </w:r>
      <w:r>
        <w:rPr>
          <w:rFonts w:ascii="IRNazanin" w:hAnsi="IRNazanin" w:eastAsia="IRNazanin"/>
          <w:color w:val="111111"/>
          <w:sz w:val="28"/>
          <w:sz w:val="28"/>
          <w:szCs w:val="28"/>
          <w:rtl w:val="true"/>
          <w:lang w:bidi="fa-IR"/>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الظاهر أنّ الإبطال علّة لتعلّق الحرمة بالصلاة مع التکتّف،و مع زوال الحرمة نستکشف زوال علّتها و هی الإبطال؛لأنّ العلّة الشرعیّة تنعدم بزوال معلوله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العلل التکوینیّة یمکن زوال المعلول الشرعی من دون العلّة التکوینیّة؛فإنّ الخمر حرام لأجل الإسکار،و فی فرض الاضطرار یصیر حلالا من دون زوال علّته؛أمّا فی العلّة و المعلول الشرعیّین یکون انتفاء أحدهما کاشفا عن انتفاء الآخر،و علی هذا لا یمکن زوال الحرمة من دون زوال الإبطال؛ فإنّ العرف یفهم أنّ عدم الحرمة کاشف عن عدم وجود الإبطال،فتدبّر</w:t>
      </w:r>
      <w:r>
        <w:rPr>
          <w:rFonts w:eastAsia="IRNazanin" w:cs="IRNazanin"/>
          <w:color w:val="111111"/>
          <w:sz w:val="28"/>
          <w:szCs w:val="28"/>
          <w:rtl w:val="true"/>
          <w:lang w:bidi="fa-IR"/>
        </w:rPr>
        <w:t>.</w:t>
      </w:r>
    </w:p>
    <w:p>
      <w:pPr>
        <w:pStyle w:val="Heading6"/>
        <w:numPr>
          <w:ilvl w:val="5"/>
          <w:numId w:val="1"/>
        </w:numPr>
        <w:rPr/>
      </w:pPr>
      <w:bookmarkStart w:id="108" w:name="__RefHeading___Toc1855914_581953129"/>
      <w:bookmarkStart w:id="109" w:name="_Toc42"/>
      <w:bookmarkEnd w:id="108"/>
      <w:r>
        <w:rPr>
          <w:rtl w:val="true"/>
        </w:rPr>
        <w:t>و منها</w:t>
      </w:r>
      <w:r>
        <w:rPr>
          <w:rtl w:val="true"/>
        </w:rPr>
        <w:t>:</w:t>
      </w:r>
      <w:r>
        <w:rPr>
          <w:rtl w:val="true"/>
        </w:rPr>
        <w:t>روایة أبی الصباح</w:t>
      </w:r>
      <w:r>
        <w:rPr>
          <w:rtl w:val="true"/>
        </w:rPr>
        <w:t>-</w:t>
      </w:r>
      <w:bookmarkEnd w:id="109"/>
    </w:p>
    <w:p>
      <w:pPr>
        <w:pStyle w:val="BookText"/>
        <w:rPr/>
      </w:pPr>
      <w:r>
        <w:rPr>
          <w:rFonts w:ascii="IRNazanin" w:hAnsi="IRNazanin" w:eastAsia="IRNazanin"/>
          <w:color w:val="111111"/>
          <w:sz w:val="28"/>
          <w:sz w:val="28"/>
          <w:szCs w:val="28"/>
          <w:rtl w:val="true"/>
          <w:lang w:bidi="fa-IR"/>
        </w:rPr>
        <w:t xml:space="preserve">یعنی إبراهیم بن نعیم،المرویّة فی کتاب الأیمان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لقد قال لی جعفر بن محمّد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علّم نبیّه التنزیل و التأویل، فعلّمه رسول اللّه صلّی اللّه علیه و اله علیّا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علّمنا و اللّه،ثمّ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صنعتم من شیء، أو حلفتم علیه من یمین فی تقیّة فأنتم منه فی سعة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ذهب الشیخ الأنصاری </w:t>
      </w:r>
      <w:r>
        <w:rPr>
          <w:rStyle w:val="FootnoteAnchor"/>
          <w:rtl w:val="true"/>
        </w:rPr>
        <w:footnoteReference w:id="138"/>
      </w:r>
      <w:r>
        <w:rPr>
          <w:rFonts w:ascii="IRNazanin" w:hAnsi="IRNazanin" w:eastAsia="IRNazanin"/>
          <w:color w:val="111111"/>
          <w:sz w:val="28"/>
          <w:sz w:val="28"/>
          <w:szCs w:val="28"/>
          <w:rtl w:val="true"/>
          <w:lang w:bidi="fa-IR"/>
        </w:rPr>
        <w:t xml:space="preserve">و السیّد الخمینی </w:t>
      </w:r>
      <w:r>
        <w:rPr>
          <w:rStyle w:val="FootnoteAnchor"/>
          <w:rtl w:val="true"/>
        </w:rPr>
        <w:footnoteReference w:id="139"/>
      </w:r>
      <w:r>
        <w:rPr>
          <w:rFonts w:ascii="IRNazanin" w:hAnsi="IRNazanin" w:eastAsia="IRNazanin"/>
          <w:color w:val="111111"/>
          <w:sz w:val="28"/>
          <w:sz w:val="28"/>
          <w:szCs w:val="28"/>
          <w:rtl w:val="true"/>
          <w:lang w:bidi="fa-IR"/>
        </w:rPr>
        <w:t>إلی أنّ الروایة تدلّ علی أنّ کلّ ما یفعله المکلّف تقیّة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زیادة فی المأمور به،أو نقیصة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فی سعة، و معنی السعة و الوسعة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یترتّب علیه الإعادة و القضاء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الروایة کما قال</w:t>
      </w:r>
    </w:p>
    <w:p>
      <w:pPr>
        <w:pStyle w:val="BookText"/>
        <w:rPr/>
      </w:pPr>
      <w:r>
        <w:rPr>
          <w:rFonts w:ascii="IRNazanin" w:hAnsi="IRNazanin" w:eastAsia="IRNazanin"/>
          <w:color w:val="111111"/>
          <w:sz w:val="28"/>
          <w:sz w:val="28"/>
          <w:szCs w:val="28"/>
          <w:rtl w:val="true"/>
          <w:lang w:bidi="fa-IR"/>
        </w:rPr>
        <w:t>الشیخ الأنصاری نظیر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فی سعة ما لا یعلموا</w:t>
      </w:r>
      <w:r>
        <w:rPr>
          <w:rFonts w:eastAsia="IRNazanin" w:cs="IRNazanin"/>
          <w:color w:val="111111"/>
          <w:sz w:val="28"/>
          <w:szCs w:val="28"/>
          <w:rtl w:val="true"/>
          <w:lang w:bidi="fa-IR"/>
        </w:rPr>
        <w:t xml:space="preserve">» </w:t>
      </w:r>
      <w:r>
        <w:rPr>
          <w:rStyle w:val="FootnoteAnchor"/>
          <w:rtl w:val="true"/>
        </w:rPr>
        <w:footnoteReference w:id="140"/>
      </w:r>
      <w:r>
        <w:rPr>
          <w:rFonts w:ascii="IRNazanin" w:hAnsi="IRNazanin" w:eastAsia="IRNazanin"/>
          <w:color w:val="111111"/>
          <w:sz w:val="28"/>
          <w:sz w:val="28"/>
          <w:szCs w:val="28"/>
          <w:rtl w:val="true"/>
          <w:lang w:bidi="fa-IR"/>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فالروایة و إن کانت مردّدة بین الصحیحة و غیرها من جهة وجود سیف بن عمیرة؛للاختلاف فی أنّه واقفیّ أم لا،إلاّ أنّ دلالتها علی المدّعی 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خالفهما السیّد الخوئی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الروایة غیر دالّة علی الإجزاء، و القیاس و التنظیر باطل أیضا؛أمّا عدم دلالتها؛فلأنّ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 ما یفعل الإنسان فی غیر التقیّة لو کان فیه ضیق،لترفعه التقیّة؛مثلا أنّ فی شرب الخمر فی غیر حال التقیّة ضیقا،من جهة لزوم إجراء الحدّ علیه و الحکم بفسقه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مع التقیّة فیرتفع الضیق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غیر جار فی ما نحن فیه؛لأنّه لا یترتّب علی نفس ترک الجزء، أو الشرط،أو إتیان المانع ضیق؛لأنّ بطلان العمل لیس من الآثار المجعولة للترک، بل البطلان کالصحّة من الآثار الواقعیّة لا تناله ید الجعل،فلیس البطلان حکما شرعیّا،بل العقل یحکم بأنّ مخالفة العمل للمأمور به مساوق للبطلان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مسألة الإعادة،فلا تترتّب علی نفس ترک الجزء،بل الإعادة من آثار عدم إتیان المأمور به،و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موضوع الإعادة إتیان العمل فاسدا و ناقصا،لصحّ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من آثار ترک الجزء أو الشرط،مع أنّ موضوعها عدم إتیان المأمور به</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عدم صحّة القیاس؛فلأنّ المشکوک فیه فی ذلک الحدیث إنّما هو نفس الجزئیّة و عدلیها،و من البدیهی أنّ فی جزئیّة المشکوک فیه،أو شرطیّته،أو مانعیّته ضیقا واضحا علی المکلّف؛لأنّه تقیید لإطلاق المأمور به،و موجب للکلفة</w:t>
      </w:r>
      <w:bookmarkStart w:id="110" w:name="pg5439_46665"/>
    </w:p>
    <w:p>
      <w:pPr>
        <w:pStyle w:val="BookText"/>
        <w:rPr/>
      </w:pPr>
      <w:bookmarkEnd w:id="110"/>
      <w:r>
        <w:rPr>
          <w:rFonts w:ascii="IRNazanin" w:hAnsi="IRNazanin" w:eastAsia="IRNazanin"/>
          <w:color w:val="111111"/>
          <w:sz w:val="28"/>
          <w:sz w:val="28"/>
          <w:szCs w:val="28"/>
          <w:rtl w:val="true"/>
          <w:lang w:bidi="fa-IR"/>
        </w:rPr>
        <w:t xml:space="preserve">و الضیق،فیکون فی رفعها عند الشکّ توسعة له،و أین هذا و ما نحن فیه؛لعدم ترتّب ضیق من ناحیة ترک الجزء أو الشرط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یخفی ما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إیراده مبنیّ علی أن یستفاد من الروایة ترتّب الضیق علی نفس العمل من دون واسطة،مع أنّه محلّ الإنکار؛فإنّ الروایة دلّت علی أنّ الضیق الذی ترتّب علی العمل و لو مع الواسطة،ترتفع عند التقیّة؛فإنّ الإعادة و إن لم تکن من آثار نفس ترک الجزء أو الشرط،لکن ترک الجزء سبب لعدم إتیان المأمور به،و الإعادة من آثاره،مع أنّ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فأنتم منه فی 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نظر فیه إلی مادّة کلماته،بل هو کنایة عن عدم ترتّب شیء علی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 أنّ موضوع الإعادة لا یکون عدم إتیان المأمور به؛فإنّه أمر عدمیّ لا یصلح لأن یکون موضوعا لحکم شرعیّ وجودیّ؛بل التحقیق أنّ موضوع الإعادة هو إتیان العمل فاسدا و ناقصا؛فإنّ کلمة الإعادة لا یصدق فیما إذا لم یفعل العمل أصلا،بل یصدق فیما إذا فعله ناقصا،و یجب أن یعید ثانیا،و بهذا الجواب یظهر صحّة التنظیر،فتدبّر</w:t>
      </w:r>
      <w:r>
        <w:rPr>
          <w:rFonts w:eastAsia="IRNazanin" w:cs="IRNazanin"/>
          <w:color w:val="111111"/>
          <w:sz w:val="28"/>
          <w:szCs w:val="28"/>
          <w:rtl w:val="true"/>
          <w:lang w:bidi="fa-IR"/>
        </w:rPr>
        <w:t>.</w:t>
      </w:r>
    </w:p>
    <w:p>
      <w:pPr>
        <w:pStyle w:val="Heading6"/>
        <w:numPr>
          <w:ilvl w:val="5"/>
          <w:numId w:val="1"/>
        </w:numPr>
        <w:rPr/>
      </w:pPr>
      <w:bookmarkStart w:id="111" w:name="__RefHeading___Toc1855916_581953129"/>
      <w:bookmarkStart w:id="112" w:name="_Toc43"/>
      <w:bookmarkEnd w:id="111"/>
      <w:r>
        <w:rPr>
          <w:rtl w:val="true"/>
        </w:rPr>
        <w:t>و منها</w:t>
      </w:r>
      <w:r>
        <w:rPr>
          <w:rtl w:val="true"/>
        </w:rPr>
        <w:t>:</w:t>
      </w:r>
      <w:r>
        <w:rPr>
          <w:rtl w:val="true"/>
        </w:rPr>
        <w:t>روایة أبی عمر الأعجمی</w:t>
      </w:r>
      <w:bookmarkEnd w:id="112"/>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أبا عمر إنّ تسعة أعشار الدین فی التقیّة،و لا دین لمن لا تقیّة له،و التقیّة فی کلّ شیء،إلاّ فی النبیذ و المسح علی الخفّین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تقریب الاستدلال بها یتّضح بعد امور</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من التقیّة هو العمل الموافق لهم،المخالف للحقّ؛بمعنی ما یتّقی</w:t>
      </w:r>
    </w:p>
    <w:p>
      <w:pPr>
        <w:pStyle w:val="BookText"/>
        <w:rPr/>
      </w:pPr>
      <w:r>
        <w:rPr>
          <w:rFonts w:ascii="IRNazanin" w:hAnsi="IRNazanin" w:eastAsia="IRNazanin"/>
          <w:color w:val="111111"/>
          <w:sz w:val="28"/>
          <w:sz w:val="28"/>
          <w:szCs w:val="28"/>
          <w:rtl w:val="true"/>
          <w:lang w:bidi="fa-IR"/>
        </w:rPr>
        <w:t>به،لا الاتّقاء،کما هو ظاهر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کون التقیّة دینا أو من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حکم واقعیّ ثانویّ،و نتیجة هذین الأمرین أنّ الفعل المتّقی به من الدین،و واضح أنّ الفعل الذی یکون من الدین لا بدّ و أن یکون صحیحا؛فإنّ الباطل لا یکون من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أدوات العموم،و بقرینة استثناء مسح الخفّین الذی هو ممنوع بالمنع الغیری،تکون الروایة دالّة علی جریان التقیّة فی کلّ ممنوع، سواء کان استقلالیّا،أو غیریّا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هذه الامور الثلاثة نستفید أنّ ترک الجزء،أو الشرط،أو إتیان المانع فی فرض التقیّة یکون من الدین،و کلّ ما کان من الدین فهو صحیح،فلا یحتاج العمل إلی الإعادة أو القضاء،و هذا معنی الإجزاء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الاستدلال بمجموع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الاستدلال بنفس التعبیر الوارد فی صدر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تسعة أعشار الدین فی التقیّة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معناه؟و هل یمکن الالتزام بأنّ هذا المقدار ملائم لعدم الإجزاء؟ کلاّ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حال،فهذه الروایة و نظائرها من حیث التعبیر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التقیّة دینی و دین آبائی</w:t>
      </w:r>
      <w:r>
        <w:rPr>
          <w:rFonts w:eastAsia="IRNazanin" w:cs="IRNazanin"/>
          <w:color w:val="111111"/>
          <w:sz w:val="28"/>
          <w:szCs w:val="28"/>
          <w:rtl w:val="true"/>
          <w:lang w:bidi="fa-IR"/>
        </w:rPr>
        <w:t xml:space="preserve">» </w:t>
      </w:r>
      <w:r>
        <w:rPr>
          <w:rStyle w:val="FootnoteAnchor"/>
          <w:rtl w:val="true"/>
        </w:rPr>
        <w:footnoteReference w:id="1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 العمدة فی روایات الإجزاء،کما صرّح به المحقّق البجنوردی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هناک تفسیر للمحقّق النائینی،فقال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التقیّة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بمعنی أنّ ما یرونهم دینا فهو دینی فی حال التقیّة </w:t>
      </w:r>
      <w:r>
        <w:rPr>
          <w:rStyle w:val="FootnoteAnchor"/>
          <w:rtl w:val="true"/>
        </w:rPr>
        <w:footnoteReference w:id="146"/>
      </w:r>
      <w:r>
        <w:rPr>
          <w:rFonts w:ascii="IRNazanin" w:hAnsi="IRNazanin" w:eastAsia="IRNazanin"/>
          <w:color w:val="111111"/>
          <w:sz w:val="28"/>
          <w:sz w:val="28"/>
          <w:szCs w:val="28"/>
          <w:rtl w:val="true"/>
          <w:lang w:bidi="fa-IR"/>
        </w:rPr>
        <w:t>،و هذا تفسیر لطیف جدّا</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المحقّق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کونها ضعیفة السند؛لأجل أنّ</w:t>
      </w:r>
    </w:p>
    <w:p>
      <w:pPr>
        <w:pStyle w:val="BookText"/>
        <w:rPr/>
      </w:pPr>
      <w:r>
        <w:rPr>
          <w:rFonts w:ascii="IRNazanin" w:hAnsi="IRNazanin" w:eastAsia="IRNazanin"/>
          <w:color w:val="111111"/>
          <w:sz w:val="28"/>
          <w:sz w:val="28"/>
          <w:szCs w:val="28"/>
          <w:rtl w:val="true"/>
          <w:lang w:bidi="fa-IR"/>
        </w:rPr>
        <w:t>أبا عمر الأعجمی ممّا لم یتعرّضو الحاله،فهو مجهول الحال من جمیع الجهات،حتّی من حیث التشیّع و عدمه،فضلا عن الوثاقة و عدمها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أجنبیّة عمّا نحن بصدده،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نحن بصدده هو البحث عن ارتفاع الأحکام المتعلّقة بالفعل المتّقی به، کارتفاع الجزئیّة و المانعیّة فی فرض التقیّة،مع أنّ الروایة ناظرة إلی أصل مشروعیّة التقیّة،و قرینة ذلک استثناء شرب النبیذ،فبناء علی کون الروایة بصدد بیان الأحکام فما هو الوجه فی عدم ارتفاع الحرمة فی شرب النبیذ تقیّة؟و هل هو أعظم من حرمة ترک الصلاة التی ترتفع عند الاضطرار و التقیّة؟</w:t>
      </w:r>
    </w:p>
    <w:p>
      <w:pPr>
        <w:pStyle w:val="BookText"/>
        <w:rPr/>
      </w:pPr>
      <w:r>
        <w:rPr>
          <w:rFonts w:ascii="IRNazanin" w:hAnsi="IRNazanin" w:eastAsia="IRNazanin"/>
          <w:color w:val="111111"/>
          <w:sz w:val="28"/>
          <w:sz w:val="28"/>
          <w:szCs w:val="28"/>
          <w:rtl w:val="true"/>
          <w:lang w:bidi="fa-IR"/>
        </w:rPr>
        <w:t>أمّا بناء علی کون الروایة بصدد بیان أصل المشروعیّة،فالاستثناء صحیح؛ لأنّ عدم مشروعیّة التقیّة فی شرب النبیذ و المسح علی الخفّین من جهة عدم وجود الموضوع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الشیخ الأنصاری لم یلفت نظره الشریف إلی الاستثناء الأوّل،و إنّما توجّه إلی الثانی فقط،و لو کان متوجّها إلی الأوّل 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قلناه فی معنی الروایة </w:t>
      </w:r>
      <w:r>
        <w:rPr>
          <w:rStyle w:val="FootnoteAnchor"/>
          <w:rtl w:val="true"/>
        </w:rPr>
        <w:footnoteReference w:id="1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خلاصة کلامه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الشیخ قد صرّح بکون الروایة فی مقام إثبات المشروعیّة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دلّت الروایة علی ثبوت التقیّة و مشروعیّتها فی کلّ شیء ممنوع لو لا التقیّة </w:t>
      </w:r>
      <w:r>
        <w:rPr>
          <w:rStyle w:val="FootnoteAnchor"/>
          <w:rtl w:val="true"/>
        </w:rPr>
        <w:footnoteReference w:id="1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نظره الشریف إلی وجود الملازمة الواضحة بین المشروعیّة و ارتفاع الأحکام؛فإنّ مشروعیّة التقیّة فی الحرام النفسی مساوق لحلّیته،و فی الحرام الغیری مساوق لرفع الجزئیّة التی هی سبب للحرمة،مع أنّ أصل المشروعیّة أمر مجمل بعید عن هذه التعبیرات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منشأ هذا التفسیر یرجع إلی الإشکال الذی ذکره السیّد الخوئی،مع أنّ الشیخ قد التفت إلی الإشکال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ظاهر الاستثناء فیهما مخالف لما اجمع علیه</w:t>
      </w:r>
      <w:bookmarkStart w:id="113" w:name="pg5439_46668"/>
    </w:p>
    <w:p>
      <w:pPr>
        <w:pStyle w:val="BookText"/>
        <w:rPr/>
      </w:pPr>
      <w:bookmarkEnd w:id="113"/>
      <w:r>
        <w:rPr>
          <w:rFonts w:ascii="IRNazanin" w:hAnsi="IRNazanin" w:eastAsia="IRNazanin"/>
          <w:color w:val="111111"/>
          <w:sz w:val="28"/>
          <w:sz w:val="28"/>
          <w:szCs w:val="28"/>
          <w:rtl w:val="true"/>
          <w:lang w:bidi="fa-IR"/>
        </w:rPr>
        <w:t>من ثبوت التقیّة فیهما،و قال فی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هذه المخالفة لا یقدح فیما نحن بصدده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فالإنصاف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قطع النظر عن السند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الروایة واضحة الدلالة للمطلوب،و اللّه العالم</w:t>
      </w:r>
      <w:r>
        <w:rPr>
          <w:rFonts w:eastAsia="IRNazanin" w:cs="IRNazanin"/>
          <w:color w:val="111111"/>
          <w:sz w:val="28"/>
          <w:szCs w:val="28"/>
          <w:rtl w:val="true"/>
          <w:lang w:bidi="fa-IR"/>
        </w:rPr>
        <w:t>.</w:t>
      </w:r>
    </w:p>
    <w:p>
      <w:pPr>
        <w:pStyle w:val="Heading6"/>
        <w:numPr>
          <w:ilvl w:val="5"/>
          <w:numId w:val="1"/>
        </w:numPr>
        <w:rPr/>
      </w:pPr>
      <w:bookmarkStart w:id="114" w:name="__RefHeading___Toc1855918_581953129"/>
      <w:bookmarkStart w:id="115" w:name="_Toc44"/>
      <w:bookmarkEnd w:id="114"/>
      <w:r>
        <w:rPr>
          <w:rtl w:val="true"/>
        </w:rPr>
        <w:t>و منها</w:t>
      </w:r>
      <w:r>
        <w:rPr>
          <w:rtl w:val="true"/>
        </w:rPr>
        <w:t>:</w:t>
      </w:r>
      <w:r>
        <w:rPr>
          <w:rtl w:val="true"/>
        </w:rPr>
        <w:t>موثّقة مسعدة بن صدقة</w:t>
      </w:r>
      <w:bookmarkEnd w:id="115"/>
    </w:p>
    <w:p>
      <w:pPr>
        <w:pStyle w:val="BookText"/>
        <w:rPr/>
      </w:pPr>
      <w:r>
        <w:rPr>
          <w:rFonts w:ascii="IRNazanin" w:hAnsi="IRNazanin" w:eastAsia="IRNazanin"/>
          <w:color w:val="111111"/>
          <w:sz w:val="28"/>
          <w:sz w:val="28"/>
          <w:szCs w:val="28"/>
          <w:rtl w:val="true"/>
          <w:lang w:bidi="fa-IR"/>
        </w:rPr>
        <w:t>،عن أبی عبد اللّه علیه السّلام فی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المؤمن إذا أظهر الإیمان ثمّ ظهر منه ما یدلّ علی نقضه خرج ممّا وصف و أظهر،و کان له ناقضا إلاّ أن یدّعی أنّه إنّما عمل ذلک تقیّة،و مع ذلک ینظر فیه،فإن کان لیس ممّا یمکن أن تکون التقیّة فی مثله لم یقبل منه ذلک؛لأنّ للتقیّة مواضع،من أزالها عن مواضعها لم تستقم له،و تفسیر ما یتّقی مثل أن یکون قوم سوء ظاهر حکمهم و فعلهم علی غیر حکم الحقّ و فعله،فکلّ شیء یعمل المؤمن بینهم لمکان التقیّة ممّا لا یؤدّی إلی الفساد فی الدین؛فإنّه جائز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الاستدلال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الجواز بمعنی المضیّ،و هو أعمّ من التکلیفی و الوضعی، فالروایة تعطی قاعدة کلّیّة؛و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 ما یفعله المؤمن من جهة التقیّة؛سواء کان ترکا للجزء،أو الشرط،أو إتیانا للمانع؛فإنّه صحیح إذا لم ینجرّ إلی فساد فی الدین و هذا التعبیر نظیر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الصلح جائز بین المسلمین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فهذه الروایة دالّة علی الإجزاء،کما فهمه الشیخ الأنصاری </w:t>
      </w:r>
      <w:r>
        <w:rPr>
          <w:rStyle w:val="FootnoteAnchor"/>
          <w:rtl w:val="true"/>
        </w:rPr>
        <w:footnoteReference w:id="152"/>
      </w:r>
      <w:r>
        <w:rPr>
          <w:rFonts w:ascii="IRNazanin" w:hAnsi="IRNazanin" w:eastAsia="IRNazanin"/>
          <w:color w:val="111111"/>
          <w:sz w:val="28"/>
          <w:sz w:val="28"/>
          <w:szCs w:val="28"/>
          <w:rtl w:val="true"/>
          <w:lang w:bidi="fa-IR"/>
        </w:rPr>
        <w:t xml:space="preserve">و السیّد الإمام الخمینی </w:t>
      </w:r>
      <w:r>
        <w:rPr>
          <w:rStyle w:val="FootnoteAnchor"/>
          <w:rtl w:val="true"/>
        </w:rPr>
        <w:footnoteReference w:id="153"/>
      </w:r>
      <w:r>
        <w:rPr>
          <w:rFonts w:ascii="IRNazanin" w:hAnsi="IRNazanin" w:eastAsia="IRNazanin"/>
          <w:color w:val="111111"/>
          <w:sz w:val="28"/>
          <w:sz w:val="28"/>
          <w:szCs w:val="28"/>
          <w:rtl w:val="true"/>
          <w:lang w:bidi="fa-IR"/>
        </w:rPr>
        <w:t>،و لکن أورد السیّد الخوئی علی الاستدلال بها بثلاث إیرادات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مخدوشة من حیث السند؛فإنّ مسعدة بن صدقة ممّن لم یوثّق فی کتب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الروایة لا تدلّ علی المدّعی؛لأنّه قد اسند الجواز فیها إلی الفعل، و هذا الإسناد ظاهر فی الجواز النفسی الاستقلالی،و لا یدلّ علی الجواز الغیری، و المراد من الجواز النفسی إباحة الشیء مستقلاّ من دون نظر إلی أنّه جزء،أو شرط للغیر،و المراد من الجواز الغیری کون دخالته فی شیء،و عدم دخالته علی حدّ سواء،و علی هذا یستفاد من الروایة جواز ما هو حرام مستقلاّ،و لا یستفاد منها الحلّیّة الغیریّة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صدر الروایة شاهد علی کونها بصدد بیان أصل مشروعیّة التقیّة، لا جواز الفعل المتّقی به؛فإنّ صدرها شاهد علی کونها فی مقام بیان مواضع التقیّة، و جریانها فی الموارد المعیّنة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هذا لا تدلّ علی سقوط الجزء عن الجزئیّة، أو الشرط عن الشرطیّة فی موارد التقیّة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الإیرادات کلّها مخدوشة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لمسعدة توثیقا عامّا؛فإنّه ممّن ورد فی أسانید کتاب کامل الزیارات،و تفسیر علیّ بن إبراهیم </w:t>
      </w:r>
      <w:r>
        <w:rPr>
          <w:rStyle w:val="FootnoteAnchor"/>
          <w:rtl w:val="true"/>
        </w:rPr>
        <w:footnoteReference w:id="155"/>
      </w:r>
      <w:r>
        <w:rPr>
          <w:rFonts w:ascii="IRNazanin" w:hAnsi="IRNazanin" w:eastAsia="IRNazanin"/>
          <w:color w:val="111111"/>
          <w:sz w:val="28"/>
          <w:sz w:val="28"/>
          <w:szCs w:val="28"/>
          <w:rtl w:val="true"/>
          <w:lang w:bidi="fa-IR"/>
        </w:rPr>
        <w:t>،و السیّد الخوئی کان ممّن اعتبر هذا المقدار من التوثیق بشرط عدم وجود تضعیف معتبر،و قد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قد عدل عن هذا المبنی</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نسلّم ظهور الجواز فی خصوص الجواز النفسی،بل جواز کلّ شیء بحسبه،و هو أعمّ من التکلیف و الوضع،و لعلّه قدّس سرّه قد التفت إلی هذا الإشکال و صرّح به فی الإیراد الثالث</w:t>
      </w:r>
      <w:r>
        <w:rPr>
          <w:rFonts w:eastAsia="IRNazanin" w:cs="IRNazanin"/>
          <w:color w:val="111111"/>
          <w:sz w:val="28"/>
          <w:szCs w:val="28"/>
          <w:rtl w:val="true"/>
          <w:lang w:bidi="fa-IR"/>
        </w:rPr>
        <w:t>.</w:t>
      </w:r>
      <w:bookmarkStart w:id="116" w:name="pg5439_46670"/>
    </w:p>
    <w:p>
      <w:pPr>
        <w:pStyle w:val="BookText"/>
        <w:rPr/>
      </w:pPr>
      <w:bookmarkEnd w:id="116"/>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الجواز إلی النفسی و الغیری غیر فنّی؛فإنّ الجواز فی التکلیفیّات بمعنی الإباحة،و فی الوضعیّات یکون بمعنی الصحّة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الجواز بمعنی استواء دخالته و عدم دخالته فی شیء،فلیس بصحیح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صدر الروایة و إن کان شاهدا علی کونها بصدد بیان مواضع التقیّة،لکن ذیلها یعطی قاعدة کلّیّة مع ملاکها،و القاعدة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 ما یفعل المؤمن من جهة التقیّة فإنّه جائز،و الملاک هو عدم أدائه الی الفساد فی الدین،و من هذه القاعدة نستفید صحّة العمل فی مورد ترک الجزء،أو الشرط،أو إتیان المانع</w:t>
      </w:r>
      <w:r>
        <w:rPr>
          <w:rFonts w:eastAsia="IRNazanin" w:cs="IRNazanin"/>
          <w:color w:val="111111"/>
          <w:sz w:val="28"/>
          <w:szCs w:val="28"/>
          <w:rtl w:val="true"/>
          <w:lang w:bidi="fa-IR"/>
        </w:rPr>
        <w:t>.</w:t>
      </w:r>
    </w:p>
    <w:p>
      <w:pPr>
        <w:pStyle w:val="Heading6"/>
        <w:numPr>
          <w:ilvl w:val="5"/>
          <w:numId w:val="1"/>
        </w:numPr>
        <w:rPr/>
      </w:pPr>
      <w:bookmarkStart w:id="117" w:name="__RefHeading___Toc1855920_581953129"/>
      <w:bookmarkStart w:id="118" w:name="_Toc45"/>
      <w:bookmarkEnd w:id="117"/>
      <w:r>
        <w:rPr>
          <w:rtl w:val="true"/>
        </w:rPr>
        <w:t>و منها</w:t>
      </w:r>
      <w:r>
        <w:rPr>
          <w:rtl w:val="true"/>
        </w:rPr>
        <w:t>:</w:t>
      </w:r>
      <w:r>
        <w:rPr>
          <w:rtl w:val="true"/>
        </w:rPr>
        <w:t>ما ذکره السیّد المرتضی فی رسالة</w:t>
      </w:r>
      <w:bookmarkEnd w:id="118"/>
    </w:p>
    <w:p>
      <w:pPr>
        <w:pStyle w:val="BookText"/>
        <w:rPr/>
      </w:pPr>
      <w:r>
        <w:rPr>
          <w:rFonts w:ascii="IRNazanin" w:hAnsi="IRNazanin" w:eastAsia="IRNazanin"/>
          <w:color w:val="111111"/>
          <w:sz w:val="28"/>
          <w:sz w:val="28"/>
          <w:szCs w:val="28"/>
          <w:rtl w:val="true"/>
          <w:lang w:bidi="fa-IR"/>
        </w:rPr>
        <w:t>المحکم و المتشابه نقلا من تفسیر النعمانی بإسناده عن أمیر المؤمنین علیّ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الرخصة التی صاحبها فیها بالخیار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یعمل بظاهرها عند التقیّة و لا یعمل بباطنها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المؤمن أن یتّخذ الکافر ولیّا،ثمّ منّ علیه بإطلاق الرخصة له عند التقیّة فی الظاهر أن یصوم بصیامه،و یفطر بإفطاره،و یصلّی بصلاته،و یعمل بعمله،و یظهر له استعمال ذلک موسّعا علیه فیه</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علیه أن یدین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الباطن بخلاف ما یظهر لمن یخافه من المخالفین المستولین علی الامّة،قال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یَتَّخِذِ الْمُؤْمِنُونَ الْکافِرِینَ أَوْلِیاءَ مِنْ دُونِ الْمُؤْمِنِینَ وَ مَنْ یَفْعَلْ ذلِکَ فَلَیْسَ مِنَ اللّهِ فِی شَیْءٍ إِلاّ أَنْ تَتَّقُوا مِنْهُمْ تُقاةً وَ یُحَذِّرُکُمُ اللّهُ نَفْسَهُ </w:t>
      </w:r>
      <w:r>
        <w:rPr>
          <w:rStyle w:val="FootnoteAnchor"/>
          <w:rtl w:val="true"/>
        </w:rPr>
        <w:footnoteReference w:id="156"/>
      </w:r>
      <w:r>
        <w:rPr>
          <w:rFonts w:ascii="IRNazanin" w:hAnsi="IRNazanin" w:eastAsia="IRNazanin"/>
          <w:color w:val="111111"/>
          <w:sz w:val="28"/>
          <w:sz w:val="28"/>
          <w:szCs w:val="28"/>
          <w:rtl w:val="true"/>
          <w:lang w:bidi="fa-IR"/>
        </w:rPr>
        <w:t>فهذه رخصة تفضّل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 علی المؤمنین،رحمة لهم لیستعملوها عند التقیّة فی الظاهر،و قال 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یحبّ أن یؤخذ برخصه،کما یحبّ أن یؤخذ بعزائمه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bookmarkStart w:id="119" w:name="pg5439_46671"/>
    </w:p>
    <w:p>
      <w:pPr>
        <w:pStyle w:val="BookText"/>
        <w:rPr/>
      </w:pPr>
      <w:bookmarkEnd w:id="119"/>
      <w:r>
        <w:rPr>
          <w:rFonts w:ascii="IRNazanin" w:hAnsi="IRNazanin" w:eastAsia="IRNazanin"/>
          <w:color w:val="111111"/>
          <w:sz w:val="28"/>
          <w:sz w:val="28"/>
          <w:szCs w:val="28"/>
          <w:rtl w:val="true"/>
          <w:lang w:bidi="fa-IR"/>
        </w:rPr>
        <w:t>و الاستدلال بها من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الظاهر من العمل بعمله و الصلاة بصلاته؛هو صحّة العمل و إجزاؤه عن الوظیفة الأوّلیّة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التعبیر بالرحمة و المنّة صریح فی الإجزاء؛فإنّ الإعادة أو القضاء مناف للتفضّل و الرحمة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موسّعا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الإجزاء أیضا،فالإعادة أو القضاء مخالف للتوسعة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یستفاد من الروایة أنّ التقیّة من مصادیق الترخیص،و یحبّ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یؤخذ برخصه،فینتج أنّ التقیّة محبوبة للّه تبارک و تعالی،و من المعلوم أنّ العمل غیر الصحیح لا یکون محبوبا،و العجب کلّ العجب من القائلین بعدم الإجزاء؛إذ مع وجود هذه التعبیرات العالیة فی الروایات،فهل یکون الشیء محبوبا و رحمة و منّة و مستعملا فی الدین،و مع ذلک یکون باطلا و غیر صحیح؟کلاّ ثمّ کلاّ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یدین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الباطن بخلاف ما یظهر لمن یخافه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فی إعادة ما یأتی به 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الظاهر من الکلام؛أنّ لمهیّة العبادات مصداقین مختلفین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التقیّة و عدمها،لکنّ التقیّة مصداق ظاهری،و عدمها مصداق باطنیّ</w:t>
      </w:r>
      <w:r>
        <w:rPr>
          <w:rFonts w:eastAsia="IRNazanin" w:cs="IRNazanin"/>
          <w:color w:val="111111"/>
          <w:sz w:val="28"/>
          <w:szCs w:val="28"/>
          <w:rtl w:val="true"/>
          <w:lang w:bidi="fa-IR"/>
        </w:rPr>
        <w:t>.</w:t>
      </w:r>
    </w:p>
    <w:p>
      <w:pPr>
        <w:pStyle w:val="Heading6"/>
        <w:numPr>
          <w:ilvl w:val="5"/>
          <w:numId w:val="1"/>
        </w:numPr>
        <w:rPr/>
      </w:pPr>
      <w:bookmarkStart w:id="120" w:name="__RefHeading___Toc1855922_581953129"/>
      <w:bookmarkStart w:id="121" w:name="_Toc46"/>
      <w:bookmarkEnd w:id="120"/>
      <w:r>
        <w:rPr>
          <w:rtl w:val="true"/>
        </w:rPr>
        <w:t>و منها</w:t>
      </w:r>
      <w:r>
        <w:rPr>
          <w:rtl w:val="true"/>
        </w:rPr>
        <w:t>:</w:t>
      </w:r>
      <w:r>
        <w:rPr>
          <w:rtl w:val="true"/>
        </w:rPr>
        <w:t>روایة سفیان بن سعید</w:t>
      </w:r>
      <w:bookmarkEnd w:id="121"/>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عبد اللّه علیه السّلام،و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سفیان من استعمل التقیّة فی دین اللّه فقد تسنّم الذروة العلیا من القرآن </w:t>
      </w:r>
      <w:r>
        <w:rPr>
          <w:rFonts w:eastAsia="IRNazanin" w:cs="IRNazanin"/>
          <w:color w:val="111111"/>
          <w:sz w:val="28"/>
          <w:szCs w:val="28"/>
          <w:lang w:bidi="fa-IR"/>
        </w:rPr>
        <w:t>1</w:t>
      </w:r>
      <w:r>
        <w:rPr>
          <w:rFonts w:eastAsia="IRNazanin" w:cs="IRNazanin"/>
          <w:color w:val="111111"/>
          <w:sz w:val="28"/>
          <w:szCs w:val="28"/>
          <w:rtl w:val="true"/>
          <w:lang w:bidi="fa-IR"/>
        </w:rPr>
        <w:t>.</w:t>
      </w:r>
      <w:bookmarkStart w:id="122" w:name="pg5439_46672"/>
    </w:p>
    <w:p>
      <w:pPr>
        <w:pStyle w:val="BookText"/>
        <w:rPr/>
      </w:pPr>
      <w:bookmarkEnd w:id="122"/>
      <w:r>
        <w:rPr>
          <w:rFonts w:ascii="IRNazanin" w:hAnsi="IRNazanin" w:eastAsia="IRNazanin"/>
          <w:color w:val="111111"/>
          <w:sz w:val="28"/>
          <w:sz w:val="28"/>
          <w:szCs w:val="28"/>
          <w:rtl w:val="true"/>
          <w:lang w:bidi="fa-IR"/>
        </w:rPr>
        <w:t>وجه الاستدلال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الظاهر من استعمال التقیّة فی دین اللّه،أنّ ما یرتبط بالشارع و یعدّ من الدین اصولا و فروعا یأتی فیه التقیّة،و التعبیر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تسنّم الذروة العلیا من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 بل نصّ فی صحّة العمل،علی أنّ ما یستعمل فی دین اللّه یکون صحیحا و مصداقا للمأمور به،و قد جاء نظیر هذا التعبیر فی بعض آخر،فراجع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123" w:name="__RefHeading___Toc1855924_581953129"/>
      <w:bookmarkStart w:id="124" w:name="_Toc47"/>
      <w:bookmarkEnd w:id="123"/>
      <w:r>
        <w:rPr>
          <w:rtl w:val="true"/>
        </w:rPr>
        <w:t>و منها</w:t>
      </w:r>
      <w:r>
        <w:rPr>
          <w:rtl w:val="true"/>
        </w:rPr>
        <w:t>:</w:t>
      </w:r>
      <w:r>
        <w:rPr>
          <w:rtl w:val="true"/>
        </w:rPr>
        <w:t>ما عن سعد بن عبد اللّه فی بصائر الدرجات بسنده الصحیح عن معلّی</w:t>
      </w:r>
      <w:bookmarkEnd w:id="124"/>
    </w:p>
    <w:p>
      <w:pPr>
        <w:pStyle w:val="BookText"/>
        <w:rPr/>
      </w:pPr>
      <w:r>
        <w:rPr>
          <w:rFonts w:ascii="IRNazanin" w:hAnsi="IRNazanin" w:eastAsia="IRNazanin"/>
          <w:color w:val="111111"/>
          <w:sz w:val="28"/>
          <w:sz w:val="28"/>
          <w:szCs w:val="28"/>
          <w:rtl w:val="true"/>
          <w:lang w:bidi="fa-IR"/>
        </w:rPr>
        <w:t>ابن خنیس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معلّی،اکتم أمرنا و لا تذعه؛فإنّه من کتم أمرنا و لا یذیعه أعزّه اللّه فی الدنیا،و جعله نورا بین عینیه یقوده إلی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معلّی،إنّ التقیّة من دینی و دین آبائی،و لا دین لمن لا تقیّة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معلّی،إنّ اللّه یحبّ أن یعبد فی السرّ کما یحبّ أن یعبد فی العلانیة،یا معلّی، و المذیع لأمرنا کالجاحد له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الاستدلال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العبادة سرّا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المستفاد من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یحبّ أن یعبد</w:t>
      </w:r>
      <w:bookmarkStart w:id="125" w:name="pg5439_46673"/>
    </w:p>
    <w:p>
      <w:pPr>
        <w:pStyle w:val="BookText"/>
        <w:rPr/>
      </w:pPr>
      <w:bookmarkEnd w:id="125"/>
      <w:r>
        <w:rPr>
          <w:rFonts w:ascii="IRNazanin" w:hAnsi="IRNazanin" w:eastAsia="IRNazanin"/>
          <w:color w:val="111111"/>
          <w:sz w:val="28"/>
          <w:sz w:val="28"/>
          <w:szCs w:val="28"/>
          <w:rtl w:val="true"/>
          <w:lang w:bidi="fa-IR"/>
        </w:rPr>
        <w:t>فی السرّ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ظاهرة فی العبادة علی نعت التقیّة،بقرینة العبارات الواردة قبل هذه العبارة،و واضح أنّ العمل الباطل لا یعدّ 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 فی بعض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التقیّة أحبّ شیء یعبد به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؛کموثّقة هشام بن سالم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عبد اللّه بشیء أحبّ إلیه من الخبء،قلت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الخبء؟قال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التقیّة </w:t>
      </w:r>
      <w:r>
        <w:rPr>
          <w:rStyle w:val="FootnoteAnchor"/>
          <w:rtl w:val="true"/>
        </w:rPr>
        <w:footnoteReference w:id="1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أنّ العبادة تقیّة أحبّ من العبادة فی غیر التقیّة،و اللّه العالم</w:t>
      </w:r>
      <w:r>
        <w:rPr>
          <w:rFonts w:eastAsia="IRNazanin" w:cs="IRNazanin"/>
          <w:color w:val="111111"/>
          <w:sz w:val="28"/>
          <w:szCs w:val="28"/>
          <w:rtl w:val="true"/>
          <w:lang w:bidi="fa-IR"/>
        </w:rPr>
        <w:t>.</w:t>
      </w:r>
    </w:p>
    <w:p>
      <w:pPr>
        <w:pStyle w:val="Heading6"/>
        <w:numPr>
          <w:ilvl w:val="5"/>
          <w:numId w:val="1"/>
        </w:numPr>
        <w:rPr/>
      </w:pPr>
      <w:bookmarkStart w:id="126" w:name="__RefHeading___Toc1855926_581953129"/>
      <w:bookmarkStart w:id="127" w:name="_Toc48"/>
      <w:bookmarkEnd w:id="126"/>
      <w:r>
        <w:rPr>
          <w:rtl w:val="true"/>
        </w:rPr>
        <w:t>و منها</w:t>
      </w:r>
      <w:r>
        <w:rPr>
          <w:rtl w:val="true"/>
        </w:rPr>
        <w:t>:</w:t>
      </w:r>
      <w:r>
        <w:rPr>
          <w:rtl w:val="true"/>
        </w:rPr>
        <w:t>موثّقة سماعة</w:t>
      </w:r>
      <w:bookmarkEnd w:id="127"/>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رجل کان یصلّی،فخرج الإمام و قد صلّی الرجل رکعة من صلاة فریضة؟قال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إماما عدلا فلیصلّ اخری و ینصرف و یجعلها تطوّعا،و لیدخل مع الإمام فی صلاته کما هو،و إن لم یکن إمام عدل فلیبن علی صلاته کما هو،و یصلّی رکعة اخری،و یجلس قدر ما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أشهد أن لا إله إلاّ اللّه وحده لا شریک له،و أشهد أنّ محمّدا عبده و رسوله صلّی اللّه علیه و اله،ثمّ لیتمّ صلاته معه علی ما استطاع؛فإنّ التقیّة واسعة،و لیس شیء من التقیّة إلاّ و صاحبها مأجور علیها إن شاء اللّه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استدلّ الشیخ الأنصاری </w:t>
      </w:r>
      <w:r>
        <w:rPr>
          <w:rStyle w:val="FootnoteAnchor"/>
          <w:rtl w:val="true"/>
        </w:rPr>
        <w:footnoteReference w:id="160"/>
      </w:r>
      <w:r>
        <w:rPr>
          <w:rFonts w:ascii="IRNazanin" w:hAnsi="IRNazanin" w:eastAsia="IRNazanin"/>
          <w:color w:val="111111"/>
          <w:sz w:val="28"/>
          <w:sz w:val="28"/>
          <w:szCs w:val="28"/>
          <w:rtl w:val="true"/>
          <w:lang w:bidi="fa-IR"/>
        </w:rPr>
        <w:t xml:space="preserve">،و السیّد الإمام الخمینی </w:t>
      </w:r>
      <w:r>
        <w:rPr>
          <w:rStyle w:val="FootnoteAnchor"/>
          <w:rtl w:val="true"/>
        </w:rPr>
        <w:footnoteReference w:id="161"/>
      </w:r>
      <w:r>
        <w:rPr>
          <w:rFonts w:ascii="IRNazanin" w:hAnsi="IRNazanin" w:eastAsia="IRNazanin"/>
          <w:color w:val="111111"/>
          <w:sz w:val="28"/>
          <w:sz w:val="28"/>
          <w:szCs w:val="28"/>
          <w:rtl w:val="true"/>
          <w:lang w:bidi="fa-IR"/>
        </w:rPr>
        <w:t>بها علی الإجزاء، و دلالتها علیه أوضح من بعض الروایات المبحوثة عنها؛فإنّها کالنصّ فی صحّة الصلاة معهم؛لأنّ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استطاع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أنّ فعله صحیح بالمقدار الذی یستطیع أن یفعل،و لو لم یستطع علی إتیان جزء فلا محذور فیه،بل</w:t>
      </w:r>
    </w:p>
    <w:p>
      <w:pPr>
        <w:pStyle w:val="BookText"/>
        <w:rPr/>
      </w:pPr>
      <w:r>
        <w:rPr>
          <w:rFonts w:ascii="IRNazanin" w:hAnsi="IRNazanin" w:eastAsia="IRNazanin"/>
          <w:color w:val="111111"/>
          <w:sz w:val="28"/>
          <w:sz w:val="28"/>
          <w:szCs w:val="28"/>
          <w:rtl w:val="true"/>
          <w:lang w:bidi="fa-IR"/>
        </w:rPr>
        <w:t>مأجور علیه،و الروایة و إن کانت واردة فی الصلاة،لکن نتعدّی عنها بجهة التعلیل الوارد فی ذیلها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السیّد المحقّق الخوئی قد أورد علی الشیخ الأنصاری بأنّ تفسیره للروایة غیر صحیح،و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الشیخ قد حمل الجملة الثانیة أعنی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یکن إمام 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أنّه یجعل ما بیده من الفریضة تطوّعا،و یسلّم فی الثانیة و یأتمّ بالإمام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أنّ عبارة الشیخ فی رسالته تنادی بخلافه؛فإنّه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الأمر بإتمام الصلاة علی ما استطاع مع عدم الاضطرار إلی فعل الفریضة فی ذلک الوقت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معلّلا بأنّ التقیّة واسعة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یدلّ علی جواز أداء الصلاة فی سعة الوقت علی جمیع وجوه التقیّة </w:t>
      </w:r>
      <w:r>
        <w:rPr>
          <w:rStyle w:val="FootnoteAnchor"/>
          <w:rtl w:val="true"/>
        </w:rPr>
        <w:footnoteReference w:id="163"/>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الاستدلال بالروایة غیر تامّ،و لا یستفاد منها الإجزاء؛لأنّ مضمون الروایة الاقتداء بالإمام بقدر ما یستطیعه من الإبراز و الإظهار،و هذا لا اختصاص له بالائتمام من أوّل الصلاة،بل لو أظهر الائتمام فی أثناء الصلاة أیضا کان ذلک تقیّة،و علی ذلک لا دلالة للروایة علی جواز الاکتفاء فی الصلاة معهم بما یتمکّن منه من الأجزاء و الشرائط</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من الروایة؛إظهار الائتمام و صورة الائتمام بقدر ما یستطیع من الإظهار،و استشهد لذلک بالعنوان الذی ذکره صاحب الوسائل لهذا الباب الذی ذکر فیه الروایة؛فإنّ عنوان الباب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 إظهار المتابعة فی أثناء الصلاة مع المخالف،و قال فی آخر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الشیخ لم یلفت نظره الشریف إلی</w:t>
      </w:r>
    </w:p>
    <w:p>
      <w:pPr>
        <w:pStyle w:val="BookText"/>
        <w:rPr/>
      </w:pPr>
      <w:r>
        <w:rPr>
          <w:rFonts w:ascii="IRNazanin" w:hAnsi="IRNazanin" w:eastAsia="IRNazanin"/>
          <w:color w:val="111111"/>
          <w:sz w:val="28"/>
          <w:sz w:val="28"/>
          <w:szCs w:val="28"/>
          <w:rtl w:val="true"/>
          <w:lang w:bidi="fa-IR"/>
        </w:rPr>
        <w:t xml:space="preserve">عنوان الباب فی الوسائل </w:t>
      </w:r>
      <w:r>
        <w:rPr>
          <w:rStyle w:val="FootnoteAnchor"/>
          <w:rtl w:val="true"/>
        </w:rPr>
        <w:footnoteReference w:id="164"/>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استطاع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بقوله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لیتمّ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الائتمام مع الإمام واجب علی نحو یکون مستطیعا،و المعیّة ظاهرة فی الاقتداء الواقعی لا الصوری،و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المعیّة الظاهریّة تحتاج إلی قید، بخلاف المعیّة الواقعیّة،فیکفی فیها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فهمه صاحب الوسائل لیس حجّة حتّی یحتجّ به علی الشیخ، فإنّا إذا تتبّعنا نجد بعض العناوین الواردة فی أبواب الکتاب،أنّه غیر مرتبطة بالأحادیث التی ذکرها تحت ذاک العنوان،فلیراجع</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فالاستدلال بالروایة للإجزاء تامّ،لکن بقی هنا إشکال الإضمار فی سندها، و المضمر هو سماعة،و هو لیس کزرارة و محمّد بن مسلم و أضرابهما من الأجلاّء الذین لا یناسبهم السؤال عن غیر أئمّتهم علیهم السّلام،بل هو من الواقفیّة،و من الممکن أن یسأل عن غیر أئمّتنا علیهم السّلام</w:t>
      </w:r>
      <w:r>
        <w:rPr>
          <w:rFonts w:eastAsia="IRNazanin" w:cs="IRNazanin"/>
          <w:color w:val="111111"/>
          <w:sz w:val="28"/>
          <w:szCs w:val="28"/>
          <w:rtl w:val="true"/>
          <w:lang w:bidi="fa-IR"/>
        </w:rPr>
        <w:t>.</w:t>
      </w:r>
      <w:bookmarkStart w:id="128" w:name="pg5439_46677"/>
    </w:p>
    <w:p>
      <w:pPr>
        <w:pStyle w:val="Heading4"/>
        <w:numPr>
          <w:ilvl w:val="3"/>
          <w:numId w:val="1"/>
        </w:numPr>
        <w:rPr/>
      </w:pPr>
      <w:bookmarkStart w:id="129" w:name="__RefHeading___Toc1855928_581953129"/>
      <w:bookmarkStart w:id="130" w:name="_Toc49"/>
      <w:bookmarkEnd w:id="128"/>
      <w:bookmarkEnd w:id="129"/>
      <w:r>
        <w:rPr>
          <w:rtl w:val="true"/>
        </w:rPr>
        <w:t>الفصل الثامن</w:t>
      </w:r>
      <w:r>
        <w:rPr>
          <w:rtl w:val="true"/>
        </w:rPr>
        <w:t>:</w:t>
      </w:r>
      <w:r>
        <w:rPr>
          <w:rtl w:val="true"/>
        </w:rPr>
        <w:t>هل ترک التقیّة یفسد العمل،أم لا؟</w:t>
      </w:r>
      <w:bookmarkEnd w:id="130"/>
    </w:p>
    <w:p>
      <w:pPr>
        <w:pStyle w:val="Heading5"/>
        <w:numPr>
          <w:ilvl w:val="4"/>
          <w:numId w:val="1"/>
        </w:numPr>
        <w:rPr/>
      </w:pPr>
      <w:bookmarkStart w:id="131" w:name="__RefHeading___Toc1855930_581953129"/>
      <w:bookmarkStart w:id="132" w:name="_Toc50"/>
      <w:bookmarkEnd w:id="131"/>
      <w:r>
        <w:rPr>
          <w:rtl w:val="true"/>
        </w:rPr>
        <w:t>اشارة</w:t>
      </w:r>
      <w:bookmarkEnd w:id="132"/>
    </w:p>
    <w:p>
      <w:pPr>
        <w:pStyle w:val="BookText"/>
        <w:rPr/>
      </w:pPr>
      <w:r>
        <w:rPr>
          <w:rFonts w:ascii="IRNazanin" w:hAnsi="IRNazanin" w:eastAsia="IRNazanin"/>
          <w:color w:val="111111"/>
          <w:sz w:val="28"/>
          <w:sz w:val="28"/>
          <w:szCs w:val="28"/>
          <w:rtl w:val="true"/>
          <w:lang w:bidi="fa-IR"/>
        </w:rPr>
        <w:t>لو ترک التقیّة و أتی بالعمل علی خلافها،فهنا صورتان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التی لم یتعرّض لها الشیخ فی رسالته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یترک المکلّف العمل رأسا،فلا یأتی به تقیّة،و لا علی طبق الوظیفة الأوّلیّة،بل یعمل عملا ثالثا،کما إذا اقتضت التقیّة الوقوف بعرفات یوم الثامن من ذی الحجّة،و المکلّف قد ترک الوقوف فی ذلک الیوم و فی الیوم التاسع علی حسب عقیدته،و کما إذا اقتضت غسل الرجلین،و لکن المکلّف ترک الغسل و المسح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 السیّد الخوئی فی هذه الصورة إلی أنّه لو استندنا فی صحّة العمل المتّقی به إلی السیرة الجاریة من زمان الأئمّة علیهم السّلام إلی عصرنا هذا،فلا إشکال فی الحکم بالبطلان،حیث یکفی فیه مخالفته للوظیفة الواقعیّة،و المخالف للواقع باطل</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السیرة إنّما تحقّقت فیما إذا کان العمل المخالف للواقع موافقا للعامّة؛بأن یؤتی به متابعة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ما کان مخالفا للواقع،و لم یکن موافقا لهم فلم تقم أیّة سیرة علی صحّته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استندنا فی الصحّة إلی الأدلّة اللفظیّة؛ کقوله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صنعتم من شیء</w:t>
      </w:r>
      <w:r>
        <w:rPr>
          <w:rFonts w:eastAsia="IRNazanin" w:cs="IRNazanin"/>
          <w:color w:val="111111"/>
          <w:sz w:val="28"/>
          <w:szCs w:val="28"/>
          <w:rtl w:val="true"/>
          <w:lang w:bidi="fa-IR"/>
        </w:rPr>
        <w:t xml:space="preserve">» </w:t>
      </w:r>
      <w:r>
        <w:rPr>
          <w:rStyle w:val="FootnoteAnchor"/>
          <w:rtl w:val="true"/>
        </w:rPr>
        <w:footnoteReference w:id="165"/>
      </w:r>
      <w:r>
        <w:rPr>
          <w:rFonts w:ascii="IRNazanin" w:hAnsi="IRNazanin" w:eastAsia="IRNazanin"/>
          <w:color w:val="111111"/>
          <w:sz w:val="28"/>
          <w:sz w:val="28"/>
          <w:szCs w:val="28"/>
          <w:rtl w:val="true"/>
          <w:lang w:bidi="fa-IR"/>
        </w:rPr>
        <w:t>إلخ،فإن استفدنا من الأدلّة اللفظیّة انقلاب الوظیفة</w:t>
      </w:r>
    </w:p>
    <w:p>
      <w:pPr>
        <w:pStyle w:val="BookText"/>
        <w:rPr/>
      </w:pPr>
      <w:r>
        <w:rPr>
          <w:rFonts w:ascii="IRNazanin" w:hAnsi="IRNazanin" w:eastAsia="IRNazanin"/>
          <w:color w:val="111111"/>
          <w:sz w:val="28"/>
          <w:sz w:val="28"/>
          <w:szCs w:val="28"/>
          <w:rtl w:val="true"/>
          <w:lang w:bidi="fa-IR"/>
        </w:rPr>
        <w:t>الواقعیّة الأوّلیّة إلی ما یعتقده العامّة،فلا بدّ من الحکم بالبطلان؛لعدم مطابقة المأتیّ به لما هو الوظیفة فی ذلک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إذا استفدنا وجوب التقیّة فقط من دون انقلاب فی البین فلا یبعد الحکم بالصحّة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التی تعرّضها الشیخ الأنصاری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یفعل المکلّف علی طبق الوظیفة الواقعیّة الأوّلیّة،و ترک العمل علی طبق مذهب العامّة </w:t>
      </w:r>
      <w:r>
        <w:rPr>
          <w:rStyle w:val="FootnoteAnchor"/>
          <w:rtl w:val="true"/>
        </w:rPr>
        <w:footnoteReference w:id="167"/>
      </w:r>
      <w:r>
        <w:rPr>
          <w:rFonts w:ascii="IRNazanin" w:hAnsi="IRNazanin" w:eastAsia="IRNazanin"/>
          <w:color w:val="111111"/>
          <w:sz w:val="28"/>
          <w:sz w:val="28"/>
          <w:szCs w:val="28"/>
          <w:rtl w:val="true"/>
          <w:lang w:bidi="fa-IR"/>
        </w:rPr>
        <w:t>، و لا خلاف فی صحّة المعاملة فی هذا الفرض،و إنّما وقع الخلاف فی صحّة العبادة، و فیها أقوال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صحّة العمل مطلقا،ذهب إلیه جمع،منهم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السیّد الإمام الخمینی قدّس سرّه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الصحّة مطلقا،ذهب إلیه صاحب الجواهر </w:t>
      </w:r>
      <w:r>
        <w:rPr>
          <w:rStyle w:val="FootnoteAnchor"/>
          <w:rtl w:val="true"/>
        </w:rPr>
        <w:footnoteReference w:id="169"/>
      </w:r>
      <w:r>
        <w:rPr>
          <w:rFonts w:ascii="IRNazanin" w:hAnsi="IRNazanin" w:eastAsia="IRNazanin"/>
          <w:color w:val="111111"/>
          <w:sz w:val="28"/>
          <w:sz w:val="28"/>
          <w:szCs w:val="28"/>
          <w:rtl w:val="true"/>
          <w:lang w:bidi="fa-IR"/>
        </w:rPr>
        <w:t xml:space="preserve">،و قد جزم به الفقیه الهمدانی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التفصیل بین لزوم رعایة التقیّة فی الأجزاء و الشرائط التی تکون متّحدة</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العبادة،و بین الأجزاء و الشرائط التی کانت خارجة عنها،ففی الأوّل ترک التقیّة موجب للبطلان،بخلاف الثانی،و الأوّل کالسجدة علی التراب فیما إذا اقتضت التقیّة ترکها،و الثانی کترک التکتّف،و غسل الرجلین فی الوضوء،ذهب إلیه الشیخ الأنصاری </w:t>
      </w:r>
      <w:r>
        <w:rPr>
          <w:rStyle w:val="FootnoteAnchor"/>
          <w:rtl w:val="true"/>
        </w:rPr>
        <w:footnoteReference w:id="171"/>
      </w:r>
      <w:r>
        <w:rPr>
          <w:rFonts w:ascii="IRNazanin" w:hAnsi="IRNazanin" w:eastAsia="IRNazanin"/>
          <w:color w:val="111111"/>
          <w:sz w:val="28"/>
          <w:sz w:val="28"/>
          <w:szCs w:val="28"/>
          <w:rtl w:val="true"/>
          <w:lang w:bidi="fa-IR"/>
        </w:rPr>
        <w:t xml:space="preserve">،و وافقه المحقّق النائینی </w:t>
      </w:r>
      <w:r>
        <w:rPr>
          <w:rStyle w:val="FootnoteAnchor"/>
          <w:rtl w:val="true"/>
        </w:rPr>
        <w:footnoteReference w:id="172"/>
      </w:r>
      <w:r>
        <w:rPr>
          <w:rFonts w:ascii="IRNazanin" w:hAnsi="IRNazanin" w:eastAsia="IRNazanin"/>
          <w:color w:val="111111"/>
          <w:sz w:val="28"/>
          <w:sz w:val="28"/>
          <w:szCs w:val="28"/>
          <w:rtl w:val="true"/>
          <w:lang w:bidi="fa-IR"/>
        </w:rPr>
        <w:t xml:space="preserve">،و تبعه السیّد الخوئی </w:t>
      </w:r>
      <w:r>
        <w:rPr>
          <w:rStyle w:val="FootnoteAnchor"/>
          <w:rtl w:val="true"/>
        </w:rPr>
        <w:footnoteReference w:id="173"/>
      </w:r>
      <w:r>
        <w:rPr>
          <w:rFonts w:ascii="IRNazanin" w:hAnsi="IRNazanin" w:eastAsia="IRNazanin"/>
          <w:color w:val="111111"/>
          <w:sz w:val="28"/>
          <w:sz w:val="28"/>
          <w:szCs w:val="28"/>
          <w:rtl w:val="true"/>
          <w:lang w:bidi="fa-IR"/>
        </w:rPr>
        <w:t>فی خصوص</w:t>
      </w:r>
    </w:p>
    <w:p>
      <w:pPr>
        <w:pStyle w:val="BookText"/>
        <w:rPr/>
      </w:pPr>
      <w:r>
        <w:rPr>
          <w:rFonts w:ascii="IRNazanin" w:hAnsi="IRNazanin" w:eastAsia="IRNazanin"/>
          <w:color w:val="111111"/>
          <w:sz w:val="28"/>
          <w:sz w:val="28"/>
          <w:szCs w:val="28"/>
          <w:rtl w:val="true"/>
          <w:lang w:bidi="fa-IR"/>
        </w:rPr>
        <w:t>ما إذا اقتضت التقیّة ترک شیء،و لکن یفعله المکلّف،أمّا فیما إذا اقتضت شیئا کالتکتّف،و لکن یترکه المکلّف،فعمله صحیح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 القول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الصحّة مطابقة للقواعد؛لأنّ التقیّة و إن کانت واجبة، لکنّ الأمر بالشیء لا یقتضی النهی عن الضدّ،فالأمر بالتقیّة لا یقتضی النهی عن ضدّها حتّی یکون فاسدا </w:t>
      </w:r>
      <w:r>
        <w:rPr>
          <w:rStyle w:val="FootnoteAnchor"/>
          <w:rtl w:val="true"/>
        </w:rPr>
        <w:footnoteReference w:id="174"/>
      </w:r>
      <w:r>
        <w:rPr>
          <w:rFonts w:ascii="IRNazanin" w:hAnsi="IRNazanin" w:eastAsia="IRNazanin"/>
          <w:color w:val="111111"/>
          <w:sz w:val="28"/>
          <w:sz w:val="28"/>
          <w:szCs w:val="28"/>
          <w:rtl w:val="true"/>
          <w:lang w:bidi="fa-IR"/>
        </w:rPr>
        <w:t>،و بناء علی هذا یکون التارک للتقیّة عاصیا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لا نحتاج لإثبات النهی إلی هذه القاعدة الاصولیّة حتّی یقال بعدم إقتضاء الأمر بالشیء للنهی عن الضدّ،بل یستفاد من التعلیلات الواردة فی روایات التقیّة أنّ ترکها موجب لوهن المذهب </w:t>
      </w:r>
      <w:r>
        <w:rPr>
          <w:rStyle w:val="FootnoteAnchor"/>
          <w:rtl w:val="true"/>
        </w:rPr>
        <w:footnoteReference w:id="175"/>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کقولهم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یغفر اللّه للمؤمن کلّ ذنب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خلا ذنبین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التقیّة و</w:t>
      </w:r>
      <w:r>
        <w:rPr>
          <w:rFonts w:eastAsia="IRNazanin" w:cs="IRNazanin"/>
          <w:color w:val="111111"/>
          <w:sz w:val="28"/>
          <w:szCs w:val="28"/>
          <w:rtl w:val="true"/>
          <w:lang w:bidi="fa-IR"/>
        </w:rPr>
        <w:t xml:space="preserve">... </w:t>
      </w:r>
      <w:r>
        <w:rPr>
          <w:rStyle w:val="FootnoteAnchor"/>
          <w:rtl w:val="true"/>
        </w:rPr>
        <w:footnoteReference w:id="176"/>
      </w:r>
      <w:r>
        <w:rPr>
          <w:rFonts w:ascii="IRNazanin" w:hAnsi="IRNazanin" w:eastAsia="IRNazanin"/>
          <w:color w:val="111111"/>
          <w:sz w:val="28"/>
          <w:sz w:val="28"/>
          <w:szCs w:val="28"/>
          <w:rtl w:val="true"/>
          <w:lang w:bidi="fa-IR"/>
        </w:rPr>
        <w:t xml:space="preserve">،أو لیس منّا من لم یلزم التقیّة </w:t>
      </w:r>
      <w:r>
        <w:rPr>
          <w:rStyle w:val="FootnoteAnchor"/>
          <w:rtl w:val="true"/>
        </w:rPr>
        <w:footnoteReference w:id="1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الفعل علی خلاف مذهبهم یکون منهیّا عنه،و إلاّ فمسألة الحرمة التکلیفیّة محلّ مناقشة،مع أنّها مسلّمة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 القول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تقریبان</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التقریب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تارک التقیّة تارک للفعل المأمور به،و ترک المأمور به</w:t>
      </w:r>
    </w:p>
    <w:p>
      <w:pPr>
        <w:pStyle w:val="BookText"/>
        <w:rPr/>
      </w:pPr>
      <w:r>
        <w:rPr>
          <w:rFonts w:ascii="IRNazanin" w:hAnsi="IRNazanin" w:eastAsia="IRNazanin"/>
          <w:color w:val="111111"/>
          <w:sz w:val="28"/>
          <w:sz w:val="28"/>
          <w:szCs w:val="28"/>
          <w:rtl w:val="true"/>
          <w:lang w:bidi="fa-IR"/>
        </w:rPr>
        <w:t xml:space="preserve">مساوق لفساد العمل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أجاب عنه الشیخ الأعظم فی رسالته بأنّ ترک التکتّف لا یکون إخلالا بالمأمور به؛فإنّ التکتّف واجب مستقلّ خارج عن المأمور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أورد علی نفسه إیرادا،و أجاب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الإیراد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لازم کلامکم صحّة الوضوء لو ترک المسح علی الرجلین و علی الخفّین معا؛لأنّ المسح علی الخفّین واجب مستقلّ،و ترکه غیر مخلّ فی المأمور به،مع أنّ الإجماع قائم علی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البطلان لیس من جهة ترک التقیّة،بل من جهة ترک أصل المسح؛ فإنّ التقیّة تقتضی إلغاء قید المماساة بین الماسح و الممسوح،و لا تقتضی إلغاء أصل المسح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ذهب الشیخ فی مسألة المسح إلی الانحلال،و اعتقد بالانحلال إلی أصل المسح،و إلی المسح علی البشرة،و الثانی ینتفی فی فرض التقیّة،فبقی الأوّل بحاله،و استدلّ بروایة عبد الأعلی مولی آل سام </w:t>
      </w:r>
      <w:r>
        <w:rPr>
          <w:rStyle w:val="FootnoteAnchor"/>
          <w:rtl w:val="true"/>
        </w:rPr>
        <w:footnoteReference w:id="179"/>
      </w:r>
      <w:r>
        <w:rPr>
          <w:rFonts w:ascii="IRNazanin" w:hAnsi="IRNazanin" w:eastAsia="IRNazanin"/>
          <w:color w:val="111111"/>
          <w:sz w:val="28"/>
          <w:sz w:val="28"/>
          <w:szCs w:val="28"/>
          <w:rtl w:val="true"/>
          <w:lang w:bidi="fa-IR"/>
        </w:rPr>
        <w:t xml:space="preserve">،ثمّ إنّه قد أیّد الانحلال بفتوی الفقهاء بتقدیم غسل الرجلین فیما إذا دار الأمر بین غسلهما،و بین المسح علی الخفّین؛ فإنّ علّة التقدیم أنّ فی الغسل یکون إیصال الرطوبة موجودا،بخلاف المسح علی الخفّین،فهذا شاهد علی الانحلال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أورد علیه السیّد الإمام فی رسالته بأنّ هذا النحو من التحلیل لیتّسع الخرق علی الواقع؛لإمکان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المسح ینحلّ إلی أصل الإمرار و لو بغیر</w:t>
      </w:r>
    </w:p>
    <w:p>
      <w:pPr>
        <w:pStyle w:val="BookText"/>
        <w:rPr/>
      </w:pPr>
      <w:r>
        <w:rPr>
          <w:rFonts w:ascii="IRNazanin" w:hAnsi="IRNazanin" w:eastAsia="IRNazanin"/>
          <w:color w:val="111111"/>
          <w:sz w:val="28"/>
          <w:sz w:val="28"/>
          <w:szCs w:val="28"/>
          <w:rtl w:val="true"/>
          <w:lang w:bidi="fa-IR"/>
        </w:rPr>
        <w:t xml:space="preserve">الید،و علی غیر الرجل،فإذا تعذّر المسح بالید و علی الرجل یجب مسح شیء بشیء آخر،و هو کما تری </w:t>
      </w:r>
      <w:r>
        <w:rPr>
          <w:rStyle w:val="FootnoteAnchor"/>
          <w:rtl w:val="true"/>
        </w:rPr>
        <w:footnoteReference w:id="1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لنا علی الشیخ إشکالان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الإشکال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جریان هذا الجواب فی الجزء و الشرط،ففیما إذا وجب ترک جزء،فلو فعله لفعل غیر ما هو المأمور به فی حال التقیّة،و یکون فاسدا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الإشکال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الظاهر من أدلّة التقیّة إتیان العمل علی نحو یعتقده العامّة،فإذا اعتقدوا بشرطیّة التکتّف للصلاة،فترکه مخلّ بالمأمور به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التقریب الثانی لهذا 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التقیّة و عدمها موضوعان مختلفان للحکم الواقعی الأوّلی و الثانوی،و لا ریب فی تبدّل الحکم بتبدّل الموضوع،کالمسافر و الحاضر،ففی فرض التقیّة یتبدّل الحکم و الأمر،و مخالفته موجب لفساد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التبدّل مسلّم فیما إذا کان التبدّل فی الخطاب و الملاک معا،أمّا لو کان التبدّل فی الخطاب مع بقاء الملاک فلا یتبدّل الحکم،فیصحّ العمل؛لتوقّف الصحّة علی الملاک دون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طریق لإحراز الملاکات إلاّ الخطابات،و مع سقوط الخطاب و عدم وجود طریق آخر،لا طریق إلی إحراز بقاء الملاک،و مع عدم إحراز بقاء الملاک لا یصحّ الحکم بالصحّة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الطریق للإحراز هو الاستصحاب،ففی فرض التقیّة نعلم برفع الخطاب،و نشکّ فی سقوط الملاک،فنستصحب بقاء الملاک</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الأصل مثبت،فتدبّر</w:t>
      </w:r>
      <w:r>
        <w:rPr>
          <w:rFonts w:eastAsia="IRNazanin" w:cs="IRNazanin"/>
          <w:color w:val="111111"/>
          <w:sz w:val="28"/>
          <w:szCs w:val="28"/>
          <w:rtl w:val="true"/>
          <w:lang w:bidi="fa-IR"/>
        </w:rPr>
        <w:t>.</w:t>
      </w:r>
      <w:bookmarkStart w:id="133" w:name="pg5439_46682"/>
    </w:p>
    <w:p>
      <w:pPr>
        <w:pStyle w:val="Heading5"/>
        <w:numPr>
          <w:ilvl w:val="4"/>
          <w:numId w:val="1"/>
        </w:numPr>
        <w:rPr/>
      </w:pPr>
      <w:bookmarkStart w:id="134" w:name="__RefHeading___Toc1855932_581953129"/>
      <w:bookmarkStart w:id="135" w:name="_Toc51"/>
      <w:bookmarkEnd w:id="133"/>
      <w:bookmarkEnd w:id="134"/>
      <w:r>
        <w:rPr>
          <w:rtl w:val="true"/>
        </w:rPr>
        <w:t>تنبیه</w:t>
      </w:r>
      <w:bookmarkEnd w:id="135"/>
    </w:p>
    <w:p>
      <w:pPr>
        <w:pStyle w:val="BookText"/>
        <w:rPr/>
      </w:pPr>
      <w:r>
        <w:rPr>
          <w:rFonts w:ascii="Amiri" w:hAnsi="Amiri" w:eastAsia="Amiri" w:cs="Amiri"/>
          <w:color w:val="111111"/>
          <w:sz w:val="28"/>
          <w:sz w:val="28"/>
          <w:szCs w:val="28"/>
          <w:rtl w:val="true"/>
          <w:lang w:bidi="ar-SA"/>
        </w:rPr>
        <w:t xml:space="preserve">إنّ الظاهر من أدلّة التقیّة الانقلاب الواقعی،فیسقط الحکم الواقعی ملاکا و خطابا،کما یستفاد من قول أبی عبد اللّه علیه السّلام فی صحیح ابن سالم فی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یَدْرَؤُنَ بِالْحَسَنَةِ السَّیِّئَةَ </w:t>
      </w:r>
      <w:r>
        <w:rPr>
          <w:rStyle w:val="FootnoteAnchor"/>
          <w:rtl w:val="true"/>
        </w:rPr>
        <w:footnoteReference w:id="18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التقیّة،و السیّئة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الإذاعة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دین لمن لا تقیّة له </w:t>
      </w:r>
      <w:r>
        <w:rPr>
          <w:rStyle w:val="FootnoteAnchor"/>
          <w:rtl w:val="true"/>
        </w:rPr>
        <w:footnoteReference w:id="184"/>
      </w:r>
      <w:r>
        <w:rPr>
          <w:rFonts w:ascii="IRNazanin" w:hAnsi="IRNazanin" w:eastAsia="IRNazanin"/>
          <w:color w:val="111111"/>
          <w:sz w:val="28"/>
          <w:sz w:val="28"/>
          <w:szCs w:val="28"/>
          <w:rtl w:val="true"/>
          <w:lang w:bidi="fa-IR"/>
        </w:rPr>
        <w:t>،إلی غیر ذلک من التعبیرات المقتضیة للانقلاب</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 ظاهر أوامر التقیّة کونها دینا،و هو مقتض لبدلیّة ما یوافق التقیّة عن الواقع،فیکون فی طول الواقع،فالإتیان بالواقع مجزئ مسقط للأمر </w:t>
      </w:r>
      <w:r>
        <w:rPr>
          <w:rStyle w:val="FootnoteAnchor"/>
          <w:rtl w:val="true"/>
        </w:rPr>
        <w:footnoteReference w:id="185"/>
      </w:r>
      <w:r>
        <w:rPr>
          <w:rFonts w:ascii="IRNazanin" w:hAnsi="IRNazanin" w:eastAsia="IRNazanin"/>
          <w:color w:val="111111"/>
          <w:sz w:val="28"/>
          <w:sz w:val="28"/>
          <w:szCs w:val="28"/>
          <w:rtl w:val="true"/>
          <w:lang w:bidi="fa-IR"/>
        </w:rPr>
        <w:t>، فیکفی فی فساده التأمّل فی التعبیرات الواردة فی أدلّة التقیّة؛فإنّ معنی کون عدم التقیّة سیّئة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عدم المشروعیّة،و بهذا البیان یظهر فساد ما ذهب إلیه المحقّق النائینی قدّس سرّه من الإنقلاب فی خصوص الأجزاء و الشرائط المتّحدة مع العبادة </w:t>
      </w:r>
      <w:r>
        <w:rPr>
          <w:rStyle w:val="FootnoteAnchor"/>
          <w:rtl w:val="true"/>
        </w:rPr>
        <w:footnoteReference w:id="186"/>
      </w:r>
      <w:r>
        <w:rPr>
          <w:rFonts w:ascii="IRNazanin" w:hAnsi="IRNazanin" w:eastAsia="IRNazanin"/>
          <w:color w:val="111111"/>
          <w:sz w:val="28"/>
          <w:sz w:val="28"/>
          <w:szCs w:val="28"/>
          <w:rtl w:val="true"/>
          <w:lang w:bidi="fa-IR"/>
        </w:rPr>
        <w:t>فإنّ المستفاد من الروایات هو الانقلاب مطلقا</w:t>
      </w:r>
      <w:r>
        <w:rPr>
          <w:rFonts w:eastAsia="IRNazanin" w:cs="IRNazanin"/>
          <w:color w:val="111111"/>
          <w:sz w:val="28"/>
          <w:szCs w:val="28"/>
          <w:rtl w:val="true"/>
          <w:lang w:bidi="fa-IR"/>
        </w:rPr>
        <w:t>.</w:t>
      </w:r>
      <w:bookmarkStart w:id="136" w:name="pg5439_46683"/>
    </w:p>
    <w:p>
      <w:pPr>
        <w:pStyle w:val="Heading4"/>
        <w:numPr>
          <w:ilvl w:val="3"/>
          <w:numId w:val="1"/>
        </w:numPr>
        <w:rPr/>
      </w:pPr>
      <w:bookmarkStart w:id="137" w:name="__RefHeading___Toc1855934_581953129"/>
      <w:bookmarkStart w:id="138" w:name="_Toc52"/>
      <w:bookmarkEnd w:id="136"/>
      <w:bookmarkEnd w:id="137"/>
      <w:r>
        <w:rPr>
          <w:rtl w:val="true"/>
        </w:rPr>
        <w:t>الفصل التاسع</w:t>
      </w:r>
      <w:r>
        <w:rPr>
          <w:rtl w:val="true"/>
        </w:rPr>
        <w:t>:</w:t>
      </w:r>
      <w:r>
        <w:rPr>
          <w:rtl w:val="true"/>
        </w:rPr>
        <w:t>جریان التقیّة فی الموضوعات و عدمه</w:t>
      </w:r>
      <w:bookmarkEnd w:id="138"/>
    </w:p>
    <w:p>
      <w:pPr>
        <w:pStyle w:val="Heading5"/>
        <w:numPr>
          <w:ilvl w:val="4"/>
          <w:numId w:val="1"/>
        </w:numPr>
        <w:rPr/>
      </w:pPr>
      <w:bookmarkStart w:id="139" w:name="__RefHeading___Toc1855936_581953129"/>
      <w:bookmarkStart w:id="140" w:name="_Toc53"/>
      <w:bookmarkEnd w:id="139"/>
      <w:r>
        <w:rPr>
          <w:rtl w:val="true"/>
        </w:rPr>
        <w:t>اشارة</w:t>
      </w:r>
      <w:bookmarkEnd w:id="140"/>
    </w:p>
    <w:p>
      <w:pPr>
        <w:pStyle w:val="BookText"/>
        <w:rPr/>
      </w:pPr>
      <w:r>
        <w:rPr>
          <w:rFonts w:ascii="IRNazanin" w:hAnsi="IRNazanin" w:eastAsia="IRNazanin"/>
          <w:color w:val="111111"/>
          <w:sz w:val="28"/>
          <w:sz w:val="28"/>
          <w:szCs w:val="28"/>
          <w:rtl w:val="true"/>
          <w:lang w:bidi="fa-IR"/>
        </w:rPr>
        <w:t>لا إشکال فی جریان التقیّة فی الأحکام من حیث الحکم التکلیفی و الوضعی، کالمسح علی الخفّین و التکتّف،و کذا لا إشکال فی جریانها من حیث الحکم التکلیفی فی الموضوعات،و إنّما الإشکال فی جریانها فی الموضوعات من حیث الصحّة و الإجزاء،فمثلا الوقوف بعرفات فی یوم الثامن لأجل ثبوت الهلال عندهم، هل یکون موجبا لصحّة الحجّ و عدم لزوم إعادته،أم لا؟</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ذهب الشیخ الأنصاری إلی عدم جریان التقیّة فی الموضوع المحض الذی لا یرتبط بالحکم و المذهب؛مستدلاّ بأنّ أدلّة التقیّة لو کانت مطلقة لکانت منصرفة إلی ما یرتبط بالمذهب،و الاختلاف فی الموضوع خارج عن هذا،فمثلا إنّ هذا الیوم هو الیوم الثامن أو التاسع لا دخل له بالمذهب،و إنّما هو اختلاف فی موضوع صرف </w:t>
      </w:r>
      <w:r>
        <w:rPr>
          <w:rStyle w:val="FootnoteAnchor"/>
          <w:rtl w:val="true"/>
        </w:rPr>
        <w:footnoteReference w:id="187"/>
      </w:r>
      <w:r>
        <w:rPr>
          <w:rFonts w:ascii="IRNazanin" w:hAnsi="IRNazanin" w:eastAsia="IRNazanin"/>
          <w:color w:val="111111"/>
          <w:sz w:val="28"/>
          <w:sz w:val="28"/>
          <w:szCs w:val="28"/>
          <w:rtl w:val="true"/>
          <w:lang w:bidi="fa-IR"/>
        </w:rPr>
        <w:t xml:space="preserve">،و قد وافق الشیخ فی هذا القول المحقّق البجنوردی </w:t>
      </w:r>
      <w:r>
        <w:rPr>
          <w:rStyle w:val="FootnoteAnchor"/>
          <w:rtl w:val="true"/>
        </w:rPr>
        <w:footnoteReference w:id="1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ذهب صاحب الجواهر إلی نفی البعد عن إلحاق الموضوع بالحکم،و استدلّ علی ذلک بأمرین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القول بالإعادة و عدم الصحّة مستلزم للحرج،مع عدم الحکم الحرجی فی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خصوص الوقوف بعرفات یوم الثامن لو قلنا بعدم الصحّة و وجوب الإعادة فی السنة الآتیة لأمکن الاختلاف فی السنة الآتیة أیضا،و هکذا فی السنین الاخر،و احتمال وجود هذا الاختلاف کاف فی المنع عن الإعادة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یرد علی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الحجّ أمر حرجیّ فی نفسه،و قاعدة لا حرج لا تتأتّی فی المورد الذی یکون تکلیفا حرجیّا فی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مجرّد هذا الاحتمال لا یکفی فی رفع التکلیف الیقینی و براءة الذمّة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هذا،و لکنّ التحقیق صحّة ما ذهب إلیه،وفاقا للإمام الخمینی </w:t>
      </w:r>
      <w:r>
        <w:rPr>
          <w:rStyle w:val="FootnoteAnchor"/>
          <w:rtl w:val="true"/>
        </w:rPr>
        <w:footnoteReference w:id="190"/>
      </w:r>
      <w:r>
        <w:rPr>
          <w:rFonts w:ascii="IRNazanin" w:hAnsi="IRNazanin" w:eastAsia="IRNazanin"/>
          <w:color w:val="111111"/>
          <w:sz w:val="28"/>
          <w:sz w:val="28"/>
          <w:szCs w:val="28"/>
          <w:rtl w:val="true"/>
          <w:lang w:bidi="fa-IR"/>
        </w:rPr>
        <w:t xml:space="preserve">و جمع من المحقّقین </w:t>
      </w:r>
      <w:r>
        <w:rPr>
          <w:rStyle w:val="FootnoteAnchor"/>
          <w:rtl w:val="true"/>
        </w:rPr>
        <w:footnoteReference w:id="191"/>
      </w:r>
      <w:r>
        <w:rPr>
          <w:rFonts w:ascii="IRNazanin" w:hAnsi="IRNazanin" w:eastAsia="IRNazanin"/>
          <w:color w:val="111111"/>
          <w:sz w:val="28"/>
          <w:sz w:val="28"/>
          <w:szCs w:val="28"/>
          <w:rtl w:val="true"/>
          <w:lang w:bidi="fa-IR"/>
        </w:rPr>
        <w:t>،و علی ذلک دلیلان</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الدلیل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العمومات و الإطلاقات الواردة فی أدلّة التقیّة؛فإنّها شاملة للحکم و الموضوع معا،و ما ذکره الشیخ الأعظم من انصراف الإطلاقات إلی ما یرتبط بالمذهب غیر تامّ؛لأنّ الظاهر من أدلّة التقیّة أنّ استعمالها لازم فیما یرتبط بالدین و ما ینسب إلی الشارع،من دون فرق بین الحکم و الموضوع،مضافا إلی أنّ تعبیر بعض الروایات الواردة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إیّاکم أن تعملوا عملا نعیّر به </w:t>
      </w:r>
      <w:r>
        <w:rPr>
          <w:rStyle w:val="FootnoteAnchor"/>
          <w:rtl w:val="true"/>
        </w:rPr>
        <w:footnoteReference w:id="1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فی جریان التقیّة فی الموضوع أیضا؛فإنّ المخالفة فی الموضوع موجب لوهن المذهب و تعییر الأئمّة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یستفاد من الإطلاقات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جریان التقیّة فی الموضوعات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الفرق بین صورة الشکّ،و صورة العلم بالخلاف؛فلو علم شخص بأنّ هذا الیوم هو الثامن،و اعتقد العامّة بأنّه یوم التاسع،فوقف معهم بعرفات،لکان حجّة صحیحا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السیرة القطعیّة،و المقصود أنّه بعد زمن أمیر المؤمنین علیه السّلام إلی عصر الغیبة یحجّون الأئمّة علیهم السّلام و الشیعة مع سائر الناس،و کان أمر الحجّ بید حکّام العامّة،و من الواضح تحقّق الاختلاف فی هذا الزمن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کان أکثر من مائتی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أوّل الشهر،و طبعا فی الیوم التاسع،و مع ذلک لم یرد من الأئمّة علیهم السّلام النهی عن إتّباع العامّة و الوقوف معهم،و لم یسمع أنّهم وقفوا خلاف وقوفهم،و لو کان لبان؛لکثرة الابتلاء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یدلّ علی الصحّة و الإجزاء،و هذا الدلیل شموله أقلّ من الدلیل الأوّل؛ لحجّیّته فی الامور التی کانت کثیرة الابتلاء،و کانت بمرئی و منظر من الأئمّة علیهم السّلام، بینما أنّ الدلیل الأوّل شامل لها،و للامور التی لم تکن کثیرة الابتلاء،و قد تأمّل المحقّق البجنوردی فی ثبوت هذه السیرة </w:t>
      </w:r>
      <w:r>
        <w:rPr>
          <w:rStyle w:val="FootnoteAnchor"/>
          <w:rtl w:val="true"/>
        </w:rPr>
        <w:footnoteReference w:id="193"/>
      </w:r>
      <w:r>
        <w:rPr>
          <w:rFonts w:ascii="Amiri" w:hAnsi="Amiri" w:eastAsia="Amiri" w:cs="Amiri"/>
          <w:color w:val="111111"/>
          <w:sz w:val="28"/>
          <w:sz w:val="28"/>
          <w:szCs w:val="28"/>
          <w:rtl w:val="true"/>
          <w:lang w:bidi="ar-SA"/>
        </w:rPr>
        <w:t>،و فی تأمّله 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هنا روایة قد یستدلّ بها علی الإجزاء فی الموضوعات؛و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رواها الشیخ بإسناده عن أبی الجارود زیاد بن منذر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شککنا سنة فی عام من تلک الأعوام فی الأضحی،فلمّا دخلت علی أبی جعفر علیه السّلام و کان بعض أصحابنا یضحّی،فقال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الفطر یوم یفطر الناس،و الأضحی یوم یضحّی الناس،و الصوم یوم یصوم الناس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الاستدلال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ظاهرها أنّ یوما یضحّی الناس فهو الأضحی حقیقة،</w:t>
      </w:r>
      <w:bookmarkStart w:id="141" w:name="pg5439_46686"/>
    </w:p>
    <w:p>
      <w:pPr>
        <w:pStyle w:val="BookText"/>
        <w:rPr/>
      </w:pPr>
      <w:bookmarkEnd w:id="141"/>
      <w:r>
        <w:rPr>
          <w:rFonts w:ascii="IRNazanin" w:hAnsi="IRNazanin" w:eastAsia="IRNazanin"/>
          <w:color w:val="111111"/>
          <w:sz w:val="28"/>
          <w:sz w:val="28"/>
          <w:szCs w:val="28"/>
          <w:rtl w:val="true"/>
          <w:lang w:bidi="fa-IR"/>
        </w:rPr>
        <w:t>و یوما یفطر الناس فهو یوم الفطر حقیقة،و معنی هذا جریان التقیّة فی الموضوع و الإجزاء فی العمل علی وفقهم،و مع إلغاء الخصوصیّة نتعدّی إلی کلّ موضوع، و لکنّ الروایة و إن کانت ظاهرة فی هذا المعنی؛إلاّ أنّ سنده ضعیف بأبی الجارود الذی ینسب إلیه الجارودیّة،و قیل فی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کان کذّابا کافرا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فتبیّن ممّا ذکرنا کلّه جریان التقیّة و الإجزاء فی الموضوعات علی نحو جریانها فی الأحکام،من دون فرق بین الشکّ و العلم بالخلاف</w:t>
      </w:r>
      <w:r>
        <w:rPr>
          <w:rFonts w:eastAsia="IRNazanin" w:cs="IRNazanin"/>
          <w:color w:val="111111"/>
          <w:sz w:val="28"/>
          <w:szCs w:val="28"/>
          <w:rtl w:val="true"/>
          <w:lang w:bidi="fa-IR"/>
        </w:rPr>
        <w:t>.</w:t>
      </w:r>
    </w:p>
    <w:p>
      <w:pPr>
        <w:pStyle w:val="Heading5"/>
        <w:numPr>
          <w:ilvl w:val="4"/>
          <w:numId w:val="1"/>
        </w:numPr>
        <w:rPr/>
      </w:pPr>
      <w:bookmarkStart w:id="142" w:name="__RefHeading___Toc1855938_581953129"/>
      <w:bookmarkStart w:id="143" w:name="_Toc54"/>
      <w:bookmarkEnd w:id="142"/>
      <w:r>
        <w:rPr>
          <w:rtl w:val="true"/>
        </w:rPr>
        <w:t>تنبیه</w:t>
      </w:r>
      <w:bookmarkEnd w:id="143"/>
    </w:p>
    <w:p>
      <w:pPr>
        <w:pStyle w:val="BookText"/>
        <w:rPr/>
      </w:pPr>
      <w:r>
        <w:rPr>
          <w:rFonts w:ascii="IRNazanin" w:hAnsi="IRNazanin" w:eastAsia="IRNazanin"/>
          <w:color w:val="111111"/>
          <w:sz w:val="28"/>
          <w:sz w:val="28"/>
          <w:szCs w:val="28"/>
          <w:rtl w:val="true"/>
          <w:lang w:bidi="fa-IR"/>
        </w:rPr>
        <w:t xml:space="preserve">قد وقع الخلاف فی أنّ حکم حاکم أهل السنّة هل هو نافذ فی حقّنا،کحکم حاکمنا أم لا علی ثلاثة أقوال؛ذهب جمع </w:t>
      </w:r>
      <w:r>
        <w:rPr>
          <w:rStyle w:val="FootnoteAnchor"/>
          <w:rtl w:val="true"/>
        </w:rPr>
        <w:footnoteReference w:id="196"/>
      </w:r>
      <w:r>
        <w:rPr>
          <w:rFonts w:ascii="IRNazanin" w:hAnsi="IRNazanin" w:eastAsia="IRNazanin"/>
          <w:color w:val="111111"/>
          <w:sz w:val="28"/>
          <w:sz w:val="28"/>
          <w:szCs w:val="28"/>
          <w:rtl w:val="true"/>
          <w:lang w:bidi="fa-IR"/>
        </w:rPr>
        <w:t>إلی النفوذ مطلقا،من دون فرق بین الشکّ و العلم بالخلاف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ذهب السیّد الإمام الخمینی إلی عدم النفوذ مطلقا </w:t>
      </w:r>
      <w:r>
        <w:rPr>
          <w:rStyle w:val="FootnoteAnchor"/>
          <w:rtl w:val="true"/>
        </w:rPr>
        <w:footnoteReference w:id="197"/>
      </w:r>
      <w:r>
        <w:rPr>
          <w:rFonts w:ascii="IRNazanin" w:hAnsi="IRNazanin" w:eastAsia="IRNazanin"/>
          <w:color w:val="111111"/>
          <w:sz w:val="28"/>
          <w:sz w:val="28"/>
          <w:szCs w:val="28"/>
          <w:rtl w:val="true"/>
          <w:lang w:bidi="fa-IR"/>
        </w:rPr>
        <w:t xml:space="preserve">، و ذهب بعض کالمحقّق البجنوردی </w:t>
      </w:r>
      <w:r>
        <w:rPr>
          <w:rStyle w:val="FootnoteAnchor"/>
          <w:rtl w:val="true"/>
        </w:rPr>
        <w:footnoteReference w:id="198"/>
      </w:r>
      <w:r>
        <w:rPr>
          <w:rFonts w:ascii="IRNazanin" w:hAnsi="IRNazanin" w:eastAsia="IRNazanin"/>
          <w:color w:val="111111"/>
          <w:sz w:val="28"/>
          <w:sz w:val="28"/>
          <w:szCs w:val="28"/>
          <w:rtl w:val="true"/>
          <w:lang w:bidi="fa-IR"/>
        </w:rPr>
        <w:t xml:space="preserve">و السیّد الخوئی </w:t>
      </w:r>
      <w:r>
        <w:rPr>
          <w:rStyle w:val="FootnoteAnchor"/>
          <w:rtl w:val="true"/>
        </w:rPr>
        <w:footnoteReference w:id="199"/>
      </w:r>
      <w:r>
        <w:rPr>
          <w:rFonts w:ascii="IRNazanin" w:hAnsi="IRNazanin" w:eastAsia="IRNazanin"/>
          <w:color w:val="111111"/>
          <w:sz w:val="28"/>
          <w:sz w:val="28"/>
          <w:szCs w:val="28"/>
          <w:rtl w:val="true"/>
          <w:lang w:bidi="fa-IR"/>
        </w:rPr>
        <w:t>إلی النفوذ فی صورة الشکّ، و هذا هو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لیعلم أنّ هذا بحث آخر لا یرتبط بالبحث عن جریان التقیّة فی الموضوع، و العجب وقوع الخلط بینهما فی کثیر من الکلمات؛فإنّ النفوذ مرتبط بالحکم و المذهب،و لا یرتبط بالموضوع،فتدبّر</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الإنصاف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أدلّة التقیّة شاملة لهذا فی صورة الشکّ فقط؛فإنّ الجری علی طبق مذهبهم یقتضی نفوذ حکم حاکمهم بالنسبة إلینا،کما هو نافذ بالنسبة إلیهم،</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أحکام مذهبهم نفوذ حکم الحاکم،فتجری التقیّة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التقیید بصورة الشکّ،فلأجل عدم نفوذ حکم الحاکم فی مذهبهم فی صورة العلم بالخلاف،و لا أقلّ من عدم ثبوت هذا فی مذهبهم</w:t>
      </w:r>
      <w:r>
        <w:rPr>
          <w:rFonts w:eastAsia="IRNazanin" w:cs="IRNazanin"/>
          <w:color w:val="111111"/>
          <w:sz w:val="28"/>
          <w:szCs w:val="28"/>
          <w:rtl w:val="true"/>
          <w:lang w:bidi="fa-IR"/>
        </w:rPr>
        <w:t>.</w:t>
      </w:r>
      <w:bookmarkStart w:id="144" w:name="pg5439_46689"/>
    </w:p>
    <w:p>
      <w:pPr>
        <w:pStyle w:val="Heading4"/>
        <w:numPr>
          <w:ilvl w:val="3"/>
          <w:numId w:val="1"/>
        </w:numPr>
        <w:rPr/>
      </w:pPr>
      <w:bookmarkStart w:id="145" w:name="__RefHeading___Toc1855940_581953129"/>
      <w:bookmarkStart w:id="146" w:name="_Toc55"/>
      <w:bookmarkEnd w:id="144"/>
      <w:bookmarkEnd w:id="145"/>
      <w:r>
        <w:rPr>
          <w:rtl w:val="true"/>
        </w:rPr>
        <w:t>الفصل العاشر</w:t>
      </w:r>
      <w:r>
        <w:rPr>
          <w:rtl w:val="true"/>
        </w:rPr>
        <w:t>:</w:t>
      </w:r>
      <w:r>
        <w:rPr>
          <w:rtl w:val="true"/>
        </w:rPr>
        <w:t>اعتبار عدم المندوحة،و عدمه</w:t>
      </w:r>
      <w:bookmarkEnd w:id="146"/>
    </w:p>
    <w:p>
      <w:pPr>
        <w:pStyle w:val="Heading5"/>
        <w:numPr>
          <w:ilvl w:val="4"/>
          <w:numId w:val="1"/>
        </w:numPr>
        <w:rPr/>
      </w:pPr>
      <w:bookmarkStart w:id="147" w:name="__RefHeading___Toc1855942_581953129"/>
      <w:bookmarkStart w:id="148" w:name="_Toc56"/>
      <w:bookmarkEnd w:id="147"/>
      <w:r>
        <w:rPr>
          <w:rtl w:val="true"/>
        </w:rPr>
        <w:t>اشارة</w:t>
      </w:r>
      <w:bookmarkEnd w:id="148"/>
    </w:p>
    <w:p>
      <w:pPr>
        <w:pStyle w:val="BookText"/>
        <w:rPr/>
      </w:pPr>
      <w:r>
        <w:rPr>
          <w:rFonts w:ascii="IRNazanin" w:hAnsi="IRNazanin" w:eastAsia="IRNazanin"/>
          <w:color w:val="111111"/>
          <w:sz w:val="28"/>
          <w:sz w:val="28"/>
          <w:szCs w:val="28"/>
          <w:rtl w:val="true"/>
          <w:lang w:bidi="fa-IR"/>
        </w:rPr>
        <w:t>کلمة المندوحة مأخوذة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الندح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الأوّل،أو ضمّه،بمعنی الوسعة، و قد اختلفوا فی أنّ التقیّة هل یکون مشروعیّتها مقیّدة بعدم إمکان التخلّف عن العمل تقیّة،فلو تمکّن من أن یأتی بالفعل علی النحو الواقعی لما یجوز التقیّة، أم لا یکون مقیّدة؟و قبل ذکر الأقوال و بیان الأدلّة یلزم ذکر امور لإیضاح محلّ الخلاف</w:t>
      </w:r>
      <w:r>
        <w:rPr>
          <w:rFonts w:eastAsia="IRNazanin" w:cs="IRNazanin"/>
          <w:color w:val="111111"/>
          <w:sz w:val="28"/>
          <w:szCs w:val="28"/>
          <w:rtl w:val="true"/>
          <w:lang w:bidi="fa-IR"/>
        </w:rPr>
        <w:t>:</w:t>
      </w:r>
    </w:p>
    <w:p>
      <w:pPr>
        <w:pStyle w:val="Heading5"/>
        <w:numPr>
          <w:ilvl w:val="4"/>
          <w:numId w:val="1"/>
        </w:numPr>
        <w:rPr/>
      </w:pPr>
      <w:bookmarkStart w:id="149" w:name="__RefHeading___Toc1855944_581953129"/>
      <w:bookmarkStart w:id="150" w:name="_Toc57"/>
      <w:bookmarkEnd w:id="149"/>
      <w:r>
        <w:rPr>
          <w:rtl w:val="true"/>
        </w:rPr>
        <w:t>ذکر امور اربعه</w:t>
      </w:r>
      <w:bookmarkEnd w:id="150"/>
    </w:p>
    <w:p>
      <w:pPr>
        <w:pStyle w:val="Heading6"/>
        <w:numPr>
          <w:ilvl w:val="5"/>
          <w:numId w:val="1"/>
        </w:numPr>
        <w:rPr/>
      </w:pPr>
      <w:bookmarkStart w:id="151" w:name="__RefHeading___Toc1855946_581953129"/>
      <w:bookmarkStart w:id="152" w:name="_Toc58"/>
      <w:bookmarkEnd w:id="151"/>
      <w:r>
        <w:rPr>
          <w:rtl w:val="true"/>
        </w:rPr>
        <w:t>الأمر الأوّل</w:t>
      </w:r>
      <w:r>
        <w:rPr>
          <w:rtl w:val="true"/>
        </w:rPr>
        <w:t>:</w:t>
      </w:r>
      <w:r>
        <w:rPr>
          <w:rtl w:val="true"/>
        </w:rPr>
        <w:t>أنّه لا خلاف فی شرطیّة عدم المندوحة</w:t>
      </w:r>
      <w:bookmarkEnd w:id="152"/>
    </w:p>
    <w:p>
      <w:pPr>
        <w:pStyle w:val="BookText"/>
        <w:rPr/>
      </w:pPr>
      <w:r>
        <w:rPr>
          <w:rFonts w:ascii="IRNazanin" w:hAnsi="IRNazanin" w:eastAsia="IRNazanin"/>
          <w:color w:val="111111"/>
          <w:sz w:val="28"/>
          <w:sz w:val="28"/>
          <w:szCs w:val="28"/>
          <w:rtl w:val="true"/>
          <w:lang w:bidi="fa-IR"/>
        </w:rPr>
        <w:t>فیما إذا استفید الترخیص و الإذن الشرعی الذی هو الملاک فی الإجزاء؛من إنضمام أدلّة التقیّة إلی الأدلّة الأوّلیّة،و قلنا بشمول الأدلّة الأوّلیّة لحال التقیّة،و إنّما الخلاف فیما إذا استفدنا الإذن من نفس أدلّة التقیّة؛سواء کان إذنا خاصّا،کالإذن فی الصلاة،أو فی المسح علی الخفّین،أو إذنا عامّا</w:t>
      </w:r>
      <w:r>
        <w:rPr>
          <w:rFonts w:eastAsia="IRNazanin" w:cs="IRNazanin"/>
          <w:color w:val="111111"/>
          <w:sz w:val="28"/>
          <w:szCs w:val="28"/>
          <w:rtl w:val="true"/>
          <w:lang w:bidi="fa-IR"/>
        </w:rPr>
        <w:t>.</w:t>
      </w:r>
    </w:p>
    <w:p>
      <w:pPr>
        <w:pStyle w:val="Heading6"/>
        <w:numPr>
          <w:ilvl w:val="5"/>
          <w:numId w:val="1"/>
        </w:numPr>
        <w:rPr/>
      </w:pPr>
      <w:bookmarkStart w:id="153" w:name="__RefHeading___Toc1855948_581953129"/>
      <w:bookmarkStart w:id="154" w:name="_Toc59"/>
      <w:bookmarkEnd w:id="153"/>
      <w:r>
        <w:rPr>
          <w:rtl w:val="true"/>
        </w:rPr>
        <w:t>الأمر الثانی</w:t>
      </w:r>
      <w:r>
        <w:rPr>
          <w:rtl w:val="true"/>
        </w:rPr>
        <w:t>:</w:t>
      </w:r>
      <w:r>
        <w:rPr>
          <w:rtl w:val="true"/>
        </w:rPr>
        <w:t>أنّ المندوحة علی نوعین،عرضیّة و طولیّة؛</w:t>
      </w:r>
      <w:bookmarkEnd w:id="154"/>
    </w:p>
    <w:p>
      <w:pPr>
        <w:pStyle w:val="BookText"/>
        <w:rPr/>
      </w:pPr>
      <w:r>
        <w:rPr>
          <w:rFonts w:ascii="IRNazanin" w:hAnsi="IRNazanin" w:eastAsia="IRNazanin"/>
          <w:color w:val="111111"/>
          <w:sz w:val="28"/>
          <w:sz w:val="28"/>
          <w:szCs w:val="28"/>
          <w:rtl w:val="true"/>
          <w:lang w:bidi="fa-IR"/>
        </w:rPr>
        <w:t>و المراد من الأوّل</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تمکّن المکلّف من إتیان العمل الواقعی فی نفس الزمان الذی یعمل علی طبق التقیّة، و المراد من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الإتیان بالمأمور به الواقعی فی نفس زمان إتیان العمل علی</w:t>
      </w:r>
      <w:bookmarkStart w:id="155" w:name="pg5439_46690"/>
    </w:p>
    <w:p>
      <w:pPr>
        <w:pStyle w:val="BookText"/>
        <w:rPr/>
      </w:pPr>
      <w:bookmarkEnd w:id="155"/>
      <w:r>
        <w:rPr>
          <w:rFonts w:ascii="IRNazanin" w:hAnsi="IRNazanin" w:eastAsia="IRNazanin"/>
          <w:color w:val="111111"/>
          <w:sz w:val="28"/>
          <w:sz w:val="28"/>
          <w:szCs w:val="28"/>
          <w:rtl w:val="true"/>
          <w:lang w:bidi="fa-IR"/>
        </w:rPr>
        <w:t>طبق التقیّة غیر ممکن،لکنّه یمکن له أن یفعل فی جزء آخر من أجزاء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الخلاف إنّما وقع فی المندوحة العرضیّة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الطولیّة فالمتسالم علیه بین الفقهاء عدم اعتبارها،فلو تمکّن المکلّف من إتیان الفعل علی النحو الصحیح الواقعی فی جزء آخر من أجزاء ذلک الزمان،فلا یجب علیه الإعادة</w:t>
      </w:r>
      <w:r>
        <w:rPr>
          <w:rFonts w:eastAsia="IRNazanin" w:cs="IRNazanin"/>
          <w:color w:val="111111"/>
          <w:sz w:val="28"/>
          <w:szCs w:val="28"/>
          <w:rtl w:val="true"/>
          <w:lang w:bidi="fa-IR"/>
        </w:rPr>
        <w:t>.</w:t>
      </w:r>
    </w:p>
    <w:p>
      <w:pPr>
        <w:pStyle w:val="Heading6"/>
        <w:numPr>
          <w:ilvl w:val="5"/>
          <w:numId w:val="1"/>
        </w:numPr>
        <w:rPr/>
      </w:pPr>
      <w:bookmarkStart w:id="156" w:name="__RefHeading___Toc1855950_581953129"/>
      <w:bookmarkStart w:id="157" w:name="_Toc60"/>
      <w:bookmarkEnd w:id="156"/>
      <w:r>
        <w:rPr>
          <w:rtl w:val="true"/>
        </w:rPr>
        <w:t>الأمر الثالث</w:t>
      </w:r>
      <w:r>
        <w:rPr>
          <w:rtl w:val="true"/>
        </w:rPr>
        <w:t>:</w:t>
      </w:r>
      <w:r>
        <w:rPr>
          <w:rtl w:val="true"/>
        </w:rPr>
        <w:t>أنّ المندوحة العرضیّة تتصوّر علی نحوین</w:t>
      </w:r>
      <w:r>
        <w:rPr>
          <w:rtl w:val="true"/>
        </w:rPr>
        <w:t>:</w:t>
      </w:r>
      <w:bookmarkEnd w:id="157"/>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یرتفع موضوع التقیّة رأسا؛بمعنی أنّ المکلّف قادر علی رفع الموضوع و انعدامه رأسا،کما إذا أجبره الحاکم علی ترک الواجب و هو قادر علی إتیانه،و کما إذا کان قادرا علی التکتّف الظاهری،کأن یقرّب إحدی الیدین إلی الاخری من دون اتّصال إحداهما بالاخری،و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متمکّنا حال الاشتغال بإیجاد الواجب موافقا لهم من تلبیس الأمر علیهم،و إیهامهم أنّه یفعل بمثل فعلهم و إن کان لم یفعل کفعلهم بنحو لا یکون منافیا للتقیّة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النحو خارج عن محلّ النزاع،و اتّفقوا علی اعتبار عدم المندوحة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کأنّه ممّا لا خلاف فیه </w:t>
      </w:r>
      <w:r>
        <w:rPr>
          <w:rStyle w:val="FootnoteAnchor"/>
          <w:rtl w:val="true"/>
        </w:rPr>
        <w:footnoteReference w:id="2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وجود هذه المندوحة لا یکون التقیّة مشروعة؛لعدم صدق عنوان التقیّة علیه،و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عدم المندوحة بهذا المعنی من مقوّمات عنوان التقیّة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یتبدّل موضوع التقیّة و لا ینعدم،کما إذا کان متمکّنا حال الصلاة معهم؛من أن یقف فی صفّ أو مکان یتمکّن فیه من السجود علی ما یصحّ السجود علیه،فهذا النحو محلّ النزاع و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نعم،یستفاد من کلام السیّد الإمام الخمینی أنّ اعتبار عدم المندوحة فی النحو الأوّل مسلّم إذا استفدنا اعتباره من عمومات أخبار التقیّة و مطلقاتها</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بالنظر إلی الأخبار الخاصّة الواردة فی باب الوضوء و الصلاة معهم</w:t>
      </w:r>
      <w:bookmarkStart w:id="158" w:name="pg5439_46691"/>
    </w:p>
    <w:p>
      <w:pPr>
        <w:pStyle w:val="BookText"/>
        <w:rPr/>
      </w:pPr>
      <w:bookmarkEnd w:id="158"/>
      <w:r>
        <w:rPr>
          <w:rFonts w:ascii="IRNazanin" w:hAnsi="IRNazanin" w:eastAsia="IRNazanin"/>
          <w:color w:val="111111"/>
          <w:sz w:val="28"/>
          <w:sz w:val="28"/>
          <w:szCs w:val="28"/>
          <w:rtl w:val="true"/>
          <w:lang w:bidi="fa-IR"/>
        </w:rPr>
        <w:t>و غیرهما،فالمسألة محلّ نظر،للسکوت عن لزوم إعمال الحیلة فیها مع کون المقام محلّ بیانه،فلو کان عدمها معتبرا فی الصحّة لم یجز إهماله؛ثمّ ذکر بعض الأخبار الخاصّة الواردة فی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آخر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نعم،هنا أخبار فی باب القراءة و الجماعة ظاهرة فی لزوم إعمال الحیلة،کموثّقة سماعة </w:t>
      </w:r>
      <w:r>
        <w:rPr>
          <w:rStyle w:val="FootnoteAnchor"/>
          <w:rtl w:val="true"/>
        </w:rPr>
        <w:footnoteReference w:id="201"/>
      </w:r>
      <w:r>
        <w:rPr>
          <w:rFonts w:ascii="IRNazanin" w:hAnsi="IRNazanin" w:eastAsia="IRNazanin"/>
          <w:color w:val="111111"/>
          <w:sz w:val="28"/>
          <w:sz w:val="28"/>
          <w:szCs w:val="28"/>
          <w:rtl w:val="true"/>
          <w:lang w:bidi="fa-IR"/>
        </w:rPr>
        <w:t xml:space="preserve">،و صحیحة علیّ بن یقطین </w:t>
      </w:r>
      <w:r>
        <w:rPr>
          <w:rStyle w:val="FootnoteAnchor"/>
          <w:rtl w:val="true"/>
        </w:rPr>
        <w:footnoteReference w:id="202"/>
      </w:r>
      <w:r>
        <w:rPr>
          <w:rFonts w:ascii="IRNazanin" w:hAnsi="IRNazanin" w:eastAsia="IRNazanin"/>
          <w:color w:val="111111"/>
          <w:sz w:val="28"/>
          <w:sz w:val="28"/>
          <w:szCs w:val="28"/>
          <w:rtl w:val="true"/>
          <w:lang w:bidi="fa-IR"/>
        </w:rPr>
        <w:t xml:space="preserve">،و حملها علی الاستحباب؛لقوّة ظهور المطلقات فی عدم لزوم إعمال الحیلة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59" w:name="__RefHeading___Toc1855952_581953129"/>
      <w:bookmarkStart w:id="160" w:name="_Toc61"/>
      <w:bookmarkEnd w:id="159"/>
      <w:r>
        <w:rPr>
          <w:rtl w:val="true"/>
        </w:rPr>
        <w:t>الأمر الرابع</w:t>
      </w:r>
      <w:r>
        <w:rPr>
          <w:rtl w:val="true"/>
        </w:rPr>
        <w:t>:</w:t>
      </w:r>
      <w:r>
        <w:rPr>
          <w:rtl w:val="true"/>
        </w:rPr>
        <w:t>الظاهر أنّ جریان الخلاف منحصر بالتقیّة الخوفیّة،</w:t>
      </w:r>
      <w:bookmarkEnd w:id="160"/>
    </w:p>
    <w:p>
      <w:pPr>
        <w:pStyle w:val="BookText"/>
        <w:rPr/>
      </w:pPr>
      <w:r>
        <w:rPr>
          <w:rFonts w:ascii="IRNazanin" w:hAnsi="IRNazanin" w:eastAsia="IRNazanin"/>
          <w:color w:val="111111"/>
          <w:sz w:val="28"/>
          <w:sz w:val="28"/>
          <w:szCs w:val="28"/>
          <w:rtl w:val="true"/>
          <w:lang w:bidi="fa-IR"/>
        </w:rPr>
        <w:t>أو الإکراهیّة،و لا یجری فی المداراتیّة؛و ذلک؛لأنّها إنّما شرّعت لجلب قلوبهم و تحقّق الوحدة بین المسلمین،و هذا لا یناسب الاشتراط بعدم المندوحة؛فإنّ الاشتراط به مستلزم لنقض الغرض،و یلزم من وجوده عدمه،و الشاهد علی الاختصاص هی الأقوال الموجودة فی البحث؛فإنّها کلّها تختصّ بالتقیّة الخوفیّة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بعد هذه الامور الأربعة نقول</w:t>
      </w:r>
      <w:r>
        <w:rPr>
          <w:rFonts w:eastAsia="Amiri" w:cs="Amiri" w:ascii="Amiri" w:hAnsi="Amiri"/>
          <w:color w:val="111111"/>
          <w:sz w:val="28"/>
          <w:szCs w:val="28"/>
          <w:rtl w:val="true"/>
          <w:lang w:bidi="ar-SA"/>
        </w:rPr>
        <w:t>:</w:t>
      </w:r>
    </w:p>
    <w:p>
      <w:pPr>
        <w:pStyle w:val="Heading5"/>
        <w:numPr>
          <w:ilvl w:val="4"/>
          <w:numId w:val="1"/>
        </w:numPr>
        <w:rPr/>
      </w:pPr>
      <w:bookmarkStart w:id="161" w:name="__RefHeading___Toc1855954_581953129"/>
      <w:bookmarkStart w:id="162" w:name="_Toc62"/>
      <w:bookmarkEnd w:id="161"/>
      <w:r>
        <w:rPr>
          <w:rtl w:val="true"/>
        </w:rPr>
        <w:t>إنّ فی المسألة احتمالات بل أقوال سبعة</w:t>
      </w:r>
      <w:r>
        <w:rPr>
          <w:rtl w:val="true"/>
        </w:rPr>
        <w:t>:</w:t>
      </w:r>
      <w:bookmarkEnd w:id="162"/>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اعتبار عدم المندوحة مطلقا،کما ذهب إلیه صاحب المدارک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اعتباره مطلقا،ذهب إلیه الشهیدان و المحقّق الثانی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التفصیل بین ما کان مأذونا فیه بخصوصه،فلا یعتبر،کغسل الرجلین فی الوضوء،و بین ما لم یرد فیه نصّ خاصّ،و قد نسب هذا القول إلی المحقّق</w:t>
      </w:r>
    </w:p>
    <w:p>
      <w:pPr>
        <w:pStyle w:val="BookText"/>
        <w:rPr/>
      </w:pPr>
      <w:r>
        <w:rPr>
          <w:rFonts w:ascii="IRNazanin" w:hAnsi="IRNazanin" w:eastAsia="IRNazanin"/>
          <w:color w:val="111111"/>
          <w:sz w:val="28"/>
          <w:sz w:val="28"/>
          <w:szCs w:val="28"/>
          <w:rtl w:val="true"/>
          <w:lang w:bidi="fa-IR"/>
        </w:rPr>
        <w:t xml:space="preserve">الثانی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التفصیل بین التقیّة من المخالفین،فلا یعتبر مطلقا أو فی الجملة،و من غیرهم فیعتبر،ذهب إلیه الإمام الخمینی قدّس سرّه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التفصیل بین ما إذا کان الإذن الوارد إذنا لامتثال أوامر التقیّة فیعتبر،و بین ما إذا کان إذنا لامتثال أوامر الأوّلیّة المتعلّقة بالعبادات فلا یعتبر،و هذا التفصیل هو الذی بیّنه الشیخ الأنصاری بعنوان التصحیح لکلام المحقّق الثانی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کان مراده من تفصیله هذا التفصیل،فهو صحیح،لکن یحتاج إلی قید؛ و هو التقیید بغیر الأجزاء و الشرائط الاختیاریّة؛لأنّ المسألة بناء علی التفصیل تصیر من مصادیق ذوی الأعذار،و الأجزاء و الشرائط الاختیاریّتان خارجتان عن هذه المسألة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المندوحة فی المندوحة العرضیّة مع تبدیل موضوع التقیّة، و عدم اعتباره فی المندوحة العرضیّة مع انعدام الموضوع،و قد قلنا فی الأمر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اعتبار المندوحة العرضیّة مع انعدام موضوع التقیّة أمر مسلّم بینهم،و علی هذا لا یکون کلام الشیخ تفصیلا فی المسألة،بل هو ممّن ذهب إلی اعتبار عدم المندوحة</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التفصیل الذی ذهب إلیه السیّد الإمام،لکن مع تفصیل فی التقیّة من العامّة؛فإنّها قد تکون فی ترک الواجب،أو فی الإتیان بالحرام،فیعتبر عدم المندوحة،و اخری فی ترک جزء،أو شرط،أو الإتیان بالمانع فلا یعتبر، و إن شئت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التقیّة من العامّة قد تکون فی غیر العبادة،و قد تکون فی العبادة؛ و هو الذی ذهب إلیه السیّد الخوئی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bookmarkStart w:id="163" w:name="pg5439_46693"/>
    </w:p>
    <w:p>
      <w:pPr>
        <w:pStyle w:val="BookText"/>
        <w:rPr/>
      </w:pPr>
      <w:bookmarkEnd w:id="163"/>
      <w:r>
        <w:rPr>
          <w:rFonts w:ascii="IRNazanin" w:hAnsi="IRNazanin" w:eastAsia="IRNazanin"/>
          <w:color w:val="111111"/>
          <w:sz w:val="28"/>
          <w:sz w:val="28"/>
          <w:szCs w:val="28"/>
          <w:rtl w:val="true"/>
          <w:lang w:bidi="fa-IR"/>
        </w:rPr>
        <w:t>و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إمکان المساعدة للتفصیل الذی ذهب إلیه المحقّق الثانی؛لعدم الفرق بین الإذن الخاصّ و العامّ؛من جهة أن الإذن فی العمل الذی یتّقی به إن کان أمرا بالامتثال بتلک الصورة تقیّة،فیکون فردا اضطراریّا للطبیعة المأمور بها، فیکون مجزئا حتّی فی الإذن العامّ،و إن لم یکن أمرا بالامتثال،بل شرّعت التقیّة لأجل التحفّظ و التخلّص عن شرّهم،فالإذن الخاصّ أیضا لا یفی بالإجزاء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هذا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بعد عدم صحّة هذا التفصیل،و خروج القول الخامس عن محلّ النزاع،و رجوع قول الشیخ الأنصاری إلی القول الأوّل علی ما بیّناه فی تحریر محلّ النزاع،و بعد عدم وجود الخلاف فی اعتبار عدم المندوحة فی التقیّة من غیر العامّة؛لعدم صدق الضرورة و الاضطرار فی صورة المندوحة،و کذلک عدم النزاع فی التقیّة من العامّة إذا کانت بصورة ترک الواجب،أو إتیان الحرام،انحصر البحث فی اعتبار عدم المندوحة فی التقیّة من العامّة فی دائرة العبادات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p>
    <w:p>
      <w:pPr>
        <w:pStyle w:val="Heading5"/>
        <w:numPr>
          <w:ilvl w:val="4"/>
          <w:numId w:val="1"/>
        </w:numPr>
        <w:rPr/>
      </w:pPr>
      <w:bookmarkStart w:id="164" w:name="__RefHeading___Toc1855956_581953129"/>
      <w:bookmarkStart w:id="165" w:name="_Toc63"/>
      <w:bookmarkEnd w:id="164"/>
      <w:r>
        <w:rPr>
          <w:rtl w:val="true"/>
        </w:rPr>
        <w:t>اعتبار عدم المندوحة فیما إذا کانت العبادة تقیّة خوفیّة،و عدم</w:t>
      </w:r>
      <w:bookmarkEnd w:id="165"/>
    </w:p>
    <w:p>
      <w:pPr>
        <w:pStyle w:val="BookText"/>
        <w:rPr/>
      </w:pPr>
      <w:r>
        <w:rPr>
          <w:rFonts w:ascii="IRNazanin" w:hAnsi="IRNazanin" w:eastAsia="IRNazanin"/>
          <w:color w:val="111111"/>
          <w:sz w:val="28"/>
          <w:sz w:val="28"/>
          <w:szCs w:val="28"/>
          <w:rtl w:val="true"/>
          <w:lang w:bidi="fa-IR"/>
        </w:rPr>
        <w:t>اعتباره فیما إذا کانت علی نحو المداراة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فلعدم صدق الخوف و الضرر فی صورة وجود المندوحة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فلإطلاق الروایات الواردة فی العبادة معهم </w:t>
      </w:r>
      <w:r>
        <w:rPr>
          <w:rStyle w:val="FootnoteAnchor"/>
          <w:rtl w:val="true"/>
        </w:rPr>
        <w:footnoteReference w:id="210"/>
      </w:r>
      <w:r>
        <w:rPr>
          <w:rFonts w:ascii="IRNazanin" w:hAnsi="IRNazanin" w:eastAsia="IRNazanin"/>
          <w:color w:val="111111"/>
          <w:sz w:val="28"/>
          <w:sz w:val="28"/>
          <w:szCs w:val="28"/>
          <w:rtl w:val="true"/>
          <w:lang w:bidi="fa-IR"/>
        </w:rPr>
        <w:t xml:space="preserve">،و الحضور فی جماعاتهم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،و أنّ الصلاة معهم کالصلاة مع رسول اللّه صلّی اللّه علیه و اله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 لا شکّ أنّ هذه التعبیرات و الترغیبات ینافی الاشتراط بصورة عدم المندوحة؛لأنّه مستلزم لنقض الغرض،و ممّا یلزم من وجوده عدمه؛فتحصّل من ذلک وجوه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إطلاق الروایات؛فإنّها غیر مقیّدة بعدم المندوحة</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الحثّ و الترغیب فیها،و التعبیرات الواردة فیها،و هی منافیة للاشتراط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بعض الروایات فی مقام إعطاء الضابطة الکلّیة؛کروایة مسعدة بن صدقة المتقدّمة </w:t>
      </w:r>
      <w:r>
        <w:rPr>
          <w:rStyle w:val="FootnoteAnchor"/>
          <w:rtl w:val="true"/>
        </w:rPr>
        <w:footnoteReference w:id="211"/>
      </w:r>
      <w:r>
        <w:rPr>
          <w:rFonts w:ascii="IRNazanin" w:hAnsi="IRNazanin" w:eastAsia="IRNazanin"/>
          <w:color w:val="111111"/>
          <w:sz w:val="28"/>
          <w:sz w:val="28"/>
          <w:szCs w:val="28"/>
          <w:rtl w:val="true"/>
          <w:lang w:bidi="fa-IR"/>
        </w:rPr>
        <w:t>أعنی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 شیء یعمل المؤمن بینهم لمکان التقیّة ممّا لا یؤدّی إلی الفساد فی الدین؛فإنّه جائز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 فی البین قید لوجب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نعم،هنا أخبار ربما یعارض ظاهرها مع هذه المطلقات،نشیر إلی الأهمّ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أحمد بن محمّد بن أبی نصر البزنطی،عن إبراهیم بن شیبة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کتبت إلی أبی جعفر الثانی علیه السّلام أسأله عن الصلاة خلف من یتولّی أمیر المؤمنین علیه السّلام و هو یری المسح علی الخفّین،أو خلف من یحرّم المسح و هو یمسح؟فکتب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جامعک و إیّاهم موضع فلم تجد بدّا من الصلاة فأذّن لنفسک و أقم،فإن سبقک إلی القراءة فسبّح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دلّت الروایة علی أنّ الصلاة مع من یمسح علی الخفّین جائزة إذا لم یجد بدّا من ذلک،و فی صورة المندوحة یوجد 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الروایة علی ما ذکره السیّد الخوئی ضعیفة السند؛لأنّ إبراهیم بن شیبة لم یوثّق،و ما فی کلام المحقّق الهمدانی </w:t>
      </w:r>
      <w:r>
        <w:rPr>
          <w:rStyle w:val="FootnoteAnchor"/>
          <w:rtl w:val="true"/>
        </w:rPr>
        <w:footnoteReference w:id="213"/>
      </w:r>
      <w:r>
        <w:rPr>
          <w:rFonts w:ascii="IRNazanin" w:hAnsi="IRNazanin" w:eastAsia="IRNazanin"/>
          <w:color w:val="111111"/>
          <w:sz w:val="28"/>
          <w:sz w:val="28"/>
          <w:szCs w:val="28"/>
          <w:rtl w:val="true"/>
          <w:lang w:bidi="fa-IR"/>
        </w:rPr>
        <w:t xml:space="preserve">من إسناد الروایة إلی إبراهیم ابن هاشم من سهو القلم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مورد الروایة هو التقیّة فی المسح علی الخّفین،و قد دلّت الروایات علی عدم جریان التقیّة فیه،و فصّلنا الکلام فیه سابقا </w:t>
      </w:r>
      <w:r>
        <w:rPr>
          <w:rStyle w:val="FootnoteAnchor"/>
          <w:rtl w:val="true"/>
        </w:rPr>
        <w:footnoteReference w:id="2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بما أنّ صلاة الرجل کانت</w:t>
      </w:r>
    </w:p>
    <w:p>
      <w:pPr>
        <w:pStyle w:val="BookText"/>
        <w:rPr/>
      </w:pPr>
      <w:r>
        <w:rPr>
          <w:rFonts w:ascii="IRNazanin" w:hAnsi="IRNazanin" w:eastAsia="IRNazanin"/>
          <w:color w:val="111111"/>
          <w:sz w:val="28"/>
          <w:sz w:val="28"/>
          <w:szCs w:val="28"/>
          <w:rtl w:val="true"/>
          <w:lang w:bidi="fa-IR"/>
        </w:rPr>
        <w:t>محکومة بالبطلان فی مورد الروایة؛فلذا منع الإمام علیه السّلام عن الصلاة خلفه،فهی خارجة عن 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الروایة لو دلّت علی الاعتبار لدلّت علی اعتبار عدم المندوحة الطولیّة أیضا،مع أنّ عدم اعتباره إجماعیّ </w:t>
      </w:r>
      <w:r>
        <w:rPr>
          <w:rStyle w:val="FootnoteAnchor"/>
          <w:rtl w:val="true"/>
        </w:rPr>
        <w:footnoteReference w:id="216"/>
      </w:r>
      <w:r>
        <w:rPr>
          <w:rFonts w:ascii="IRNazanin" w:hAnsi="IRNazanin" w:eastAsia="IRNazanin"/>
          <w:color w:val="111111"/>
          <w:sz w:val="28"/>
          <w:sz w:val="28"/>
          <w:szCs w:val="28"/>
          <w:rtl w:val="true"/>
          <w:lang w:bidi="fa-IR"/>
        </w:rPr>
        <w:t>،فیلزم تخصیص الروایة بالإجماع، بینما إنّ لسان الحدیث یأبی عن التخصیص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 دعائم الإسلام بسنده عن أبی جعفر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تصلّوا خلف ناصب و لا کرامة،إلاّ أن تخافوا علی أنفسکم أن تشهروا و یشار إلیکم،فصلّوا فی بیوتکم،ثمّ صلّوا معهم،و اجعلوا صلاتکم معهم تطوّعا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دلالة الروایة علی جواز الصلاة فی صورة عدم المندوحة واضحة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یرد علیه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روایات دعائم الإسلام غیر قابلة الاعتماد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قاصرة الدلالة علی المدّعی؛لاختصاصها بالناصب،و هو خارج عن محلّ الکلام؛لأنّه محکوم بالکفر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لو أغمضنا عن الإیرادات الواردة علی هذه الروایات لوجب الجمع بینها و بین المطلقات،فذهب المحقّق البجنوردی إلی أنّ مقتضی الجمع عرفا بینهما؛هو حمل هذه الأخبار علی إمکان التخلّص فی نفس وقت التقیّة،بدون التأجیل و تأخیر امتثال الواجب إلی زمان ارتفاع التقیّة،أو بدون انتقاله إلی مکان آخر للفرار عن التقیّة،بل یمکن فی نفس المکان و الزمان أن یأتی بالواقع الأوّلی،ففی مثل هذا المورد لا یجوز أن یتّقی بإتیان الواجب موافقا لهم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عدم صحّة هذا الجمع؛فإنّ الحمل علی ذاک المورد بمعنی الحمل علی</w:t>
      </w:r>
    </w:p>
    <w:p>
      <w:pPr>
        <w:pStyle w:val="BookText"/>
        <w:rPr/>
      </w:pPr>
      <w:r>
        <w:rPr>
          <w:rFonts w:ascii="IRNazanin" w:hAnsi="IRNazanin" w:eastAsia="IRNazanin"/>
          <w:color w:val="111111"/>
          <w:sz w:val="28"/>
          <w:sz w:val="28"/>
          <w:szCs w:val="28"/>
          <w:rtl w:val="true"/>
          <w:lang w:bidi="fa-IR"/>
        </w:rPr>
        <w:t xml:space="preserve">المندوحة العرضیّة،و قلنا </w:t>
      </w:r>
      <w:r>
        <w:rPr>
          <w:rStyle w:val="FootnoteAnchor"/>
          <w:rtl w:val="true"/>
        </w:rPr>
        <w:footnoteReference w:id="2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النحو من المندوحة العرضیّة الذی یرجع إلی تبدیل موضوع التقیّة،محلّ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الصحیح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مورد کثیر من هذه الأخبار هی التقیّة الخوفیّة،و قد مرّ </w:t>
      </w:r>
      <w:r>
        <w:rPr>
          <w:rStyle w:val="FootnoteAnchor"/>
          <w:rtl w:val="true"/>
        </w:rPr>
        <w:footnoteReference w:id="220"/>
      </w:r>
      <w:r>
        <w:rPr>
          <w:rFonts w:ascii="IRNazanin" w:hAnsi="IRNazanin" w:eastAsia="IRNazanin"/>
          <w:color w:val="111111"/>
          <w:sz w:val="28"/>
          <w:sz w:val="28"/>
          <w:szCs w:val="28"/>
          <w:rtl w:val="true"/>
          <w:lang w:bidi="fa-IR"/>
        </w:rPr>
        <w:t>اعتبار عدم المندوحة فیها،و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کصحیحة علیّ بن یقطین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الحسن علیه السّلام عن الرجل یصلّی خلف من لا یقتدی بصلاته و الإمام یجهر بالقراءة؟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أقرأ لنفسک،و إن لم تسمع نفسک فلا بأس </w:t>
      </w:r>
      <w:r>
        <w:rPr>
          <w:rStyle w:val="FootnoteAnchor"/>
          <w:rtl w:val="true"/>
        </w:rPr>
        <w:footnoteReference w:id="221"/>
      </w:r>
      <w:r>
        <w:rPr>
          <w:rFonts w:ascii="IRNazanin" w:hAnsi="IRNazanin" w:eastAsia="IRNazanin"/>
          <w:color w:val="111111"/>
          <w:sz w:val="28"/>
          <w:sz w:val="28"/>
          <w:szCs w:val="28"/>
          <w:rtl w:val="true"/>
          <w:lang w:bidi="fa-IR"/>
        </w:rPr>
        <w:t>فإنّه یدلّ علی إتیان القراءة بمقدار الممکن،و یکون عامّا شاملا للتقیّة الخوفیّة و المداراتیّة،فیمکن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من موارد ارتفاع موضوع التقیّة خوفا أو مداراة؛لأنّ القراءة علی هذا النحو لا تکون مخلاّ بالمداراة،فیخرج عن محلّ النزاع،کما مرّ فی الأمر الثالث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فما فی کلمات الإمام الخمینی قدّس سرّه </w:t>
      </w:r>
      <w:r>
        <w:rPr>
          <w:rStyle w:val="FootnoteAnchor"/>
          <w:rtl w:val="true"/>
        </w:rPr>
        <w:footnoteReference w:id="223"/>
      </w:r>
      <w:r>
        <w:rPr>
          <w:rFonts w:ascii="IRNazanin" w:hAnsi="IRNazanin" w:eastAsia="IRNazanin"/>
          <w:color w:val="111111"/>
          <w:sz w:val="28"/>
          <w:sz w:val="28"/>
          <w:szCs w:val="28"/>
          <w:rtl w:val="true"/>
          <w:lang w:bidi="fa-IR"/>
        </w:rPr>
        <w:t>من الحمل علی الاستحباب،لا یمکن المساعدة علیه؛لعدم بقاء الموضوع فی هذا الفرض؛بمعنی أنّ التقیّة فی هذا الفرض لیس بمشروع،لا وجوبا،و لا استحبابا</w:t>
      </w:r>
      <w:r>
        <w:rPr>
          <w:rFonts w:eastAsia="IRNazanin" w:cs="IRNazanin"/>
          <w:color w:val="111111"/>
          <w:sz w:val="28"/>
          <w:szCs w:val="28"/>
          <w:rtl w:val="true"/>
          <w:lang w:bidi="fa-IR"/>
        </w:rPr>
        <w:t>.</w:t>
      </w:r>
      <w:bookmarkStart w:id="166" w:name="pg5439_46697"/>
    </w:p>
    <w:p>
      <w:pPr>
        <w:pStyle w:val="Heading2"/>
        <w:numPr>
          <w:ilvl w:val="1"/>
          <w:numId w:val="1"/>
        </w:numPr>
        <w:rPr/>
      </w:pPr>
      <w:bookmarkStart w:id="167" w:name="__RefHeading___Toc1855958_581953129"/>
      <w:bookmarkStart w:id="168" w:name="_Toc64"/>
      <w:bookmarkEnd w:id="166"/>
      <w:bookmarkEnd w:id="167"/>
      <w:r>
        <w:rPr>
          <w:rtl w:val="true"/>
        </w:rPr>
        <w:t>رسالة فی اعتبار الکتابة فی الفقه الإسلامی</w:t>
      </w:r>
      <w:bookmarkEnd w:id="168"/>
    </w:p>
    <w:p>
      <w:pPr>
        <w:pStyle w:val="Heading3"/>
        <w:numPr>
          <w:ilvl w:val="2"/>
          <w:numId w:val="1"/>
        </w:numPr>
        <w:rPr/>
      </w:pPr>
      <w:bookmarkStart w:id="169" w:name="__RefHeading___Toc1855960_581953129"/>
      <w:bookmarkStart w:id="170" w:name="_Toc65"/>
      <w:bookmarkEnd w:id="169"/>
      <w:r>
        <w:rPr>
          <w:rtl w:val="true"/>
        </w:rPr>
        <w:t>اشارة</w:t>
      </w:r>
      <w:bookmarkEnd w:id="170"/>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ألّفت فی سنة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بمناسبة تشکیل المؤتمر لذکری المحقّق الأردبیلی قدّس سرّه</w:t>
      </w:r>
      <w:bookmarkStart w:id="171" w:name="pg5439_46699"/>
    </w:p>
    <w:p>
      <w:pPr>
        <w:pStyle w:val="BookText"/>
        <w:rPr/>
      </w:pPr>
      <w:bookmarkEnd w:id="171"/>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اَلْحَمْدُ لِلّهِ رَبِّ الْعالَمِینَ، و الصلاة و السلام علی سیّدنا و نبیّنا</w:t>
      </w:r>
    </w:p>
    <w:p>
      <w:pPr>
        <w:pStyle w:val="BookText"/>
        <w:rPr/>
      </w:pPr>
      <w:r>
        <w:rPr>
          <w:rFonts w:ascii="IRNazanin" w:hAnsi="IRNazanin" w:eastAsia="IRNazanin"/>
          <w:color w:val="111111"/>
          <w:sz w:val="28"/>
          <w:sz w:val="28"/>
          <w:szCs w:val="28"/>
          <w:rtl w:val="true"/>
          <w:lang w:bidi="fa-IR"/>
        </w:rPr>
        <w:t>محمّد و آله الطیّبین الطاهرین المعصومین،</w:t>
      </w:r>
    </w:p>
    <w:p>
      <w:pPr>
        <w:pStyle w:val="BookText"/>
        <w:rPr/>
      </w:pPr>
      <w:r>
        <w:rPr>
          <w:rFonts w:ascii="IRNazanin" w:hAnsi="IRNazanin" w:eastAsia="IRNazanin"/>
          <w:color w:val="111111"/>
          <w:sz w:val="28"/>
          <w:sz w:val="28"/>
          <w:szCs w:val="28"/>
          <w:rtl w:val="true"/>
          <w:lang w:bidi="fa-IR"/>
        </w:rPr>
        <w:t>و اللعن الدائم علی أعدائهم أجمعین</w:t>
      </w:r>
    </w:p>
    <w:p>
      <w:pPr>
        <w:pStyle w:val="BookText"/>
        <w:rPr/>
      </w:pPr>
      <w:r>
        <w:rPr>
          <w:rFonts w:ascii="IRNazanin" w:hAnsi="IRNazanin" w:eastAsia="IRNazanin"/>
          <w:color w:val="111111"/>
          <w:sz w:val="28"/>
          <w:sz w:val="28"/>
          <w:szCs w:val="28"/>
          <w:rtl w:val="true"/>
          <w:lang w:bidi="fa-IR"/>
        </w:rPr>
        <w:t>و أمّا بعد،فمن التوفیقات الإلهیّة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جعلنا فی طریق استکشاف الأحکام الدینیّة،و استنباط ما أوجبه علی المکلّفین فی هذه الدنیا الدنیّة،و هذا من أشدّ الوظائف و أهمّ التکالیف الشرعیّة،التی لا یقدر علی امتثاله إلاّ من کان له نور فی قلبه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تلک التوفیقات تدوین رسالة جامعة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بمناسبة تشکیل المؤتمر العلمی لذکری المحقّق الأردبیلی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للبحث عن مسألة الکتابة و اعتبارها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فاعلم أنّه من المسائل المطروحة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هذا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هی موردة للابتلاء بین الناس مسألة حجّیة الکتابة،و أنّها هل هی حجّة شرعیّة مستقلّة؟و هل الشهادة و البیّنة بطریق الکتابة صحیحة أم لا؟</w:t>
      </w:r>
    </w:p>
    <w:p>
      <w:pPr>
        <w:pStyle w:val="Heading3"/>
        <w:numPr>
          <w:ilvl w:val="2"/>
          <w:numId w:val="1"/>
        </w:numPr>
        <w:rPr/>
      </w:pPr>
      <w:bookmarkStart w:id="172" w:name="__RefHeading___Toc1855962_581953129"/>
      <w:bookmarkStart w:id="173" w:name="_Toc66"/>
      <w:bookmarkEnd w:id="172"/>
      <w:r>
        <w:rPr>
          <w:rtl w:val="true"/>
        </w:rPr>
        <w:t>فیقع البحث فی مقامین</w:t>
      </w:r>
      <w:r>
        <w:rPr>
          <w:rtl w:val="true"/>
        </w:rPr>
        <w:t>:</w:t>
      </w:r>
      <w:bookmarkEnd w:id="173"/>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74" w:name="__RefHeading___Toc1855964_581953129"/>
      <w:bookmarkStart w:id="175" w:name="_Toc67"/>
      <w:bookmarkEnd w:id="174"/>
      <w:r>
        <w:rPr>
          <w:rtl w:val="true"/>
        </w:rPr>
        <w:t>اشارة</w:t>
      </w:r>
      <w:bookmarkStart w:id="176" w:name="pg5439_46700"/>
      <w:bookmarkEnd w:id="175"/>
    </w:p>
    <w:p>
      <w:pPr>
        <w:pStyle w:val="Heading4"/>
        <w:numPr>
          <w:ilvl w:val="3"/>
          <w:numId w:val="1"/>
        </w:numPr>
        <w:rPr/>
      </w:pPr>
      <w:bookmarkStart w:id="177" w:name="__RefHeading___Toc1855966_581953129"/>
      <w:bookmarkStart w:id="178" w:name="_Toc68"/>
      <w:bookmarkEnd w:id="176"/>
      <w:bookmarkEnd w:id="177"/>
      <w:r>
        <w:rPr>
          <w:rtl w:val="true"/>
        </w:rPr>
        <w:t>المقام الأوّل</w:t>
      </w:r>
      <w:r>
        <w:rPr>
          <w:rtl w:val="true"/>
        </w:rPr>
        <w:t>:</w:t>
      </w:r>
      <w:r>
        <w:rPr>
          <w:rtl w:val="true"/>
        </w:rPr>
        <w:t>فی أنّ الکتابة هل هی حجّة شرعیّة فی عداد سائر الحجج</w:t>
      </w:r>
      <w:bookmarkEnd w:id="178"/>
    </w:p>
    <w:p>
      <w:pPr>
        <w:pStyle w:val="Heading5"/>
        <w:numPr>
          <w:ilvl w:val="4"/>
          <w:numId w:val="1"/>
        </w:numPr>
        <w:rPr/>
      </w:pPr>
      <w:bookmarkStart w:id="179" w:name="__RefHeading___Toc1855968_581953129"/>
      <w:bookmarkStart w:id="180" w:name="_Toc69"/>
      <w:bookmarkEnd w:id="179"/>
      <w:r>
        <w:rPr>
          <w:rtl w:val="true"/>
        </w:rPr>
        <w:t>اشارة</w:t>
      </w:r>
      <w:bookmarkEnd w:id="180"/>
    </w:p>
    <w:p>
      <w:pPr>
        <w:pStyle w:val="BookText"/>
        <w:rPr/>
      </w:pPr>
      <w:r>
        <w:rPr>
          <w:rFonts w:ascii="IRNazanin" w:hAnsi="IRNazanin" w:eastAsia="IRNazanin"/>
          <w:color w:val="111111"/>
          <w:sz w:val="28"/>
          <w:sz w:val="28"/>
          <w:szCs w:val="28"/>
          <w:rtl w:val="true"/>
          <w:lang w:bidi="fa-IR"/>
        </w:rPr>
        <w:t>الشرعیّة،کالبیّنة و الحلف و الإقرار؟و هل کلّ ما هو مکتوب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قد یعبّر عنه فی هذه الأزمنة بالأسناد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شرعیّة،أم لا؟و دائرة هذا البحث لا تختصّ بمسألة القضاء،بل یجری فی جمیع أبواب الفقه،و یتفرّع علیه فروع کثیرة،مثلا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العقود و المعاملات المنشأة علی نحو الکتابة صحیحة کسائر المعاملات التی تجری فیها الألفاظ؟و 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مقتضی القاعدة الأوّلیّة فی الکتابة فی جمیع ما یمکن أن یقع بطریق الألفاظ،أو الأفعال؟</w:t>
      </w:r>
    </w:p>
    <w:p>
      <w:pPr>
        <w:pStyle w:val="BookText"/>
        <w:rPr/>
      </w:pPr>
      <w:r>
        <w:rPr>
          <w:rFonts w:ascii="IRNazanin" w:hAnsi="IRNazanin" w:eastAsia="IRNazanin"/>
          <w:color w:val="111111"/>
          <w:sz w:val="28"/>
          <w:sz w:val="28"/>
          <w:szCs w:val="28"/>
          <w:rtl w:val="true"/>
          <w:lang w:bidi="fa-IR"/>
        </w:rPr>
        <w:t>فهل فی الکتابة قصور،أو فتور عن الدلالة و الإنشاء علی ما هو المقصود بین الأشخاص؟و هل الدلالة فیها أضعف من دلالة الألفاظ؟و ما هو موضع الشارع المقدّس،و الشریعة السمحة السهلة فی قبال هذا الأمر المهمّ المتعارف بین الناس؟ فهل الشارع قد منع فی شریعته عن صحّة الکتابة و کفایتها،أم لا؟</w:t>
      </w:r>
    </w:p>
    <w:p>
      <w:pPr>
        <w:pStyle w:val="BookText"/>
        <w:rPr/>
      </w:pPr>
      <w:r>
        <w:rPr>
          <w:rFonts w:ascii="IRNazanin" w:hAnsi="IRNazanin" w:eastAsia="IRNazanin"/>
          <w:color w:val="111111"/>
          <w:sz w:val="28"/>
          <w:sz w:val="28"/>
          <w:szCs w:val="28"/>
          <w:rtl w:val="true"/>
          <w:lang w:bidi="fa-IR"/>
        </w:rPr>
        <w:t>و هل البیع علی نحو الکتابة صحیحة لازمة،أم لا؟و هل البیّنة الکتبیّة حجّة لدی القاضی،و یجب علیه الأخذ بها،أم لا؟و هل الحلف بصورة الکتابة کافیة،أم لا؟</w:t>
      </w:r>
    </w:p>
    <w:p>
      <w:pPr>
        <w:pStyle w:val="BookText"/>
        <w:rPr/>
      </w:pPr>
      <w:r>
        <w:rPr>
          <w:rFonts w:ascii="IRNazanin" w:hAnsi="IRNazanin" w:eastAsia="IRNazanin"/>
          <w:color w:val="111111"/>
          <w:sz w:val="28"/>
          <w:sz w:val="28"/>
          <w:szCs w:val="28"/>
          <w:rtl w:val="true"/>
          <w:lang w:bidi="fa-IR"/>
        </w:rPr>
        <w:t>و هکذا هل الإجازة أو الردّ فی العقد الفضولی تتحقّقان بنحو الکتابة،أم لا؟ و هل حکم القاضی بنحو الکتابة نافذ یجب الأخذ به،أم لا؟</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الواضح أنّ محلّ البحث و الکلام إنّما هو فیما إذا لم یشترط اللفظ فی موضوع شیء،کالصلاة؛فإنّ القراءة أو اللفظ معتبرة فی موضوعها و متعلّقها عند التیسّر،و أیضا محلّ النزاع فیما إذا لم یشترط فیه فعل خاصّ،کالقبض فی النقدین و إجراء الحدود و التعزیرات و الضمان،فمن الواضح عدم اعتبار الکتابة فی هذه الامور،بل إمّا أن تتحقّق بالألفاظ المعتبرة کالصلاة،أو بالأفعال المشخّصة المعیّنة، ففی سوی ذلک ما هو شأن الکتابة و اعتبارها عند الشارع المقدّس؟</w:t>
      </w:r>
    </w:p>
    <w:p>
      <w:pPr>
        <w:pStyle w:val="BookText"/>
        <w:rPr/>
      </w:pPr>
      <w:r>
        <w:rPr>
          <w:rFonts w:ascii="IRNazanin" w:hAnsi="IRNazanin" w:eastAsia="IRNazanin"/>
          <w:color w:val="111111"/>
          <w:sz w:val="28"/>
          <w:sz w:val="28"/>
          <w:szCs w:val="28"/>
          <w:rtl w:val="true"/>
          <w:lang w:bidi="fa-IR"/>
        </w:rPr>
        <w:t>و بما أنّ المسألة حادثة لم یبحث عنها فی کتب القوم،مستقلّة و مبسوطة علی حسب ما تفحّصت فی هذه المسألة،فطبعا یکون من اللاّزم البحث عن جمیع أبعادها و ما یمکن أن یقال فی اعتبارها،و ما یتوهّم فی عدم اعتبارها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قبل الورود فی البحث لا بدّ من ذکر مقدّمة،و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أنّهم قد اختلفوا فی اعتبار اللفظ الخاصّ،أو مطلق اللفظ فی العقود اللازمة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بدّ فی العقد من اللفظ،و لا یکفی الإشارة،و لا الکتابة مع القدرة و إن کان غائبا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فإنّه صریح فی عدم اعتبار الکتابة و الإشارة مع القدرة علی التلفّظ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تبعه ولده فخر المحقّقین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کلّ عقد لازم،وضع الشارع له صیغة مخصوصة بالاستقراء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الشهید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یجب الاقتصار فی العقود اللازمة علی الألفاظ المنقولة شرعا،المعهودة لغة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قد ادّعی السیّد ابن زهرة </w:t>
      </w:r>
      <w:r>
        <w:rPr>
          <w:rStyle w:val="FootnoteAnchor"/>
          <w:rtl w:val="true"/>
        </w:rPr>
        <w:footnoteReference w:id="227"/>
      </w:r>
      <w:r>
        <w:rPr>
          <w:rFonts w:ascii="IRNazanin" w:hAnsi="IRNazanin" w:eastAsia="IRNazanin"/>
          <w:color w:val="111111"/>
          <w:sz w:val="28"/>
          <w:sz w:val="28"/>
          <w:szCs w:val="28"/>
          <w:rtl w:val="true"/>
          <w:lang w:bidi="fa-IR"/>
        </w:rPr>
        <w:t>الإجماع علی عدم کفایة غیر اللفظ فیما إذا کان قادرا علی التلفّظ</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ذهب الشیخ الأعظم الأنصاری إلی اعتبار اللفظ،فقال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اعتبار اللفظ فی البیع،بل فی جمیع العقود ممّا نقل علیه الإجماع،و تحقّق فیه الشهرة العظیمة مع الإشارة إلیه فی بعض النصوص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اعلم أنّه لو قلنا باعتبار اللفظ فی إنشاء العقود و الإیقاعات،فلا مجال للبحث عن حجّیة الکتابة فیهما،و تجری مسألة الکتابة فی غیرهما،فالبحث عن حجّیة الکتابة فیهما إنّما هو بعد الفراغ عن عدم خصوصیّة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العاملی فی مفتاح الکرامة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الکتابة،فکالإشارة،کما فی التحریر </w:t>
      </w:r>
      <w:r>
        <w:rPr>
          <w:rStyle w:val="FootnoteAnchor"/>
          <w:rtl w:val="true"/>
        </w:rPr>
        <w:footnoteReference w:id="229"/>
      </w:r>
      <w:r>
        <w:rPr>
          <w:rFonts w:ascii="IRNazanin" w:hAnsi="IRNazanin" w:eastAsia="IRNazanin"/>
          <w:color w:val="111111"/>
          <w:sz w:val="28"/>
          <w:sz w:val="28"/>
          <w:szCs w:val="28"/>
          <w:rtl w:val="true"/>
          <w:lang w:bidi="fa-IR"/>
        </w:rPr>
        <w:t xml:space="preserve">و غیره </w:t>
      </w:r>
      <w:r>
        <w:rPr>
          <w:rStyle w:val="FootnoteAnchor"/>
          <w:rtl w:val="true"/>
        </w:rPr>
        <w:footnoteReference w:id="2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نهایة الإحکام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تنعقد بالکتابة؛سواء کان المشتری حاضرا أو غائبا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نعم،لو عجز عن النطق و کتبا أو أحدهما،و انضمّ إلیه قرینة إشارة دالّة علی الرضا صحّ </w:t>
      </w:r>
      <w:r>
        <w:rPr>
          <w:rStyle w:val="FootnoteAnchor"/>
          <w:rtl w:val="true"/>
        </w:rPr>
        <w:footnoteReference w:id="2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 قوله فی الدروس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الکتابة حاضرا کان أو غائبا،و تکفی لو تعذّر النطق مع الأمارة </w:t>
      </w:r>
      <w:r>
        <w:rPr>
          <w:rStyle w:val="FootnoteAnchor"/>
          <w:rtl w:val="true"/>
        </w:rPr>
        <w:footnoteReference w:id="232"/>
      </w:r>
      <w:r>
        <w:rPr>
          <w:rFonts w:ascii="IRNazanin" w:hAnsi="IRNazanin" w:eastAsia="IRNazanin"/>
          <w:color w:val="111111"/>
          <w:sz w:val="28"/>
          <w:sz w:val="28"/>
          <w:szCs w:val="28"/>
          <w:rtl w:val="true"/>
          <w:lang w:bidi="fa-IR"/>
        </w:rPr>
        <w:t>، و فی 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تکفی الکتابة لإمکان العبث </w:t>
      </w:r>
      <w:r>
        <w:rPr>
          <w:rStyle w:val="FootnoteAnchor"/>
          <w:rtl w:val="true"/>
        </w:rPr>
        <w:footnoteReference w:id="233"/>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المستفاد من هذه العبارات عدم اعتبار غیر اللفظ،بل قد عرفت ادّعاء الإجماع من البعض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 من خالفهم فی ذلک فیمن أعلم المحقّق النراقی فی المستند؛فإنّه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ظهر ممّا ذکرنا أنّه تکفی الإشارة المفهمة للنقل بعنوان البیع إذا أفادت القطع،و کذا الکتابة؛سواء تیسّر التکلّم أو تعذّر</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المشهور،فلا یکفی علی الأوّل،و أمّا علی الثانی،کالأخرس فصرّحوا بالکفایة،و وجهه عند من یعمّم البیع و یثبت اشتراط الصیغة بالإجماع ظاهر،و لکنّه لم یظهر وجهه عند من یخصّص البیع بما کان مع الصیغة،أو یقول بعدم</w:t>
      </w:r>
    </w:p>
    <w:p>
      <w:pPr>
        <w:pStyle w:val="BookText"/>
        <w:rPr/>
      </w:pPr>
      <w:r>
        <w:rPr>
          <w:rFonts w:ascii="IRNazanin" w:hAnsi="IRNazanin" w:eastAsia="IRNazanin"/>
          <w:color w:val="111111"/>
          <w:sz w:val="28"/>
          <w:sz w:val="28"/>
          <w:szCs w:val="28"/>
          <w:rtl w:val="true"/>
          <w:lang w:bidi="fa-IR"/>
        </w:rPr>
        <w:t>دلالة الإشارة علی النقل،إلاّ أن یدّعی الإجماع علی عدم الاشتراط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القول بأنّها تدلّ ظنّا،فیکتفی بها عند عدم إمکان العلم،مردود بعدم دلیل علی قیام الظنّ مقام العلم عند تعذّره مطلقا،سیّما مع إمکان التوکیل،و احتیاجه إلی الصیغة عند المشهور ممنوع؛لعدم کونه من العقود اللازمة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أصالة عدم وجوبه مندفعة بأنّها إنّما تکون لو أردنا الوجوب الشرعیّ،و أمّا الشرطی کما هو المقصود، فلا معنی لأصالة عدمه،بل هو مقتضی الأصل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موضع آخر من کتابه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عرفت حصول نقل الملک عن البائع،و حصول التملّک للمشتری بحصول البیع العرفی مطلقا،فلزوم ذلک هل یتوقّف علی صیغة خاصّة،أو علی مطلق اللفظ أو یحصل بحصول البیع عرفا و لو بالمعاطاة أو مثلها؟المشهور هو الأوّل،بل کاد أن یکون إجماعا،کما فی الروضة </w:t>
      </w:r>
      <w:r>
        <w:rPr>
          <w:rStyle w:val="FootnoteAnchor"/>
          <w:rtl w:val="true"/>
        </w:rPr>
        <w:footnoteReference w:id="236"/>
      </w:r>
      <w:r>
        <w:rPr>
          <w:rFonts w:ascii="IRNazanin" w:hAnsi="IRNazanin" w:eastAsia="IRNazanin"/>
          <w:color w:val="111111"/>
          <w:sz w:val="28"/>
          <w:sz w:val="28"/>
          <w:szCs w:val="28"/>
          <w:rtl w:val="true"/>
          <w:lang w:bidi="fa-IR"/>
        </w:rPr>
        <w:t xml:space="preserve">و المسالک فی موضعین </w:t>
      </w:r>
      <w:r>
        <w:rPr>
          <w:rStyle w:val="FootnoteAnchor"/>
          <w:rtl w:val="true"/>
        </w:rPr>
        <w:footnoteReference w:id="237"/>
      </w:r>
      <w:r>
        <w:rPr>
          <w:rFonts w:ascii="IRNazanin" w:hAnsi="IRNazanin" w:eastAsia="IRNazanin"/>
          <w:color w:val="111111"/>
          <w:sz w:val="28"/>
          <w:sz w:val="28"/>
          <w:szCs w:val="28"/>
          <w:rtl w:val="true"/>
          <w:lang w:bidi="fa-IR"/>
        </w:rPr>
        <w:t xml:space="preserve">،بل ظاهر الأخیر، کصریح الغنیة </w:t>
      </w:r>
      <w:r>
        <w:rPr>
          <w:rStyle w:val="FootnoteAnchor"/>
          <w:rtl w:val="true"/>
        </w:rPr>
        <w:footnoteReference w:id="238"/>
      </w:r>
      <w:r>
        <w:rPr>
          <w:rFonts w:ascii="IRNazanin" w:hAnsi="IRNazanin" w:eastAsia="IRNazanin"/>
          <w:color w:val="111111"/>
          <w:sz w:val="28"/>
          <w:sz w:val="28"/>
          <w:szCs w:val="28"/>
          <w:rtl w:val="true"/>
          <w:lang w:bidi="fa-IR"/>
        </w:rPr>
        <w:t xml:space="preserve">انعقاده،و نقل فی المسالک الثانی عن بعض معاصریه،و الثالث ظاهر المفید </w:t>
      </w:r>
      <w:r>
        <w:rPr>
          <w:rStyle w:val="FootnoteAnchor"/>
          <w:rtl w:val="true"/>
        </w:rPr>
        <w:footnoteReference w:id="239"/>
      </w:r>
      <w:r>
        <w:rPr>
          <w:rFonts w:ascii="IRNazanin" w:hAnsi="IRNazanin" w:eastAsia="IRNazanin"/>
          <w:color w:val="111111"/>
          <w:sz w:val="28"/>
          <w:sz w:val="28"/>
          <w:szCs w:val="28"/>
          <w:rtl w:val="true"/>
          <w:lang w:bidi="fa-IR"/>
        </w:rPr>
        <w:t xml:space="preserve">و جمع من المتأخّرین </w:t>
      </w:r>
      <w:r>
        <w:rPr>
          <w:rStyle w:val="FootnoteAnchor"/>
          <w:rtl w:val="true"/>
        </w:rPr>
        <w:footnoteReference w:id="240"/>
      </w:r>
      <w:r>
        <w:rPr>
          <w:rFonts w:ascii="Amiri" w:hAnsi="Amiri" w:eastAsia="Amiri" w:cs="Amiri"/>
          <w:color w:val="111111"/>
          <w:sz w:val="28"/>
          <w:sz w:val="28"/>
          <w:szCs w:val="28"/>
          <w:rtl w:val="true"/>
          <w:lang w:bidi="ar-SA"/>
        </w:rPr>
        <w:t>،و هو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استدلّ علی مختاره بأدلّة ثلاثة </w:t>
      </w:r>
      <w:r>
        <w:rPr>
          <w:rStyle w:val="FootnoteAnchor"/>
          <w:rtl w:val="true"/>
        </w:rPr>
        <w:footnoteReference w:id="241"/>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المشهور بوجوه کلّها مخدوشة</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الإجماع المنقول،کما ادّعاه السیّد ابن زهرة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المنع من حجّیته،لا مجال للاستدلال به فیما نحن فیه؛لوجود الروایات المعتبرة التی هی مستندة للحکم،فالإجماع مدرکیّ،مضافا إلی عدم تعرّض جمع لاختصاص العقود بالألفاظ،فکیف یتحقّق الإجماع؟</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التمسّک بأصالة عدم الملک،أو الانتقال فیما إذا تحقّق البیع بغیر اللفظ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سنقیم أدلّة علی اعتبار غیر اللفظ،و مع إقامة الدلیل لا وجه للتمسّک بالأصول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اللزوم فی البیع إنّما یتحقّق بتحقّق ما یدلّ علی نقل الملک به؛ أی إنشائه صریحا،و الدالّ صریحا علی ذلک منحصر فی الصیغة المخصوصة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أجاب عنه المحقّق النراقی بأنّه إن أرید بالدالّ صریحا،الدالّ بحسب الوضع الحقیقی،فمع تحکّم التخصیص لیست الصیغة المخصوصة أیضا کذلک،و إن أرید مطلقا فالانحصار ممنوع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الأولی فی الجواب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شکّ فی أنّ اللفظ من الدوالّ الصریحة، و لکنّ البحث و النزاع إنّما هو فی الکبری؛و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هل اللازم وجود الدالّ الصریح أم لا،بل یکفی کلّ ما یدلّ علی المقصود عرفا و لو بالکنایة و المجاز و الکتابة؟فهذا الدلیل مصادرة علی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الظواهر و الأحادیث الدالّة علی اعتبار اللفظ،کما ورد فی الحدیث</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الرجل یجیء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 هذا الثوب و أربحک کذا و کذا،قال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ألیس إن شاء</w:t>
      </w:r>
    </w:p>
    <w:p>
      <w:pPr>
        <w:pStyle w:val="BookText"/>
        <w:rPr/>
      </w:pPr>
      <w:r>
        <w:rPr>
          <w:rFonts w:ascii="IRNazanin" w:hAnsi="IRNazanin" w:eastAsia="IRNazanin"/>
          <w:color w:val="111111"/>
          <w:sz w:val="28"/>
          <w:sz w:val="28"/>
          <w:szCs w:val="28"/>
          <w:rtl w:val="true"/>
          <w:lang w:bidi="fa-IR"/>
        </w:rPr>
        <w:t>أخذ و إن شاء ترک؟قلت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بأس به،إنّما یحلّل الکلام و یحرّم الکلام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الشیخ الأنصاری بعد أن احتمل وجوها فی معنی الحدیث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یخلو الروایة عن إشعار أو ظهور </w:t>
      </w:r>
      <w:r>
        <w:rPr>
          <w:rStyle w:val="FootnoteAnchor"/>
          <w:rtl w:val="true"/>
        </w:rPr>
        <w:footnoteReference w:id="2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الظهور أو الإشعار علی اعتبار اللفظ و الکلام فی المحلّلیة و المحرّمیة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الاستدلال یتوقّف علی أن یراد بالکلام فی الموردین،اللفظ الدالّ علی التحریم و التحلیل؛بمعنی أنّ تحریم شیء و تحلیله لا یکون إلاّ بالنطق بهما،فلا یتحقّق بالقصد المجرّد عن الکلام،و لا بغیره من أنواع الدلالات غیر اللفظیة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المعنی مستلزم لتخصیص الأکثر؛لعدم انحصار التحلیل و التحریم فی کثیر من الموارد باللفظ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المعنی غیر مرتبط بالسؤال الوارد فی الحدیث مع کون العبارة تعلیلا له؛فإنّ مورد السؤال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السمسار یشتری ثوبا لشخص الآمر و هو إن شاء أخذ و إن لم یشأ لم یأخذ،و 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یوجب شراء المتاع من مالکه علی الشخص الآمر،و لا دخل لاشتراط النطق بهذا الحکم</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النراقی ردّا علی الاستدلال بأنّه لیس ظاهرا فی مطلوبهم،بل لا محتملا له؛لأنّه لا یلائم جعل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تعلیلا لسابقه،بل المراد أنّه إن کان بحیث إن شاء أخذ و إن شاء ترک،و لم یقل ما یوجب البیع لا بأس،و إلاّ ففیه بأس؛ لأنّه یحرّم و یحلّل بکلام،فإن أوجب البیع یحرّم،و إلاّ فیحلّ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bookmarkStart w:id="181" w:name="pg5439_46706"/>
    </w:p>
    <w:p>
      <w:pPr>
        <w:pStyle w:val="BookText"/>
        <w:rPr/>
      </w:pPr>
      <w:bookmarkEnd w:id="181"/>
      <w:r>
        <w:rPr>
          <w:rFonts w:ascii="IRNazanin" w:hAnsi="IRNazanin" w:eastAsia="IRNazanin"/>
          <w:color w:val="111111"/>
          <w:sz w:val="28"/>
          <w:sz w:val="28"/>
          <w:szCs w:val="28"/>
          <w:rtl w:val="true"/>
          <w:lang w:bidi="fa-IR"/>
        </w:rPr>
        <w:t>فظهر من جمیع ذلک عدم تمامیة مستند المشهور،فلا دلیل علی خصوصیّة اللفظ،فضلا عن اللفظ الخاصّ فی العقود و الإیقاعات،إلاّ فی الموارد التی دلّت النصوص علی اعتبار اللفظ کالطلاق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بعد ذلک یقع البحث فی أنّه بعد عدم الخصوصیّة للّفظ،فهل الکتابة أیضا معتبرة أم لا؟و لنذکر أوّلا کلمات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فاعلم أنّهم قد تعرّضوا لذلک فی بعض الأبواب کالطلاق،و الوصیّة و العتق، و نحن نشیر إلی بعض المواضع المبحوثة عن الکتابة فی الأبواب المختلفة الفقهیّة</w:t>
      </w:r>
      <w:r>
        <w:rPr>
          <w:rFonts w:eastAsia="IRNazanin" w:cs="IRNazanin"/>
          <w:color w:val="111111"/>
          <w:sz w:val="28"/>
          <w:szCs w:val="28"/>
          <w:rtl w:val="true"/>
          <w:lang w:bidi="fa-IR"/>
        </w:rPr>
        <w:t>:</w:t>
      </w:r>
    </w:p>
    <w:p>
      <w:pPr>
        <w:pStyle w:val="Heading5"/>
        <w:numPr>
          <w:ilvl w:val="4"/>
          <w:numId w:val="1"/>
        </w:numPr>
        <w:rPr/>
      </w:pPr>
      <w:bookmarkStart w:id="182" w:name="__RefHeading___Toc1855970_581953129"/>
      <w:bookmarkStart w:id="183" w:name="_Toc70"/>
      <w:bookmarkEnd w:id="182"/>
      <w:r>
        <w:rPr/>
        <w:t>1</w:t>
      </w:r>
      <w:r>
        <w:rPr>
          <w:rtl w:val="true"/>
        </w:rPr>
        <w:t>-</w:t>
      </w:r>
      <w:r>
        <w:rPr>
          <w:rtl w:val="true"/>
        </w:rPr>
        <w:t>وقوع الطلاق بالکتابة و عدمه</w:t>
      </w:r>
      <w:bookmarkEnd w:id="183"/>
    </w:p>
    <w:p>
      <w:pPr>
        <w:pStyle w:val="BookText"/>
        <w:rPr/>
      </w:pPr>
      <w:r>
        <w:rPr>
          <w:rFonts w:ascii="IRNazanin" w:hAnsi="IRNazanin" w:eastAsia="IRNazanin"/>
          <w:color w:val="111111"/>
          <w:sz w:val="28"/>
          <w:sz w:val="28"/>
          <w:szCs w:val="28"/>
          <w:rtl w:val="true"/>
          <w:lang w:bidi="fa-IR"/>
        </w:rPr>
        <w:t>اختلفوا فی أنّ الطلاق هل یقع بالکتابة أم لا؟و علی تقدیر وقوعه بها،هل هو مختصّ بصورة الاضطرار و العجز عن النطق؟و هل هو مختصّ بصورة غیبة الزوج أم لا؟فذهب الشیخ فی الخلاف إلی عدم وقوع الطلاق بالکتابة مع قصده لها،فقال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کتب بطلاق زوجته و لم یقصد بذلک الطلاق،لا یقع بلا خلاف،و إن قصد به الطلاق فعندنا أنّه لا یقع به شیء،و للشافعی فیه 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یقع علی کلّ حال،و به قال أبو حنیفة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یقع؛و هو مثل ما قلناه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دلیلنا إجماع الفرقة،و أیضا الأصل بقاء العقد،و لا دلیل علی وقوع الطلاق بالکتابة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العبارة مطلقة؛من دون فرق بین صورة العجز عن التلفّظ،و عدمه</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ذهب فی المبسوط إلی أنّ الطلاق لا یقع بها إذا کان قادرا علی التلفّظ،فقال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کتب بطلاقها و لا یتلفّظ و لا ینویه،فلا یقع به شیء بلا خلاف،و إذا تلفّظ به و کتبه وقع باللفظ،فإذا کتب و نوی و لم یتلفّظ به،فعندنا لا یقع به شیء إذا کان قادرا علی اللفظ،فإن لم یکن قادرا وقع واحدة إذا نواها لا أکثر منه،و لهم فیه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یقع،و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روی أصحابنا أنّه إن کان مع الغیبة فإنّه یقع، و إن کان مع الحضور فلا یقع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کلامه فی هذه العبارة مقیّد بصورة القدرة علی التکلّم،و أمّا مع العجز فهی معتبرة،و أیضا یستفاد من ظاهر العبارة التفصیل بین الحضور و الغیبة فی الطلاق؛ لأنّه نقل کلام الأصحاب من دون 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النهایة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یقع الطلاق إلاّ باللسان،فإن کتب 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طالق امرأته و هو حاضر لیس بغائب لم یقع الطلاق،و إن کان غائبا و کتب بخطّه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فلانة طالق وقع الطلاق،و إن قال لغیره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اکتب إلی فلانة امرأتی بطلاقها لم یقع الطلاق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الکلام صریح فی التفصیل بین الحضور و الغیاب فی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السیّد المرتضی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انفردت الإمامیّة به،أنّ الطلاق لا یقع إلاّ بلفظ واحد؛و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أنت طالق </w:t>
      </w:r>
      <w:r>
        <w:rPr>
          <w:rStyle w:val="FootnoteAnchor"/>
          <w:rtl w:val="true"/>
        </w:rPr>
        <w:footnoteReference w:id="2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العلاّمة فی شرائط 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النطق بالصیغة الصریحة المجرّدة عن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کتب العاجز و نوی صحّ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ذهب الشهید فی الروضة إلی عدم وقوع الطلاق بالکتابة؛سواء کان الزوج</w:t>
      </w:r>
    </w:p>
    <w:p>
      <w:pPr>
        <w:pStyle w:val="BookText"/>
        <w:rPr/>
      </w:pPr>
      <w:r>
        <w:rPr>
          <w:rFonts w:ascii="IRNazanin" w:hAnsi="IRNazanin" w:eastAsia="IRNazanin"/>
          <w:color w:val="111111"/>
          <w:sz w:val="28"/>
          <w:sz w:val="28"/>
          <w:szCs w:val="28"/>
          <w:rtl w:val="true"/>
          <w:lang w:bidi="fa-IR"/>
        </w:rPr>
        <w:t>حاضرا،أو غائبا،و استدلّ له بحسنة محمّد بن مسلم،عن الباقر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الطلاق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أنت طالق </w:t>
      </w:r>
      <w:r>
        <w:rPr>
          <w:rStyle w:val="FootnoteAnchor"/>
          <w:rtl w:val="true"/>
        </w:rPr>
        <w:footnoteReference w:id="2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حسنة زرارة،عنه علیه السّلام فی رجل کتب بطلاق امرأته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لیس ذلک بطلاق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للشیخ قول بوقوعه به للغائب،دون الحاضر </w:t>
      </w:r>
      <w:r>
        <w:rPr>
          <w:rStyle w:val="FootnoteAnchor"/>
          <w:rtl w:val="true"/>
        </w:rPr>
        <w:footnoteReference w:id="255"/>
      </w:r>
      <w:r>
        <w:rPr>
          <w:rFonts w:ascii="IRNazanin" w:hAnsi="IRNazanin" w:eastAsia="IRNazanin"/>
          <w:color w:val="111111"/>
          <w:sz w:val="28"/>
          <w:sz w:val="28"/>
          <w:szCs w:val="28"/>
          <w:rtl w:val="true"/>
          <w:lang w:bidi="fa-IR"/>
        </w:rPr>
        <w:t>لصحیحة أبی حمزة الثمالی، عن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الغائب لا یکون طلاق حتّی ینطق به لسانه،أو یخطّه بیده و هو یرید به الطلاق </w:t>
      </w:r>
      <w:r>
        <w:rPr>
          <w:rStyle w:val="FootnoteAnchor"/>
          <w:rtl w:val="true"/>
        </w:rPr>
        <w:footnoteReference w:id="2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حمل علی حالة الاضطرار جمعا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ذهب فی المسالک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صحّة وقوع الطلاق بالکتابة إذا کان غائبا؛استنادا إلی هذه الصحیحة </w:t>
      </w:r>
      <w:r>
        <w:rPr>
          <w:rStyle w:val="FootnoteAnchor"/>
          <w:rtl w:val="true"/>
        </w:rPr>
        <w:footnoteReference w:id="258"/>
      </w:r>
      <w:r>
        <w:rPr>
          <w:rFonts w:ascii="IRNazanin" w:hAnsi="IRNazanin" w:eastAsia="IRNazanin"/>
          <w:color w:val="111111"/>
          <w:sz w:val="28"/>
          <w:sz w:val="28"/>
          <w:szCs w:val="28"/>
          <w:rtl w:val="true"/>
          <w:lang w:bidi="fa-IR"/>
        </w:rPr>
        <w:t>،و قد ردّه فی الجواهر و طعنه بما لا یناسب مقام الشهید،فقال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الغریب ما فی المسالک من الإطناب فی ترجیح مضمون الخبر المزبور لمکان صحّة سنده،و کونه مقیّدا،و المعارض له مطلق،لکن لا عجب بعد أن کان منشأ ذلک اختلال طریقة الاستنباط،کما وقع له،و تسمع مثل ذلک غیر مرّة،و نسأل اللّه العفو لنا و له فی أمثال ذلک</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فی ردّ الروایة،المعلوم قصوره عن مقاومة ما تقدّم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لموافقة الصحیح المزبور للعامّة،الذین أوقعوا الطلاق بالکتابة،کالکنایة؛لأنّها أحد الخطابین،و أحد اللسانین المعربین عمّا فی الضمیر،و نحو ذلک من الاعتبارات التی</w:t>
      </w:r>
    </w:p>
    <w:p>
      <w:pPr>
        <w:pStyle w:val="BookText"/>
        <w:rPr/>
      </w:pPr>
      <w:r>
        <w:rPr>
          <w:rFonts w:ascii="IRNazanin" w:hAnsi="IRNazanin" w:eastAsia="IRNazanin"/>
          <w:color w:val="111111"/>
          <w:sz w:val="28"/>
          <w:sz w:val="28"/>
          <w:szCs w:val="28"/>
          <w:rtl w:val="true"/>
          <w:lang w:bidi="fa-IR"/>
        </w:rPr>
        <w:t xml:space="preserve">لا توافق أصول الإمامیّة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للشذوذ حتّی من القائل به؛لعدم اعتباره الکتابة بیده علی وجه لا یجوز له التوکیل،بل قد سمعت دعوی الإجماع فی مقابله؛مؤیّدا بالتتبّع لکلمات الأصحاب قدیما و حدیثا،بل لا یخلو ذیله عن تشویش مّا أیضا،مضافا إلی ما سمعته من النصوص،فکیف یحکم بمثله علی غیره و إن کان هو مقیّدا و الأوّل مطلقا،إلاّ أنّ من المعلوم اعتبار المقاومة فیه من غیر جهتی الإطلاق و التقیید،کما تحرّر فی الاصول،و لا ریب فی فقدها </w:t>
      </w:r>
      <w:r>
        <w:rPr>
          <w:rStyle w:val="FootnoteAnchor"/>
          <w:rtl w:val="true"/>
        </w:rPr>
        <w:footnoteReference w:id="2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مراده من اعتبار المقاومة عدم کون الخبر شاذّا،و عدم إعراض المشهور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صاحب الجواهر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کان،فلا یقع الطلاق بالکتابة من الحاضر و هو قادر علی التلفّظ قولا واحدا؛للأصل و النصوص السابقة الحاصرة للطلاق بالقول المخصوص و غیرها، کقوله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یحلّل الکلام و یحرّم الکلام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مضافا إلی معلومیّة عدم وقوع الطلاق بالأفعال،بل ربما ادّعی أنّه اسم للألفاظ المخصوصة المؤثّرة للطلاق</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إلی صحیح زرارة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کتب بطلاق امرأته أو بعتق غلامه،ثمّ بدا له فمحاه،قال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ذلک بطلاق و لا عتاق حتّی یتکلّم به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bookmarkStart w:id="184" w:name="pg5439_46710"/>
    </w:p>
    <w:p>
      <w:pPr>
        <w:pStyle w:val="BookText"/>
        <w:rPr/>
      </w:pPr>
      <w:bookmarkEnd w:id="184"/>
      <w:r>
        <w:rPr>
          <w:rFonts w:ascii="IRNazanin" w:hAnsi="IRNazanin" w:eastAsia="IRNazanin"/>
          <w:color w:val="111111"/>
          <w:sz w:val="28"/>
          <w:sz w:val="28"/>
          <w:szCs w:val="28"/>
          <w:rtl w:val="true"/>
          <w:lang w:bidi="fa-IR"/>
        </w:rPr>
        <w:t>و مضمرته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رجل کتب إلی امرأته بطلاقها،أو کتب بعتق مملوکه و لم ینطق به لسانه؟قال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بشیء حتّی ینطق به </w:t>
      </w:r>
      <w:r>
        <w:rPr>
          <w:rStyle w:val="FootnoteAnchor"/>
          <w:rtl w:val="true"/>
        </w:rPr>
        <w:footnoteReference w:id="263"/>
      </w:r>
      <w:r>
        <w:rPr>
          <w:rFonts w:ascii="IRNazanin" w:hAnsi="IRNazanin" w:eastAsia="IRNazanin"/>
          <w:color w:val="111111"/>
          <w:sz w:val="28"/>
          <w:sz w:val="28"/>
          <w:szCs w:val="28"/>
          <w:rtl w:val="true"/>
          <w:lang w:bidi="fa-IR"/>
        </w:rPr>
        <w:t xml:space="preserve">،من غیر فرق فی ذلک بین الحاضر و الغائب؛لإطلاق الأدلّة،بل فی الخلاف و المبسوط الإجماع علی ذلک </w:t>
      </w:r>
      <w:r>
        <w:rPr>
          <w:rStyle w:val="FootnoteAnchor"/>
          <w:rtl w:val="true"/>
        </w:rPr>
        <w:footnoteReference w:id="264"/>
      </w:r>
      <w:r>
        <w:rPr>
          <w:rFonts w:ascii="IRNazanin" w:hAnsi="IRNazanin" w:eastAsia="IRNazanin"/>
          <w:color w:val="111111"/>
          <w:sz w:val="28"/>
          <w:sz w:val="28"/>
          <w:szCs w:val="28"/>
          <w:rtl w:val="true"/>
          <w:lang w:bidi="fa-IR"/>
        </w:rPr>
        <w:t>، علی أنّ مقتضی قاعدة السببیّة عدم الفرق فیها بین الجمیع فی العقود و الإیقاعات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نعم،لو عجز عن النطق و لو لعارض فی لسانه،فکتب ناویا به الطلاق صحّ بلا خلاف؛لما سمعته فی الأخرس نصّا و فتوی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عرفت أنّ الاستدلال بحدیث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یحلّل الکلام و یحرّم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تامّ،و کذلک لا مجال للاستدلال بأصالة عدم الوقوع أیضا؛لوجود الأمارات المعتبرة،و ما ذکره أیضا من عدم تحقّق الطلاق بالأفعال فکیف بالکتابة،غیر صحیح؛لما هو ثابت من أقوائیّة الکتابة من الأفعال؛فإنّ الإجمال فی الأفعال موجود بخلاف الکتابة،اللّهمّ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الاعتماد علی الأفعال هو المتعارف فی الإنشاء بخلاف الکتابة،و هو کما تری؛لأنّ الإنشاء متقوّم بالقصد،و لا فرق بینهما من جهة أنّ کلاّ منها محتاج إلی القرینة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فالإنصاف عدم دلالة هذه الأدلّة علی عدم کفایة الکتابة فی الطلاق إلاّ مع العجز عن النطق،و إنّما الدلیل وجود الروایات الخاصّة فی المقام،و من الواضح أنّ التعدّی عن موردها إلی سائر الموارد غیر صحیح</w:t>
      </w:r>
      <w:r>
        <w:rPr>
          <w:rFonts w:eastAsia="IRNazanin" w:cs="IRNazanin"/>
          <w:color w:val="111111"/>
          <w:sz w:val="28"/>
          <w:szCs w:val="28"/>
          <w:rtl w:val="true"/>
          <w:lang w:bidi="fa-IR"/>
        </w:rPr>
        <w:t>.</w:t>
      </w:r>
    </w:p>
    <w:p>
      <w:pPr>
        <w:pStyle w:val="Heading5"/>
        <w:numPr>
          <w:ilvl w:val="4"/>
          <w:numId w:val="1"/>
        </w:numPr>
        <w:rPr/>
      </w:pPr>
      <w:bookmarkStart w:id="185" w:name="__RefHeading___Toc1855972_581953129"/>
      <w:bookmarkStart w:id="186" w:name="_Toc71"/>
      <w:bookmarkEnd w:id="185"/>
      <w:r>
        <w:rPr/>
        <w:t>2</w:t>
      </w:r>
      <w:r>
        <w:rPr>
          <w:rtl w:val="true"/>
        </w:rPr>
        <w:t>-</w:t>
      </w:r>
      <w:r>
        <w:rPr>
          <w:rtl w:val="true"/>
        </w:rPr>
        <w:t>صحّة الوصیّة بالکتابة و عدمها</w:t>
      </w:r>
      <w:bookmarkEnd w:id="186"/>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اختلفوا أیضا فی صحّة الوصیّة بالکتابة و عدمها،فذهب الشهید إلی عدم</w:t>
      </w:r>
    </w:p>
    <w:p>
      <w:pPr>
        <w:pStyle w:val="BookText"/>
        <w:rPr/>
      </w:pPr>
      <w:r>
        <w:rPr>
          <w:rFonts w:ascii="IRNazanin" w:hAnsi="IRNazanin" w:eastAsia="IRNazanin"/>
          <w:color w:val="111111"/>
          <w:sz w:val="28"/>
          <w:sz w:val="28"/>
          <w:szCs w:val="28"/>
          <w:rtl w:val="true"/>
          <w:lang w:bidi="fa-IR"/>
        </w:rPr>
        <w:t>صحّة الوصیّة بالکتابة فی حال الاختیار،فقال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تکفی الإشارة الدالّة علی المراد قطعا فی إیجاب الوصیّة مع تعذّر اللفظ لخرس،أو اعتقال لسان بمرض و نحوه،و کذا تکفی الکتابة کذلک مع القرینة الدالّة قطعا علی قصد الوصیّة بها لا مطلقا؛لأنّها أعمّ،و لا تکفیان مع الاختیار و إن شوهد کاتبا،أو علم خطّه،أو علم الورثة ببعضها خلافا للشیخ </w:t>
      </w:r>
      <w:r>
        <w:rPr>
          <w:rStyle w:val="FootnoteAnchor"/>
          <w:rtl w:val="true"/>
        </w:rPr>
        <w:footnoteReference w:id="266"/>
      </w:r>
      <w:r>
        <w:rPr>
          <w:rFonts w:ascii="IRNazanin" w:hAnsi="IRNazanin" w:eastAsia="IRNazanin"/>
          <w:color w:val="111111"/>
          <w:sz w:val="28"/>
          <w:sz w:val="28"/>
          <w:szCs w:val="28"/>
          <w:rtl w:val="true"/>
          <w:lang w:bidi="fa-IR"/>
        </w:rPr>
        <w:t xml:space="preserve">فی الأخیر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الظاهر أنّ صحّة الوصیّة بالکتابة مع العجز عن النطق و القرینة الدالّة علی إرادة الوصیّة منها لیست محلاّ للخلاف،کما عن التنقیح </w:t>
      </w:r>
      <w:r>
        <w:rPr>
          <w:rStyle w:val="FootnoteAnchor"/>
          <w:rtl w:val="true"/>
        </w:rPr>
        <w:footnoteReference w:id="268"/>
      </w:r>
      <w:r>
        <w:rPr>
          <w:rFonts w:ascii="Amiri" w:hAnsi="Amiri" w:eastAsia="Amiri" w:cs="Amiri"/>
          <w:color w:val="111111"/>
          <w:sz w:val="28"/>
          <w:sz w:val="28"/>
          <w:szCs w:val="28"/>
          <w:rtl w:val="true"/>
          <w:lang w:bidi="ar-SA"/>
        </w:rPr>
        <w:t xml:space="preserve">و العلاّمة </w:t>
      </w:r>
      <w:r>
        <w:rPr>
          <w:rStyle w:val="FootnoteAnchor"/>
          <w:rtl w:val="true"/>
        </w:rPr>
        <w:footnoteReference w:id="269"/>
      </w:r>
      <w:r>
        <w:rPr>
          <w:rFonts w:ascii="IRNazanin" w:hAnsi="IRNazanin" w:eastAsia="IRNazanin"/>
          <w:color w:val="111111"/>
          <w:sz w:val="28"/>
          <w:sz w:val="28"/>
          <w:szCs w:val="28"/>
          <w:rtl w:val="true"/>
          <w:lang w:bidi="fa-IR"/>
        </w:rPr>
        <w:t xml:space="preserve">و ولده </w:t>
      </w:r>
      <w:r>
        <w:rPr>
          <w:rStyle w:val="FootnoteAnchor"/>
          <w:rtl w:val="true"/>
        </w:rPr>
        <w:footnoteReference w:id="270"/>
      </w:r>
      <w:r>
        <w:rPr>
          <w:rFonts w:ascii="IRNazanin" w:hAnsi="IRNazanin" w:eastAsia="IRNazanin"/>
          <w:color w:val="111111"/>
          <w:sz w:val="28"/>
          <w:sz w:val="28"/>
          <w:szCs w:val="28"/>
          <w:rtl w:val="true"/>
          <w:lang w:bidi="fa-IR"/>
        </w:rPr>
        <w:t xml:space="preserve">و الشهیدین </w:t>
      </w:r>
      <w:r>
        <w:rPr>
          <w:rStyle w:val="FootnoteAnchor"/>
          <w:rtl w:val="true"/>
        </w:rPr>
        <w:footnoteReference w:id="271"/>
      </w:r>
      <w:r>
        <w:rPr>
          <w:rFonts w:ascii="IRNazanin" w:hAnsi="IRNazanin" w:eastAsia="IRNazanin"/>
          <w:color w:val="111111"/>
          <w:sz w:val="28"/>
          <w:sz w:val="28"/>
          <w:szCs w:val="28"/>
          <w:rtl w:val="true"/>
          <w:lang w:bidi="fa-IR"/>
        </w:rPr>
        <w:t xml:space="preserve">و المحقّق الثانی </w:t>
      </w:r>
      <w:r>
        <w:rPr>
          <w:rStyle w:val="FootnoteAnchor"/>
          <w:rtl w:val="true"/>
        </w:rPr>
        <w:footnoteReference w:id="272"/>
      </w:r>
      <w:r>
        <w:rPr>
          <w:rFonts w:ascii="Amiri" w:hAnsi="Amiri" w:eastAsia="Amiri" w:cs="Amiri"/>
          <w:color w:val="111111"/>
          <w:sz w:val="28"/>
          <w:sz w:val="28"/>
          <w:szCs w:val="28"/>
          <w:rtl w:val="true"/>
          <w:lang w:bidi="ar-SA"/>
        </w:rPr>
        <w:t xml:space="preserve">و الحلّی </w:t>
      </w:r>
      <w:r>
        <w:rPr>
          <w:rStyle w:val="FootnoteAnchor"/>
          <w:rtl w:val="true"/>
        </w:rPr>
        <w:footnoteReference w:id="273"/>
      </w:r>
      <w:r>
        <w:rPr>
          <w:rFonts w:ascii="IRNazanin" w:hAnsi="IRNazanin" w:eastAsia="IRNazanin"/>
          <w:color w:val="111111"/>
          <w:sz w:val="28"/>
          <w:sz w:val="28"/>
          <w:szCs w:val="28"/>
          <w:rtl w:val="true"/>
          <w:lang w:bidi="fa-IR"/>
        </w:rPr>
        <w:t xml:space="preserve">،بل عن الإیضاح الإجماع علی ذلک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ذهب فی الریاض </w:t>
      </w:r>
      <w:r>
        <w:rPr>
          <w:rStyle w:val="FootnoteAnchor"/>
          <w:rtl w:val="true"/>
        </w:rPr>
        <w:footnoteReference w:id="275"/>
      </w:r>
      <w:r>
        <w:rPr>
          <w:rFonts w:ascii="IRNazanin" w:hAnsi="IRNazanin" w:eastAsia="IRNazanin"/>
          <w:color w:val="111111"/>
          <w:sz w:val="28"/>
          <w:sz w:val="28"/>
          <w:szCs w:val="28"/>
          <w:rtl w:val="true"/>
          <w:lang w:bidi="fa-IR"/>
        </w:rPr>
        <w:t xml:space="preserve">و النافع </w:t>
      </w:r>
      <w:r>
        <w:rPr>
          <w:rStyle w:val="FootnoteAnchor"/>
          <w:rtl w:val="true"/>
        </w:rPr>
        <w:footnoteReference w:id="276"/>
      </w:r>
      <w:r>
        <w:rPr>
          <w:rFonts w:ascii="IRNazanin" w:hAnsi="IRNazanin" w:eastAsia="IRNazanin"/>
          <w:color w:val="111111"/>
          <w:sz w:val="28"/>
          <w:sz w:val="28"/>
          <w:szCs w:val="28"/>
          <w:rtl w:val="true"/>
          <w:lang w:bidi="fa-IR"/>
        </w:rPr>
        <w:t xml:space="preserve">إلی صحّة الوصیّة بالکتابة مع القرینة القطعیّة حتّی مع الاختیار،کما احتملها فی التذکرة </w:t>
      </w:r>
      <w:r>
        <w:rPr>
          <w:rStyle w:val="FootnoteAnchor"/>
          <w:rtl w:val="true"/>
        </w:rPr>
        <w:footnoteReference w:id="277"/>
      </w:r>
      <w:r>
        <w:rPr>
          <w:rFonts w:ascii="IRNazanin" w:hAnsi="IRNazanin" w:eastAsia="IRNazanin"/>
          <w:color w:val="111111"/>
          <w:sz w:val="28"/>
          <w:sz w:val="28"/>
          <w:szCs w:val="28"/>
          <w:rtl w:val="true"/>
          <w:lang w:bidi="fa-IR"/>
        </w:rPr>
        <w:t>فی أوّل کلامه</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أنّ مراد المانعین من صحّة الوصیّة بالکتابة فی حال الاختیار،هو عدم صدق العقد علی الوصیّة الکتبیّة،لا عدم إجراء حکم الوصیّة علیها؛لوضوح</w:t>
      </w:r>
      <w:bookmarkStart w:id="187" w:name="pg5439_46712"/>
    </w:p>
    <w:p>
      <w:pPr>
        <w:pStyle w:val="BookText"/>
        <w:rPr/>
      </w:pPr>
      <w:bookmarkEnd w:id="187"/>
      <w:r>
        <w:rPr>
          <w:rFonts w:ascii="IRNazanin" w:hAnsi="IRNazanin" w:eastAsia="IRNazanin"/>
          <w:color w:val="111111"/>
          <w:sz w:val="28"/>
          <w:sz w:val="28"/>
          <w:szCs w:val="28"/>
          <w:rtl w:val="true"/>
          <w:lang w:bidi="fa-IR"/>
        </w:rPr>
        <w:t xml:space="preserve">أنّ إطلاق الأدلّة شامل للوصیّة الکتبیّة أیضا،و علی ذلک المعنی حمل صاحب الجواهر </w:t>
      </w:r>
      <w:r>
        <w:rPr>
          <w:rStyle w:val="FootnoteAnchor"/>
          <w:rtl w:val="true"/>
        </w:rPr>
        <w:footnoteReference w:id="278"/>
      </w:r>
      <w:r>
        <w:rPr>
          <w:rFonts w:ascii="IRNazanin" w:hAnsi="IRNazanin" w:eastAsia="IRNazanin"/>
          <w:color w:val="111111"/>
          <w:sz w:val="28"/>
          <w:sz w:val="28"/>
          <w:szCs w:val="28"/>
          <w:rtl w:val="true"/>
          <w:lang w:bidi="fa-IR"/>
        </w:rPr>
        <w:t>کلمات المانعین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یستفاد من کلماته أنّه اختار صحّة الوصیّة بالکتابة حتّی فی حال الاختیار، کما صرّح بصحّة الکتابة فی الإقرار،فقال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یبعد فی النظر الاکتفاء بالکتابة فی الإقرار و الوصیّة مع ظهور إرادة ذلک منها،فضلا عن صورة العلم؛ضرورة حجّیة ظواهر الأفعال کالأقوال فی الجملة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کیف کان،فالظاهر عدم وجود نصّ خاصّ دالّ علی اشتراط النطق فی الوصیّة،و إطلاق أدلّة الوصیّة شامل للکتابة أیضا،مع ما عرفت من أنّها مطابقة للقاعدة الأوّلیة،فالکتابة فی الوصیّة مع القرینة الدالّة علی إرادة الوصیّة معتبرة یجب العمل بها،و اللّه العالم</w:t>
      </w:r>
      <w:r>
        <w:rPr>
          <w:rFonts w:eastAsia="IRNazanin" w:cs="IRNazanin"/>
          <w:color w:val="111111"/>
          <w:sz w:val="28"/>
          <w:szCs w:val="28"/>
          <w:rtl w:val="true"/>
          <w:lang w:bidi="fa-IR"/>
        </w:rPr>
        <w:t>.</w:t>
      </w:r>
    </w:p>
    <w:p>
      <w:pPr>
        <w:pStyle w:val="Heading5"/>
        <w:numPr>
          <w:ilvl w:val="4"/>
          <w:numId w:val="1"/>
        </w:numPr>
        <w:rPr/>
      </w:pPr>
      <w:bookmarkStart w:id="188" w:name="__RefHeading___Toc1855974_581953129"/>
      <w:bookmarkStart w:id="189" w:name="_Toc72"/>
      <w:bookmarkEnd w:id="188"/>
      <w:r>
        <w:rPr/>
        <w:t>3</w:t>
      </w:r>
      <w:r>
        <w:rPr>
          <w:rtl w:val="true"/>
        </w:rPr>
        <w:t>-</w:t>
      </w:r>
      <w:r>
        <w:rPr>
          <w:rtl w:val="true"/>
        </w:rPr>
        <w:t>التحیّة علی وجه الکتابة</w:t>
      </w:r>
      <w:bookmarkEnd w:id="189"/>
    </w:p>
    <w:p>
      <w:pPr>
        <w:pStyle w:val="BookText"/>
        <w:rPr/>
      </w:pPr>
      <w:r>
        <w:rPr>
          <w:rFonts w:ascii="IRNazanin" w:hAnsi="IRNazanin" w:eastAsia="IRNazanin"/>
          <w:color w:val="111111"/>
          <w:sz w:val="28"/>
          <w:sz w:val="28"/>
          <w:szCs w:val="28"/>
          <w:rtl w:val="true"/>
          <w:lang w:bidi="fa-IR"/>
        </w:rPr>
        <w:t>و قد اختلفوا فی أنّ التحیّة علی وجه الکتابة هل هی موجبة لوجوب ردّها و الجواب علیها،أم لا؟ذهب العلاّمة فی التذکرة إلی عدم تحقّق التحیّة بالکتابة و حصرها بالنداء،فقال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ناداه من وراء ستر أو حائط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 یا فلان،أو کتب کتابا و سلّم فیه علیه،أو أرسل رسولا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 علی فلان،فبلغه الکتاب و الرسالة،قال بعض الشافعیّة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یجب علیه الجواب؛و الوجه أنّه إن سمع النداء وجب الجواب،و إلاّ فلا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استحسنه صاحب الجواهر فقال بعد ذکر هذا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جیّد؛ضرورة</w:t>
      </w:r>
    </w:p>
    <w:p>
      <w:pPr>
        <w:pStyle w:val="BookText"/>
        <w:rPr/>
      </w:pPr>
      <w:r>
        <w:rPr>
          <w:rFonts w:ascii="IRNazanin" w:hAnsi="IRNazanin" w:eastAsia="IRNazanin"/>
          <w:color w:val="111111"/>
          <w:sz w:val="28"/>
          <w:sz w:val="28"/>
          <w:szCs w:val="28"/>
          <w:rtl w:val="true"/>
          <w:lang w:bidi="fa-IR"/>
        </w:rPr>
        <w:t xml:space="preserve">عدم صدق التحیّة علی الکتابة التی هی النقوش،بل و لا علی الرسالة التی هی نقل السلام،لا الاستنابة من الرسول فی التحیّة،إذ الثانیة لا ریب فی أنّها تحیّة،بخلاف الاولی </w:t>
      </w:r>
      <w:r>
        <w:rPr>
          <w:rStyle w:val="FootnoteAnchor"/>
          <w:rtl w:val="true"/>
        </w:rPr>
        <w:footnoteReference w:id="281"/>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یبعد عدم الفرق بین التحیّة علی وجه النداء،و التحیّة علی وجه الکتابة، کما یظهر من مراجعة اللغة؛فإنّها عبارة عن دعاء السلام و نحوه من البرّ،قال فی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من دون تقیید بالقول </w:t>
      </w:r>
      <w:r>
        <w:rPr>
          <w:rStyle w:val="FootnoteAnchor"/>
          <w:rtl w:val="true"/>
        </w:rPr>
        <w:footnoteReference w:id="2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فی المغرب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حیّاه؛بمعنی أحیاه تحیّة،کبقّاه؛بمعنی أبقاه تبقیة،هذا أصلها،ثمّ سمّی ما یحیا به من سلام و نحوه تحیّة </w:t>
      </w:r>
      <w:r>
        <w:rPr>
          <w:rStyle w:val="FootnoteAnchor"/>
          <w:rtl w:val="true"/>
        </w:rPr>
        <w:footnoteReference w:id="283"/>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یشمل کلّ برّ من القول و الفعل،کما یظهر من علیّ بن إبراهیم فی تفسیره،حیث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و غیره من البرّ </w:t>
      </w:r>
      <w:r>
        <w:rPr>
          <w:rStyle w:val="FootnoteAnchor"/>
          <w:rtl w:val="true"/>
        </w:rPr>
        <w:footnoteReference w:id="284"/>
      </w:r>
      <w:r>
        <w:rPr>
          <w:rFonts w:ascii="IRNazanin" w:hAnsi="IRNazanin" w:eastAsia="IRNazanin"/>
          <w:color w:val="111111"/>
          <w:sz w:val="28"/>
          <w:sz w:val="28"/>
          <w:szCs w:val="28"/>
          <w:rtl w:val="true"/>
          <w:lang w:bidi="fa-IR"/>
        </w:rPr>
        <w:t>،فظهر عدم اختصاص التحیّة لغة بالقول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هذا،مضافا إلی إطلاق الآیة الشریفة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حُیِّیتُمْ بِتَحِیَّةٍ فَحَیُّوا بِأَحْسَنَ مِنْها </w:t>
      </w:r>
      <w:r>
        <w:rPr>
          <w:rStyle w:val="FootnoteAnchor"/>
          <w:rtl w:val="true"/>
        </w:rPr>
        <w:footnoteReference w:id="285"/>
      </w:r>
      <w:r>
        <w:rPr>
          <w:rFonts w:ascii="IRNazanin" w:hAnsi="IRNazanin" w:eastAsia="IRNazanin"/>
          <w:color w:val="111111"/>
          <w:sz w:val="28"/>
          <w:sz w:val="28"/>
          <w:szCs w:val="28"/>
          <w:rtl w:val="true"/>
          <w:lang w:bidi="fa-IR"/>
        </w:rPr>
        <w:t>،و أنّ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یشمل جمیع أنواع التحیّة من القول و الفعل و الکتابة،و یؤیّد ذلک ما فی بعض الروایات من أنّ جاریة جاءت للحسن علیه السّلام بطاقة ریحان،فقال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حرّة لوجه اللّه،فقیل له فی ذلک؟فقال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أدّبنا اللّه تعالی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حُیِّیتُمْ بِتَحِیَّةٍ فَحَیُّوا بِأَحْسَنَ مِنْها الآیة،و کان أحسن منها إعتاقها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 ذلک کلّه إنّا لا نطمئنّ بشمول التحیّة للسلام علی نحو الکتابة؛لاحتمال خصوصیّة المخاطبة فی السلام،و الأحوط وجوب الردّ فیها</w:t>
      </w:r>
      <w:r>
        <w:rPr>
          <w:rFonts w:eastAsia="IRNazanin" w:cs="IRNazanin"/>
          <w:color w:val="111111"/>
          <w:sz w:val="28"/>
          <w:szCs w:val="28"/>
          <w:rtl w:val="true"/>
          <w:lang w:bidi="fa-IR"/>
        </w:rPr>
        <w:t>.</w:t>
      </w:r>
      <w:bookmarkStart w:id="190" w:name="pg5439_46714"/>
    </w:p>
    <w:p>
      <w:pPr>
        <w:pStyle w:val="Heading5"/>
        <w:numPr>
          <w:ilvl w:val="4"/>
          <w:numId w:val="1"/>
        </w:numPr>
        <w:rPr/>
      </w:pPr>
      <w:bookmarkStart w:id="191" w:name="__RefHeading___Toc1855976_581953129"/>
      <w:bookmarkStart w:id="192" w:name="_Toc73"/>
      <w:bookmarkEnd w:id="190"/>
      <w:bookmarkEnd w:id="191"/>
      <w:r>
        <w:rPr/>
        <w:t>4</w:t>
      </w:r>
      <w:r>
        <w:rPr/>
        <w:t>،</w:t>
      </w:r>
      <w:r>
        <w:rPr/>
        <w:t>5</w:t>
      </w:r>
      <w:r>
        <w:rPr>
          <w:rtl w:val="true"/>
        </w:rPr>
        <w:t>-</w:t>
      </w:r>
      <w:r>
        <w:rPr>
          <w:rtl w:val="true"/>
        </w:rPr>
        <w:t>تحقّق الکذب و الغیبة بالکتابة</w:t>
      </w:r>
      <w:bookmarkEnd w:id="192"/>
    </w:p>
    <w:p>
      <w:pPr>
        <w:pStyle w:val="BookText"/>
        <w:rPr/>
      </w:pPr>
      <w:r>
        <w:rPr>
          <w:rFonts w:ascii="IRNazanin" w:hAnsi="IRNazanin" w:eastAsia="IRNazanin"/>
          <w:color w:val="111111"/>
          <w:sz w:val="28"/>
          <w:sz w:val="28"/>
          <w:szCs w:val="28"/>
          <w:rtl w:val="true"/>
          <w:lang w:bidi="fa-IR"/>
        </w:rPr>
        <w:t>و قد وقع الخلاف فی باب المفطرات من کتاب الصیام فی أنّ الکذب علی الأئمّة و الأنبیاء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من المفطرات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یتحقّق بالکتابة،أم لا؟ و هل یتحقّق موضوع الغیبة بالکتابة،أم لا؟فذهب صاحب الجواهر إلی تحقّق الغیبة بالکتابة،فقال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المعلوم أنّ حرمتها بالقول باعتبار إفادته السامع ما ینقصه و یعیبه و تفهیمه ذلک،و حینئذ فیعمّ الحکم کلّ ما یفید ذلک؛من الکتابة التی هی إحدی اللسانین،و الحکایة التی هی أبلغ فی التفهیم من القول و التعریض و التلویح و غیرها </w:t>
      </w:r>
      <w:r>
        <w:rPr>
          <w:rStyle w:val="FootnoteAnchor"/>
          <w:rtl w:val="true"/>
        </w:rPr>
        <w:footnoteReference w:id="2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تفصیل الموردین یحتاج إلی بحث موسّع موکول إلی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ممّا ذکرنا إلی هنا عدم اختصاص للّفظ،سیّما فی الإخباریات إلاّ بدلیل خاصّ فی مورد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هذه المقدّمة یمکن أن یستدلّ لکفایة الکتابة بوجهین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إِذا تَدایَنْتُمْ بِدَیْنٍ إِلی أَجَلٍ مُسَمًّی فَاکْتُبُوهُ وَ لْیَکْتُبْ بَیْنَکُمْ کاتِبٌ بِالْعَدْلِ وَ لا یَأْبَ کاتِبٌ أَنْ یَکْتُبَ کَما عَلَّمَهُ اللّهُ</w:t>
      </w:r>
      <w:r>
        <w:rPr>
          <w:rFonts w:eastAsia="Amiri" w:cs="Amiri" w:ascii="Amiri" w:hAnsi="Amiri"/>
          <w:color w:val="111111"/>
          <w:sz w:val="28"/>
          <w:szCs w:val="28"/>
          <w:rtl w:val="true"/>
          <w:lang w:bidi="ar-SA"/>
        </w:rPr>
        <w:t xml:space="preserve">...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استدلّ المحقّق الأردبیلی قدّس سرّه بهذه الآیة المبارکة علی اعتبار الکتابة،فقال</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اعلم أنّ هذه التأکیدات فی أمر الکتابة تدلّ ظاهرا علی أنّها معتبرة و حجّة شرعیّة،مع أنّهم یقولون بعدم اعتبارها،فکأنّه للإجماع و الأخبار،فتکون للتذکرة و هو بعید،و یمکن أن تکون حجّة مع ثبوت أنّه إملاء من علیه الدّین،و أنّه مکتوب بالعدل و ما دخل علیه التغییر و التزویر بإقراره أو بالشهود،و لهذا شرط الإملاء منه،فدلّت علی اعتبار الکتابة فی الجملة،و مثلها معتبرة عندهم،فیخصّص عدم</w:t>
      </w:r>
    </w:p>
    <w:p>
      <w:pPr>
        <w:pStyle w:val="BookText"/>
        <w:rPr/>
      </w:pPr>
      <w:r>
        <w:rPr>
          <w:rFonts w:ascii="IRNazanin" w:hAnsi="IRNazanin" w:eastAsia="IRNazanin"/>
          <w:color w:val="111111"/>
          <w:sz w:val="28"/>
          <w:sz w:val="28"/>
          <w:szCs w:val="28"/>
          <w:rtl w:val="true"/>
          <w:lang w:bidi="fa-IR"/>
        </w:rPr>
        <w:t>اعتبار الکتابة،و دلیله إن کان بغیر ذلک،فإذا قال 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هذه وصیّتی و أعلم بجمیع ما فیها مشیرا إلی صکّه،ینبغی قبوله و الشهادة علیه و العمل به،و الذی یظهر من القواعد </w:t>
      </w:r>
      <w:r>
        <w:rPr>
          <w:rStyle w:val="FootnoteAnchor"/>
          <w:rtl w:val="true"/>
        </w:rPr>
        <w:footnoteReference w:id="289"/>
      </w:r>
      <w:r>
        <w:rPr>
          <w:rFonts w:ascii="IRNazanin" w:hAnsi="IRNazanin" w:eastAsia="IRNazanin"/>
          <w:color w:val="111111"/>
          <w:sz w:val="28"/>
          <w:sz w:val="28"/>
          <w:szCs w:val="28"/>
          <w:rtl w:val="true"/>
          <w:lang w:bidi="fa-IR"/>
        </w:rPr>
        <w:t xml:space="preserve">خلافه،و هکذا ینبغی قبول قول أمثاله فافهم </w:t>
      </w:r>
      <w:r>
        <w:rPr>
          <w:rStyle w:val="FootnoteAnchor"/>
          <w:rtl w:val="true"/>
        </w:rPr>
        <w:footnoteReference w:id="290"/>
      </w:r>
      <w:r>
        <w:rPr>
          <w:rFonts w:ascii="IRNazanin" w:hAnsi="IRNazanin" w:eastAsia="IRNazanin"/>
          <w:color w:val="111111"/>
          <w:sz w:val="28"/>
          <w:sz w:val="28"/>
          <w:szCs w:val="28"/>
          <w:rtl w:val="true"/>
          <w:lang w:bidi="fa-IR"/>
        </w:rPr>
        <w:t>،انتهی کلامه رفع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المستفاد من هذه العبارات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التأکیدات فی الآیة الشریفة علی الکتابة و کیفیّتها و شرائطها تدلّ علی أنّها حجّة معتبرة مستقلّة عند الشارع المقدّس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فتوی الفقهاء و عدولهم عن ظاهر الآیة الشریفة،و الذهاب إلی عدم اعتبارها إنّما هو من جهة الإجماع و وجود الأخبار؛و بناء علی ذلک تکون الکتابة تذکرة لمن کتب،و لیست دلیلا و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یحتمل أن تکون الکتابة حجّة فی الجملة لا بالجملة،و قد مال الفقهاء إلی اعتبار هذا النوع من الکتابة،و هو خارج من أدلّة عدم اعتبار الکتابة بالخروج التخصیصی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اللازم هنا البحث عن الآیة الشریفة و مدی دلالتها،و أنّها هل تدلّ علی اعتبار الکتابة و حجّیتها مستقلاّ أم لا؟</w:t>
      </w:r>
    </w:p>
    <w:p>
      <w:pPr>
        <w:pStyle w:val="BookText"/>
        <w:rPr/>
      </w:pPr>
      <w:r>
        <w:rPr>
          <w:rFonts w:ascii="IRNazanin" w:hAnsi="IRNazanin" w:eastAsia="IRNazanin"/>
          <w:color w:val="111111"/>
          <w:sz w:val="28"/>
          <w:sz w:val="28"/>
          <w:szCs w:val="28"/>
          <w:rtl w:val="true"/>
          <w:lang w:bidi="fa-IR"/>
        </w:rPr>
        <w:t>اختلف المفسّرون فی أنّ الآیة الشریفة هل هی دالّة علی الحکم المولوی الشرعی،أم لا،بل یدلّ علی الحکم العقلائی الإرشادی؟و علی تقدیر کون الحکم مولویّا هل هی دالّة علی الحکم الوجوبی أو الاستحبابی؟و علی فرض الوجوب هل هو علی نحو الوجوب الکفائی أم لا؟</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 جمع من الخاصّة و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الأمر بالکتابة دالّ علی الوجوب</w:t>
      </w:r>
    </w:p>
    <w:p>
      <w:pPr>
        <w:pStyle w:val="BookText"/>
        <w:rPr/>
      </w:pPr>
      <w:r>
        <w:rPr>
          <w:rFonts w:ascii="IRNazanin" w:hAnsi="IRNazanin" w:eastAsia="IRNazanin"/>
          <w:color w:val="111111"/>
          <w:sz w:val="28"/>
          <w:sz w:val="28"/>
          <w:szCs w:val="28"/>
          <w:rtl w:val="true"/>
          <w:lang w:bidi="fa-IR"/>
        </w:rPr>
        <w:t xml:space="preserve">استنادا إلی ظاهر الأمر،و هو مذهب عطاء و ابن جریح و النخعی من العامّة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هذا الأمر محمول علی الندب،ذهب إلیه المحقّق الأردبیلی </w:t>
      </w:r>
      <w:r>
        <w:rPr>
          <w:rStyle w:val="FootnoteAnchor"/>
          <w:rtl w:val="true"/>
        </w:rPr>
        <w:footnoteReference w:id="292"/>
      </w:r>
      <w:r>
        <w:rPr>
          <w:rFonts w:ascii="IRNazanin" w:hAnsi="IRNazanin" w:eastAsia="IRNazanin"/>
          <w:color w:val="111111"/>
          <w:sz w:val="28"/>
          <w:sz w:val="28"/>
          <w:szCs w:val="28"/>
          <w:rtl w:val="true"/>
          <w:lang w:bidi="fa-IR"/>
        </w:rPr>
        <w:t>و جمع من المفسّرین،کالفخر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تفسیره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یستظهر من کلامه و استدلّ علیه بأمرین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الإجماع العملی علی عدم وجوبها،و ذلک أنّا نری جمهور المسلمین فی جمیع دیار الإسلام یبیعون بالأثمان المؤجّلة من غیر کتابة،و لا إشهاد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فی إیجاب الکتابة التشدید العظیم علی المسلمین،مع أنّ النبیّ صلّی اللّه علیه و اله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بعثت بالحنیفیّة السهلة السمحة </w:t>
      </w:r>
      <w:r>
        <w:rPr>
          <w:rStyle w:val="FootnoteAnchor"/>
          <w:rtl w:val="true"/>
        </w:rPr>
        <w:footnoteReference w:id="293"/>
      </w:r>
      <w:r>
        <w:rPr>
          <w:rFonts w:ascii="IRNazanin" w:hAnsi="IRNazanin" w:eastAsia="IRNazanin"/>
          <w:color w:val="111111"/>
          <w:sz w:val="28"/>
          <w:sz w:val="28"/>
          <w:szCs w:val="28"/>
          <w:rtl w:val="true"/>
          <w:lang w:bidi="fa-IR"/>
        </w:rPr>
        <w:t xml:space="preserve">،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الآلوسی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الجمهور علی استحبابه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أَمِنَ بَعْضُکُمْ بَعْضاً فَلْیُؤَدِّ الَّذِی اؤْتُمِنَ أَمانَتَهُ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ذهب بعض،کالحسن و الشعبی و الحکم بن عیینة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أنّ الکتابة کانت واجبة،إلاّ أنّ ذلک صار منسوخا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أَمِنَ بَعْضُکُمْ بَعْضاً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أمین الإسلام الطبرسی فی مجمع البیان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اختلف فی هذا الأمر؛فقیل هو مندوب إلیه،و هو الأصحّ،و یدلّ علیه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أَمِنَ بَعْضُکُمْ بَعْضاً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أورد علیه المحقّق الأردبیلی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هذه الآیة تدلّ علی عدم وجوب الکتابة فی</w:t>
      </w:r>
    </w:p>
    <w:p>
      <w:pPr>
        <w:pStyle w:val="BookText"/>
        <w:rPr/>
      </w:pPr>
      <w:r>
        <w:rPr>
          <w:rFonts w:ascii="IRNazanin" w:hAnsi="IRNazanin" w:eastAsia="IRNazanin"/>
          <w:color w:val="111111"/>
          <w:sz w:val="28"/>
          <w:sz w:val="28"/>
          <w:szCs w:val="28"/>
          <w:rtl w:val="true"/>
          <w:lang w:bidi="fa-IR"/>
        </w:rPr>
        <w:t>فرض الإئتمان لا بصورة مستقلّة،و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تدلّ علی عدم الوجوب مطلقا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الحائری الطهرانی فی تفسیره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اختلف فی الکتابة هل هی فرض أم لا؟فقیل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 فرض علی الکفایة، کالجهاد و نحوه،عن الشعبی و جماعة من المفسّرین و الرّمانی،و جوّز الجبائی أن یأخذ الکاتب و الشاهد الاجرة علی ذلک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الشیخ أبو جعفر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عندنا لا یجوز ذلک،و أمّا الورق الذی یکتب فیه علی صاحب الدین دون من علیه الدین،و یکون الکتاب فی یده؛لأنّه له،و قال السدی واجب علی الکاتب فی حال فراغه،و قال مجاهد و عطاء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واجب إذا أمر،و قال الضحّاک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نسختها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یُضَارَّ کاتِبٌ وَ لا شَهِیدٌ </w:t>
      </w:r>
      <w:r>
        <w:rPr>
          <w:rStyle w:val="FootnoteAnchor"/>
          <w:rtl w:val="true"/>
        </w:rPr>
        <w:footnoteReference w:id="300"/>
      </w:r>
      <w:r>
        <w:rPr>
          <w:rFonts w:ascii="IRNazanin" w:hAnsi="IRNazanin" w:eastAsia="IRNazanin"/>
          <w:color w:val="111111"/>
          <w:sz w:val="28"/>
          <w:sz w:val="28"/>
          <w:szCs w:val="28"/>
          <w:rtl w:val="true"/>
          <w:lang w:bidi="fa-IR"/>
        </w:rPr>
        <w:t xml:space="preserve">،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ذهب القرطبی إلی أنّ المقصود من الآیة الشریفة لیس مجرّد الکتابة،بل الکتابة منضمّا بالإشهاد،فقال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أمر بالکتابة،و لکنّ المراد الکتابة و الإشهاد؛لأنّ الکتابة بغیر شهود لا تکون حجّة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خلاف الظاهر،بل الصریح فی الآیة الشریفة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الآیة الشریفة أمر فی المداینة بأمرین</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الکتابة،و 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الإشهاد؛و هو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اسْتَشْهِدُوا شَهِیدَیْنِ مِنْ رِجالِکُمْ، و الظاهر أنّ کلاّ منهما مستقلّ عن الآخر،و لا یکون الإشهاد شرطا للکتابة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الشیخ أحمد الجزائری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بکتابة الدین؛لئلاّ یذهب المال بطول المدّة،و عند عروض النسیان، أو الموت،و یکون قاطعا لسبیل النزاع فی الزیادة و النقصان،فالأمر حینئذ یکون هنا للإرشاد،و عند بعضهم أنّه للندب،و عند آخرین أنّه للوجوب،و الأخیر ضعیف؛لأصالة عدمه،و لاستمرار السلف علی ترکه غالبا،و لعموم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أموالهم</w:t>
      </w:r>
      <w:r>
        <w:rPr>
          <w:rFonts w:eastAsia="IRNazanin" w:cs="IRNazanin"/>
          <w:color w:val="111111"/>
          <w:sz w:val="28"/>
          <w:szCs w:val="28"/>
          <w:rtl w:val="true"/>
          <w:lang w:bidi="fa-IR"/>
        </w:rPr>
        <w:t xml:space="preserve">» </w:t>
      </w:r>
      <w:r>
        <w:rPr>
          <w:rStyle w:val="FootnoteAnchor"/>
          <w:rtl w:val="true"/>
        </w:rPr>
        <w:footnoteReference w:id="303"/>
      </w:r>
      <w:r>
        <w:rPr>
          <w:rFonts w:ascii="IRNazanin" w:hAnsi="IRNazanin" w:eastAsia="IRNazanin"/>
          <w:color w:val="111111"/>
          <w:sz w:val="28"/>
          <w:sz w:val="28"/>
          <w:szCs w:val="28"/>
          <w:rtl w:val="true"/>
          <w:lang w:bidi="fa-IR"/>
        </w:rPr>
        <w:t xml:space="preserve">یفعلون بها کیف شاءوا،و هذا ظاهر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کلامه فی إرشادیّة الأمر جیّد،إلاّ أنّ الاستدلال لعدم الوجوب بأصالة العدم غیر صحیح؛لأنّه یقال فی مقابله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الأصل عدم الاستحباب،مع أنّ ظاهر صیغة الأمر یدلّ علی الوجوب،و مع وجود هذا الظاهر لا وجه للاستدلال بالأصل،و کذلک الاستدلال بحدیث السلطنة غیر تامّ؛لما ثبت فی محلّه من أنّ الحدیث لیس مشرّعا،و السلطنة إنّما هی علی الأموال لا علی الأحکام،علی ما ذهب إلیه الشیخ الأنصاری </w:t>
      </w:r>
      <w:r>
        <w:rPr>
          <w:rStyle w:val="FootnoteAnchor"/>
          <w:rtl w:val="true"/>
        </w:rPr>
        <w:footnoteReference w:id="305"/>
      </w:r>
      <w:r>
        <w:rPr>
          <w:rFonts w:ascii="IRNazanin" w:hAnsi="IRNazanin" w:eastAsia="IRNazanin"/>
          <w:color w:val="111111"/>
          <w:sz w:val="28"/>
          <w:sz w:val="28"/>
          <w:szCs w:val="28"/>
          <w:rtl w:val="true"/>
          <w:lang w:bidi="fa-IR"/>
        </w:rPr>
        <w:t xml:space="preserve">،و هو الحقّ و إن خالفه فی ذلک بعض،کالسیّد الیزدی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هو ببالی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حاشیته </w:t>
      </w:r>
      <w:r>
        <w:rPr>
          <w:rStyle w:val="FootnoteAnchor"/>
          <w:rtl w:val="true"/>
        </w:rPr>
        <w:footnoteReference w:id="306"/>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بعض المعاصرین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القرآن قد أتی بأرقی مبادئ الإثبات فی العصر الحدیث؛و هی الکتابة علی ما نصّ به فی آیة التداین،و لکن لمّا کانت حضارة العصر تقصر دون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لغلبة الأمیّة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یستطع الفقهاء إلاّ أن یسایروا حضارة عصرهم،فإذا بالفقه الإسلامی یرتفع بالشهادة إلی مقام تنزل عنه الکتابة نزولا 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العجب أنّ عصر التقلید فی الفقه الإسلامی لم یدرک العوامل التی کانت</w:t>
      </w:r>
    </w:p>
    <w:p>
      <w:pPr>
        <w:pStyle w:val="BookText"/>
        <w:rPr/>
      </w:pPr>
      <w:r>
        <w:rPr>
          <w:rFonts w:ascii="IRNazanin" w:hAnsi="IRNazanin" w:eastAsia="IRNazanin"/>
          <w:color w:val="111111"/>
          <w:sz w:val="28"/>
          <w:sz w:val="28"/>
          <w:szCs w:val="28"/>
          <w:rtl w:val="true"/>
          <w:lang w:bidi="fa-IR"/>
        </w:rPr>
        <w:t xml:space="preserve">وراء تقدیم الشهادة علی الکتابة،فظلّ یردّد ما قاله الفقهاء الأوّلون فی تقدیم الشهادة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المحقّق الحائری فی الردّ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الآیة المبارکة لا دلالة فیها علی کون الکتابة مصدرا للإثبات فی القضاء عند المرافعة،و أنّ البیّنة مصدر ثانویّ للإثبات،و إنّما الآیة أکّدت علی ضرورة الکتابة،و قد یکون ذلک للتذکیر و المنع عن النزاع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الکتابة حینما تفید العلم خصوصا القریب من الحسّ،فإغفالها إنّما هو صادق بشأن الفقه السنّی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الفقه الشیعی،فقد اعترف بحجّیة علم القاضی و تقدّمه علی البیّنة،و حینما لا تفید العلم،فالعلم الحسّی للبیّنة کان أقرب إلی الواقع من ظنّ القاضی الناشئ من الکتابة لدی الشارع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المستفاد من الآیة الشریفة امور 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الآیة الشریفة لیست بصدد بیان حکم شرعیّ مولویّ حتّی یقع الخلاف فی دلالتها علی الوجوب الشرعی أو الاستحباب،بل الآیة الشریفة فی مقام إرشاد الناس إلی طریق صحیح مانع عن ظهور الاختلاف،و عن الزیادة و النقصان،و یؤیّد ذلک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أَمِنَ بَعْضُکُمْ بَعْضاً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الشارع قد أمضی فی هذه الآیة المبارکة اعتبار الکتابة عند العقلاء و إن کان بینهما فرق من جهة الشرائط و الخصوصیّات المعتبرة فی کیفیّة الکتابة</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الآیة لا تختصّ بمورد السّلم حسب ما تخیّله بعض المفسّرین،بل الحکم عامّ جار فی جمیع المعاملات و العقود،بل فی جمیع ما اعتبر العقلاء فیه</w:t>
      </w:r>
    </w:p>
    <w:p>
      <w:pPr>
        <w:pStyle w:val="BookText"/>
        <w:rPr/>
      </w:pPr>
      <w:r>
        <w:rPr>
          <w:rFonts w:ascii="IRNazanin" w:hAnsi="IRNazanin" w:eastAsia="IRNazanin"/>
          <w:color w:val="111111"/>
          <w:sz w:val="28"/>
          <w:sz w:val="28"/>
          <w:szCs w:val="28"/>
          <w:rtl w:val="true"/>
          <w:lang w:bidi="fa-IR"/>
        </w:rPr>
        <w:t>الکتابة؛فإنّها حجّة معتبرة شرعیّة،کما هی حجّة معتبرة عقلائیّة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الأمر بالکتابة أمر إرشادیّ؛و هو فی العمومیّة و الخصوصیّة تابع للمرشد إلیه،و من الواضح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اعتبار الکتابة عند العقلاء لا یختصّ بمورد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الشارع قد أمضی هذا العمل العقلائیّ فی مورد خاصّ؛و هو الدّین و بیع السلم،و لا یجوز التعدّی عن هذا المورد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صحیح لو کان بصدد الإمضاء فی خصوص المورد،مع أنّ الظاهر أنّ الشارع فی مقام تطبیق الأمر العقلائی علی هذا المورد،و هذا یکفی فی إمضاء الشارع بالنسبة إلی جمیع ما اعتبر العقلاء فیه الکتابة،فتدبّر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الآیة لا تدلّ علی إنشاء الدّین بالکتابة؛یعنی أنّها لم تستعمل فی إنشاء عقد الدّین،بل هی دالّة و صریحة فی أنّه بعد تحقّق الدّین یجب الکتابة؛للاحتجاج بها فی مقام الاختلاف بالنسبة إلی الزیادة و النقیصة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کون الأمر فی الآیة إرشادیّا لا مجال للبحث عن تحقّق النسخ فیها و عدمه؛لأنّ النسخ إنّما هو فی الأحکام الشرعیّة المولویة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الأحکام الإرشادیّة،فلا یعقل النسخ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المستفاد من الآیة الشریفة حجّیة الکتابة فی الامور غیر الإنشائیّة، 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حجّیة الکتابة بعنوان الطریق لإثبات الادّعاء فی مقام الخلاف، و لا تدلّ علی اعتبار الکتابة فی الامور الإنشائیّة</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السیرة الموجودة بین العقلاء من اعتبار الکتابة بینهم،و هذا ممّا لا یقبل الإنکار؛فإنّه لا فرق عندهم بین اللفظ و الکتابة،فالبیع کما ینعقد عندهم بطریق الألفاظ،کذلک ینعقد عندهم بطریق الکتابة کالأفعال،فالعقلاء یعاملون معها معاملة البیع اللفظی و الإجارة اللفظیّة و هکذا،و لم یدلّ دلیل فی الشریعة علی</w:t>
      </w:r>
    </w:p>
    <w:p>
      <w:pPr>
        <w:pStyle w:val="BookText"/>
        <w:rPr/>
      </w:pPr>
      <w:r>
        <w:rPr>
          <w:rFonts w:ascii="IRNazanin" w:hAnsi="IRNazanin" w:eastAsia="IRNazanin"/>
          <w:color w:val="111111"/>
          <w:sz w:val="28"/>
          <w:sz w:val="28"/>
          <w:szCs w:val="28"/>
          <w:rtl w:val="true"/>
          <w:lang w:bidi="fa-IR"/>
        </w:rPr>
        <w:t>ردع هذا العمل إلاّ فی بعض الموارد الخاصّة،بل الدلیل علی الإمضاء موجود،کما عرفت فی الوجه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صاحب 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قامت القرائن الحالیّة و غیرها علی إرادة الکاتب بکتابته مدلول اللفظ المستفاد من رسمها،فالظاهر جواز العمل بها؛للسیرة المستمرّة فی الأعصار و الأمصار علی ذلک،بل یمکن دعوی الضرورة علی ذلک، خصوصا مع ملاحظة عمل العلماء فی نسبتهم الخلاف و الوفاق،و نقلهم الإجماع و غیره فی کتبهم المعمول علیها بین العلماء،و دعوی أنّ ذلک کلّه من جهة فتح باب الظنّ فی الأحکام الشرعیّة و موضوعاتها،واضحة الفساد؛ضرورة کون السیرة المزبورة علی الأعمّ من ذلک،کالوکالة و الإقرار و الوصایا و الأوقاف،و تصنیفهم کتب الفتوی للأطراف،و عمل الناس بها،و نحو ذلک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السیرة مستحدثة و لم تکن موجودة فی زمن الشارع حتّی تمضی أو تردّ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قد حقّقنا فی محلّه فی مباحث الأصول أنّه لا یجب أن تکون السیرة موجودة فی زمن الشارع،بل الشارع یجب علیه الردع عن السیرة التی لم تکن ممضاة عنده،و 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الشارع بما أنّه شارع یجب علیه البیان و لو بنحو عامّ بالنسبة إلی السیرة الموجودة فی زمنه،و التی تتحقّق بعد ذلک إذا کان فی مقام ردعها</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السیرة فی ما نحن فیه بما أنّها لم یدلّ دلیل علی الردع عنها،فهی حجّة شرعیّة أیضا،و لکن یجب أن تعلم أنّ إطلاق هذه السیرة محلّ تأمّل و إشکال، و لا ندری أنّ العقلاء یکتفون بالکتابة فی جمیع امورهم،أم لا؟فجریان السیرة</w:t>
      </w:r>
      <w:bookmarkStart w:id="193" w:name="pg5439_46728"/>
    </w:p>
    <w:p>
      <w:pPr>
        <w:pStyle w:val="BookText"/>
        <w:rPr/>
      </w:pPr>
      <w:bookmarkEnd w:id="193"/>
      <w:r>
        <w:rPr>
          <w:rFonts w:ascii="IRNazanin" w:hAnsi="IRNazanin" w:eastAsia="IRNazanin"/>
          <w:color w:val="111111"/>
          <w:sz w:val="28"/>
          <w:sz w:val="28"/>
          <w:szCs w:val="28"/>
          <w:rtl w:val="true"/>
          <w:lang w:bidi="fa-IR"/>
        </w:rPr>
        <w:t>العقلائیة مثلا غیر معلوم فی الشهادة علی طریق الکتابة،و بما أنّ الأدلّة اللبّیة یجب الأخذ بالقدر المتیقّن منها،فتنتج أنّ الکتابة حجّة فی الجملة عند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الکتابة لیست بصراحة کالألفاظ،فالاعتماد علیها فی العقود و الإیقاعات و غیرهما غیر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لیست بأقلّ من الأفعال،بل ربما یدّعی أنّها فی الدلالة علی المراد تکون فی عرض الألفاظ من دون تفاوت بینهما؛فإنّ الإجمال الموجود فی الأفعال غیر متحقّق فی الکتابة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أنّ الألفاظ تستعمل فی مقام الإنشاء،کذلک الکتابة تستعمل فی الإنشاء،و فی کلا المقامین یحتاج الإنشاء إلی القرینة،و هذا المقدار لیس بمضرّ،و یستفاد من کلمات الشیخ الأعظم أنّ الصراحة فی نفس تحقّق عنوان العقد معتبرة،و الصراحة فی الدلالة غیر معتبرة،فراجع </w:t>
      </w:r>
      <w:r>
        <w:rPr>
          <w:rStyle w:val="FootnoteAnchor"/>
          <w:rtl w:val="true"/>
        </w:rPr>
        <w:footnoteReference w:id="3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فالإنشاء لا یتقوّم باللفظ، کما أنّ الأخبار کذلک،فتدبّر</w:t>
      </w:r>
      <w:r>
        <w:rPr>
          <w:rFonts w:eastAsia="IRNazanin" w:cs="IRNazanin"/>
          <w:color w:val="111111"/>
          <w:sz w:val="28"/>
          <w:szCs w:val="28"/>
          <w:rtl w:val="true"/>
          <w:lang w:bidi="fa-IR"/>
        </w:rPr>
        <w:t>.</w:t>
      </w:r>
    </w:p>
    <w:p>
      <w:pPr>
        <w:pStyle w:val="Heading5"/>
        <w:numPr>
          <w:ilvl w:val="4"/>
          <w:numId w:val="1"/>
        </w:numPr>
        <w:rPr/>
      </w:pPr>
      <w:bookmarkStart w:id="194" w:name="__RefHeading___Toc1855978_581953129"/>
      <w:bookmarkStart w:id="195" w:name="_Toc74"/>
      <w:bookmarkEnd w:id="194"/>
      <w:r>
        <w:rPr>
          <w:rtl w:val="true"/>
        </w:rPr>
        <w:t>کلام السیّد الإمام الخمینی قدّس سرّه</w:t>
      </w:r>
      <w:bookmarkEnd w:id="195"/>
    </w:p>
    <w:p>
      <w:pPr>
        <w:pStyle w:val="BookText"/>
        <w:rPr/>
      </w:pPr>
      <w:r>
        <w:rPr>
          <w:rFonts w:ascii="IRNazanin" w:hAnsi="IRNazanin" w:eastAsia="IRNazanin"/>
          <w:color w:val="111111"/>
          <w:sz w:val="28"/>
          <w:sz w:val="28"/>
          <w:szCs w:val="28"/>
          <w:rtl w:val="true"/>
          <w:lang w:bidi="fa-IR"/>
        </w:rPr>
        <w:t>و قد مال السیّد الإمام رحمة اللّه علیه فی ابتداء کلامه إلی تحقّق البیع بالإشارة و الکتابة و غیرهما من المظهرات،بدعوی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البیع لیس إلاّ المبادلة بین المالین أو تملیک عین بعوض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حسب ما اختاره الشیخ الأنصاری </w:t>
      </w:r>
      <w:r>
        <w:rPr>
          <w:rStyle w:val="FootnoteAnchor"/>
          <w:rtl w:val="true"/>
        </w:rPr>
        <w:footnoteReference w:id="3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فالإشارة المفهمة و الکتابة و غیرهما،آلات لإنشاء المعنی الاعتباری،و لیس للّفظ و لا لعمل خاصّ خصوصیّة فی ذلک</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عدل عن ذلک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ماهیّة البیع و إن کانت المبادلة،لکن</w:t>
      </w:r>
    </w:p>
    <w:p>
      <w:pPr>
        <w:pStyle w:val="BookText"/>
        <w:rPr/>
      </w:pPr>
      <w:r>
        <w:rPr>
          <w:rFonts w:ascii="IRNazanin" w:hAnsi="IRNazanin" w:eastAsia="IRNazanin"/>
          <w:color w:val="111111"/>
          <w:sz w:val="28"/>
          <w:sz w:val="28"/>
          <w:szCs w:val="28"/>
          <w:rtl w:val="true"/>
          <w:lang w:bidi="fa-IR"/>
        </w:rPr>
        <w:t>لا بدّ فی تحقّقها من سبب عقلائیّ،و اللفظ و التعاطی سببان عقلائیّان بلا شبهة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سائر المبرزات،فلیست من الأسباب العقلائیّة لإیجاد الطبیعة و إن کانت بواسطة القرائن مفهمة للمقصود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تری أنّ المتعاملین لو تقاولا علی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إیجابی هو العطسة مثلا،و قبولک وضع الکفّ علی الکفّ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علی ما فعلا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w:t>
      </w:r>
    </w:p>
    <w:p>
      <w:pPr>
        <w:pStyle w:val="BookText"/>
        <w:rPr/>
      </w:pPr>
      <w:r>
        <w:rPr>
          <w:rFonts w:ascii="IRNazanin" w:hAnsi="IRNazanin" w:eastAsia="IRNazanin"/>
          <w:color w:val="111111"/>
          <w:sz w:val="28"/>
          <w:sz w:val="28"/>
          <w:szCs w:val="28"/>
          <w:rtl w:val="true"/>
          <w:lang w:bidi="fa-IR"/>
        </w:rPr>
        <w:t xml:space="preserve">فالإشارة و أمثالها لیست أسبابا عقلائیّة،و لا تتحقّق الماهیّة بها عند العقلاء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نلاحظ فی ذلک أنّ قیاس الکتابة بالعطسة غیر صحیح؛فإنّ الکتابة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المظهرات و المبرزات العقلائیّة،بل هی أقوی من الإشارة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خلاف بین الأعلام فی تقدیم الإشارة علی الکتابة،أو ترجیح الکتابة علیها فیما إذا کان الشخص أخرس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فقیل بتقدیم الإشارة علی الکتابة؛لأنّها أصرح؛فإنّ الکتابة قد تکون لأجل التعلیم و التمرین،بخلاف الإشارة،و قیل بتقدیم الکتابة علی الإشارة؛لکونها أضبط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أورد علی کلا القولین السیّد الخوئی بأنّه لو سلّمنا الصغری،فلا ریب فی أنّ الکبری ممنوعة؛إذ لا دلیل علی الترجیح بالأصرحیّة أو الأضبطیّة،و إلاّ لزم ترجیح الکتابة علی الإنشاء اللفظی أیضا؛لأضبطیّة الکتابة علی اللفظ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اختار صحّة الإنشاء لکلّ ما یکون مصداقا له عرفا؛سواء کان لفظا،أو کتابة،أو إشارة، أو تعاطیا من الطرفین،أو إعطاء من طرف واحد،أو غیر ذلک،من غیر ترتیب بینهما إلاّ فی الطلاق،فیستفاد الترتیب بین الکتابة و الإشارة من النصّ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روایة الصدوق بإسناده عن البزنطی،أنّه سأل أبا الحسن الرضا علیه السّلام عن</w:t>
      </w:r>
      <w:bookmarkStart w:id="196" w:name="pg5439_46732"/>
    </w:p>
    <w:p>
      <w:pPr>
        <w:pStyle w:val="BookText"/>
        <w:rPr/>
      </w:pPr>
      <w:bookmarkEnd w:id="196"/>
      <w:r>
        <w:rPr>
          <w:rFonts w:ascii="IRNazanin" w:hAnsi="IRNazanin" w:eastAsia="IRNazanin"/>
          <w:color w:val="111111"/>
          <w:sz w:val="28"/>
          <w:sz w:val="28"/>
          <w:szCs w:val="28"/>
          <w:rtl w:val="true"/>
          <w:lang w:bidi="fa-IR"/>
        </w:rPr>
        <w:t>الرجل تکون عنده المرأة یصمت و لا یتکلّم،قال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أخرس هو؟قلت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نعم،و یعلم منه بغض لامرأته و کراهة لها،أیجوز أن یطلّق عنه ولیّه؟قال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 لکن یکتب و یشهد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أصلحک اللّه فإنّه لا یکتب و لا یسمع کیف یطلّقها؟قال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بالذی یعرف به من أفعاله؛مثل ما ذکرت من کراهته و بغضه لها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ذهب السیّد فی حاشیته إلی أنّ الترتیب المذکور فی النصّ إنّما هو من باب بیان طبع المطلب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أورد علیه السیّد الخوئی بأنّ ظهور النصّ فی التعیین بحسب التعبّد الشرعی غیر قابل للإنکار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النصّ لا ظهور فیه فی الترتیب،و إنّما هو بیان للمطلب علی حسب سؤال السائل بحسب المورد،و لا یستفاد منه الترتیب</w:t>
      </w:r>
      <w:r>
        <w:rPr>
          <w:rFonts w:eastAsia="IRNazanin" w:cs="IRNazanin"/>
          <w:color w:val="111111"/>
          <w:sz w:val="28"/>
          <w:szCs w:val="28"/>
          <w:rtl w:val="true"/>
          <w:lang w:bidi="fa-IR"/>
        </w:rPr>
        <w:t>.</w:t>
      </w:r>
    </w:p>
    <w:p>
      <w:pPr>
        <w:pStyle w:val="Heading5"/>
        <w:numPr>
          <w:ilvl w:val="4"/>
          <w:numId w:val="1"/>
        </w:numPr>
        <w:rPr/>
      </w:pPr>
      <w:bookmarkStart w:id="197" w:name="__RefHeading___Toc1855980_581953129"/>
      <w:bookmarkStart w:id="198" w:name="_Toc75"/>
      <w:bookmarkEnd w:id="197"/>
      <w:r>
        <w:rPr>
          <w:rtl w:val="true"/>
        </w:rPr>
        <w:t>الکتابة و المبانی المختلفة فی حقیقة الإنشاء</w:t>
      </w:r>
      <w:bookmarkEnd w:id="198"/>
    </w:p>
    <w:p>
      <w:pPr>
        <w:pStyle w:val="BookText"/>
        <w:rPr/>
      </w:pPr>
      <w:r>
        <w:rPr>
          <w:rFonts w:ascii="IRNazanin" w:hAnsi="IRNazanin" w:eastAsia="IRNazanin"/>
          <w:color w:val="111111"/>
          <w:sz w:val="28"/>
          <w:sz w:val="28"/>
          <w:szCs w:val="28"/>
          <w:rtl w:val="true"/>
          <w:lang w:bidi="fa-IR"/>
        </w:rPr>
        <w:t>و لا بأس هنا بالإشارة إلی المبانی المختلفة فی الإنشاء،و البحث عن الکتابة بالنسبة إلی کلّ واحد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فاعلم أنّ فی حقیقة الإنشاء خلافا شدیدا بین الأکابر</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فذهب المشهور إلی أنّ الإنشاء عبارة عن إیجاد المعنی الاعتباری بسبب اللفظ،کإیجاد علقة الزوجیّة 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إیجاد الملکیّة بصیغة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لا شکّ أنّ الکتابة صالحة لإیجاد المعنی الاعتباری،و لا خصوصیّة للّفظ فی ذلک الإیجاد</w:t>
      </w:r>
      <w:r>
        <w:rPr>
          <w:rFonts w:eastAsia="IRNazanin" w:cs="IRNazanin"/>
          <w:color w:val="111111"/>
          <w:sz w:val="28"/>
          <w:szCs w:val="28"/>
          <w:rtl w:val="true"/>
          <w:lang w:bidi="fa-IR"/>
        </w:rPr>
        <w:t>.</w:t>
      </w:r>
      <w:bookmarkStart w:id="199" w:name="pg5439_46734"/>
    </w:p>
    <w:p>
      <w:pPr>
        <w:pStyle w:val="BookText"/>
        <w:rPr/>
      </w:pPr>
      <w:bookmarkEnd w:id="199"/>
      <w:r>
        <w:rPr>
          <w:rFonts w:ascii="IRNazanin" w:hAnsi="IRNazanin" w:eastAsia="IRNazanin"/>
          <w:color w:val="111111"/>
          <w:sz w:val="28"/>
          <w:sz w:val="28"/>
          <w:szCs w:val="28"/>
          <w:rtl w:val="true"/>
          <w:lang w:bidi="fa-IR"/>
        </w:rPr>
        <w:t xml:space="preserve">و ذهب المحقّق الأصبهانی </w:t>
      </w:r>
      <w:r>
        <w:rPr>
          <w:rStyle w:val="FootnoteAnchor"/>
          <w:rtl w:val="true"/>
        </w:rPr>
        <w:footnoteReference w:id="318"/>
      </w:r>
      <w:r>
        <w:rPr>
          <w:rFonts w:ascii="IRNazanin" w:hAnsi="IRNazanin" w:eastAsia="IRNazanin"/>
          <w:color w:val="111111"/>
          <w:sz w:val="28"/>
          <w:sz w:val="28"/>
          <w:szCs w:val="28"/>
          <w:rtl w:val="true"/>
          <w:lang w:bidi="fa-IR"/>
        </w:rPr>
        <w:t>إلی أنّ الإنشاء عبارة عن إیجاد المعنی بالوجود الجعلی و هو اللفظ مثلا؛یعنی أنّ للملکیّة وجودین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الوجود المضاف إلی نفسها حقیقة،و هذا هو الوجود الحقیقی لها،و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الوجود الذی یکون مضافا حقیقة إلی الطبیعة الاخری،و یضاف إلی الملکیّة بالمسامحة و العنایة؛و هو لفظ بعت، أو ملکت،و بناء علی هذا المسلک لا إشکال فی صلاحیّة الکتابة للإنشاء؛لأنّها أیضا من نوع الوجود الجعلی،کاللفظ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ذهب السیّد الخوئی </w:t>
      </w:r>
      <w:r>
        <w:rPr>
          <w:rStyle w:val="FootnoteAnchor"/>
          <w:rtl w:val="true"/>
        </w:rPr>
        <w:footnoteReference w:id="319"/>
      </w:r>
      <w:r>
        <w:rPr>
          <w:rFonts w:ascii="IRNazanin" w:hAnsi="IRNazanin" w:eastAsia="IRNazanin"/>
          <w:color w:val="111111"/>
          <w:sz w:val="28"/>
          <w:sz w:val="28"/>
          <w:szCs w:val="28"/>
          <w:rtl w:val="true"/>
          <w:lang w:bidi="fa-IR"/>
        </w:rPr>
        <w:t>إلی أنّ الإنشاء عبارة عن إبراز الاعتبار النفسانی، و من الواضح أنّ الکتابة صالحة لإبراز الاعتبار النفسانی،کما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فتبیّن أنّ الکتابة علی جمیع المسالک فی حقیقة الإنشاء صالحة للإنشاء،إلاّ أنّها لیست بحدّ الألفاظ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0" w:name="__RefHeading___Toc1855982_581953129"/>
      <w:bookmarkStart w:id="201" w:name="_Toc76"/>
      <w:bookmarkEnd w:id="200"/>
      <w:r>
        <w:rPr>
          <w:rtl w:val="true"/>
        </w:rPr>
        <w:t>المقام الثانی</w:t>
      </w:r>
      <w:r>
        <w:rPr>
          <w:rtl w:val="true"/>
        </w:rPr>
        <w:t>:</w:t>
      </w:r>
      <w:r>
        <w:rPr>
          <w:rtl w:val="true"/>
        </w:rPr>
        <w:t>بعد إثبات حجّیة الکتابة،فهل تجری فی مسألة الشهادة و البیّنة</w:t>
      </w:r>
      <w:bookmarkEnd w:id="201"/>
    </w:p>
    <w:p>
      <w:pPr>
        <w:pStyle w:val="Heading5"/>
        <w:numPr>
          <w:ilvl w:val="4"/>
          <w:numId w:val="1"/>
        </w:numPr>
        <w:rPr/>
      </w:pPr>
      <w:bookmarkStart w:id="202" w:name="__RefHeading___Toc1855984_581953129"/>
      <w:bookmarkStart w:id="203" w:name="_Toc77"/>
      <w:bookmarkEnd w:id="202"/>
      <w:r>
        <w:rPr>
          <w:rtl w:val="true"/>
        </w:rPr>
        <w:t>اشارة</w:t>
      </w:r>
      <w:bookmarkEnd w:id="203"/>
    </w:p>
    <w:p>
      <w:pPr>
        <w:pStyle w:val="BookText"/>
        <w:rPr/>
      </w:pPr>
      <w:r>
        <w:rPr>
          <w:rFonts w:ascii="IRNazanin" w:hAnsi="IRNazanin" w:eastAsia="IRNazanin"/>
          <w:color w:val="111111"/>
          <w:sz w:val="28"/>
          <w:sz w:val="28"/>
          <w:szCs w:val="28"/>
          <w:rtl w:val="true"/>
          <w:lang w:bidi="fa-IR"/>
        </w:rPr>
        <w:t>أم لا؟و 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قلنا بعدم جریان الکتابة فی مطلق الامور الخبریّة و الإنشائیّة،فلا مجال لهذا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إذا قلنا باعتبارها و لو إجمالا،فهل الصحیح للشاهد أن یکتب ما یعلمه،و یرسله إلی القاضی،أم لا یصحّ،بل المعتبر النطق و الحضور فی المحکمة أمام القاضی و الشهادة باللفظ عنده؟و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الکتابة کافیة فی طریق الإثبات،أم لا یکفی؟و هل فی مسألة القضاء خصوصیّة تمنع عن قبول الشهادة الکتبیّة،أم لا؟</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بدّ قبل بیان الحقّ؛من التعرّض للکلمات و الأقوال و التفحّص للشروط التی ذکرها الفقهاء للشهادة حتّی یظهر أنّ النطق و الحضور أمام الحاکم،هل هو شرط لصحّة الشهادة،أم لا یشترط النطق،بل یکفی تحقّقها بالکتابة مثلا؟</w:t>
      </w:r>
    </w:p>
    <w:p>
      <w:pPr>
        <w:pStyle w:val="BookText"/>
        <w:rPr/>
      </w:pPr>
      <w:r>
        <w:rPr>
          <w:rFonts w:ascii="IRNazanin" w:hAnsi="IRNazanin" w:eastAsia="IRNazanin"/>
          <w:color w:val="111111"/>
          <w:sz w:val="28"/>
          <w:sz w:val="28"/>
          <w:szCs w:val="28"/>
          <w:rtl w:val="true"/>
          <w:lang w:bidi="fa-IR"/>
        </w:rPr>
        <w:t>و محلّ الکلام فیما إذا کتب الکاتب ما یعلمه و یرسله إلی القاضی،فهل هی حجّة للحاکم أم لا؟أمّا البحث فی أنّه هل یجوز للشخص أن یکتب ما یعلمه و یرسله إلی القاضی فلیس بمهمّ،إلاّ أنّه فی معرض التهمة علی الحرص علی الأداء، و هو خارج عن محلّ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الشیخ رحمه اللّه فی الخلاف لم یتعرّض لهذا الفرع،بل إنّما تعرّض لفروع أخر شبیهة أو قریبة إلی هذا الفرع،فقال فی آداب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ارتفع إلیه خصمان،فذکر المدّعی أنّ حجّته فی دیوان الحکم،فأخرجها الحاکم من دیوان الحکم مختومة بختمه،مکتوبة بخطّه،فإن ذکر أنّه حکم بذلک حکم له،و إن لم یذکر ذلک لم یحکم له به،و به قال أبو حنیفة و محمّد و الشافعی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أبی لیلی و أبو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یعمل علیه و یحکم به و إن لم یذکره؛لأنّه إذا کان بخطّه مختوما بختمه،فلا یکون إلاّ حکمه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دلیلنا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تَقْفُ ما لَیْسَ لَکَ بِهِ عِلْمٌ </w:t>
      </w:r>
      <w:r>
        <w:rPr>
          <w:rStyle w:val="FootnoteAnchor"/>
          <w:rtl w:val="true"/>
        </w:rPr>
        <w:footnoteReference w:id="321"/>
      </w:r>
      <w:r>
        <w:rPr>
          <w:rFonts w:ascii="IRNazanin" w:hAnsi="IRNazanin" w:eastAsia="IRNazanin"/>
          <w:color w:val="111111"/>
          <w:sz w:val="28"/>
          <w:sz w:val="28"/>
          <w:szCs w:val="28"/>
          <w:rtl w:val="true"/>
          <w:lang w:bidi="fa-IR"/>
        </w:rPr>
        <w:t>،فإذا لم یذکره لم یعلم؛و لأنّ الحکم أعلی من الشهادة،بدلالة أنّ الحاکم یلزم و الشاهد یشهد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ثبت أنّ الشاهد لو وجد شهادته تحت ختمه مکتوبة بخطّه لم یشهد بها ما لم یذکر،فبأن لا یحکم بها إذا لم یذکر أولی و أحری؛و لأنّ الخطّ یشبه الخطّ،و معناه أنّه قد یکتب مثل خطّه،و یحتال علیه،و یترکه فی دیوانه،فلا یجوز قبول ذلک إلاّ مع العلم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یستفاد من هذه العبارة،أنّ نفس الکتابة غیر حجّة لدی القاضی؛بمعنی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کتبه القاضی و لو ختم بختمه ما لم یذکر أنّه حکم بذلک الحکم،فلیس بحجّة، خلافا لابن أبی لیلی و أبی یوسف،و استدلّ علی ذلک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تَقْفُ ما</w:t>
      </w:r>
    </w:p>
    <w:p>
      <w:pPr>
        <w:pStyle w:val="BookText"/>
        <w:rPr/>
      </w:pPr>
      <w:r>
        <w:rPr>
          <w:rFonts w:ascii="Amiri" w:hAnsi="Amiri" w:eastAsia="Amiri" w:cs="Amiri"/>
          <w:color w:val="111111"/>
          <w:sz w:val="28"/>
          <w:sz w:val="28"/>
          <w:szCs w:val="28"/>
          <w:rtl w:val="true"/>
          <w:lang w:bidi="ar-SA"/>
        </w:rPr>
        <w:t xml:space="preserve">لَیْسَ لَکَ بِهِ عِلْمٌ </w:t>
      </w:r>
      <w:r>
        <w:rPr>
          <w:rStyle w:val="FootnoteAnchor"/>
          <w:rtl w:val="true"/>
        </w:rPr>
        <w:footnoteReference w:id="3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ذهب فی هذه العبارة إلی أنّ الشاهد لو وجد شهادته مکتوبة بخطّه،لا یجوز الشهادة بسببها ما لم یذکر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فیستفاد من کلامه قدّس سرّه عدم اعتبار الکتابة ما لم یصل إلی حدّ الذکر و العلم،فلیست حجّة شرعیّة تعبّدیة مستقلّة؛لأنّ الخطّ یشبه الخطّ،و الکاتب قد یکتب مثل خطّه و یحتال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ذکرنا أنّ محلّ الکلام فیما إذا أمن من التزویر و الاحتیال،أمّا فی صورة الأمن فلا وجه لعدم اعتبار الکتابة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أیضا فی الخلاف فی کتاب الشهادات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الظاهر من المذهب أنّه لا تقبل شهادة الفرع مع تمکّن حضور شاهد الأصل، و إنّما یجوز ذلک مع تعذّره،إمّا بالموت،أو بالمرض المانع من الحضور،أو الغیبة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قال الفقهاء،إلاّ أنّهم اختلفوا فی حدّ الغیبة</w:t>
      </w:r>
      <w:r>
        <w:rPr>
          <w:rFonts w:eastAsia="IRNazanin" w:cs="IRNazanin"/>
          <w:color w:val="111111"/>
          <w:sz w:val="28"/>
          <w:szCs w:val="28"/>
          <w:rtl w:val="true"/>
          <w:lang w:bidi="fa-IR"/>
        </w:rPr>
        <w:t xml:space="preserve">...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یستفاد من عبارته أنّ الشخص لو تمکّن من الحضور أمام الحاکم، لم یصحّ الشهادة علی الشهادة فکیف بالکتابة،و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شهادة الفرع تصحّ فی صورة العذر،فلا تصحّ الکتابة فیما لم یکن الشاهد معذورا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المبسوط</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روی أصحابنا؛أنّه لا یقبل کتاب قاض إلی قاض و لا یعمل به،و أجاز المخالفون ذلک،قالوا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یقبل کتاب قاض إلی قاض و إلی الأمین،و کتاب الأمین إلی القاضی و الأمین؛لقوله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قصّة سلیمان و بلقیس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یا أَیُّهَا الْمَلَأُ إِنِّی أُلْقِیَ إِلَیَّ کِتابٌ 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سُلَیْمانَ وَ إِنَّهُ بِسْمِ اللّهِ الرَّحْمنِ الرَّحِیمِ </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 xml:space="preserve">فکتب إلیها سلیمان،و کانت کافرة یدعوها إلی الإیمان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 بعد ردّ أدلّة المخالفین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التحمّل،فإذا کتب القاضی کتابه استدعی بالشهود و قرأه هو علیهم،أو دفعه إلی ثقة یقرأه علیهم،فإذا قرأه الغیر علیهما فالأولی أن یطّلعا فیما یقرأه لئلاّ یقع فیه تصحیف أو غلط و تغییر،و لیس بشرط؛ لأنّه لا یقرأه إلاّ ثقة،فإذا قرأه علیهما،أو قرأه الآخر فعلیه أن یقول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کتابی إلی فلان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المستفاد من هذه العبارة عدم اعتبار نفس الکتابة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العلاّمة فی بیان صفات الشاهد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ستّة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البلوغ،و کمال العقل،و الإیمان،و العدالة،و انتفاء التهمة،و طهارة المولد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العبارة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رأیت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تدلّ علی اعتبار النطق،و لم یذکر فی عداد صفات الشاهد حضوره و التنطّق بما یعلمه،فلا یستفاد شرطیّة الحضور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الفصل السادس من التبصرة فی بقیّة مسائل الشهادات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یحلّ للشاهد أن یشهد إلاّ مع العلم،و لا یکفی رؤیة الخطّ مع عدم الذکر و إن أقام غیره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من هذه العبارة عدم اعتبار الکتابة،و 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من العبارة أنّ حضور الشاهد عند الحاکم و التنطّق بما یعلمه أمر مفروغ عنه عنده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الإرشاد فی کیفیّة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یحرم علیه أن یتعتع الشاهد؛بأن یداخله فی التلفّظ بالشهادة أو یتعقّبه،بل یکفّ حتّی یشهد،فإن تلعثم صبر علیه،و لو توقّف لم یجز له ترغیبه فی الإقامة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العبارة تدلّ علی کیفیّة سماع الشهادة،و هی مختصّة بصورة النطق، فیستفاد منها مفروغیّة النطق،و الحضور أمام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ظاهر عبارة التبصرة و الإرشاد و تلخیص المرام </w:t>
      </w:r>
      <w:r>
        <w:rPr>
          <w:rStyle w:val="FootnoteAnchor"/>
          <w:rtl w:val="true"/>
        </w:rPr>
        <w:footnoteReference w:id="331"/>
      </w:r>
      <w:r>
        <w:rPr>
          <w:rFonts w:ascii="IRNazanin" w:hAnsi="IRNazanin" w:eastAsia="IRNazanin"/>
          <w:color w:val="111111"/>
          <w:sz w:val="28"/>
          <w:sz w:val="28"/>
          <w:szCs w:val="28"/>
          <w:rtl w:val="true"/>
          <w:lang w:bidi="fa-IR"/>
        </w:rPr>
        <w:t>أنّ النطق و الحضور لیس من شروط الشاهد،فراجع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یستفاد من کلام بعض أنّ العقود و الإیقاعات التی تعتبر فیها الألفاظ الخاصّة،لا تقوم مقامها شیء من الإشارة و الکتابة و نحوهما،و أمّا الموارد التی لا تعتبر فیها الألفاظ الخاصّة،کالإقرار و الشهادة فتقبل النیابة،و بناء علی ذلک لا یصحّ لعان الأخرس بالإشارة المعقولة؛لأنّه مشروط بالألفاظ الخاصّة دون الإقرار و الشهادة؛فإنّهما یقعان بأیّ عبارة اتّفقت،إلاّ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الألفاظ الخاصّة تعتبر مع الإمکان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فصحّة الإشارة أو الکتابة متفرّعة علی عدم إمکان النطق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الإنصاف اعتبار حضور الشاهد فی مجلس الحکم؛فإنّ المحصّل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مجموع الکلمات فی الموارد المختلفة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حضور الشاهد و عدم حجّیة الکتابة فی طریق الشهادة،و ذلک بالقرائن الآتیة</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القرینة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أنّهم قد اشترطوا فی حجّیة شهادة الفرع،عدم إمکان حضور الأصل لمرض أو غیبة </w:t>
      </w:r>
      <w:r>
        <w:rPr>
          <w:rStyle w:val="FootnoteAnchor"/>
          <w:rtl w:val="true"/>
        </w:rPr>
        <w:footnoteReference w:id="333"/>
      </w:r>
      <w:r>
        <w:rPr>
          <w:rFonts w:ascii="IRNazanin" w:hAnsi="IRNazanin" w:eastAsia="IRNazanin"/>
          <w:color w:val="111111"/>
          <w:sz w:val="28"/>
          <w:sz w:val="28"/>
          <w:szCs w:val="28"/>
          <w:rtl w:val="true"/>
          <w:lang w:bidi="fa-IR"/>
        </w:rPr>
        <w:t>،و نفس هذا الاشتراط یدلّ علی لزوم حضور الشاهد فی</w:t>
      </w:r>
    </w:p>
    <w:p>
      <w:pPr>
        <w:pStyle w:val="BookText"/>
        <w:rPr/>
      </w:pPr>
      <w:r>
        <w:rPr>
          <w:rFonts w:ascii="IRNazanin" w:hAnsi="IRNazanin" w:eastAsia="IRNazanin"/>
          <w:color w:val="111111"/>
          <w:sz w:val="28"/>
          <w:sz w:val="28"/>
          <w:szCs w:val="28"/>
          <w:rtl w:val="true"/>
          <w:lang w:bidi="fa-IR"/>
        </w:rPr>
        <w:t>مجلس القضاء و عدم اعتبار الکتابة،بل لو کانت الکتابة کافیة لکانت حجّیة شهادة الفرع لغوا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القرینة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الفقهاء قد صرّحوا فی الیمین بلزوم إقامته فی مجلس الحکم کما صرّح به الشهید الأوّل؛فإنّه قال فی شرائط الیمین فی الشرط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محلّها مجلس الحکم إلاّ مع العذر،کالمریض و غیر البرزة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القرینة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الشهادة علی طریق الکتابة لا تصدق علیها الأداء، و الموجود فی کلمات الفقهاء لزوم أداء 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 فی تعریف الأداء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أداء الشهادة،فهو أن یشهد الشاهد بما تحمّله أمام القضاء فی مجلس الحکم،و هذا واجب و حتم إذا ما دعاه صاحب الحقّ للأداء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القرینة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وردت فی الروایات الواردة فی حجّیة البیّنة،التعبیر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الظاهرة فی لزوم حضور الشاهد عند القاضی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روایة عبد اللّه بن سلیمان،عن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شیء لک حلال حتّی یجیئک شاهدان یشهدان عندک أنّ فیه میتة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صحیحة منصور بن حازم،عن أبی عبد اللّه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شهد عندکم شاهدان مرضیّان بأنّهما رأیاه فاقضه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الروایات التی وردت فی لزوم تصدیق المؤمن إذا شهد،نحو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شهد</w:t>
      </w:r>
      <w:bookmarkStart w:id="204" w:name="pg5439_46747"/>
    </w:p>
    <w:p>
      <w:pPr>
        <w:pStyle w:val="BookText"/>
        <w:rPr/>
      </w:pPr>
      <w:bookmarkEnd w:id="204"/>
      <w:r>
        <w:rPr>
          <w:rFonts w:ascii="IRNazanin" w:hAnsi="IRNazanin" w:eastAsia="IRNazanin"/>
          <w:color w:val="111111"/>
          <w:sz w:val="28"/>
          <w:sz w:val="28"/>
          <w:szCs w:val="28"/>
          <w:rtl w:val="true"/>
          <w:lang w:bidi="fa-IR"/>
        </w:rPr>
        <w:t xml:space="preserve">عندک المؤمنون فصدّقهم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الواضح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الشهادة الکتبیّة لیست من مصادیق الشهادة عند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مبنیّ علی حجّیة مفهوم الوصف،و التحقیق عدمها؛لأنّا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إنّهم فی هذه الروایات بصدد بیان المفهوم،و هذا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القرینة 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کلمة الشهادة تدلّ لغة علی اعتبار الحضور،فمعنی شهده أی حضره،و أشهدنی الملائکة بمعنی أحضرنی الملائکة،فالإشهاد طلب تحمّل الشهادة بالمعاینة،أو طلب أداء الشهادة عند القاضی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کما یعتبر فی تحمّل الشهادة الحضور و الحسّ و المعاینة، کذلک یعتبر فی أدائها،و الظاهر عدم الفرق بین معنی الشهادة لغة،و معناها شرعا</w:t>
      </w:r>
      <w:r>
        <w:rPr>
          <w:rFonts w:eastAsia="IRNazanin" w:cs="IRNazanin"/>
          <w:color w:val="111111"/>
          <w:sz w:val="28"/>
          <w:szCs w:val="28"/>
          <w:rtl w:val="true"/>
          <w:lang w:bidi="fa-IR"/>
        </w:rPr>
        <w:t>.</w:t>
      </w:r>
    </w:p>
    <w:p>
      <w:pPr>
        <w:pStyle w:val="Heading5"/>
        <w:numPr>
          <w:ilvl w:val="4"/>
          <w:numId w:val="1"/>
        </w:numPr>
        <w:rPr/>
      </w:pPr>
      <w:bookmarkStart w:id="205" w:name="__RefHeading___Toc1855986_581953129"/>
      <w:bookmarkStart w:id="206" w:name="_Toc78"/>
      <w:bookmarkEnd w:id="205"/>
      <w:r>
        <w:rPr>
          <w:rtl w:val="true"/>
        </w:rPr>
        <w:t>مذهب الحنفیّة</w:t>
      </w:r>
      <w:bookmarkEnd w:id="206"/>
    </w:p>
    <w:p>
      <w:pPr>
        <w:pStyle w:val="BookText"/>
        <w:rPr/>
      </w:pPr>
      <w:r>
        <w:rPr>
          <w:rFonts w:ascii="IRNazanin" w:hAnsi="IRNazanin" w:eastAsia="IRNazanin"/>
          <w:color w:val="111111"/>
          <w:sz w:val="28"/>
          <w:sz w:val="28"/>
          <w:szCs w:val="28"/>
          <w:rtl w:val="true"/>
          <w:lang w:bidi="fa-IR"/>
        </w:rPr>
        <w:t xml:space="preserve">أنّهم ذکروا فی الشرط الرابع من شروط وجوب الأداء فی حقوق العباد،قرب مکان الشاهد فی مجلس القضاء،بحیث یمکنه أن یؤدّی الشهادة و یرجع إلی أهله فی نفس الیوم </w:t>
      </w:r>
      <w:r>
        <w:rPr>
          <w:rStyle w:val="FootnoteAnchor"/>
          <w:rtl w:val="true"/>
        </w:rPr>
        <w:footnoteReference w:id="3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فرّعوا علی ذلک بأنّه بعد تحقّق شروط الشهادة لو أخّرها من دون عذر ظاهر،فهل الشهادة بعد التأخیر صحیحة،أم لا؟ </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و الظاهر من هذا الکلام اعتبار الحضور فی مجلس الحکم،مع أنّ مسألة الکتابة لا تلائم مع تأخیر الشهادة؛فإنّ التأخیر یناسب شرطیّة الحضور فی مجلس القضاء</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صرّحوا فی شروط العامّة للشاهد،أنّه من شرائط الشاهد النطق،فلا تقبل</w:t>
      </w:r>
      <w:bookmarkStart w:id="207" w:name="pg5439_46749"/>
    </w:p>
    <w:p>
      <w:pPr>
        <w:pStyle w:val="BookText"/>
        <w:rPr/>
      </w:pPr>
      <w:bookmarkEnd w:id="207"/>
      <w:r>
        <w:rPr>
          <w:rFonts w:ascii="IRNazanin" w:hAnsi="IRNazanin" w:eastAsia="IRNazanin"/>
          <w:color w:val="111111"/>
          <w:sz w:val="28"/>
          <w:sz w:val="28"/>
          <w:szCs w:val="28"/>
          <w:rtl w:val="true"/>
          <w:lang w:bidi="fa-IR"/>
        </w:rPr>
        <w:t xml:space="preserve">شهادة الأخرس؛لأنّه لا عبارة له،و إشارته مشتبهة و غیر قاطعة،و لا بدّ فی الشهادة أن تکون واضحة جلیّة حتّی یصحّ الحکم بها لاناس علی آخرین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النطق فی قبال خصوص الأخرس،فلا یدلّ علی عدم اعتبار الکتابة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لو کان النطق فی قبال عدم النطق حتّی یشمل الکتابة،فیدلّ علی عدم صحّة الکتابة،و یؤیّد ذلک قولهم بعد هذه العبارة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 فإنّ من شروط صحّة الشهادة أو رکنها علی الخلاف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لا یتأتّی منه إلاّ إذا کان ناطقا </w:t>
      </w:r>
      <w:r>
        <w:rPr>
          <w:rStyle w:val="FootnoteAnchor"/>
          <w:rtl w:val="true"/>
        </w:rPr>
        <w:footnoteReference w:id="3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قولهم فی بیان شروط مکان الشاهد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یشترط فی المکان شرط واحد؛ و هو أن یکون مجلس القضاء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فاعتبار التنطّق فی مجلس القضاء واضح عند الحنفیّة</w:t>
      </w:r>
      <w:r>
        <w:rPr>
          <w:rFonts w:eastAsia="IRNazanin" w:cs="IRNazanin"/>
          <w:color w:val="111111"/>
          <w:sz w:val="28"/>
          <w:szCs w:val="28"/>
          <w:rtl w:val="true"/>
          <w:lang w:bidi="fa-IR"/>
        </w:rPr>
        <w:t>.</w:t>
      </w:r>
    </w:p>
    <w:p>
      <w:pPr>
        <w:pStyle w:val="Heading5"/>
        <w:numPr>
          <w:ilvl w:val="4"/>
          <w:numId w:val="1"/>
        </w:numPr>
        <w:rPr/>
      </w:pPr>
      <w:bookmarkStart w:id="208" w:name="__RefHeading___Toc1855988_581953129"/>
      <w:bookmarkStart w:id="209" w:name="_Toc79"/>
      <w:bookmarkEnd w:id="208"/>
      <w:r>
        <w:rPr>
          <w:rtl w:val="true"/>
        </w:rPr>
        <w:t>مذهب الشافعیّة</w:t>
      </w:r>
      <w:bookmarkEnd w:id="209"/>
    </w:p>
    <w:p>
      <w:pPr>
        <w:pStyle w:val="BookText"/>
        <w:rPr/>
      </w:pPr>
      <w:r>
        <w:rPr>
          <w:rFonts w:ascii="IRNazanin" w:hAnsi="IRNazanin" w:eastAsia="IRNazanin"/>
          <w:color w:val="111111"/>
          <w:sz w:val="28"/>
          <w:sz w:val="28"/>
          <w:szCs w:val="28"/>
          <w:rtl w:val="true"/>
          <w:lang w:bidi="fa-IR"/>
        </w:rPr>
        <w:t xml:space="preserve">أنّهم أیضا اعتبروا من شرائط الشاهد،أن یکون ناطقا،فلا تقبل شهادة الأخرس و إن فهمت إشارته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قالوا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اختلف أصحابنا فی شهادة الأخرس،فمنهم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تقبل؛لأنّ إشارته کعبارة الناطق فی نکاحه،و طلاقه،فکذلک فی الشهادة،و منهم من قال</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تقبل؛لأنّ إشارته أقیمت مقام العبارة فی موضع الضرورة،و هو فی النکاح، و الطلاق؛لأنّها لا تستفاد إلاّ من جهته،و لا ضرورة بنا إلی شهادته؛لأنّها تصحّ من غیره بالنطق،فلا تجوز بإشارته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bookmarkStart w:id="210" w:name="pg5439_46751"/>
    </w:p>
    <w:p>
      <w:pPr>
        <w:pStyle w:val="Heading5"/>
        <w:numPr>
          <w:ilvl w:val="4"/>
          <w:numId w:val="1"/>
        </w:numPr>
        <w:rPr/>
      </w:pPr>
      <w:bookmarkStart w:id="211" w:name="__RefHeading___Toc1855990_581953129"/>
      <w:bookmarkStart w:id="212" w:name="_Toc80"/>
      <w:bookmarkEnd w:id="210"/>
      <w:bookmarkEnd w:id="211"/>
      <w:r>
        <w:rPr>
          <w:rtl w:val="true"/>
        </w:rPr>
        <w:t>مذهب الزیدیّة</w:t>
      </w:r>
      <w:bookmarkEnd w:id="212"/>
    </w:p>
    <w:p>
      <w:pPr>
        <w:pStyle w:val="BookText"/>
        <w:rPr/>
      </w:pPr>
      <w:r>
        <w:rPr>
          <w:rFonts w:ascii="IRNazanin" w:hAnsi="IRNazanin" w:eastAsia="IRNazanin"/>
          <w:color w:val="111111"/>
          <w:sz w:val="28"/>
          <w:sz w:val="28"/>
          <w:szCs w:val="28"/>
          <w:rtl w:val="true"/>
          <w:lang w:bidi="fa-IR"/>
        </w:rPr>
        <w:t>ذهبوا إلی لزوم أداء الشهادة عند الحاکم،و الظاهر من بین المذاهب أنّهم قد صرّحوا بذلک فقط،و لم تصرّح المذاهب الاخر بذلک،فقالوا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یشترط لصحّة الشهادة أن یکون أداؤها عند حاکم </w:t>
      </w:r>
      <w:r>
        <w:rPr>
          <w:rStyle w:val="FootnoteAnchor"/>
          <w:rtl w:val="true"/>
        </w:rPr>
        <w:footnoteReference w:id="346"/>
      </w:r>
      <w:r>
        <w:rPr>
          <w:rFonts w:ascii="IRNazanin" w:hAnsi="IRNazanin" w:eastAsia="IRNazanin"/>
          <w:color w:val="111111"/>
          <w:sz w:val="28"/>
          <w:sz w:val="28"/>
          <w:szCs w:val="28"/>
          <w:rtl w:val="true"/>
          <w:lang w:bidi="fa-IR"/>
        </w:rPr>
        <w:t>،فلا یصحّ أداؤها إلاّ عند الحاکم المعیّن من قبل من له حقّ تعیینه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صرّحوا أیضا فی ضمن الشرائط أن یقول الشاهد 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الصیغة التی حدّدها الشارع للأداء،فلا تصحّ الشهادة بالرسالة و الکتابة؛لعدم اللفظ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صرّحوا فی موضع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 حقّ الشهادة أن یأتی بلفظها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فهذه المذاهب الثلاثة یعتبرون النطق و الحضور للشهادة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مذهب المالکیّة و الظاهریّة و الحنابلة؛فإنّهم لم یذکروا النطق من شرائط الشاهد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عباراتهم ساکتة عن ذلک</w:t>
      </w:r>
      <w:r>
        <w:rPr>
          <w:rFonts w:eastAsia="IRNazanin" w:cs="IRNazanin"/>
          <w:color w:val="111111"/>
          <w:sz w:val="28"/>
          <w:szCs w:val="28"/>
          <w:rtl w:val="true"/>
          <w:lang w:bidi="fa-IR"/>
        </w:rPr>
        <w:t>.</w:t>
      </w:r>
    </w:p>
    <w:p>
      <w:pPr>
        <w:pStyle w:val="Heading5"/>
        <w:numPr>
          <w:ilvl w:val="4"/>
          <w:numId w:val="1"/>
        </w:numPr>
        <w:rPr/>
      </w:pPr>
      <w:bookmarkStart w:id="213" w:name="__RefHeading___Toc1855992_581953129"/>
      <w:bookmarkStart w:id="214" w:name="_Toc81"/>
      <w:bookmarkEnd w:id="213"/>
      <w:r>
        <w:rPr>
          <w:rtl w:val="true"/>
        </w:rPr>
        <w:t>نظریّة الفقه الوضعی</w:t>
      </w:r>
      <w:bookmarkEnd w:id="214"/>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یجب أن تؤدّی الشهادة شفها أمام المحکمة أو القاضی مباشرة وجها لوجه؛لأنّه إذا کذب اللسان أو سکت حیث یجب الکلام؛فإنّ هیئة المرء و حالته و طریقة شهادته قد تنمّ عن الحقیقة،أو تساعد علی اکتشافها،أو تساعد علی تقدیر الشهادة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قالوا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یجب أن تؤدّی الشهادة فی حضور الخصوم،فسحا لباب السؤال و المناقشة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bookmarkStart w:id="215" w:name="pg5439_46753"/>
    </w:p>
    <w:p>
      <w:pPr>
        <w:pStyle w:val="BookText"/>
        <w:rPr/>
      </w:pPr>
      <w:bookmarkEnd w:id="215"/>
      <w:r>
        <w:rPr>
          <w:rFonts w:ascii="IRNazanin" w:hAnsi="IRNazanin" w:eastAsia="IRNazanin"/>
          <w:color w:val="111111"/>
          <w:sz w:val="28"/>
          <w:sz w:val="28"/>
          <w:szCs w:val="28"/>
          <w:rtl w:val="true"/>
          <w:lang w:bidi="fa-IR"/>
        </w:rPr>
        <w:t xml:space="preserve">و أورد علیهم المحقّق الحائری بأنّ هذه الامور فی نظر الفقه الإسلامی لیست شروطا؛بمعنی عدم نفوذ شهادة الشاهد بدونها،و هی احتیاطات اتّخذها الفقه الوضعی بعد إغفال شرط العدالة،و لکن لا یبعد القول بأنّ من حقّ الحاکم فرض أمر من هذا القبیل أو غیره مقدّمة للحکم؛لأجل تقصّی الحقیقة ممّا هو لیس واجبا بحدّ ذاته فی نفوذ الحکم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قد عرفت ممّا ذکرنا أنّ حضور الشاهد و النطق فی المحکمة من الشروط التی یستفاد من فتاوی الفقهاء خاصّة و عامّة،فراجع</w:t>
      </w:r>
      <w:r>
        <w:rPr>
          <w:rFonts w:eastAsia="IRNazanin" w:cs="IRNazanin"/>
          <w:color w:val="111111"/>
          <w:sz w:val="28"/>
          <w:szCs w:val="28"/>
          <w:rtl w:val="true"/>
          <w:lang w:bidi="fa-IR"/>
        </w:rPr>
        <w:t>.</w:t>
      </w:r>
    </w:p>
    <w:p>
      <w:pPr>
        <w:pStyle w:val="Heading5"/>
        <w:numPr>
          <w:ilvl w:val="4"/>
          <w:numId w:val="1"/>
        </w:numPr>
        <w:rPr/>
      </w:pPr>
      <w:bookmarkStart w:id="216" w:name="__RefHeading___Toc1855994_581953129"/>
      <w:bookmarkStart w:id="217" w:name="_Toc82"/>
      <w:bookmarkEnd w:id="216"/>
      <w:r>
        <w:rPr>
          <w:rtl w:val="true"/>
        </w:rPr>
        <w:t>الفرق بین البیّنة و الشهادة</w:t>
      </w:r>
      <w:bookmarkEnd w:id="217"/>
    </w:p>
    <w:p>
      <w:pPr>
        <w:pStyle w:val="BookText"/>
        <w:rPr/>
      </w:pP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لحجّیة الشهادة فی الأدلّة تعبیرین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التعبیر بلفظ الشهادة،کما ورد فی الآیة الشریفة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اسْتَشْهِدُوا شَهِیدَیْنِ مِنْ رِجالِکُمْ </w:t>
      </w:r>
      <w:r>
        <w:rPr>
          <w:rStyle w:val="FootnoteAnchor"/>
          <w:rtl w:val="true"/>
        </w:rPr>
        <w:footnoteReference w:id="351"/>
      </w:r>
      <w:r>
        <w:rPr>
          <w:rFonts w:ascii="IRNazanin" w:hAnsi="IRNazanin" w:eastAsia="IRNazanin"/>
          <w:color w:val="111111"/>
          <w:sz w:val="28"/>
          <w:sz w:val="28"/>
          <w:szCs w:val="28"/>
          <w:rtl w:val="true"/>
          <w:lang w:bidi="fa-IR"/>
        </w:rPr>
        <w:t>،و فی بعض الروایات من هذا القبیل،و هذا التعبیر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یشمل الکتابة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التعبیر بلفظ البیّنة،کما ورد فی موثّقة مسعدة بن 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الأشیاء کلّها علی هذا حتّی یستبین لک غیر ذلک،أو تقوم به البیّنة </w:t>
      </w:r>
      <w:r>
        <w:rPr>
          <w:rStyle w:val="FootnoteAnchor"/>
          <w:rtl w:val="true"/>
        </w:rPr>
        <w:footnoteReference w:id="3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 فی اللغة بمعنی الحجّة و ما به البیان و الظهور </w:t>
      </w:r>
      <w:r>
        <w:rPr>
          <w:rStyle w:val="FootnoteAnchor"/>
          <w:rtl w:val="true"/>
        </w:rPr>
        <w:footnoteReference w:id="353"/>
      </w:r>
      <w:r>
        <w:rPr>
          <w:rFonts w:ascii="IRNazanin" w:hAnsi="IRNazanin" w:eastAsia="IRNazanin"/>
          <w:color w:val="111111"/>
          <w:sz w:val="28"/>
          <w:sz w:val="28"/>
          <w:szCs w:val="28"/>
          <w:rtl w:val="true"/>
          <w:lang w:bidi="fa-IR"/>
        </w:rPr>
        <w:t>،و هذا المعنی شامل للکتابة</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السنهوری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 لها معنیان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عامّ؛و هو الدلیل أیّا کان،کتابة، أو شهادة،أو قرائن،فإذا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 علی من ادّعی و الیمین علی من أنکر،فإنّما</w:t>
      </w:r>
    </w:p>
    <w:p>
      <w:pPr>
        <w:pStyle w:val="BookText"/>
        <w:rPr/>
      </w:pPr>
      <w:r>
        <w:rPr>
          <w:rFonts w:ascii="IRNazanin" w:hAnsi="IRNazanin" w:eastAsia="IRNazanin"/>
          <w:color w:val="111111"/>
          <w:sz w:val="28"/>
          <w:sz w:val="28"/>
          <w:szCs w:val="28"/>
          <w:rtl w:val="true"/>
          <w:lang w:bidi="fa-IR"/>
        </w:rPr>
        <w:t>نقصد هنا البیّنة بهذا المعنی العامّ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خاصّ؛و هو شهادة الشهود دون غیرها من الأدلّة،و قد کانت الشهادة فی الماضی هی الدلیل الغالب،و کانت الأدلّة الاخری من الندرة إلی حدّ أنّها لا تذکر إلی جانب الشهادة،فانصرف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الشهادة دون غیرها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 فی الشهادة أن تکون شهادة مباشرة،فیقول الشاهد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وقع تحت بصره أو سمعه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تکون الشهادة عادة شفویّة،یدلی بها الشاهد فی مجلس القضاء مستمدّا إیّاها من ذاکرته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نصّت المادّة</w:t>
      </w: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تقنین المرافعات علی أن تؤدّی الشهادة شفاها،و لا تجوز الاستعانة بمفکّرات مکتوبة إلاّ بإذن المحکمة،أو القاضی المنتدب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ذلک فقد نصّت المادّة</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تقنین المرافعات علی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قدرة له علی الکلام یؤدّی الشهادة إذا أمکن أن یبیّن مراده بالکتابة أو بالإشارة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یدعی الشاهد عادة إلی مجلس القضاء لیقول ما رآه،أو سمعه من الوقائع المتعلّقة بالدعوی،و مع ذلک قد یکتفی فی ظروف استثنائیّة بتلاوة شهادته المکتوبة </w:t>
      </w:r>
      <w:r>
        <w:rPr>
          <w:rStyle w:val="FootnoteAnchor"/>
          <w:rtl w:val="true"/>
        </w:rPr>
        <w:footnoteReference w:id="3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فالمستفاد من کلماته أنّ الکتابة من طرق البیّنة،کما أنّ الشهادة من طرقها، مضافا إلی عدم ثبوت حقیقة شرعیّة و لا متشرّعیّة لها،و استعمالها فی الکتاب و الأخبار بمعناها اللغوی،کقوله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جِئْتُکُمْ بِبَیِّنَةٍ مِنْ رَبِّکُمْ </w:t>
      </w:r>
      <w:r>
        <w:rPr>
          <w:rStyle w:val="FootnoteAnchor"/>
          <w:rtl w:val="true"/>
        </w:rPr>
        <w:footnoteReference w:id="356"/>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استعملت فی الکتاب فی خمسة عشر موضعا منه بمعناها اللغوی؛و هو الظهور و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لکنّ الإنصاف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روایات القضاء ظاهرة فی خصوص الشهادة بقرینة مقابلتها مع الأیمان،فقول الرسول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 علی من ادّعی، و الیمین علی من أنکر</w:t>
      </w:r>
      <w:r>
        <w:rPr>
          <w:rFonts w:eastAsia="IRNazanin" w:cs="IRNazanin"/>
          <w:color w:val="111111"/>
          <w:sz w:val="28"/>
          <w:szCs w:val="28"/>
          <w:rtl w:val="true"/>
          <w:lang w:bidi="fa-IR"/>
        </w:rPr>
        <w:t xml:space="preserve">» </w:t>
      </w:r>
      <w:r>
        <w:rPr>
          <w:rStyle w:val="FootnoteAnchor"/>
          <w:rtl w:val="true"/>
        </w:rPr>
        <w:footnoteReference w:id="357"/>
      </w:r>
      <w:r>
        <w:rPr>
          <w:rFonts w:ascii="IRNazanin" w:hAnsi="IRNazanin" w:eastAsia="IRNazanin"/>
          <w:color w:val="111111"/>
          <w:sz w:val="28"/>
          <w:sz w:val="28"/>
          <w:szCs w:val="28"/>
          <w:rtl w:val="true"/>
          <w:lang w:bidi="fa-IR"/>
        </w:rPr>
        <w:t>ظاهر فی المعنی الاصطلاحی؛و هو الشهادة بقرینة المقابلة،و أیضا قوله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أقضی بینکم بالبیّنات و الأیمان</w:t>
      </w:r>
      <w:r>
        <w:rPr>
          <w:rFonts w:eastAsia="IRNazanin" w:cs="IRNazanin"/>
          <w:color w:val="111111"/>
          <w:sz w:val="28"/>
          <w:szCs w:val="28"/>
          <w:rtl w:val="true"/>
          <w:lang w:bidi="fa-IR"/>
        </w:rPr>
        <w:t xml:space="preserve">»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مضافا إلی ما ذکره الوالد المحقّق من أنّه لو کان المراد منها المعنی اللغوی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لکان المنکر أیضا واجدا للحجّة،و لا یبقی فرق بینه و بین المدّعی،و لا وجه لتقدیم المدّعی علی المنکر بعد الاشتراک فی ثبوت الحجّة لهما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فتلخّص من جمیع ما ذکرنا فی هذا المقام عدم کفایة الکتابة فی البیّنة و الشهادة و إن أثبتنا اعتبار الکتابة إجمالا فی المقام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نعم،قد تکون سببا لعلم القاضی، و طریقا له،و هذا أمر آخر لا ربط له بالبحث</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کلّه بعض ما خطر ببالی فی هذه المسألة و قد تمّ الفراغ منها فی شهر شعبان المعظّم سنة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الهجرة النبویّة علی مهاجرها آلاف التحیّة و الثناء و الحمد للّه ربّ العالمین</w:t>
      </w:r>
      <w:bookmarkStart w:id="218" w:name="pg5439_46759"/>
    </w:p>
    <w:p>
      <w:pPr>
        <w:pStyle w:val="Heading2"/>
        <w:numPr>
          <w:ilvl w:val="1"/>
          <w:numId w:val="1"/>
        </w:numPr>
        <w:rPr/>
      </w:pPr>
      <w:bookmarkStart w:id="219" w:name="__RefHeading___Toc1855996_581953129"/>
      <w:bookmarkStart w:id="220" w:name="_Toc83"/>
      <w:bookmarkEnd w:id="218"/>
      <w:bookmarkEnd w:id="219"/>
      <w:r>
        <w:rPr>
          <w:rtl w:val="true"/>
        </w:rPr>
        <w:t>رسالة فی حقیقة الوضع</w:t>
      </w:r>
      <w:bookmarkEnd w:id="220"/>
    </w:p>
    <w:p>
      <w:pPr>
        <w:pStyle w:val="Heading3"/>
        <w:numPr>
          <w:ilvl w:val="2"/>
          <w:numId w:val="1"/>
        </w:numPr>
        <w:rPr/>
      </w:pPr>
      <w:bookmarkStart w:id="221" w:name="__RefHeading___Toc1855998_581953129"/>
      <w:bookmarkStart w:id="222" w:name="_Toc84"/>
      <w:bookmarkEnd w:id="221"/>
      <w:r>
        <w:rPr>
          <w:rtl w:val="true"/>
        </w:rPr>
        <w:t>اشارة</w:t>
      </w:r>
      <w:bookmarkEnd w:id="222"/>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ألّفت فی سنة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bookmarkStart w:id="223" w:name="pg5439_46762"/>
    </w:p>
    <w:p>
      <w:pPr>
        <w:pStyle w:val="BookText"/>
        <w:rPr/>
      </w:pPr>
      <w:bookmarkEnd w:id="223"/>
      <w:r>
        <w:rPr>
          <w:rFonts w:ascii="Amiri" w:hAnsi="Amiri" w:eastAsia="Amiri" w:cs="Amiri"/>
          <w:color w:val="111111"/>
          <w:sz w:val="28"/>
          <w:sz w:val="28"/>
          <w:szCs w:val="28"/>
          <w:rtl w:val="true"/>
          <w:lang w:bidi="ar-SA"/>
        </w:rPr>
        <w:t>بِسْمِ اللّهِ الرَّحْمنِ الرَّحِیمِ</w:t>
      </w:r>
    </w:p>
    <w:p>
      <w:pPr>
        <w:pStyle w:val="Heading3"/>
        <w:numPr>
          <w:ilvl w:val="2"/>
          <w:numId w:val="1"/>
        </w:numPr>
        <w:rPr/>
      </w:pPr>
      <w:bookmarkStart w:id="224" w:name="__RefHeading___Toc1856000_581953129"/>
      <w:bookmarkStart w:id="225" w:name="_Toc85"/>
      <w:bookmarkEnd w:id="224"/>
      <w:r>
        <w:rPr>
          <w:rtl w:val="true"/>
        </w:rPr>
        <w:t>تمهید فی کیفیّة الدلالة و حقیقة الوضع</w:t>
      </w:r>
      <w:bookmarkEnd w:id="225"/>
    </w:p>
    <w:p>
      <w:pPr>
        <w:pStyle w:val="BookText"/>
        <w:rPr/>
      </w:pPr>
      <w:r>
        <w:rPr>
          <w:rFonts w:ascii="IRNazanin" w:hAnsi="IRNazanin" w:eastAsia="IRNazanin"/>
          <w:color w:val="111111"/>
          <w:sz w:val="28"/>
          <w:sz w:val="28"/>
          <w:szCs w:val="28"/>
          <w:rtl w:val="true"/>
          <w:lang w:bidi="fa-IR"/>
        </w:rPr>
        <w:t xml:space="preserve">ذهب السیّد الشهید الصدر قدّس سرّه إلی أنّ العلقة الوضعیّة بین اللفظ و المعنی لا تکون أمرا اعتباریّا صرفا،بل هی من الامور الواقعیّة نشأت عن الاقتران الأکید بین اللفظ و المعنی،و هو من صغریات قانون الاستجابة الشرطیّة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بما أنّ هذه النظریّة ذات أثر مهمّ فی شتّی مباحث الاصول،فالجدیر لوضوح البحث أن نبحث عن حقیقة الوضع و المسالک الموجودة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فقنول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یخفی أنّ البحث عن الوضع و أقسامه من المبادئ التصوّریّة اللغویّة لمسائل علم الاصول،و ثمرته إنّما تظهر فی جواز استعمال اللفظ فی أکثر من معنی واحد و عدمه،کما سیأتی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قبل الورود فی البحث لا بدّ أن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هنا أمرین قد وقع الخلط بینهما فی کلمات القوم</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حقیقة الدلالة الموجودة بین الألفاظ و المعانی،و کیفیّة الارتباط الموجود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حقیقة الوضع،و أنّه ماذا فعل الواضع،و ماذا یتحقّق بفعله، و لا یذهب علیک أنّ البحث لیس فی مفهوم الوضع بحسب اللغة؛فإنّه أمر واضح جدّا،بل البحث إنّما هو فی حقیقة الوضع،و فی کیفیّة عملیّة الوضع،و هذا من فروع 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فاعلم أنّ القوم علی أقوال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منهم عبّاد بن سلیمان الصیمری </w:t>
      </w:r>
      <w:r>
        <w:rPr>
          <w:rStyle w:val="FootnoteAnchor"/>
          <w:rtl w:val="true"/>
        </w:rPr>
        <w:footnoteReference w:id="3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هذه الدلالة أمر واقعیّ ذاتیّ تکوینیّ،و ذهب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منهم المحقّق النائینی </w:t>
      </w:r>
      <w:r>
        <w:rPr>
          <w:rStyle w:val="FootnoteAnchor"/>
          <w:rtl w:val="true"/>
        </w:rPr>
        <w:footnoteReference w:id="3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أنّه الوسط بین الأمر الواقعی و الأمر الجعلی الاعتباری،و ذهب المشهور </w:t>
      </w:r>
      <w:r>
        <w:rPr>
          <w:rStyle w:val="FootnoteAnchor"/>
          <w:rtl w:val="true"/>
        </w:rPr>
        <w:footnoteReference w:id="363"/>
      </w:r>
      <w:r>
        <w:rPr>
          <w:rFonts w:ascii="IRNazanin" w:hAnsi="IRNazanin" w:eastAsia="IRNazanin"/>
          <w:color w:val="111111"/>
          <w:sz w:val="28"/>
          <w:sz w:val="28"/>
          <w:szCs w:val="28"/>
          <w:rtl w:val="true"/>
          <w:lang w:bidi="fa-IR"/>
        </w:rPr>
        <w:t>إلی أنّه أمر جعلیّ صرف لا یمسّه الواقع التکوینیّ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اختلفوا أیضا فی کیفیّة الاعتبار علی أقوال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عبارة عن جعل الارتباط بین اللفظ و المعنی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عبارة عن جعل اللفظ علی المعنی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عبارة عن تنزیل اللفظ منزلة المعنی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عبارة عن التعهّد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مجمل الکلام فی ما ذهب إلیه القوم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تفصیل البحث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القول بکون دلالة اللفظ علی المعنی أمرا واقعیّا ذاتیّا،یمکن أن یفسّر بأحد الوجوه الثلاثة</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منها کون المعنی من ذاتیّات اللفظ،کما أنّ الزوجیّة من</w:t>
      </w:r>
    </w:p>
    <w:p>
      <w:pPr>
        <w:pStyle w:val="BookText"/>
        <w:rPr/>
      </w:pPr>
      <w:r>
        <w:rPr>
          <w:rFonts w:ascii="IRNazanin" w:hAnsi="IRNazanin" w:eastAsia="IRNazanin"/>
          <w:color w:val="111111"/>
          <w:sz w:val="28"/>
          <w:sz w:val="28"/>
          <w:szCs w:val="28"/>
          <w:rtl w:val="true"/>
          <w:lang w:bidi="fa-IR"/>
        </w:rPr>
        <w:t>ذاتیّات الأربعة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المراد بالواضع ما لم یهمل المناسبة بین اللفظ و المعنی،کما هو مذهب أهل الاشتقاق؛فإنّهم قد ذکروا أنّ الفصم بالفاء لکسر الشیء مع عدم الإبانة </w:t>
      </w:r>
      <w:r>
        <w:rPr>
          <w:rStyle w:val="FootnoteAnchor"/>
          <w:rtl w:val="true"/>
        </w:rPr>
        <w:footnoteReference w:id="368"/>
      </w:r>
      <w:r>
        <w:rPr>
          <w:rFonts w:ascii="IRNazanin" w:hAnsi="IRNazanin" w:eastAsia="IRNazanin"/>
          <w:color w:val="111111"/>
          <w:sz w:val="28"/>
          <w:sz w:val="28"/>
          <w:szCs w:val="28"/>
          <w:rtl w:val="true"/>
          <w:lang w:bidi="fa-IR"/>
        </w:rPr>
        <w:t xml:space="preserve">، و القصم بالقاف لکسر الشیء مع الإبانة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؛للفرق بین الفاء و القاف فی الشدّة و الرخاء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من الذاتیّة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الدلالة بینهما أمرا غیر قابل للتغییر و التبدیل و إن کان اعتباریّا،لکن بعد تحقّق الاعتبار و تمامیّته لا یتبدّل و لا یتغیّر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استدلّوا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لو لم تکن الدلالة ناشئة من سنخیّة ذاتیّة بین اللفظ و المعنی لکان کلّ لفظ صالحا للدلالة علی المعنی،و اختیار لفظ لمعنی دون لفظ آخر موجب للترجیح بلا مرجّح،و للتخصیص بلا مخصّص،و هو محال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یرد علیه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امتناع الترجیح بلا مرجّح،و إنّما المحال هو ما إذا کان بنحو الترجّح بلا مرجّح،هذا بناء علی عدم رجوع الترجیح إلی الترجّح،و إلاّ فهو أیضا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المرجّح فی مقام الوضع و الجعل موجود؛و هو إرادة الواضع أو سبق اللفظ إلی الذهن</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لو کانت الدلالة أمرا اعتباریّا لکانت متقوّمة بالاعتبار و وجود المعتبر،و ینهدم بانقراضه،مع أنّا نری بالوجدان بقاء الدلالة فی الألفاظ فی جمیع الأزمنة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أمر صحیح لا ینکر،و هذا هو الفارق الأساسی بین الامور الواقعیّة التکوینیّة؛التی لا تتقوّم بوجود جاعل،و لا بفرض فارض،و الامور الاعتباریّة التی تتقوّم بالمعتبر و الفارض،و لکن انهدام المعتبر لا یستلزم انقراض الدلالة؛لتبعیّة الباقی عنه فی الاعتبار،و تأییدهم لبقاء الدلالة عملا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إبطال الوجهین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القول بالذاتیّة باطل جدّا من حیث الثبوت؛ لأنّه مضافا إلی دفعه بوجود الوضع للنقیضین أو الضدّین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القول بها مدفوع بطریقین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الطریق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الامور الواقعیّة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الامور الخارجیّة التی یکون الخارج ظرفا لوجودها،و تنقسم إلی الجواهر و الأعراض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الامور النفس الأمریّة التی لها واقعیّة،من دون أن یکون الخارج ظرفا لوجودها،بل الخارج ظرف لأنفسها،کاستحالة اجتماع النقیضین، و الملازمات الواقعیّة بین طلوع الشمس و وجود النهار و أمثالها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العلقة الموجودة بین اللفظ،و المعنی لیست من القسم الأوّل؛ لعدم کونها من الجواهر،حیث إنّها وجودات لا فی موضوع،و الدلالة أمر ربطیّ لا وجود لها غیر الطرفین،و أیضا لیست من قبیل الأعراض التی لها وجود فی الموضوع؛لأنّها موجودة بین طبیعیّ اللفظ و طبیعیّ المعنی،و لا تتوقّف علی وجود اللفظ و استعماله،مع أنّه لو کانت من الأعراض لوجب أن تتحقّق بعد وجود اللفظ خارجا</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لیست العلقة و الدلالة من قبیل الامور الواقعیّة النفس الأمریّة؛لعدم وجود التبدیل و التغییر فیها؛فإنّ استحالة اجتماع النقیضین أمر غیر قابل للتغییر و التبدیل،و هکذا الملازمات العقلیّة،مع أنّ الدلالة قد تتغیّر بسبب النقل من المعنی</w:t>
      </w:r>
    </w:p>
    <w:p>
      <w:pPr>
        <w:pStyle w:val="BookText"/>
        <w:rPr/>
      </w:pPr>
      <w:r>
        <w:rPr>
          <w:rFonts w:ascii="IRNazanin" w:hAnsi="IRNazanin" w:eastAsia="IRNazanin"/>
          <w:color w:val="111111"/>
          <w:sz w:val="28"/>
          <w:sz w:val="28"/>
          <w:szCs w:val="28"/>
          <w:rtl w:val="true"/>
          <w:lang w:bidi="fa-IR"/>
        </w:rPr>
        <w:t>اللغوی إلی الشرعی أو العرفی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فثبت أنّ العلقة الموجودة بین اللفظ و المعنی لیست من الامور الواقعیّة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الطریق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ذکره الوالد المعظّم فی بحثه،و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القول بالذاتیّة لا یخلو عن أربع کلّها مخدوشة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وجود اللفظ علّة تامّة لوجود المعنی،و هذا مع أنّه لم یقل به أحد،بدیهیّ البطلان أیضا؛لتحقّق المعانی قبل تحقّق الألفاظ،کما هو واضح فی أسماء الأعلام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اللفظ علّة تامّة للانتقال إلی المعنی،و هذا باطل أیضا؛ لاستلزام أن یکون کلّ شخص عالما بالمعنی بمجرّد سماع اللفظ،و 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اللفظ مقتضیا لوجود المعنی،و هذا أیضا باطل لنفس ما قلناه فی الاحتمال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اللفظ مقتضیا للانتقال إلی المعنی،و هذا مخدوش أیضا؛ لوجود الألفاظ الدالّة علی الضدّین،مع وضوح عدم إمکان الشیء الواحد لأن یکون مقتضیا للضدّین،علی أنّ هذا القول مستلزم لوجود الترکّب فی ذات البارئ تعالی؛لتعدّد الأسماء و الألفاظ فی ذات البارئ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اللغة الواحدة؛ لاقتضاء کلّ لفظ جهة خاصّة لا یقتضیها اللفظ الآخر،و هذا موجب للترکّب المحال فی ذات البارئ تعالی</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یستفاد من کلمات المحقّق العراقی و المحقّق النائینی أنّ الدلالة الموجودة بین اللفظ و المعنی أمر وسط بین الاعتباری و الواقعی،و لا بدّ أن نذکر کلامهما مع</w:t>
      </w:r>
      <w:bookmarkStart w:id="226" w:name="pg5439_46770"/>
    </w:p>
    <w:p>
      <w:pPr>
        <w:pStyle w:val="BookText"/>
        <w:rPr/>
      </w:pPr>
      <w:bookmarkEnd w:id="226"/>
      <w:r>
        <w:rPr>
          <w:rFonts w:ascii="IRNazanin" w:hAnsi="IRNazanin" w:eastAsia="IRNazanin"/>
          <w:color w:val="111111"/>
          <w:sz w:val="28"/>
          <w:sz w:val="28"/>
          <w:szCs w:val="28"/>
          <w:rtl w:val="true"/>
          <w:lang w:bidi="fa-IR"/>
        </w:rPr>
        <w:t>المناقشات الواردة علیهما</w:t>
      </w:r>
      <w:r>
        <w:rPr>
          <w:rFonts w:eastAsia="IRNazanin" w:cs="IRNazanin"/>
          <w:color w:val="111111"/>
          <w:sz w:val="28"/>
          <w:szCs w:val="28"/>
          <w:rtl w:val="true"/>
          <w:lang w:bidi="fa-IR"/>
        </w:rPr>
        <w:t>.</w:t>
      </w:r>
    </w:p>
    <w:p>
      <w:pPr>
        <w:pStyle w:val="Heading3"/>
        <w:numPr>
          <w:ilvl w:val="2"/>
          <w:numId w:val="1"/>
        </w:numPr>
        <w:rPr/>
      </w:pPr>
      <w:bookmarkStart w:id="227" w:name="__RefHeading___Toc1856002_581953129"/>
      <w:bookmarkStart w:id="228" w:name="_Toc86"/>
      <w:bookmarkEnd w:id="227"/>
      <w:r>
        <w:rPr/>
        <w:t>1</w:t>
      </w:r>
      <w:r>
        <w:rPr>
          <w:rtl w:val="true"/>
        </w:rPr>
        <w:t>-</w:t>
      </w:r>
      <w:r>
        <w:rPr>
          <w:rtl w:val="true"/>
        </w:rPr>
        <w:t>کلام المحقّق العراقی</w:t>
      </w:r>
      <w:r>
        <w:rPr>
          <w:rtl w:val="true"/>
        </w:rPr>
        <w:t>:</w:t>
      </w:r>
      <w:bookmarkEnd w:id="228"/>
    </w:p>
    <w:p>
      <w:pPr>
        <w:pStyle w:val="BookText"/>
        <w:rPr/>
      </w:pPr>
      <w:r>
        <w:rPr>
          <w:rFonts w:ascii="IRNazanin" w:hAnsi="IRNazanin" w:eastAsia="IRNazanin"/>
          <w:color w:val="111111"/>
          <w:sz w:val="28"/>
          <w:sz w:val="28"/>
          <w:szCs w:val="28"/>
          <w:rtl w:val="true"/>
          <w:lang w:bidi="fa-IR"/>
        </w:rPr>
        <w:t>ذکر المحقّق المذکور کلاما طویلا فی هذا المقام فی مقالاته،و اختلف الأعلام فیما یستفاد من کلامه،و لا سیّما أنّ کلامه فی هذا المجال مضطرب جدّا،و نحن نذکر لبّ مختاره،و أساس مرامه،فنقول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بعد أن أنکر الذاتیّة و ذهب إلی أنّ العلقة الموجودة بینهما إمّا أن تکون بجعل الجاعل،أو بکثرة الاستعمال،فهی حادثة لا ذاتیّة،قال ما ملخّصه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الارتباط بینهما من قبیل ارتباط المرآة مع المرئی،فکما أنّ الانتقال إلی المرآة عبارة عن نفس الانتقال إلی المرئی،و لیس بینهما تغایر،فکذلک الانتقال من اللفظ عین الانتقال إلی المعنی،و هذا هو السبب لسرایة صفات المعنی إلی اللفظ و بالعکس،و بهذا البیان یتّضح أنّ دلالة اللفظ لیست من قبیل دلالة الدخان علی النار،حیث إنّ الانتقال إلی أحدهما یکون مغایرا مع الانتقال إلی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هذه العلقة أمر اعتباریّ من جهة أنّها مجعولة بتوسّط جعل الجاعل،لکن لیست اعتباریّة محضة حتی تزول بتوهّم المعتبر أو غفلته،بل اعتباریّ بمعنی عدم وجود ما بإزاءها فی الأعیان،و من جهة اخری أنّها أمر واقعیّ لتعلّق الالتفات إلیها تارة،و الغفلة اخری،و أیضا اعتباریّتها من جهة عدم إیجاد تغییر فی اللفظ و المعنی،بخلاف النسب الخارجیّة التی توجب تغییرا فی الهیئة الخارجیّة،و من جهة أنّها بنفسها خارجیة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بوجودها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من الامور الواقعیّة</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الاعتبار لیس واسطة فی الثبوت بالنسبة إلی هذه الدلالة حتّی یکون علّة لتحقّقها،بل طریق إلی الواقع،کالقضایا الحقیقة التی یکون فرض وجود الموضوع طریقا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قدّس سرّه قد عبّر عن الدلالة تارة بالملازمة بین اللفظ و المعنی،و اخری باختصاص اللفظ بالمعنی،و ثالثة بقالبیّة اللفظ أو مبرزیّته للمعنی،و الظاهر أنّ هذه التعبیرات مآلها إلی شیء واحد فی نظره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فنتیجة کلامه أنّ الواضع قد وضع الملازمة الواقعیّة بین طبیعی اللفظ و طبیعی المعنی،و من هذه الجهة لها موطن ذهنیّ،کما أنّ لها موطن خارجیّ أیضا بین وجود اللفظ و وجود المعنی،و عدم انحصارها بالذهن دلیل علی عدم کونها من الاعتباریّات المحضة،و الاعتبار لیس علّة لثبوتها،بل طریق إلی الملازمة الواقعیّة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فی مجموع کلماته لعدم کونها من الاعتباریات المحضة بأمرین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زوال الاعتبار بنوم المعتبر،أو غفلته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نری فی ما إذا کانت الدلالة معلولة لکثرة الاستعمال بقاءها و إن اعتبر خلافها،مع أنّ الامور الاعتباریّة تزول باعتبار الخلاف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أورد علیه المحقّق الخوئی بأنّه إن أراد وجود الملازمة مطلقا حتّی للجاهل بالوضع،فبطلانه من الواضحات؛لاستلزام کون سماع اللفظ علّة للانتقال إلی المعنی،و لازمه استحالة الجهل باللغات،و إن أراد ثبوتها للعالم بالوضع فقط، فیرد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أنّها و إن کانت ثابتة للعالم فقط،إلاّ أنّها لیست بحقیقة الوضع،بل هی متفرّعة علیها؛بمعنی أنّها أثر الوضع لا حقیقته،و محلّ النزاع إنّما هو فی تعیین حقیقة الوضع التی تترتّب علیها الملازمة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أنّ القول باختصاص الملازمة للعالم بالوضع مستلزم للدور؛ لتوقّف الوضع علی العلم بالوضع و بالعکس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الملازمة من جهة العلم بالوضع و عدمه مهملة،و لیست بمطلقة و لا مقیّدة،کسائر الملازمات الواقعیّة؛فإنّه لیس</w:t>
      </w:r>
      <w:bookmarkStart w:id="229" w:name="pg5439_46772"/>
    </w:p>
    <w:p>
      <w:pPr>
        <w:pStyle w:val="BookText"/>
        <w:rPr/>
      </w:pPr>
      <w:bookmarkEnd w:id="229"/>
      <w:r>
        <w:rPr>
          <w:rFonts w:ascii="IRNazanin" w:hAnsi="IRNazanin" w:eastAsia="IRNazanin"/>
          <w:color w:val="111111"/>
          <w:sz w:val="28"/>
          <w:sz w:val="28"/>
          <w:szCs w:val="28"/>
          <w:rtl w:val="true"/>
          <w:lang w:bidi="fa-IR"/>
        </w:rPr>
        <w:t>یصحّ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الملازمة الموجودة فی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کانت الشمس طالعة فالنهار 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مختصّة بالعالم بها،أو الأعمّ منه و من الجاهل،بل من هذه الجهة مهملة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الصحیح فی الإیراد علی المحقّق العراقی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الالتزام بکون الاعتبار یمکن أن یکون طریقا إلی الواقع،غیر معقول جدّا،بل الاعتبار فی الامور الاعتباریّة دائما یکون من قبیل الواسطة فی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الدلیل علی ما ذکرنا لزوم السنخیّة بین العلّة و المعلول؛لأنّه لا یمکن أن یکون الاعتبار علّة للأمر الواقعی التکوینی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فنحن نسأل عنه أنّ المراد من کون الاعتبار طریقا إلی الواقع،هل هو طریق إلی تحقّق الواقع،فیرجع إلی کونه واسطة فی الثبوت التی فررتم منها،أم هو طریق إلی کشف الواقع،فیلزم تحقّق الملازمة قبل تحقّق الوضع،و هو غیر مرامکم و مقصودکم؟فالقول بأنّ الاعتبار طریق إلی الواقع لیس له محصّل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القیاس بین ما نحن فیه،و بین القضایا الحقیقیّة،فهو قیاس مع الفارق؛لأنّ فی القضایا الحقیقیّة یکون فرض وجود الموضوع طریقا إلی إنشاء حکم کلّی الذی هو من الامور الاعتباریّة،بخلاف ما نحن بصدده؛لأنّ الادّعاء کون الاعتبار طریقا إلی الواقع الحقیقی</w:t>
      </w:r>
      <w:r>
        <w:rPr>
          <w:rFonts w:eastAsia="IRNazanin" w:cs="IRNazanin"/>
          <w:color w:val="111111"/>
          <w:sz w:val="28"/>
          <w:szCs w:val="28"/>
          <w:rtl w:val="true"/>
          <w:lang w:bidi="fa-IR"/>
        </w:rPr>
        <w:t>.</w:t>
      </w:r>
    </w:p>
    <w:p>
      <w:pPr>
        <w:pStyle w:val="Heading3"/>
        <w:numPr>
          <w:ilvl w:val="2"/>
          <w:numId w:val="1"/>
        </w:numPr>
        <w:rPr/>
      </w:pPr>
      <w:bookmarkStart w:id="230" w:name="__RefHeading___Toc1856004_581953129"/>
      <w:bookmarkStart w:id="231" w:name="_Toc87"/>
      <w:bookmarkEnd w:id="230"/>
      <w:r>
        <w:rPr/>
        <w:t>2</w:t>
      </w:r>
      <w:r>
        <w:rPr>
          <w:rtl w:val="true"/>
        </w:rPr>
        <w:t>-</w:t>
      </w:r>
      <w:r>
        <w:rPr>
          <w:rtl w:val="true"/>
        </w:rPr>
        <w:t>کلام المحقّق النائینی</w:t>
      </w:r>
      <w:bookmarkEnd w:id="231"/>
    </w:p>
    <w:p>
      <w:pPr>
        <w:pStyle w:val="Heading4"/>
        <w:numPr>
          <w:ilvl w:val="3"/>
          <w:numId w:val="1"/>
        </w:numPr>
        <w:rPr/>
      </w:pPr>
      <w:bookmarkStart w:id="232" w:name="__RefHeading___Toc1856006_581953129"/>
      <w:bookmarkStart w:id="233" w:name="_Toc88"/>
      <w:bookmarkEnd w:id="232"/>
      <w:r>
        <w:rPr>
          <w:rtl w:val="true"/>
        </w:rPr>
        <w:t>اشارة</w:t>
      </w:r>
      <w:bookmarkEnd w:id="233"/>
    </w:p>
    <w:p>
      <w:pPr>
        <w:pStyle w:val="BookText"/>
        <w:rPr/>
      </w:pPr>
      <w:r>
        <w:rPr>
          <w:rFonts w:ascii="IRNazanin" w:hAnsi="IRNazanin" w:eastAsia="IRNazanin"/>
          <w:color w:val="111111"/>
          <w:sz w:val="28"/>
          <w:sz w:val="28"/>
          <w:szCs w:val="28"/>
          <w:rtl w:val="true"/>
          <w:lang w:bidi="fa-IR"/>
        </w:rPr>
        <w:t>قد ذهب إلی أنّ الوضع أمر یعتبره الشارع،و هو السبب لتخصیص اللفظ بالمعنی،و بناء علیه لا معنی لتقسیم الوضع إلی التعیین و التعیّن،بل منحصر فی الأوّل،و 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جاء فی فوائد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أنکر استناد الوضع إلی البشر بدلیلین،ثمّ أضاف إلیهما مبعّدین</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الدلیل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مرتبط بمقام الثبوت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مع کثرة الألفاظ و المعانی أو عدم تناهیهما،کیف یقدر البشر المتناهی علی جعل الألفاظ للمعانی؟</w:t>
      </w:r>
    </w:p>
    <w:p>
      <w:pPr>
        <w:pStyle w:val="BookText"/>
        <w:rPr/>
      </w:pPr>
      <w:r>
        <w:rPr>
          <w:rFonts w:ascii="IRNazanin" w:hAnsi="IRNazanin" w:eastAsia="IRNazanin"/>
          <w:color w:val="111111"/>
          <w:sz w:val="28"/>
          <w:sz w:val="28"/>
          <w:szCs w:val="28"/>
          <w:rtl w:val="true"/>
          <w:lang w:bidi="fa-IR"/>
        </w:rPr>
        <w:t>و مع قطع النظر عن عدم التناهی،فنفس کثرة الألفاظ و المعانی بحیث تکون خارجة عن قدرة البشر کافیة لعدم استناد الوضع إلی البشر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الدلیل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مرتبط بمقام الإثبات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کان الواضع واحدا من أفراد البشر لذکر اسمه فی التواریخ؛فإنّ هذا من المسائل المهمّة التی ثبتت عادة فی التاریخ،فمن عدم ذکره فی التاریخ نکشف عن عدم وجود واضع بین البشر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المبعّدان،فالأوّل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کان الواضع إنسانا،فهل تحقّق الوضع منه دفعة،أو تحقّق تدریجا؟لا سبیل إلی الأوّل؛لامتناعه عادة،و الثانی غیر قابل للالتزام؛لأنّه نسأل عن أنّه قبل الوضع،کیف یفهمون الناس مقاصدهم إلی الآخرین،مع وضوح تحقّق التفهیم و التفهّم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المبعّد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الواضع حینما أراد الوضع کیف فعل؟فهل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وضعت،أو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الناس،مع أنّ الناس لا یقدرون علی فهم هذه الکلمات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أن یستند الوضع إلی اللّه تبارک و تعالی؛فإنّه أمر اعتباریّ یعتبره الشارع،لکنّه خلاف سائر الاعتباریات الشرعیّة التی وصلت إلی الناس بطریق الرسل و الأنبیاء علیهم السّلام،بل الشارع یعلّم الناس عن طریق الإلهام،فیلهم إلیهم أنّهم حینما أرادوا المائع السائل،یقولون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،فالشارع یخصّص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للمعنی المقصود،و هذا التخصیص ناشئ عن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بوجود مناسبة ذاتیّة بینهما لئلاّ یلزم الترجیح بلا مرجّح،فالوضع من 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اعتباریّ یعتبره الشارع،و من ناحیة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أمر واقعیّ و هو لحاظ المناسبة الذاتیّة بینهما التی أدرکها الشارع فقط </w:t>
      </w:r>
      <w:r>
        <w:rPr>
          <w:rStyle w:val="FootnoteAnchor"/>
          <w:rtl w:val="true"/>
        </w:rPr>
        <w:footnoteReference w:id="375"/>
      </w:r>
      <w:r>
        <w:rPr>
          <w:rFonts w:ascii="IRNazanin" w:hAnsi="IRNazanin" w:eastAsia="IRNazanin"/>
          <w:color w:val="111111"/>
          <w:sz w:val="28"/>
          <w:sz w:val="28"/>
          <w:szCs w:val="28"/>
          <w:rtl w:val="true"/>
          <w:lang w:bidi="fa-IR"/>
        </w:rPr>
        <w:t>،انتهی ملخّص کلامه مع توضیح منّا</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بهذا البیان یتّضح ضعف ما أورده المحقّق الخوئی علیه؛من أنّا لا نتعقّل حقیقة</w:t>
      </w:r>
    </w:p>
    <w:p>
      <w:pPr>
        <w:pStyle w:val="BookText"/>
        <w:rPr/>
      </w:pPr>
      <w:r>
        <w:rPr>
          <w:rFonts w:ascii="IRNazanin" w:hAnsi="IRNazanin" w:eastAsia="IRNazanin"/>
          <w:color w:val="111111"/>
          <w:sz w:val="28"/>
          <w:sz w:val="28"/>
          <w:szCs w:val="28"/>
          <w:rtl w:val="true"/>
          <w:lang w:bidi="fa-IR"/>
        </w:rPr>
        <w:t xml:space="preserve">ثالثة بین الواقع و الجعل،و الامور لا تخرج من هذین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وجه الضعف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 یرد من هذا الکلام حقیقة ثالثة،بل أراد أنّه من جهة یرتبط بالاعتبار؛لأنّ الشارع قد اعتبر،و من جهة یرتبط بالواقع بلحاظ المناسبة الذاتیّة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بهذا التفسیر یظهر الضعف أیضا فیما فسّره بعض أهل النظر؛من أنّ المراد من الواسطیّة أنّ الوضع لیس کسائر الامور الاعتباریّة الشرعیّة التی تتقدّمه بإبلاغ الرسل،بل أمر اعتباریّ یتحقّق بواسطة الإلهام من اللّه إلی الناس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وجه الضعف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یکون بین التبلیغ و الإلهام فرق من جهة الواقعیّة و الاعتباریّة،فتدبّر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 الدلیل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تامّ إذا کان الوضع دفعیّا من شخص واحد،مع أنّ المشهور </w:t>
      </w:r>
      <w:r>
        <w:rPr>
          <w:rStyle w:val="FootnoteAnchor"/>
          <w:rtl w:val="true"/>
        </w:rPr>
        <w:footnoteReference w:id="378"/>
      </w:r>
      <w:r>
        <w:rPr>
          <w:rFonts w:ascii="IRNazanin" w:hAnsi="IRNazanin" w:eastAsia="IRNazanin"/>
          <w:color w:val="111111"/>
          <w:sz w:val="28"/>
          <w:sz w:val="28"/>
          <w:szCs w:val="28"/>
          <w:rtl w:val="true"/>
          <w:lang w:bidi="fa-IR"/>
        </w:rPr>
        <w:t>یعتقدون بتدریجیّة الوضع من أشخاص بحسب احتیاج کلّ شخص أو قوم إلی ما هو المقصود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البیان یتّضح ما فی الدلیل الثانی؛فإنّه تامّ إذا کان الواضع شخصا واحدا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إذا کانوا متعدّدین فلا وجه لذکرهم فی التواریخ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مسألة الإلهام،فلا یصحّ الالتزام به؛فإنّا نسأل أنّ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ألهم کلّ الناس بالنسبة إلی لفظ خاصّ،أو ألهم شخصا خاصّا؟کلاهما غیر صحیح جدّا،أمّا الأوّل؛فللزوم عدم جهالة الإنسان بمعنی لفظ من الألفاظ،و أمّا الثانی؛ فلأنّه بعد إلهام إلیه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یفهم الآخرین بدلالة هذا اللفظ لذلک المعنی مع عدم إلهامه بالنسبة إلیهم</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هذا،مضافا إلی أنّ مسألة الإلهام لو کانت لبیّنت فی الکتب السماویّة،مع</w:t>
      </w:r>
      <w:bookmarkStart w:id="234" w:name="pg5439_46775"/>
    </w:p>
    <w:p>
      <w:pPr>
        <w:pStyle w:val="BookText"/>
        <w:rPr/>
      </w:pPr>
      <w:bookmarkEnd w:id="234"/>
      <w:r>
        <w:rPr>
          <w:rFonts w:ascii="IRNazanin" w:hAnsi="IRNazanin" w:eastAsia="IRNazanin"/>
          <w:color w:val="111111"/>
          <w:sz w:val="28"/>
          <w:sz w:val="28"/>
          <w:szCs w:val="28"/>
          <w:rtl w:val="true"/>
          <w:lang w:bidi="fa-IR"/>
        </w:rPr>
        <w:t>خلوّها عن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مانع من کون البشر واضعا من حیث الإمکان،بل الاعتبار مساعد له،و کون الواضع هو اللّه تبارک و تعالی،خصوصا فی الأعلام الشخصیّة ممّا لا یقبله الذوق السلیم و الفکر المستقیم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p>
    <w:p>
      <w:pPr>
        <w:pStyle w:val="Heading4"/>
        <w:numPr>
          <w:ilvl w:val="3"/>
          <w:numId w:val="1"/>
        </w:numPr>
        <w:rPr/>
      </w:pPr>
      <w:bookmarkStart w:id="235" w:name="__RefHeading___Toc1856008_581953129"/>
      <w:bookmarkStart w:id="236" w:name="_Toc89"/>
      <w:bookmarkEnd w:id="235"/>
      <w:r>
        <w:rPr>
          <w:rtl w:val="true"/>
        </w:rPr>
        <w:t>قد استدلّ بعض بکون اللّه</w:t>
      </w:r>
      <w:r>
        <w:rPr>
          <w:rtl w:val="true"/>
        </w:rPr>
        <w:t>-</w:t>
      </w:r>
      <w:r>
        <w:rPr>
          <w:rtl w:val="true"/>
        </w:rPr>
        <w:t>تبارک و تعالی</w:t>
      </w:r>
      <w:r>
        <w:rPr>
          <w:rtl w:val="true"/>
        </w:rPr>
        <w:t>-</w:t>
      </w:r>
      <w:r>
        <w:rPr>
          <w:rtl w:val="true"/>
        </w:rPr>
        <w:t>هو الواضع</w:t>
      </w:r>
      <w:bookmarkEnd w:id="236"/>
    </w:p>
    <w:p>
      <w:pPr>
        <w:pStyle w:val="BookText"/>
        <w:rPr/>
      </w:pPr>
      <w:r>
        <w:rPr>
          <w:rFonts w:ascii="IRNazanin" w:hAnsi="IRNazanin" w:eastAsia="IRNazanin"/>
          <w:color w:val="111111"/>
          <w:sz w:val="28"/>
          <w:sz w:val="28"/>
          <w:szCs w:val="28"/>
          <w:rtl w:val="true"/>
          <w:lang w:bidi="fa-IR"/>
        </w:rPr>
        <w:t xml:space="preserve">قد استدلّ بعض </w:t>
      </w:r>
      <w:r>
        <w:rPr>
          <w:rStyle w:val="FootnoteAnchor"/>
          <w:rtl w:val="true"/>
        </w:rPr>
        <w:footnoteReference w:id="379"/>
      </w:r>
      <w:r>
        <w:rPr>
          <w:rFonts w:ascii="IRNazanin" w:hAnsi="IRNazanin" w:eastAsia="IRNazanin"/>
          <w:color w:val="111111"/>
          <w:sz w:val="28"/>
          <w:sz w:val="28"/>
          <w:szCs w:val="28"/>
          <w:rtl w:val="true"/>
          <w:lang w:bidi="fa-IR"/>
        </w:rPr>
        <w:t>بکون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الواضع،</w:t>
      </w:r>
    </w:p>
    <w:p>
      <w:pPr>
        <w:pStyle w:val="BookText"/>
        <w:rPr/>
      </w:pPr>
      <w:r>
        <w:rPr>
          <w:rFonts w:ascii="IRNazanin" w:hAnsi="IRNazanin" w:eastAsia="IRNazanin"/>
          <w:color w:val="111111"/>
          <w:sz w:val="28"/>
          <w:sz w:val="28"/>
          <w:szCs w:val="28"/>
          <w:rtl w:val="true"/>
          <w:lang w:bidi="fa-IR"/>
        </w:rPr>
        <w:t>ببعض الآیات الشریفة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الآیة الاولی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آیاتِهِ خَلْقُ السَّماواتِ وَ الْأَرْضِ وَ اخْتِلافُ أَلْسِنَتِکُمْ وَ أَلْوانِکُمْ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الاستدلال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المراد من اختلاف الألسن هو الاختلاف من حیث اللغة، فبعض یتکلّم بالعربیّة،و بعض آخر یتکلّم بالفارسیّة،و هکذا،و لیس المراد منه الاختلاف من جهة الأصوات،کما احتمله بعض المفسّرین </w:t>
      </w:r>
      <w:r>
        <w:rPr>
          <w:rStyle w:val="FootnoteAnchor"/>
          <w:rtl w:val="true"/>
        </w:rPr>
        <w:footnoteReference w:id="3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یکون استناد اختلاف الألسن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جعله من آیاته دلیلا علی کونه واضعا للّغات،سیّما اقترانه فی الآیة مع خلق السماوات و الأرض و اختلاف الألوان التی هی من الامور التکوینیّة،فجعل الاختلاف فی الألسن بینها قرینة علی استناده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من جهة التکوین</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منافاة بین کون الواضع إنسانا،مع استناد الاختلاف فی الألسن إلیه تعالی،و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ملازمة بین کون الاختلاف مستندا إلیه تعالی،و بین کون الواضع هو اللّه تبارک و تعالی،و هذا نظیر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عَلَّمَهُ الْبَیانَ </w:t>
      </w:r>
      <w:r>
        <w:rPr>
          <w:rStyle w:val="FootnoteAnchor"/>
          <w:rtl w:val="true"/>
        </w:rPr>
        <w:footnoteReference w:id="382"/>
      </w:r>
      <w:bookmarkStart w:id="237" w:name="pg5439_46776"/>
    </w:p>
    <w:p>
      <w:pPr>
        <w:pStyle w:val="BookText"/>
        <w:rPr/>
      </w:pPr>
      <w:bookmarkEnd w:id="237"/>
      <w:r>
        <w:rPr>
          <w:rFonts w:ascii="IRNazanin" w:hAnsi="IRNazanin" w:eastAsia="IRNazanin"/>
          <w:color w:val="111111"/>
          <w:sz w:val="28"/>
          <w:sz w:val="28"/>
          <w:szCs w:val="28"/>
          <w:rtl w:val="true"/>
          <w:lang w:bidi="fa-IR"/>
        </w:rPr>
        <w:t>فإنّ البیان یصدر من الإنسان بإرادته،مع أنّه مستند إلیه تعالی،فتدبّر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الآیة الثانیة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عَلَّمَ آدَمَ الْأَسْماءَ کُلَّها </w:t>
      </w:r>
      <w:r>
        <w:rPr>
          <w:rStyle w:val="FootnoteAnchor"/>
          <w:rtl w:val="true"/>
        </w:rPr>
        <w:footnoteReference w:id="3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اسم،الذی هو دالّ علی المسمّی،فلازم تعلیم آدم علیه السّلام وجود الأسماء قبل خلقه علیه السّلام؛و هو بمعنی وضع اللّه تبارک و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المراد من الأسماء لیست الأسماء المتداولة بین الألسن،بل المراد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خصوصا بقرینة رجوع ضمیر ذوی العقول فی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عَرَضَهُمْ عَلَی الْمَلائِکَةِ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أَنْبِئُونِی بِأَسْماءِ هؤُلاءِ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،إلی 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الأسماء الخاصّة التی وردت فی بعض الروایات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الواضح أنّه لیس المراد منها مثلا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نظائرها، خصوصا مع استعمال الملائکة،و اعتراضهم علی اللّه،و استعمالهم الکلمات المتداولة، مع أنّ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یصرّح فی هذه الآیات بعدم علم الملائکة بالأسماء</w:t>
      </w:r>
      <w:r>
        <w:rPr>
          <w:rFonts w:eastAsia="IRNazanin" w:cs="IRNazanin"/>
          <w:color w:val="111111"/>
          <w:sz w:val="28"/>
          <w:szCs w:val="28"/>
          <w:rtl w:val="true"/>
          <w:lang w:bidi="fa-IR"/>
        </w:rPr>
        <w:t>.</w:t>
      </w:r>
    </w:p>
    <w:p>
      <w:pPr>
        <w:pStyle w:val="Heading4"/>
        <w:numPr>
          <w:ilvl w:val="3"/>
          <w:numId w:val="1"/>
        </w:numPr>
        <w:rPr/>
      </w:pPr>
      <w:bookmarkStart w:id="238" w:name="__RefHeading___Toc1856010_581953129"/>
      <w:bookmarkStart w:id="239" w:name="_Toc90"/>
      <w:bookmarkEnd w:id="238"/>
      <w:r>
        <w:rPr>
          <w:rtl w:val="true"/>
        </w:rPr>
        <w:t>ثمّ إنّه قد ذکر فی بعض الکلمات مبعّدات لبشریّة الواضع لا بأس بذکرها</w:t>
      </w:r>
      <w:r>
        <w:rPr>
          <w:rtl w:val="true"/>
        </w:rPr>
        <w:t>:</w:t>
      </w:r>
      <w:bookmarkEnd w:id="239"/>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الإنسان الابتدائی کیف قدر أن یفهم أنّ من طرق إفادة المقاصد استخدام الألفاظ،و لا یمکن توجیه الاستخدام إلاّ بالإلهام من اللّه تبارک و تعالی؟</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و إن سلّمنا قدرته علی فهم الاستخدام،لکنّه کیف کان قادرا لتفهیم الآخرین؟و هل للتفهیم استخدم ألفاظا؟فنسأل عنها کیف کانوا قادرین علی فهمها؟</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حقیقة الوضع البشری طبقا للمسالک الموجودة عند الاصولیّین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کجعل الملازمة أو الهوهویّة أو التعهّد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کان خارجا عن درک البشر الابتدائی و الواضع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کان الواضع مجموع الموجودین فی الزمان الأوّل،بحیث جلسوا و اتّفقوا علی کون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لذاک المعنی الخارجی،لکان هذا بعیدا بحسب حساب الاحتمالات،و لو کان شخصا واحدا لاتّبعوه القوم،فهذا یناسب کون الواضع رئیسا للقوم،و البقیّة تابع له،مع أنّ هذه الکیفیّة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تبعیّة القوم لشخص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أمر لم یکن فی البشر الابتدائی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بعد هذه المبعّدات نحن نحتمل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احتمل الشهید الصدر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نطمئنّ بأنّ کیفیّة صیاغة الدلالة لیست بقول مطلق،و لا مجال لأن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الواضع هو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جمیع الألفاظ،و فی جمیع المعانی حتّی بالنسبة إلی الأعلام الشخصیة و الاختراعات الجدیدة،و لا أن نقول بأنّ أوّل شخص خلق کآدم علی نبیّنا و آله و علیه السلام قد وضع الألفاظ علی المعانی،بل لا بدّ من التفصیل بهذه الکیفیّة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دلالة الألفاظ علی المعانی کانت فی أوّل الخلقة بین الموجودین بإلهام من اللّه تبارک و تعالی،سیّما بالنسبة إلی آدم علیه السّلام و حواره مع حوّاء،سیّما قبل هبوطهما إلی الأرض،فمن البیّن جدّا أنّ آدم علیه السّلام حینما أراد أن یتکلّم مع حوّاء بالنسبة إلی الشجرة المعروفة فألهمه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ألفاظا مخصوصة حتّی یستخدمها حین الاحتجاج و التکلّم</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بعد مرور الزمان وسعة الاحتیاجات قد وضع الإنسان ألفاظا لمعان تقلیدا من اللّه تبارک و تعالی،کما فی سائر الامور التقلیدیّة منه تبارک و تعالی،کصنعة</w:t>
      </w:r>
      <w:bookmarkStart w:id="240" w:name="pg5439_46778"/>
    </w:p>
    <w:p>
      <w:pPr>
        <w:pStyle w:val="BookText"/>
        <w:rPr/>
      </w:pPr>
      <w:bookmarkEnd w:id="240"/>
      <w:r>
        <w:rPr>
          <w:rFonts w:ascii="IRNazanin" w:hAnsi="IRNazanin" w:eastAsia="IRNazanin"/>
          <w:color w:val="111111"/>
          <w:sz w:val="28"/>
          <w:sz w:val="28"/>
          <w:szCs w:val="28"/>
          <w:rtl w:val="true"/>
          <w:lang w:bidi="fa-IR"/>
        </w:rPr>
        <w:t>المجسّمة و النقش و غیرهما،فالإنسان واضع لکن تقلیدا من اللّه تعالی،و خصوصا فی الأعلام الشخصیّة و الاختراعات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الامور التکوینیّة،کالسماء و الأرض و أشباههما،فمن البیّن أن ندّعی أنّ واضعها هو اللّه تبارک و تعالی،و هذا یظهر بعد وضوح أنّ من جعل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علیه السّلام،و من جعل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لزوجته علیها السّلام،و من جعل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أشباههما،هو اللّه تبارک و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التفصیل یقوی بعد عدم إقامة دلیل علی نفی إلهیّة الوضع بقول مطلق، و أیضا علی نفی بشریّة الوضع بقول مطلق،فکلا القولین لم یکونا دلیلا علی نفی القول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ثبت بطلان ذاتیّة الدلالة،و أنّ القول بکونها أمرا متوسّطا بین الذاتیّة و الجعلیّة غیر صحیح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نعم،قد اخترنا کون الواضع الأصلی فی بدو خلقة البشر هو اللّه تبارک و تعالی،ثمّ تبعه الناس و قلّدوه فی هذا الأمر،فالإنسان أیضا واضع فی العصور المتأخّرة عن بدو الخلقة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قد وقع الخلاف بین المشهور بناء علی کون الدلالة بین اللفظ و المعنی اعتباریّا محضا،و جعلیّة صرفة من دون وجود مناسبة بینهما،</w:t>
      </w:r>
    </w:p>
    <w:p>
      <w:pPr>
        <w:pStyle w:val="Heading4"/>
        <w:numPr>
          <w:ilvl w:val="3"/>
          <w:numId w:val="1"/>
        </w:numPr>
        <w:rPr/>
      </w:pPr>
      <w:bookmarkStart w:id="241" w:name="__RefHeading___Toc1856012_581953129"/>
      <w:bookmarkStart w:id="242" w:name="_Toc91"/>
      <w:bookmarkEnd w:id="241"/>
      <w:r>
        <w:rPr>
          <w:rtl w:val="true"/>
        </w:rPr>
        <w:t>فی أنّه ما هی حقیقة</w:t>
      </w:r>
      <w:bookmarkEnd w:id="242"/>
    </w:p>
    <w:p>
      <w:pPr>
        <w:pStyle w:val="Heading5"/>
        <w:numPr>
          <w:ilvl w:val="4"/>
          <w:numId w:val="1"/>
        </w:numPr>
        <w:rPr/>
      </w:pPr>
      <w:bookmarkStart w:id="243" w:name="__RefHeading___Toc1856014_581953129"/>
      <w:bookmarkStart w:id="244" w:name="_Toc92"/>
      <w:bookmarkEnd w:id="243"/>
      <w:r>
        <w:rPr>
          <w:rtl w:val="true"/>
        </w:rPr>
        <w:t>اشارة</w:t>
      </w:r>
      <w:bookmarkEnd w:id="244"/>
    </w:p>
    <w:p>
      <w:pPr>
        <w:pStyle w:val="BookText"/>
        <w:rPr/>
      </w:pPr>
      <w:r>
        <w:rPr>
          <w:rFonts w:ascii="IRNazanin" w:hAnsi="IRNazanin" w:eastAsia="IRNazanin"/>
          <w:color w:val="111111"/>
          <w:sz w:val="28"/>
          <w:sz w:val="28"/>
          <w:szCs w:val="28"/>
          <w:rtl w:val="true"/>
          <w:lang w:bidi="fa-IR"/>
        </w:rPr>
        <w:t>هذا الاعتبار؟علی أقوال و مسالک</w:t>
      </w:r>
      <w:r>
        <w:rPr>
          <w:rFonts w:eastAsia="IRNazanin" w:cs="IRNazanin"/>
          <w:color w:val="111111"/>
          <w:sz w:val="28"/>
          <w:szCs w:val="28"/>
          <w:rtl w:val="true"/>
          <w:lang w:bidi="fa-IR"/>
        </w:rPr>
        <w:t>:]</w:t>
      </w:r>
    </w:p>
    <w:p>
      <w:pPr>
        <w:pStyle w:val="Heading5"/>
        <w:numPr>
          <w:ilvl w:val="4"/>
          <w:numId w:val="1"/>
        </w:numPr>
        <w:rPr/>
      </w:pPr>
      <w:bookmarkStart w:id="245" w:name="__RefHeading___Toc1856016_581953129"/>
      <w:bookmarkStart w:id="246" w:name="_Toc93"/>
      <w:bookmarkEnd w:id="245"/>
      <w:r>
        <w:rPr>
          <w:rtl w:val="true"/>
        </w:rPr>
        <w:t>المسلک الأوّل</w:t>
      </w:r>
      <w:r>
        <w:rPr>
          <w:rtl w:val="true"/>
        </w:rPr>
        <w:t>:</w:t>
      </w:r>
      <w:bookmarkEnd w:id="246"/>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ذهب المشهور </w:t>
      </w:r>
      <w:r>
        <w:rPr>
          <w:rStyle w:val="FootnoteAnchor"/>
          <w:rtl w:val="true"/>
        </w:rPr>
        <w:footnoteReference w:id="386"/>
      </w:r>
      <w:r>
        <w:rPr>
          <w:rFonts w:ascii="IRNazanin" w:hAnsi="IRNazanin" w:eastAsia="IRNazanin"/>
          <w:color w:val="111111"/>
          <w:sz w:val="28"/>
          <w:sz w:val="28"/>
          <w:szCs w:val="28"/>
          <w:rtl w:val="true"/>
          <w:lang w:bidi="fa-IR"/>
        </w:rPr>
        <w:t xml:space="preserve">إلی أنّ الدلالة بینهما إنّما هی بالوضع،و المراد منه تخصیص اللفظ بالمعنی،و عدل عنه المحقّق الخراسانی إلی أنّه عبارة عن نحو اختصاص اللفظ بالمعنی </w:t>
      </w:r>
      <w:r>
        <w:rPr>
          <w:rStyle w:val="FootnoteAnchor"/>
          <w:rtl w:val="true"/>
        </w:rPr>
        <w:footnoteReference w:id="387"/>
      </w:r>
      <w:r>
        <w:rPr>
          <w:rFonts w:ascii="IRNazanin" w:hAnsi="IRNazanin" w:eastAsia="IRNazanin"/>
          <w:color w:val="111111"/>
          <w:sz w:val="28"/>
          <w:sz w:val="28"/>
          <w:szCs w:val="28"/>
          <w:rtl w:val="true"/>
          <w:lang w:bidi="fa-IR"/>
        </w:rPr>
        <w:t>،وجه العدول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تعریف المشهور غیر شامل للوضع التعیّنی؛لأنّ التعبیر</w:t>
      </w:r>
      <w:bookmarkStart w:id="247" w:name="pg5439_46779"/>
    </w:p>
    <w:p>
      <w:pPr>
        <w:pStyle w:val="BookText"/>
        <w:rPr/>
      </w:pPr>
      <w:bookmarkEnd w:id="247"/>
      <w:r>
        <w:rPr>
          <w:rFonts w:ascii="IRNazanin" w:hAnsi="IRNazanin" w:eastAsia="IRNazanin"/>
          <w:color w:val="111111"/>
          <w:sz w:val="28"/>
          <w:sz w:val="28"/>
          <w:szCs w:val="28"/>
          <w:rtl w:val="true"/>
          <w:lang w:bidi="fa-IR"/>
        </w:rPr>
        <w:t>بالتخصیص ظاهر فی استناده إلی الفاعل المعیّن،بخلاف التعبیر بکلمة الاختصاص؛فإنّها غیر ظاهرة فی الاستناد إلیه،و مع ذلک یرد علیه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یسمن و لا یغنی من جوع،لأنّ التعریف بالشیء المبهم لا یفیدنا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نعم،یستفاد من کلمات المحقّق العراقی فی مقالاته </w:t>
      </w:r>
      <w:r>
        <w:rPr>
          <w:rStyle w:val="FootnoteAnchor"/>
          <w:rtl w:val="true"/>
        </w:rPr>
        <w:footnoteReference w:id="388"/>
      </w:r>
      <w:r>
        <w:rPr>
          <w:rFonts w:ascii="IRNazanin" w:hAnsi="IRNazanin" w:eastAsia="IRNazanin"/>
          <w:color w:val="111111"/>
          <w:sz w:val="28"/>
          <w:sz w:val="28"/>
          <w:szCs w:val="28"/>
          <w:rtl w:val="true"/>
          <w:lang w:bidi="fa-IR"/>
        </w:rPr>
        <w:t>أنّ 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اختصاص،أنّ الجاعل أراد کون اللفظ قالبا و مبرزا للمعنی،و مرجع ذلک إلی توجّه الإرادة إلی ثبوت القالبیّة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الاختصاص عبارة عن أثر الوضع،و لیس فی حقیقة الوضع، 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تحقّق الوضع یصیر اللفظ مختصّا بالمعنی،فعلیه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التعریف تعریفا للوضع بمعنی اسم المصدر،مع أنّا بصدد تعریفه بالمعنی المصدری</w:t>
      </w:r>
      <w:r>
        <w:rPr>
          <w:rFonts w:eastAsia="IRNazanin" w:cs="IRNazanin"/>
          <w:color w:val="111111"/>
          <w:sz w:val="28"/>
          <w:szCs w:val="28"/>
          <w:rtl w:val="true"/>
          <w:lang w:bidi="fa-IR"/>
        </w:rPr>
        <w:t>.</w:t>
      </w:r>
    </w:p>
    <w:p>
      <w:pPr>
        <w:pStyle w:val="Heading5"/>
        <w:numPr>
          <w:ilvl w:val="4"/>
          <w:numId w:val="1"/>
        </w:numPr>
        <w:rPr/>
      </w:pPr>
      <w:bookmarkStart w:id="248" w:name="__RefHeading___Toc1856018_581953129"/>
      <w:bookmarkStart w:id="249" w:name="_Toc94"/>
      <w:bookmarkEnd w:id="248"/>
      <w:r>
        <w:rPr>
          <w:rtl w:val="true"/>
        </w:rPr>
        <w:t>المسلک الثانی</w:t>
      </w:r>
      <w:r>
        <w:rPr>
          <w:rtl w:val="true"/>
        </w:rPr>
        <w:t>:</w:t>
      </w:r>
      <w:bookmarkEnd w:id="249"/>
    </w:p>
    <w:p>
      <w:pPr>
        <w:pStyle w:val="BookText"/>
        <w:rPr/>
      </w:pPr>
      <w:r>
        <w:rPr>
          <w:rFonts w:ascii="IRNazanin" w:hAnsi="IRNazanin" w:eastAsia="IRNazanin"/>
          <w:color w:val="111111"/>
          <w:sz w:val="28"/>
          <w:sz w:val="28"/>
          <w:szCs w:val="28"/>
          <w:rtl w:val="true"/>
          <w:lang w:bidi="fa-IR"/>
        </w:rPr>
        <w:t xml:space="preserve">و هو التنزیل و الهوهویّة الاعتباریّة،ذهب جمع </w:t>
      </w:r>
      <w:r>
        <w:rPr>
          <w:rStyle w:val="FootnoteAnchor"/>
          <w:rtl w:val="true"/>
        </w:rPr>
        <w:footnoteReference w:id="3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منهم المحقّق البجنوردی </w:t>
      </w:r>
      <w:r>
        <w:rPr>
          <w:rStyle w:val="FootnoteAnchor"/>
          <w:rtl w:val="true"/>
        </w:rPr>
        <w:footnoteReference w:id="3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الوضع عبارة عن تنزیل اللفظ منزلة المعنی،فهو وجود تنزیلیّ للمعنی،و بهذا یکون متّحدا معه بالاتّحاد الاعتباری،و لا یخفی أنّه قد غفل بعض عن اتّحاد مسلک التنزیل و مسلک الهوهویّة،و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إنّهما مسلکان فی باب الوضع،مع أنّ الدقّة تقتضی بالقول باتّحاد کلا المسلکین؛فانّ من یقول بتنزیل اللفظ منزلة المعنی فمراده منه عبارة عن اتّحاد اللفظ و المعنی؛کالقائل بالهوهویّة، و هو لا یصل إلیها إلاّ بالتنزیل،فلا تغفل</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کلّ حال فالمراد من التنزیل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هو التنزیل فی عالم الاعتبار لا فی</w:t>
      </w:r>
    </w:p>
    <w:p>
      <w:pPr>
        <w:pStyle w:val="BookText"/>
        <w:rPr/>
      </w:pPr>
      <w:r>
        <w:rPr>
          <w:rFonts w:ascii="IRNazanin" w:hAnsi="IRNazanin" w:eastAsia="IRNazanin"/>
          <w:color w:val="111111"/>
          <w:sz w:val="28"/>
          <w:sz w:val="28"/>
          <w:szCs w:val="28"/>
          <w:rtl w:val="true"/>
          <w:lang w:bidi="fa-IR"/>
        </w:rPr>
        <w:t>الخارج،و المراد من الهوهویّة و الاتّحاد إنّما هو الاتّحاد اعتبارا لا بحسب الواقع، فالواضع قد اعتبر الاتّحاد بین اللفظ و المعنی،و جعل اللفظ بمنزلة المعنی،و قد استدلّوا علی ذلک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إلقاء اللفظ عبارة عن إلقاء المعنی للمخاطب،فکلّ ما تلقّی لفظا للمخاطب فإنّما هو تلقّی المعانی،و هذا دلیل علی الاتّحاد؛لأنّه لا معنی لکون الشیء إلقاء للشیء الآخر فیما إذا کان بینهما تغایر و اختلاف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للشیء أنحاء و وجودات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الوجود الخارجی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الوجود الذهنی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الوجود الکتبی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الوجود اللفظی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 الوجود اللفظی أحد أنواع وجود الشیء، فکما أنّ الوجود الذهنی لیس مغایرا مع الوجود الخارجی،فکذا الوجود اللفظی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إنّهم بعد ذکر الوجهین قد أیّدوا مرامهم بشیئین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سرایة حسن المعنی و قبحه إلی اللفظ،و السرایة دلیل علی الاتّحاد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الوضع مقدّمة للاستعمال،و من الواضح عدم توجّه المستعمل فی مقام الاستعمال إلاّ بالمعنی دون اللفظ،و هذا یقرب الاتّحاد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نوقش فیه بامور</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التنزیل یحتاج إلی مصحّح،و هو فی التنزیلات الشرعیّة و العرفیّة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الطواف بالبیت صلاة </w:t>
      </w:r>
      <w:r>
        <w:rPr>
          <w:rStyle w:val="FootnoteAnchor"/>
          <w:rtl w:val="true"/>
        </w:rPr>
        <w:footnoteReference w:id="3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موجود،حیث إنّه بعد التنزیل یترتّب أثر الصلاة أو شرطها علی الطواف،فکما أنّ الصلاة محتاجة إلی الطهارة،فکذا الطواف، و لکن المصحّح فیما نحن فیه غیر موجود،حیث إنّه لا یعقل ترتیب آثار المعنی للّفظ،</w:t>
      </w:r>
    </w:p>
    <w:p>
      <w:pPr>
        <w:pStyle w:val="BookText"/>
        <w:rPr/>
      </w:pPr>
      <w:r>
        <w:rPr>
          <w:rFonts w:ascii="IRNazanin" w:hAnsi="IRNazanin" w:eastAsia="IRNazanin"/>
          <w:color w:val="111111"/>
          <w:sz w:val="28"/>
          <w:sz w:val="28"/>
          <w:szCs w:val="28"/>
          <w:rtl w:val="true"/>
          <w:lang w:bidi="fa-IR"/>
        </w:rPr>
        <w:t xml:space="preserve">فما معنی التنزیل و الاتّحاد </w:t>
      </w:r>
      <w:r>
        <w:rPr>
          <w:rStyle w:val="FootnoteAnchor"/>
          <w:rtl w:val="true"/>
        </w:rPr>
        <w:footnoteReference w:id="39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اجیب عن ذلک بأنّ هنا فرق بین تنزیل شیء منزلة شیء آخر بلحاظ ترتیب الآثار،و بین اعتبار شیء مقام شیء آخر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قد قلنا بعدم وجود الفرق بینهما؛فإنّ تنزیل شیء منزلة شیء آخر یورث الاتّحاد الاعتباریّ،کما أنّ اعتبار شیء مقام شیء آخر موجب للاتّحاد الاعتباری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الصحیح فی الجواب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المصحّح لیس دائما بعنوان الأثر الخارجی، بل المعتبر فی التنزیل وجود أثر فی المنزّل علیه حتّی یترتّب علی المنزّل،و هو موجود هنا،فکما أنّا حین نری فردا ما من الماء فی الخارج ننتقل إلی الحقیقة الکلّیة؛یعنی طبیعة الماء،فمن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ننتقل إلیها،و هذا کاف فی التنزیل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هذا المعنی دقیق جدّا،و بعید عن أذهان الواضعین؛الذین من جملتهم الأطفال و المجانین،بل الحیوانات،و هذا الإشکال یجری بالنسبة إلی کثیر من المسالک فی الوضع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منافاة بین کون الشیء رائجا عند العرف،و بین کون حقیقته من الامور الدقیقة التی تحتاج إلی التأمّل و الدقّة،و مصداق هذا الأمر کثیر جدّا</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ذکرتم من کون الشخص فی مقام الاستعمال یری المعنی فقط دون اللفظ،لا یکون دلیلا علی الاتّحاد و التنزیل؛لأنّه یناسب مع کون اللفظ آلة، مضافا إلی وجود الفرق بین مقام الوضع و الاستعمال؛فإنّه لا شکّ فی کون الواضع فی مقام الوضع لا بدّ أن یتصوّر اللفظ مستقلاّ،کما یتصوّر المعنی کذلک،بخلاف مقام</w:t>
      </w:r>
    </w:p>
    <w:p>
      <w:pPr>
        <w:pStyle w:val="BookText"/>
        <w:rPr/>
      </w:pPr>
      <w:r>
        <w:rPr>
          <w:rFonts w:ascii="IRNazanin" w:hAnsi="IRNazanin" w:eastAsia="IRNazanin"/>
          <w:color w:val="111111"/>
          <w:sz w:val="28"/>
          <w:sz w:val="28"/>
          <w:szCs w:val="28"/>
          <w:rtl w:val="true"/>
          <w:lang w:bidi="fa-IR"/>
        </w:rPr>
        <w:t>الاستعمال؛فإنّ تصوّر اللفظ لیس استقلالیّا،فتدبّر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منه یظهر النظر فی الدلیل الأوّل،فافهم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القول بالتنزیل و الهوهویّة لا یناسب الوضع بالمعنی اللغوی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المناسبة؛لأنّ الوضع بحسب اللغة بمعنی الجعل،و هو یحتاج إلی مجعول،و من الواضح إمکان أن یکون التنزیل أو الهوهویّة مجعولا بنحو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الهدف الأساسی من الوضع هی الدلالة،و لا شکّ فی أنّها تحتاج إلی طرفین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دالّ و مدلول،فالتنزیل و الهوهویّة لا یناسب غرض الوضع،فاعتبار الوحدة بینهما لغو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ریب فی احتیاج نفس التنزیل و الهوهویّة إلی الطرفین،و مع عدمهما فما الشیء الذی ینزّل منزلة شیء آخر؟و مع عدم وجود الطرفین کیف یمکن أن یدّعی أنّ هذا ذاک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الشیء الواحد لا یتصوّر التنزیل و الهوهویّة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نعم،بعدهما یکونان متّحدین اعتبارا لا وجودا خارجیّا،فالدلالة التی تحتاج إلی الطرفین مناسبة لحقیقة 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الإشکال الأساسی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التنزیل یحتاج إلی ادّعاء و عنایة، و من البدیهی عدم تحقّقهما حین الوضع،فهل الوالد الذی یضع اسما لولده یدّعی أنّ هذا بمنزلة ذاک،أو یدّعی مسامحة أنّ هذا هو ذاک؟کلاّ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فتبیّن عدم تمامیّة مسلک التنزیل و الهوهویّة</w:t>
      </w:r>
      <w:r>
        <w:rPr>
          <w:rFonts w:eastAsia="IRNazanin" w:cs="IRNazanin"/>
          <w:color w:val="111111"/>
          <w:sz w:val="28"/>
          <w:szCs w:val="28"/>
          <w:rtl w:val="true"/>
          <w:lang w:bidi="fa-IR"/>
        </w:rPr>
        <w:t>.</w:t>
      </w:r>
      <w:bookmarkStart w:id="250" w:name="pg5439_46783"/>
    </w:p>
    <w:p>
      <w:pPr>
        <w:pStyle w:val="Heading5"/>
        <w:numPr>
          <w:ilvl w:val="4"/>
          <w:numId w:val="1"/>
        </w:numPr>
        <w:rPr/>
      </w:pPr>
      <w:bookmarkStart w:id="251" w:name="__RefHeading___Toc1856020_581953129"/>
      <w:bookmarkStart w:id="252" w:name="_Toc95"/>
      <w:bookmarkEnd w:id="250"/>
      <w:bookmarkEnd w:id="251"/>
      <w:r>
        <w:rPr>
          <w:rtl w:val="true"/>
        </w:rPr>
        <w:t>المسلک الثالث</w:t>
      </w:r>
      <w:r>
        <w:rPr>
          <w:rtl w:val="true"/>
        </w:rPr>
        <w:t>:</w:t>
      </w:r>
      <w:bookmarkEnd w:id="252"/>
    </w:p>
    <w:p>
      <w:pPr>
        <w:pStyle w:val="BookText"/>
        <w:rPr/>
      </w:pPr>
      <w:r>
        <w:rPr>
          <w:rFonts w:ascii="IRNazanin" w:hAnsi="IRNazanin" w:eastAsia="IRNazanin"/>
          <w:color w:val="111111"/>
          <w:sz w:val="28"/>
          <w:sz w:val="28"/>
          <w:szCs w:val="28"/>
          <w:rtl w:val="true"/>
          <w:lang w:bidi="fa-IR"/>
        </w:rPr>
        <w:t xml:space="preserve">و هو التعهّد و الالتزام النفسانی،و قد اختاره المحقّق النهاوندی فی تشریح الاصول </w:t>
      </w:r>
      <w:r>
        <w:rPr>
          <w:rStyle w:val="FootnoteAnchor"/>
          <w:rtl w:val="true"/>
        </w:rPr>
        <w:footnoteReference w:id="399"/>
      </w:r>
      <w:r>
        <w:rPr>
          <w:rFonts w:ascii="IRNazanin" w:hAnsi="IRNazanin" w:eastAsia="IRNazanin"/>
          <w:color w:val="111111"/>
          <w:sz w:val="28"/>
          <w:sz w:val="28"/>
          <w:szCs w:val="28"/>
          <w:rtl w:val="true"/>
          <w:lang w:bidi="fa-IR"/>
        </w:rPr>
        <w:t xml:space="preserve">،و المحقّق الرشتی فی بدائع الأفکار </w:t>
      </w:r>
      <w:r>
        <w:rPr>
          <w:rStyle w:val="FootnoteAnchor"/>
          <w:rtl w:val="true"/>
        </w:rPr>
        <w:footnoteReference w:id="400"/>
      </w:r>
      <w:r>
        <w:rPr>
          <w:rFonts w:ascii="IRNazanin" w:hAnsi="IRNazanin" w:eastAsia="IRNazanin"/>
          <w:color w:val="111111"/>
          <w:sz w:val="28"/>
          <w:sz w:val="28"/>
          <w:szCs w:val="28"/>
          <w:rtl w:val="true"/>
          <w:lang w:bidi="fa-IR"/>
        </w:rPr>
        <w:t xml:space="preserve">،ثمّ تبعه المحقّق الحائری </w:t>
      </w:r>
      <w:r>
        <w:rPr>
          <w:rStyle w:val="FootnoteAnchor"/>
          <w:rtl w:val="true"/>
        </w:rPr>
        <w:footnoteReference w:id="401"/>
      </w:r>
      <w:r>
        <w:rPr>
          <w:rFonts w:ascii="IRNazanin" w:hAnsi="IRNazanin" w:eastAsia="IRNazanin"/>
          <w:color w:val="111111"/>
          <w:sz w:val="28"/>
          <w:sz w:val="28"/>
          <w:szCs w:val="28"/>
          <w:rtl w:val="true"/>
          <w:lang w:bidi="fa-IR"/>
        </w:rPr>
        <w:t xml:space="preserve">، و اختاره المحقّق الخوئی </w:t>
      </w:r>
      <w:r>
        <w:rPr>
          <w:rStyle w:val="FootnoteAnchor"/>
          <w:rtl w:val="true"/>
        </w:rPr>
        <w:footnoteReference w:id="402"/>
      </w:r>
      <w:r>
        <w:rPr>
          <w:rFonts w:ascii="IRNazanin" w:hAnsi="IRNazanin" w:eastAsia="IRNazanin"/>
          <w:color w:val="111111"/>
          <w:sz w:val="28"/>
          <w:sz w:val="28"/>
          <w:szCs w:val="28"/>
          <w:rtl w:val="true"/>
          <w:lang w:bidi="fa-IR"/>
        </w:rPr>
        <w:t>مع تفصیل و بسط فی المقال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 المحقّق العراقی فی مقالاته </w:t>
      </w:r>
      <w:r>
        <w:rPr>
          <w:rStyle w:val="FootnoteAnchor"/>
          <w:rtl w:val="true"/>
        </w:rPr>
        <w:footnoteReference w:id="403"/>
      </w:r>
      <w:r>
        <w:rPr>
          <w:rFonts w:ascii="IRNazanin" w:hAnsi="IRNazanin" w:eastAsia="IRNazanin"/>
          <w:color w:val="111111"/>
          <w:sz w:val="28"/>
          <w:sz w:val="28"/>
          <w:szCs w:val="28"/>
          <w:rtl w:val="true"/>
          <w:lang w:bidi="fa-IR"/>
        </w:rPr>
        <w:t>أنّ التعهّد لو کان المراد به قالبیّة اللفظ للمعنی و مبرزیّة اللفظ للمعنی،لکان معنی صحیحا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المحقّق الحائری </w:t>
      </w:r>
      <w:r>
        <w:rPr>
          <w:rStyle w:val="FootnoteAnchor"/>
          <w:rtl w:val="true"/>
        </w:rPr>
        <w:footnoteReference w:id="4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یعقل إیجاد ارتباط بین أمرین اللذین لا علاقة بینهما،کعدم إمکان إیجاد العلقة بین الإنسان و الجدار مثلا،و ظاهر کلامه عدم الإمکان حتی بنحو الاعتبار،و اللفظ و المعنی من مقولتین مختلفتین،فلا یعقل إیجاد العلقة بینهما،و المعقول التزام الواضع بتفهیم المعانی بسبب الألفاظ،و استعمالها عند إرادة تفهیم المعانی،و المخاطب یلتفت إذا علم بالتزامه و تعهّده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ذکر المحقّق الخوئی أدلّة ثلاثة لما ذهب إلیه،ثمّ ذکر ما یترتّب علی القول بالتعهّد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الأدلّة الثلاثة</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الدلیل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الوجدان،و بیانه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من الواضح أنّ من وضع اسما لموجود فإنّما یتعهّد فی الحقیقة تفهیم هذا الموجود بسبب هذا اللفظ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القول بالتعهّد یناسب الغرض الأساسیّ من الوضع؛فإنّه لا شکّ فی کون الغرض منه التفهیم و التفهّم،و هذا لازم ذاتیّ للالتزام و التعهّد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القول مناسب للوضع بحسب المعنی اللغوی؛فإنّه فی اللغة عبارة عن الجعل و الإقرار،و منه وضع القوانین التی هی بمعنی الالتزام بها، و بالعمل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یترتّب علی القول بالتعهّد فامور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 مستعمل واضع؛لأنّ من استعمل لفظا فی معنی فقد تعهّد بتفهیم المعنی بسبب اللفظ الخاص،فکلّ مستعمل واضع،و لکن إطلاق الواضع علی شخص معیّن إنّما هو باعتبار أسبقیّته من حیث الزمان،لا لأجل أنّه واضع فی الحقیقة دون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بناء علی هذا یصحّ تقسیم الوضع إلی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التعیینی؛و هو ما کان التعهّد فیه ابتدائیا غیر مسبوق بکثرة الاستعمال،و التعیّنی؛و هو ما کان التعهّد فیه مسبوقا بکثرة الاستعمال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الدلالة الوضعیّة دلالة تصوریّة علی المشهور،و أمّا بناء علی مسلک التعهّد تکون الدلالة الوضعیّة هی الدلالة التصدیقیّة،لکن بالإرادة الاستعمالیّة،ففیما لا یکون المعنی مرادا للمستعمل بالإرادة الاستعمالیّة،لا تکون الدلالة موجودة،و ما یتبادر من الألفاظ حین صدورها عن شخص بلا قصد التفهیم،أو عن شخص بلا شعور،أو عن اصطکاک جسم بجسم آخر،إنّما هو من جهة الانس الحاصل بینهما بکثرة الاستعمال أو بغیرها</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بناء علی هذا لا یکون الوضع أمرا اعتباریا،فلیکن هذا خارجا عن مسلک الاعتبار،بل هو إمّا أمر واقعیّ بما أنّ التعهّد و الالتزام النفسانی من الامور الواقعیّة،أو أمر انتزاعیّ ینتزع من التعهّد،و هو منشأ للانتزاع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صرّح فی حاشیة أجود التقریرات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الارتباط الموجود بین اللفظ و المعنی یکون من توابع الوضع،و من الامور الانتزاعیّة،و منشؤها إنّما هو التعهّد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القول بالتعهّد مستلزم للدور،و لبیان الدور تقریبان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التقریب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الإتیان باللفظ لیس مطلوبا نفسیّا،و الإرادة المتعلّقة به إرادة غیریّة،و من المسلّم أنّ المتعلّق فیها یلزم أن یکون موجودا قبل تحقّق الإرادة،و لا یعقل تحقّق الغیریّة بنفس الإرادة؛لأنّه مستلزم للدور؛لأنّ تعلّق الإرادة المقدّمیّة متوقّف علی وجود المتعلّق،مع أنّ وجود المتعلّق فی المقام یتحقّق بعد التعهّد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قبل التعهّد أن یکون اللفظ مقدّمة لتفهیم المعنی،مع أنّه یتحقّق هذا بسبب التعهّد،فهذا دور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التقریب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التعهد متوقّف علی مقدوریّة متعلّقه؛و هو التفهیم،مع أنّ القدرة علی التفهیم بهذا اللفظ غیر موجودة قبل التعهد؛لأنّه حسب الفرض تکون قابلیّة اللفظ للدلالة علی المعنی بحسب التعهّد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الجواب عن التقریب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التعهد فی مقام الوضع إنّما هو ثابت بین طبیعیّ اللفظ و طبیعیّ المعنی،و هو التعهّد الکلّی،و فی هذا المقام یحتاج إلی تصوّر اللفظ و المعنی فقط</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نعم،التعهّد فی مقام الاستعمال یتوقّف علی الحکم بکون هذا اللفظ موجبا لتفهیم المعنی،و لکن هذا یکون تعهّدا شخصیّا فردیّا موجودا بین الفردین من طبیعیّ اللفظ و طبیعیّ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فتلخّص أنّ ما یتوقّف علی العلم بالوضع إنّما هو</w:t>
      </w:r>
    </w:p>
    <w:p>
      <w:pPr>
        <w:pStyle w:val="BookText"/>
        <w:rPr/>
      </w:pPr>
      <w:r>
        <w:rPr>
          <w:rFonts w:ascii="IRNazanin" w:hAnsi="IRNazanin" w:eastAsia="IRNazanin"/>
          <w:color w:val="111111"/>
          <w:sz w:val="28"/>
          <w:sz w:val="28"/>
          <w:szCs w:val="28"/>
          <w:rtl w:val="true"/>
          <w:lang w:bidi="fa-IR"/>
        </w:rPr>
        <w:t>التعهّد الشخصیّ الثابت فی مرحلة الاستعمال،دون التعهّد الکلّی الثابت فی مرحلة الوضع،فیرتفع الدور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الجواب عن التقریب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فبأنّه یکفی فی صحّة التعهّد القدرة علی التفهیم فی مرحلة الاستعمال الذی هو ظرف العمل،و لا یلزم حصول القدرة فی ظرف الوضع،انتهی ملخّص القول فی التعهّد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اورد علیه إیرادات بعضها مخدوش،و بعضها متوجّه إلیه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الإیراد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ذکره المحقّق النائینی من أنّ القول بالتعهّد ممّا یقطع بخلافه </w:t>
      </w:r>
      <w:r>
        <w:rPr>
          <w:rStyle w:val="FootnoteAnchor"/>
          <w:rtl w:val="true"/>
        </w:rPr>
        <w:footnoteReference w:id="407"/>
      </w:r>
      <w:r>
        <w:rPr>
          <w:rFonts w:ascii="IRNazanin" w:hAnsi="IRNazanin" w:eastAsia="IRNazanin"/>
          <w:color w:val="111111"/>
          <w:sz w:val="28"/>
          <w:sz w:val="28"/>
          <w:szCs w:val="28"/>
          <w:rtl w:val="true"/>
          <w:lang w:bidi="fa-IR"/>
        </w:rPr>
        <w:t>، فادّعی قدّس سرّه القطع بخلاف التعهّد؛بمعنی أنّا إذا راجعنا وجداننا نری عدم أثر من التعهّد فی حقیقة 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المسألة الاختلافیّة لا یمکن فیها دعوی الوجدان علی أحد الأقوال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یندفع ما ذکره القائل بالتعهّد فی الدلیل الأوّل من ادّعاء الوجدان علی کون الوضع فی الحقیقة إنّما هو تعهّد من ناحیة الواضع؛فإنّ دعوی الوجدان فی مثل هذه المسألة الاختلافیّة،غیر صحیحة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الإیراد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ذکره السیّد الإمام الراحل </w:t>
      </w:r>
      <w:r>
        <w:rPr>
          <w:rStyle w:val="FootnoteAnchor"/>
          <w:rtl w:val="true"/>
        </w:rPr>
        <w:footnoteReference w:id="4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ردّا علی ما ذکره المحقّق الحائری فی درره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عدم تعقّل إیجاد العلاقة بین أمرین اللذین لا علاقة بینهما </w:t>
      </w:r>
      <w:r>
        <w:rPr>
          <w:rStyle w:val="FootnoteAnchor"/>
          <w:rtl w:val="true"/>
        </w:rPr>
        <w:footnoteReference w:id="409"/>
      </w:r>
      <w:r>
        <w:rPr>
          <w:rFonts w:ascii="IRNazanin" w:hAnsi="IRNazanin" w:eastAsia="IRNazanin"/>
          <w:color w:val="111111"/>
          <w:sz w:val="28"/>
          <w:sz w:val="28"/>
          <w:szCs w:val="28"/>
          <w:rtl w:val="true"/>
          <w:lang w:bidi="fa-IR"/>
        </w:rPr>
        <w:t>، و ملخّص الردّ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إیجاد العلاقة التکوینیّة بینهما ممتنع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إیجاد العلقة الاعتباریّة فمعقول،و هذا متین جدّا؛لأنّ الاعتبار خفیف المؤونة</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قدّس سرّه أورد إیرادا علی القول بالتعهّد؛من أنّه عبارة عن الالتزام بالعمل</w:t>
      </w:r>
    </w:p>
    <w:p>
      <w:pPr>
        <w:pStyle w:val="BookText"/>
        <w:rPr/>
      </w:pPr>
      <w:r>
        <w:rPr>
          <w:rFonts w:ascii="IRNazanin" w:hAnsi="IRNazanin" w:eastAsia="IRNazanin"/>
          <w:color w:val="111111"/>
          <w:sz w:val="28"/>
          <w:sz w:val="28"/>
          <w:szCs w:val="28"/>
          <w:rtl w:val="true"/>
          <w:lang w:bidi="fa-IR"/>
        </w:rPr>
        <w:t>بالوضع،و هذا أمر مترتّب علی الوضع و متفرّع علیه،و لا یکون داخلا فی حقیقة 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التعهّد کما أنّه یمکن أن یتعلّق بالعمل فکذلک یمکن أن یتعلّق بشیء آخر کالتفهیم،و القائل بالتعهّد یقول بالثانی،فمتعلّق التعهّد إنّما هو تفهیم طبیعیّ المعنی بطبیعیّ اللفظ،مضافا إلی أنّ التعهّد بالعمل إنّما هو بالنسبة إلی مقام الاستعمال لا بالنسبة إلی مقام الوضع؛فإنّ التعهّد فیه کلّی لا یرتبط بالعمل أصلا،لا ذهنا و لا خارجا،فتدبّر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الإیراد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یستفاد من کلمات الشهید الصدر </w:t>
      </w:r>
      <w:r>
        <w:rPr>
          <w:rStyle w:val="FootnoteAnchor"/>
          <w:rtl w:val="true"/>
        </w:rPr>
        <w:footnoteReference w:id="410"/>
      </w:r>
      <w:r>
        <w:rPr>
          <w:rFonts w:ascii="IRNazanin" w:hAnsi="IRNazanin" w:eastAsia="IRNazanin"/>
          <w:color w:val="111111"/>
          <w:sz w:val="28"/>
          <w:sz w:val="28"/>
          <w:szCs w:val="28"/>
          <w:rtl w:val="true"/>
          <w:lang w:bidi="fa-IR"/>
        </w:rPr>
        <w:t>من أنّ التعهّد مستلزم للتعهّد الضمنی بعدم الاستعمال المجازی؛بمعنی أنّ الّذی یتعهّد بتفهیم المعنی بلفظ خاصّ فإنّما یتعهّد ضمنا بعدم استعمال اللفظ المخصوص فی غیر تلک المعنی،و 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التعهّد فی مقام الوضع مقیّد بعدم الإتیان بالقرینة،فالتعهّد إنّما فی هذه الصورة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مستلزم للغویّة جریان أصالة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جریانها إنّما هو فی مورد الشکّ فی وجود القرینة و عدمه، مع أنّه بناء علی أن یکون التعهّد مقیّدا بعدم إتیان القرینة،یصحّ حمل اللفظ علی المعنی الحقیقی فیما إذا أحرزنا عدم القرینة،مع أنّ فی فرض الإحراز لا نحتاج إلی إجراء الأصل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فهذا الإیراد تامّ جدّا</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الإیراد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والدنا المعظّم قدّس سرّه فی مجلس بحثه،و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الذهاب إلی</w:t>
      </w:r>
    </w:p>
    <w:p>
      <w:pPr>
        <w:pStyle w:val="BookText"/>
        <w:rPr/>
      </w:pPr>
      <w:r>
        <w:rPr>
          <w:rFonts w:ascii="IRNazanin" w:hAnsi="IRNazanin" w:eastAsia="IRNazanin"/>
          <w:color w:val="111111"/>
          <w:sz w:val="28"/>
          <w:sz w:val="28"/>
          <w:szCs w:val="28"/>
          <w:rtl w:val="true"/>
          <w:lang w:bidi="fa-IR"/>
        </w:rPr>
        <w:t>کون کلّ مستعمل واضع خلاف المرتکز العرفی،و هذا یظهر من الرجوع إلی وضع الأعلام الشخصیّة؛فإنّه فیها یعیّن الأب لفظا لولده،و الناس یتّبعونه فی ذلک من دون صحّة إطلاق الواضع علیهم عرفا،و من بطلان اللاّزم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کون کلّ مستعمل واضع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ینتج بطلان الملزوم؛أی القول بالتعهّد،فالقول بالتعهّد فی الأعلام الشخصیّة بطلانه من الواضحات،و من هذا یظهر بطلانه فی سائر الألفاظ الکلّیّة؛ کلفظ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غیرها،و لا یصحّ التفصیل بین الوضع فی الأعلام الشخصیّة،و الوضع فی غیرها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الإیراد أیضا متین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الإیراد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ذکروه من المناسبة بین التعهّد،و بین المعنی اللغوی للوضع ممنوع جدّا؛فإنّ الوضع بمعنی الجعل أو الإقرار غیر الالتزام بالعمل،و وضع القانون لیس بمعنی الالتزام بالعمل به،بل الالتزام بالعمل و إجراء القانون یحتاج إلی سبب آخر،فهل وضع القوانین الشرعیّة بمعنی التزام الشارع بالعمل بها؟</w:t>
      </w:r>
    </w:p>
    <w:p>
      <w:pPr>
        <w:pStyle w:val="BookText"/>
        <w:rPr/>
      </w:pPr>
      <w:r>
        <w:rPr>
          <w:rFonts w:ascii="IRNazanin" w:hAnsi="IRNazanin" w:eastAsia="IRNazanin"/>
          <w:color w:val="111111"/>
          <w:sz w:val="28"/>
          <w:sz w:val="28"/>
          <w:szCs w:val="28"/>
          <w:rtl w:val="true"/>
          <w:lang w:bidi="fa-IR"/>
        </w:rPr>
        <w:t>الإیراد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بعض لبطلان التعهّد أنّه لیس یصحّ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قولنا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وضعت هذا لهذا،بمعنی تعهّدت هذا لهذا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قلنا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النزاع لیس فی مفهوم الوضع بحسب اللغة،بل النزاع إنّما هو فی حقیقة الوضع،فهذا الإیراد غیر قابل للذکر أصلا،لکن للتذکّر لمحلّ النزاع ذکرناه،فتدبّر</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الإیراد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ذکره بعض أهل النظر </w:t>
      </w:r>
      <w:r>
        <w:rPr>
          <w:rStyle w:val="FootnoteAnchor"/>
          <w:rtl w:val="true"/>
        </w:rPr>
        <w:footnoteReference w:id="4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التعهّد إنّما یصحّ فیما إذا لم یکن الدالّ منحصرا،أمّا فیما إذا کان منحصرا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نحن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التعهّد إنّما یصحّ فی فرض لا ینحصر فیه المفهم للمعنی باللفظ الخاصّ؛</w:t>
      </w:r>
      <w:bookmarkStart w:id="253" w:name="pg5439_46789"/>
    </w:p>
    <w:p>
      <w:pPr>
        <w:pStyle w:val="BookText"/>
        <w:rPr/>
      </w:pPr>
      <w:bookmarkEnd w:id="253"/>
      <w:r>
        <w:rPr>
          <w:rFonts w:ascii="IRNazanin" w:hAnsi="IRNazanin" w:eastAsia="IRNazanin"/>
          <w:color w:val="111111"/>
          <w:sz w:val="28"/>
          <w:sz w:val="28"/>
          <w:szCs w:val="28"/>
          <w:rtl w:val="true"/>
          <w:lang w:bidi="fa-IR"/>
        </w:rPr>
        <w:t>بأن کان هناک دالّ آخر من لفظ أو غیره،فیکون لهذا التعهّد معنی معقول،کما یقع التعهّد باستعمال خصوص هذه الآلة فی القرب دون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مع انحصاره فیه، بحیث لم یکن للمعنی مفهم أصلا غیر هذا اللفظ الذی یحتمل مفهمیّته بالتعهّد،کان هذا التعهّد غیر 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یکفی فی صحّة التعهّد بالتفهیم باللفظ الخاصّ،صلاحیّة بقیّة الألفاظ لأصل المفهمیّة،لا المفهمیّة الفعلیّة بالنسبة إلی المعنی المخصوص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یکن غیر اللفظ المخصوص صالحا لأصل المفهمیّة،بل هی منحصرة و محدودة باللفظ الخاصّ فقط،لکان التعهّد غیر معقول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إذا کانت الألفاظ الاخر صالحة لأصل المفهمیّة،فالتعهّد باستعمال لفظ خاصّ فی مفهمیّة المعنی المخصوص یکون أمرا معقولا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الإیراد 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ذکره المحقّق الأصبهانی </w:t>
      </w:r>
      <w:r>
        <w:rPr>
          <w:rStyle w:val="FootnoteAnchor"/>
          <w:rtl w:val="true"/>
        </w:rPr>
        <w:footnoteReference w:id="413"/>
      </w:r>
      <w:r>
        <w:rPr>
          <w:rFonts w:ascii="IRNazanin" w:hAnsi="IRNazanin" w:eastAsia="IRNazanin"/>
          <w:color w:val="111111"/>
          <w:sz w:val="28"/>
          <w:sz w:val="28"/>
          <w:szCs w:val="28"/>
          <w:rtl w:val="true"/>
          <w:lang w:bidi="fa-IR"/>
        </w:rPr>
        <w:t>من اتّحاد حیثیّة دلالة اللفظ علی معناه،بحیث ینتقل من سماعه إلی معناه مع حیثیّة دلالة سائر الدوالّ؛کالعلم المنصوب علی رأس الفرسخ،مع عدم وجود تعهّد من ناصب العلم،بل لیس هناک إلاّ وضعه علیه بداعی الانتقال من رؤیته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سیأتی من عدم صحّة قیاس دلالة اللفظ علی دلالة سائر الدوالّ،فانتظر</w:t>
      </w:r>
      <w:r>
        <w:rPr>
          <w:rFonts w:eastAsia="IRNazanin" w:cs="IRNazanin"/>
          <w:color w:val="111111"/>
          <w:sz w:val="28"/>
          <w:szCs w:val="28"/>
          <w:rtl w:val="true"/>
          <w:lang w:bidi="fa-IR"/>
        </w:rPr>
        <w:t>.</w:t>
      </w:r>
    </w:p>
    <w:p>
      <w:pPr>
        <w:pStyle w:val="Heading5"/>
        <w:numPr>
          <w:ilvl w:val="4"/>
          <w:numId w:val="1"/>
        </w:numPr>
        <w:rPr/>
      </w:pPr>
      <w:bookmarkStart w:id="254" w:name="__RefHeading___Toc1856022_581953129"/>
      <w:bookmarkStart w:id="255" w:name="_Toc96"/>
      <w:bookmarkEnd w:id="254"/>
      <w:r>
        <w:rPr>
          <w:rtl w:val="true"/>
        </w:rPr>
        <w:t>المسلک الرابع</w:t>
      </w:r>
      <w:r>
        <w:rPr>
          <w:rtl w:val="true"/>
        </w:rPr>
        <w:t>:</w:t>
      </w:r>
      <w:bookmarkEnd w:id="255"/>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مسلک الاعتبار الذی ذهب إلیه المحقّق الأصبهانی،و تبعه جمع من أعلام المتأخّرین </w:t>
      </w:r>
      <w:r>
        <w:rPr>
          <w:rStyle w:val="FootnoteAnchor"/>
          <w:rtl w:val="true"/>
        </w:rPr>
        <w:footnoteReference w:id="414"/>
      </w:r>
      <w:r>
        <w:rPr>
          <w:rFonts w:ascii="Amiri" w:hAnsi="Amiri" w:eastAsia="Amiri" w:cs="Amiri"/>
          <w:color w:val="111111"/>
          <w:sz w:val="28"/>
          <w:sz w:val="28"/>
          <w:szCs w:val="28"/>
          <w:rtl w:val="true"/>
          <w:lang w:bidi="ar-SA"/>
        </w:rPr>
        <w:t xml:space="preserve">،منهم الوالد المعظّم قدّس سرّه </w:t>
      </w:r>
      <w:r>
        <w:rPr>
          <w:rStyle w:val="FootnoteAnchor"/>
          <w:rtl w:val="true"/>
        </w:rPr>
        <w:footnoteReference w:id="415"/>
      </w:r>
      <w:r>
        <w:rPr>
          <w:rFonts w:ascii="IRNazanin" w:hAnsi="IRNazanin" w:eastAsia="IRNazanin"/>
          <w:color w:val="111111"/>
          <w:sz w:val="28"/>
          <w:sz w:val="28"/>
          <w:szCs w:val="28"/>
          <w:rtl w:val="true"/>
          <w:lang w:bidi="fa-IR"/>
        </w:rPr>
        <w:t>،و توضیح کلامه مع تلخیص</w:t>
      </w:r>
    </w:p>
    <w:p>
      <w:pPr>
        <w:pStyle w:val="BookText"/>
        <w:rPr/>
      </w:pPr>
      <w:r>
        <w:rPr>
          <w:rFonts w:ascii="Amiri" w:hAnsi="Amiri" w:eastAsia="Amiri" w:cs="Amiri"/>
          <w:color w:val="111111"/>
          <w:sz w:val="28"/>
          <w:sz w:val="28"/>
          <w:szCs w:val="28"/>
          <w:rtl w:val="true"/>
          <w:lang w:bidi="ar-SA"/>
        </w:rPr>
        <w:t>منّا 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أنّه لا شکّ فی ارتباط اللفظ مع المعنی و اختصاصه به،إنّما الخلاف فی حقیقة هذا الاختصاص،فهو لا یخلو عن احتمالات خمسة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یکون من الامور الواقعیّة العرضیّة،أو یکون من الاعتباریّات الذهنیّة،أو یکون من الامور الانتزاعیّة التی یکون المنشأ للانتزاع فیها هو الوضع،أو یکون من مقولة الإضافة، أو یکون من الاعتباریّات التی تکون قائمة بنفس المعتبر،و لکنّ الأربعة الاولی باطلة،فتعیّن الاحتمال الخامس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الاحتمال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فبطلانه واضح بالأدلّة الثلاثة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العرض یتوقّف علی موضوع فی الخارج،مع أنّ الاختصاص لا یتوقّف علی وجود اللفظ فی الخارج،بل و لا فی الذهن،بل هو متحقّق بین طبیعیّ اللفظ و طبیعیّ المعنی،لا بقید کونهما خارجیّا و لا ذهنیّا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الامور الواقعیّة لا تختلف باختلاف الأنظار،بخلاف غیرها،مع أنّ لفظا عند قوم یدلّ علی معنی،و نفس هذا اللفظ یدلّ علی معنی آخر عند قوم 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العرض کسائر الأجناس العالیة إنّما هو للماهیّة،و بعبارة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المقولات الحقیقیّة أجناس عالیة للماهیّات،و لا تصدق المقولة صدقا خارجیّا إلاّ إذا تحقّقت تلک الماهیّة فی الخارج،و قد عرفت أنّ الاختصاص بین اللفظ و المعنی لیس مقیّدا بالوجدان الخارجی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فتبیّن من ذلک أنّ الاختصاص و الارتباط بینهما لا یمکن أن یکون من الامور الواقعیّة؛لأنّ فرضه منها منحصر فی کونه عرضا للّفظ،و قد ظهر عدم إمکانه</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الاحتمال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فبطلانه من جهة أنّ الاعتباریّات الذهنیّة معروضها</w:t>
      </w:r>
    </w:p>
    <w:p>
      <w:pPr>
        <w:pStyle w:val="BookText"/>
        <w:rPr/>
      </w:pPr>
      <w:r>
        <w:rPr>
          <w:rFonts w:ascii="IRNazanin" w:hAnsi="IRNazanin" w:eastAsia="IRNazanin"/>
          <w:color w:val="111111"/>
          <w:sz w:val="28"/>
          <w:sz w:val="28"/>
          <w:szCs w:val="28"/>
          <w:rtl w:val="true"/>
          <w:lang w:bidi="fa-IR"/>
        </w:rPr>
        <w:t>إنّما هو أمر ذهنی؛کالکلّیّة التی تکون عارضة للإنسان المتصوّر الموجود فی الذهن، و قد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معروض الاختصاص لیس هو اللفظ الذهنی و لا اللفظ الخارجی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الاحتمال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 المعتبر فی الامور الانتزاعیّة حملها أو حمل ما یشتقّ منها علی منشأ الانتزاع،کمحلّ الفوق علی السقف الذی هو منشأ لانتزاع الفوقیّة،و هذا الملاک لا یجری فیما نحن فیه؛لأنّه لو قلنا بأنّ قول الواضع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منشأ لانتزاع الاختصاص و الارتباط بین اللفظ و المعنی،لما یصحّ حمل الاختصاص أو المشتق منه علی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الاحتمال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فلوجود الفرق بین کون الشیء من المفاهیم الإضافیّة، و بین صدق مقولة الإضافة،و المسلّم فیما نحن فیه هو الأوّل الذی لا ینفع للخصم، و الذی ینفع له هو الثانی؛لأنّ الشیء لا یصدق علیه حدّ مقولة الإضافة،إلاّ إذا وجد فی الخارج،و قد قلنا بأنّ الاختصاص غیر متوقّف علی وجود اللفظ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فتعیّن الاحتمال الخامس؛و هو کونه من الامور الاعتباریّة،کالملکیّة و الزوجیّة،لکنّها علی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الامور الاعتباریّة التسبیبیّة،و الامور الاعتباریّة المباشریّة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من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اعتبار المعتبر یحتاج إلی إیجاد سبب،کإیجاد العقد الذی هو سبب لاعتبار الشارع أو العقلاء،و المراد من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نفس اعتبار المعتبر مباشرة یکفی فی تحقّق المعتبر،و الاختصاص الوضعی من هذا القبیل،فالوضع لیس إلاّ اعتبار الارتباط و الاختصاص بین لفظ خاصّ و معنی خاصّ</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فی أثناء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شبهة فی اتّحاد حیثیّة دلالة اللفظ علی معناه، و کونه بحیث ینتقل من سماعه إلی معناه مع حیثیّة دلالة سائر الدوالّ،کالعلم المنصوب علی رأس الفرسخ؛فإنّه أیضا ینتقل من النظر إلیه إلی أنّ هذا الموضع رأس الفرسخ،غایة الأمر أنّ الوضع فیه حقیقیّ؛بمعنی أنّ کون العلم موضوعا علی</w:t>
      </w:r>
    </w:p>
    <w:p>
      <w:pPr>
        <w:pStyle w:val="BookText"/>
        <w:rPr/>
      </w:pPr>
      <w:r>
        <w:rPr>
          <w:rFonts w:ascii="IRNazanin" w:hAnsi="IRNazanin" w:eastAsia="IRNazanin"/>
          <w:color w:val="111111"/>
          <w:sz w:val="28"/>
          <w:sz w:val="28"/>
          <w:szCs w:val="28"/>
          <w:rtl w:val="true"/>
          <w:lang w:bidi="fa-IR"/>
        </w:rPr>
        <w:t>رأس الفرسخ خارجیّ لیس باعتبار معتبر،بخلاف اللفظ؛فإنّه کان وضع علی المعنی لیکون علامة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ذکر فی أثناء کلامه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الاختصاص و الارتباط إنّما هو من آثار الوضع و توابعه لا نفسه </w:t>
      </w:r>
      <w:r>
        <w:rPr>
          <w:rStyle w:val="FootnoteAnchor"/>
          <w:rtl w:val="true"/>
        </w:rPr>
        <w:footnoteReference w:id="416"/>
      </w:r>
      <w:r>
        <w:rPr>
          <w:rFonts w:ascii="Amiri" w:hAnsi="Amiri" w:eastAsia="Amiri" w:cs="Amiri"/>
          <w:color w:val="111111"/>
          <w:sz w:val="28"/>
          <w:sz w:val="28"/>
          <w:szCs w:val="28"/>
          <w:rtl w:val="true"/>
          <w:lang w:bidi="ar-SA"/>
        </w:rPr>
        <w:t>،انتهی ملخّص کلامه قدّس سرّه الشریف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اورد علیه إیرادات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الإیراد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ذکره السیّد المحقّق الخوئی؛من أنّ هذا المعنی دقیق و بعید عن أذهان الواضعین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منافاة بین کون شیء رائجا عند العرف،مع أنّهم غافلون عن کنهه و حقیقته،و فیما نحن فیه إنّما الموجود عند العرف عملیّة الوضع فقط،أمّا التوجّه بحقیقتها فلا یقدرون علیها،و لیس من شأنهم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الاعتبار بما أنّه خفیف المؤونة فهو أمر سهل،سیّما أنّ الاعتبارات کثیرة عند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الإیراد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قیاس ما نحن فیه بالوضع الخارجی غیر صحیح؛لأنّ فیه ثلاثة عناوین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الموضوع؛و هو فی المثال السابق العلم،و الموضوع علیه؛و هو المکان الذی وضع العلم فیه،و الموضوع له؛و هو أنّ العلم دالّ علی کون هذا المکان رأس فرسخ،مع أنّ فی اللفظ و المعنی یکون الموضوع و الموضوع له موجودا من دون تحقّق للموضوع علیه،و إطلاقه علی المعنی لو لم یکن من الأغلاط فإنّما هو غیر معهود من ناحیة المستعملین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المراد عدم وجود الموضوع علیه فیما نحن فیه،فعدمه لیس</w:t>
      </w:r>
    </w:p>
    <w:p>
      <w:pPr>
        <w:pStyle w:val="BookText"/>
        <w:rPr/>
      </w:pPr>
      <w:r>
        <w:rPr>
          <w:rFonts w:ascii="IRNazanin" w:hAnsi="IRNazanin" w:eastAsia="IRNazanin"/>
          <w:color w:val="111111"/>
          <w:sz w:val="28"/>
          <w:sz w:val="28"/>
          <w:szCs w:val="28"/>
          <w:rtl w:val="true"/>
          <w:lang w:bidi="fa-IR"/>
        </w:rPr>
        <w:t xml:space="preserve">بمضرّ،و إن کان المراد منه صحّة إطلاق الموضوع علیه علی المعنی،فهو بمکان من الإمکان،و قد صرّح بعض أهل اللغة </w:t>
      </w:r>
      <w:r>
        <w:rPr>
          <w:rStyle w:val="FootnoteAnchor"/>
          <w:rtl w:val="true"/>
        </w:rPr>
        <w:footnoteReference w:id="418"/>
      </w:r>
      <w:r>
        <w:rPr>
          <w:rFonts w:ascii="IRNazanin" w:hAnsi="IRNazanin" w:eastAsia="IRNazanin"/>
          <w:color w:val="111111"/>
          <w:sz w:val="28"/>
          <w:sz w:val="28"/>
          <w:szCs w:val="28"/>
          <w:rtl w:val="true"/>
          <w:lang w:bidi="fa-IR"/>
        </w:rPr>
        <w:t>بأنّ المعنی هو الموضوع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الإیراد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جاء فی کلمات جمع </w:t>
      </w:r>
      <w:r>
        <w:rPr>
          <w:rStyle w:val="FootnoteAnchor"/>
          <w:rtl w:val="true"/>
        </w:rPr>
        <w:footnoteReference w:id="419"/>
      </w:r>
      <w:r>
        <w:rPr>
          <w:rFonts w:ascii="IRNazanin" w:hAnsi="IRNazanin" w:eastAsia="IRNazanin"/>
          <w:color w:val="111111"/>
          <w:sz w:val="28"/>
          <w:sz w:val="28"/>
          <w:szCs w:val="28"/>
          <w:rtl w:val="true"/>
          <w:lang w:bidi="fa-IR"/>
        </w:rPr>
        <w:t>من أنّ فی الدوالّ الخارجیّة کالعلم لا یکون 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دالاّ علی الموضوع له نفسه،بل مسبوق بقرار و التزام الذی هو المستند للدلالة،و إلاّ فمع قطع النظر عن هذا القرار لا یکون العلم دالاّ علی کون هذا المکان رأس فرسخ،و یترتّب علیه أنّه إذا کانت الدلالة فی الوضع الحقیقی غیر مستندة إلی الموضوع،ففی الوضع الاعتباری بطریق أولی،فهو فی الدلالة متوقّف علی سبق القرار،و البناء علی دلالة اللفظ علی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الإیراد متین جدّا من جهة الصدر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من جهة الذیل و ما ترتّب علیه، ففیه إشکال؛لأنّ کلام المحقّق الأصبهانی قدّس سرّه لیس مبتنیا علی هذا القیاس،بل بعد إقامة الدلیل علی مختاره قد أضاف فی ذیل کلامه تشبیها و قیاسا،فإذا کان فاسدا لم یکن مضرّا بأصل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الدلالة فی العلم یکون سابقا علی وضعه فی المکان،و فی اللفظ لم یکن کذلک،لکنّه لا یستلزم أن یکون فی اللفظ أیضا مستندا إلی قرار و بناء سابق علی وضع اللفظ</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الإیراد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یخطر بالبال بالنسبة إلی ما ذکره فی ردّ انتزاعیّة الاختصاص،حیث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لیس بأمر انتزاعیّ منتزع من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صحّة حمله علیه،فنحن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الدلیل علی کون الملاک فی الامور الانتزاعیّة عبارة عن صحّة حمله أو حمل ما یشتقّ منه علی منشأ الانتزاع؟فهل الدلیل</w:t>
      </w:r>
      <w:bookmarkStart w:id="256" w:name="pg5439_46794"/>
    </w:p>
    <w:p>
      <w:pPr>
        <w:pStyle w:val="BookText"/>
        <w:rPr/>
      </w:pPr>
      <w:bookmarkEnd w:id="256"/>
      <w:r>
        <w:rPr>
          <w:rFonts w:ascii="IRNazanin" w:hAnsi="IRNazanin" w:eastAsia="IRNazanin"/>
          <w:color w:val="111111"/>
          <w:sz w:val="28"/>
          <w:sz w:val="28"/>
          <w:szCs w:val="28"/>
          <w:rtl w:val="true"/>
          <w:lang w:bidi="fa-IR"/>
        </w:rPr>
        <w:t>استقراء الامور الانتزاعیّة،أو البرهان القطعی قائم علیه؟و الظاهر أنّه قدّس سرّه بعد أن لاحظ بعض الموارد فی الامور الانتزاعیّة کالفوقیّة و الابوّة،فقد حکم بهذا الحکم الکلّی،و لکنّه ینتقض ببعض آخر،نظیر الحقّ الذی هو أمر ینتزع من الحکم علی ما أثبتناه فی رسالة فی موضوع الحکم و الحقّ و الفرق بینهما،فکلّ حقّ منتزع من حکم من الأحکام الشرعیّة،مع عدم صحّة حمل الحقّ علی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المنتزع إذا کان منتزعا من شیء خارجیّ،فیصحّ الحمل علیه،و إذا کان منشأ الانتزاع أمرا من الامور الاعتباریّة؛کالحکم الذی هو منشأ للحقّ،فلا یعتبر حینئذ حمل الأمر الانتزاعی علی منشإه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بناء علی هذا لا یکون مانعا من کون الاختصاص أو الارتباط بین اللفظ و المعنی أمرا منتزعا من اعتبار الواضع،فتأمّل</w:t>
      </w:r>
      <w:r>
        <w:rPr>
          <w:rFonts w:eastAsia="IRNazanin" w:cs="IRNazanin"/>
          <w:color w:val="111111"/>
          <w:sz w:val="28"/>
          <w:szCs w:val="28"/>
          <w:rtl w:val="true"/>
          <w:lang w:bidi="fa-IR"/>
        </w:rPr>
        <w:t>.</w:t>
      </w:r>
    </w:p>
    <w:p>
      <w:pPr>
        <w:pStyle w:val="Heading5"/>
        <w:numPr>
          <w:ilvl w:val="4"/>
          <w:numId w:val="1"/>
        </w:numPr>
        <w:rPr/>
      </w:pPr>
      <w:bookmarkStart w:id="257" w:name="__RefHeading___Toc1856024_581953129"/>
      <w:bookmarkStart w:id="258" w:name="_Toc97"/>
      <w:bookmarkEnd w:id="257"/>
      <w:r>
        <w:rPr>
          <w:rtl w:val="true"/>
        </w:rPr>
        <w:t>المسلک الخامس</w:t>
      </w:r>
      <w:r>
        <w:rPr>
          <w:rtl w:val="true"/>
        </w:rPr>
        <w:t>:</w:t>
      </w:r>
      <w:bookmarkEnd w:id="258"/>
    </w:p>
    <w:p>
      <w:pPr>
        <w:pStyle w:val="Heading6"/>
        <w:numPr>
          <w:ilvl w:val="5"/>
          <w:numId w:val="1"/>
        </w:numPr>
        <w:rPr/>
      </w:pPr>
      <w:bookmarkStart w:id="259" w:name="__RefHeading___Toc1856026_581953129"/>
      <w:bookmarkStart w:id="260" w:name="_Toc98"/>
      <w:bookmarkEnd w:id="259"/>
      <w:r>
        <w:rPr>
          <w:rtl w:val="true"/>
        </w:rPr>
        <w:t>اشارة</w:t>
      </w:r>
      <w:bookmarkEnd w:id="260"/>
    </w:p>
    <w:p>
      <w:pPr>
        <w:pStyle w:val="BookText"/>
        <w:rPr/>
      </w:pPr>
      <w:r>
        <w:rPr>
          <w:rFonts w:ascii="IRNazanin" w:hAnsi="IRNazanin" w:eastAsia="IRNazanin"/>
          <w:color w:val="111111"/>
          <w:sz w:val="28"/>
          <w:sz w:val="28"/>
          <w:szCs w:val="28"/>
          <w:rtl w:val="true"/>
          <w:lang w:bidi="fa-IR"/>
        </w:rPr>
        <w:t xml:space="preserve">ما ذهب إلیه الشهید الصدر </w:t>
      </w:r>
      <w:r>
        <w:rPr>
          <w:rStyle w:val="FootnoteAnchor"/>
          <w:rtl w:val="true"/>
        </w:rPr>
        <w:footnoteReference w:id="420"/>
      </w:r>
      <w:r>
        <w:rPr>
          <w:rFonts w:ascii="IRNazanin" w:hAnsi="IRNazanin" w:eastAsia="IRNazanin"/>
          <w:color w:val="111111"/>
          <w:sz w:val="28"/>
          <w:sz w:val="28"/>
          <w:szCs w:val="28"/>
          <w:rtl w:val="true"/>
          <w:lang w:bidi="fa-IR"/>
        </w:rPr>
        <w:t>،و یسمّی بالقرن الأکید،و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الوضع من صغریات القانون الطبیعیّ التکوینیّ المجعول فی ذهن البشر من ناحیة اللّه تبارک و تعالی؛و هو انتقال صورة الشیء إلی الذهن عن طریق إدراک الذهن،ما یکون مقترنا بذلک الشیء المنتقل إلیه،فمثلا عندما یدرک الذهن اقتران صوت الأسد مع نفسه ینتقل من تصوّر صوته إلی تصوّر نفس الأسد،و هذا ما یسمّی بالمنبّه الشرطی و الاستجابة الشرطیّة</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بدّ أن یکون هذا الاقتران علی وجه شدید بحیث یکون مترسّخا فی الذهن،و هنا إمّا نتیجة کثرة تکرّر الاقتران خارجا أمام الذهن،و هذا هو العامل الکمّی و یسمّی بالوضع التعیّنی،أو نتیجة ملابسات اکتنفت الاقتران و لو دفعة</w:t>
      </w:r>
    </w:p>
    <w:p>
      <w:pPr>
        <w:pStyle w:val="BookText"/>
        <w:rPr/>
      </w:pPr>
      <w:r>
        <w:rPr>
          <w:rFonts w:ascii="IRNazanin" w:hAnsi="IRNazanin" w:eastAsia="IRNazanin"/>
          <w:color w:val="111111"/>
          <w:sz w:val="28"/>
          <w:sz w:val="28"/>
          <w:szCs w:val="28"/>
          <w:rtl w:val="true"/>
          <w:lang w:bidi="fa-IR"/>
        </w:rPr>
        <w:t>واحدة،و هذا هو العامل الکیفی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الواضع یمارس عملیّة الاقتران بین اللفظ و المعنی بشکل أکید بالغ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أثّرت هذه النظریّة تأثیرا وافیا فی کثیر من المباحث اللفظیّة،و نحن نشیر إلی موارد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هذه النظریّة توجب تقویة کون البشر واضعا،و تنفی المبعّدات التی ذکرها الاصولیّون لبشریّة الواضع؛من جهة أنّه بناء علی نظریّة القرن الأکید یکون الوضع عملا طبیعیّا بسیطا مأنوسا عند الإنسان من دون أن یحتاج إلی الاعتبارات العقلائیّة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فالسیّد الشهید و إن استقرب إلهیّة الوضع،و اعترف بأنّه من البعید جدّا أن یطّلع الإنسان علی المعانی و استعمل الألفاظ فیها من دون إلهام من اللّه تبارک و تعالی،لکنّه قد أبطل المبعّدات التی ذکروها لبشریّة الواضع فی ضوء هذه النظریّة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اختلف الاصولیّون فی إمکان القسم الرابع من أقسام الوضع؛و هو الوضع العامّ و الموضوع له الخاصّ،فذهب الکثیر </w:t>
      </w:r>
      <w:r>
        <w:rPr>
          <w:rStyle w:val="FootnoteAnchor"/>
          <w:rtl w:val="true"/>
        </w:rPr>
        <w:footnoteReference w:id="422"/>
      </w:r>
      <w:r>
        <w:rPr>
          <w:rFonts w:ascii="IRNazanin" w:hAnsi="IRNazanin" w:eastAsia="IRNazanin"/>
          <w:color w:val="111111"/>
          <w:sz w:val="28"/>
          <w:sz w:val="28"/>
          <w:szCs w:val="28"/>
          <w:rtl w:val="true"/>
          <w:lang w:bidi="fa-IR"/>
        </w:rPr>
        <w:t>إلی استحالته،فقد ذکر السیّد الشهید أنّه بناء علی کون الوضع أمرا اعتباریّا صرفا،فهذا القسم بمکان من الإمکان کسائر الأقسام،لکنّه إذا بنینا علی کون حقیقة الوضع عبارة عن القرن الأکید بین اللفظ و المعنی،و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 بکون الوضع أمرا واقعیّا،فلا بدّ أن یتصوّر الواضع المعنی الخاصّ بالحمل الشائع حتّی یحقّق الاقتران بین اللفظ و المعنی الخاصّ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إنّه صرّح بأنّه بناء علی هذه النظریّة یتحقّق هذا القسم عن طریق تکرار الاقتران بین اللفظ و المعانی الخاصّة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 هذا المعنی فی تقسیم الوضع إلی التعیینی و التعیّنی؛فإنّ الوضع التعیینی بناء علی القرن الأکید عبارة عن إیجاد القرن الأکید بین اللفظ و المعنی بإنشاء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الوضع التعیّنی؛فإنّه بناء علی مسلک الاعتبار فی حقیقة الوضع، عبارة عن إیجاد العلقة الوضعیّة بسبب کثرة الاستعمال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بناء علی القرن الأکید، فیتحقّق الوضع التعیّنی بتکرار الاقتران بین اللفظ و المعنی فی الاستعمالات الکثیرة حتّی ینجرّ إلی التلازم التصوّری بینهما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معقولیّة الوضع بالاستعمال بناء علی القرن الأکید؛فإنّ استعمال اللفظ فی المعنی غیر المعهود استعماله فیه سابقا یکون بنفسه مصداقا للقرن الخارجی، بخلاف المسالک الاخر فی حقیقة الوضع؛فإنّ الوضع بالاستعمال بناء علیها مشکل جدّا؛لأنّ المجعول الاعتباری و التعهّد الاعتباری أمر نفسانیّ لا ینطبق علی الاستعمال الخارجی،و یحتاج إلی عنایة زائدة علی الاستعمال حتّی یمکن أن یفهم أنّ المستعمل یتعهّد بنفس هذا الاستعمال تفهیم المعنی الحقیقی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إمکان تقیید العلقة الوضعیّة بناء علی مسلک القرن الأکید؛ لأنّها أمر واقعیّ تکوینیّ لا یناله ید الاعتبار و الجعل،و لیس مجعولا حتّی یمکن أن تتقیّد بحالة دون حالة اخری،بخلاف مسلک الاعتبار أو التعهّد؛فإنّ تقیید العلقة الوضعیّة بمکان من الإمکان،و یعقل أن یشترط الواضع الاعتبار بشرط أو بحالة، أو أن یتعهّد فی حالة دون حالة اخری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الدلالة اللفظیّة بین اللفظ و المعنی یکون تصوّریّا بناء علی القرن الأکید،بخلاف مسلک التعهّد؛فإنّ الدلالة بینهما تصدیقیّة؛لأنّ الملازمة بین اللفظ</w:t>
      </w:r>
      <w:bookmarkStart w:id="261" w:name="pg5439_46797"/>
    </w:p>
    <w:p>
      <w:pPr>
        <w:pStyle w:val="BookText"/>
        <w:rPr/>
      </w:pPr>
      <w:bookmarkEnd w:id="261"/>
      <w:r>
        <w:rPr>
          <w:rFonts w:ascii="IRNazanin" w:hAnsi="IRNazanin" w:eastAsia="IRNazanin"/>
          <w:color w:val="111111"/>
          <w:sz w:val="28"/>
          <w:sz w:val="28"/>
          <w:szCs w:val="28"/>
          <w:rtl w:val="true"/>
          <w:lang w:bidi="fa-IR"/>
        </w:rPr>
        <w:t xml:space="preserve">و المعنی إنّما هی بین الوجودین،لا بین التصوّرین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تبعیّة الدلالة للإرادة غیر معقولة بناء علی مسلک التعهّد؛لأنّ الدلالة بناء علیه دلالة تصدیقیّة،و قصد المعنی متعلّق للإرادة فی الدلالة التصدیقیّة، و لا یکون من شروط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بناء علی مسلک القرن الأکید،فالتبعیّة غیر معقولة جدّا؛لأنّ الوضع عبارة عن الاقتران بین اللفظ و المعنی فی الذهن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الاقتران یوجب الملازمة بین تصوّر اللفظ و تصوّر المعنی،و کلاهما غیر قابل للتقیید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إمکان الترادف و الاشتراک بناء علی نظریّة القرن الأکید،کما هو کذلک بناء علی نظریّة الاعتبار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بناء علی مسلک التعهّد فهما مشکل ثبوتا و إن ذکر قدّس سرّه فی آخر کلامه طریقا لإمکانیّة الترادف و الاشتراک حتّی بناء علی مسلک التعهّد و الاعتبار،فراجع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معقولیّة علاقة التبادر بناء علی مسلک القرن الأکید؛لأنّ انسباق الذهن إلی المعنی فرع وجود الملازمة بین اللفظ و المعنی،و هذه الملازمة فرع الاقتران بینهما،و هذا أمر واقعیّ خارج عن مقولة العلم و التصدیق،فالتبادر غیر موقوف علی العلم بالوضع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فتبیّن أنّ هذه النظریّة ذو أثر مهمّ فی شتّی مباحث الاصول</w:t>
      </w:r>
      <w:r>
        <w:rPr>
          <w:rFonts w:eastAsia="Amiri" w:cs="Amiri" w:ascii="Amiri" w:hAnsi="Amiri"/>
          <w:color w:val="111111"/>
          <w:sz w:val="28"/>
          <w:szCs w:val="28"/>
          <w:rtl w:val="true"/>
          <w:lang w:bidi="ar-SA"/>
        </w:rPr>
        <w:t>.</w:t>
      </w:r>
    </w:p>
    <w:p>
      <w:pPr>
        <w:pStyle w:val="Heading6"/>
        <w:numPr>
          <w:ilvl w:val="5"/>
          <w:numId w:val="1"/>
        </w:numPr>
        <w:rPr/>
      </w:pPr>
      <w:bookmarkStart w:id="262" w:name="__RefHeading___Toc1856028_581953129"/>
      <w:bookmarkStart w:id="263" w:name="_Toc99"/>
      <w:bookmarkEnd w:id="262"/>
      <w:r>
        <w:rPr>
          <w:rtl w:val="true"/>
        </w:rPr>
        <w:t>و یتلخّص مرامه فی امور</w:t>
      </w:r>
      <w:r>
        <w:rPr>
          <w:rtl w:val="true"/>
        </w:rPr>
        <w:t>:</w:t>
      </w:r>
      <w:bookmarkEnd w:id="263"/>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الذهن بعد إدراک الاقتران بین أمرین یقدر عند تصوّر أحدهما</w:t>
      </w:r>
    </w:p>
    <w:p>
      <w:pPr>
        <w:pStyle w:val="BookText"/>
        <w:rPr/>
      </w:pPr>
      <w:r>
        <w:rPr>
          <w:rFonts w:ascii="IRNazanin" w:hAnsi="IRNazanin" w:eastAsia="IRNazanin"/>
          <w:color w:val="111111"/>
          <w:sz w:val="28"/>
          <w:sz w:val="28"/>
          <w:szCs w:val="28"/>
          <w:rtl w:val="true"/>
          <w:lang w:bidi="fa-IR"/>
        </w:rPr>
        <w:t>أن ینتقل إلی تصوّر الشیء الآخر،و هذا هو المراد من المنبّه الشرطی،و الإنسان فی مقام تفهیم الآخرین یستفید من هذا القانون الطبیعی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الوضع لیس من الامور الاعتباریّة التی متقوّمة بنفس المعتبر کالملکیّة،بل هو أمر تکوینیّ یتمثّل فی اقتران لفظ خاصّ بمعنی خاصّ،الذی هو الصغری للقانون الطبیعیّ المذکور،و قد یستخدم الإنشاء لإیجاد هذین الأمرین، لکنّ الاقتران لیس هو المنشأ،بل الإنشاء سبب لتحقّق الاشتراط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الدلالة الوضعیّة تصوریّة دائما،کما ذهب إلیه المشهور </w:t>
      </w:r>
      <w:r>
        <w:rPr>
          <w:rStyle w:val="FootnoteAnchor"/>
          <w:rtl w:val="true"/>
        </w:rPr>
        <w:footnoteReference w:id="431"/>
      </w:r>
      <w:r>
        <w:rPr>
          <w:rFonts w:ascii="IRNazanin" w:hAnsi="IRNazanin" w:eastAsia="IRNazanin"/>
          <w:color w:val="111111"/>
          <w:sz w:val="28"/>
          <w:sz w:val="28"/>
          <w:szCs w:val="28"/>
          <w:rtl w:val="true"/>
          <w:lang w:bidi="fa-IR"/>
        </w:rPr>
        <w:t>،و متی تحقّق الاقتران ینتقل الذهن من تصوّر اللفظ إلی المعنی،و لا معنی لتحقّق الاقتران فی صورة دون صورة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الدلالة الوضعیّة تتوقّف علی العلم بالوضع غالبا،فمن لم یعلم بالوضع لم یکن اللفظ دالاّ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نعم،قد تحصّل علی أساس تلقینیّ،کأن تقرن أمام طفل بین اللفظ و المعنی علی نحو خاصّ،فتحصّل العلقة فی ذهنه عن طریق هذا التلقین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 الاقتران الذهنی بین اللفظ و المعنی إنّما یحصل بعد الوضع،فهو متأخّر عنه و من آثاره و توابعه،و لیس داخلا فی حقیقة الوضع؛فإنّه بعد جعل اللفظ للمعنی یصیر اللفظ مقترنا بالمعنی فی أذهان المخاطبین و السامعین، و بعد هذا الاقتران ینتقل الذهن من تصوّر أحدهما إلی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تحقّق الاقتران الاعتباری بین اللفظ و المعنی بتوسّط الوضع یدرک الذهن و یتصوّر الاقتران،و بعد درکه للاقتران ینتقل من اللفظ إلی المعنی</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یؤیّد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قد یوجد الوضع من دون أن یوجد مخاطب و مستعمل،ففی</w:t>
      </w:r>
      <w:bookmarkStart w:id="264" w:name="pg5439_46799"/>
    </w:p>
    <w:p>
      <w:pPr>
        <w:pStyle w:val="BookText"/>
        <w:rPr/>
      </w:pPr>
      <w:bookmarkEnd w:id="264"/>
      <w:r>
        <w:rPr>
          <w:rFonts w:ascii="IRNazanin" w:hAnsi="IRNazanin" w:eastAsia="IRNazanin"/>
          <w:color w:val="111111"/>
          <w:sz w:val="28"/>
          <w:sz w:val="28"/>
          <w:szCs w:val="28"/>
          <w:rtl w:val="true"/>
          <w:lang w:bidi="fa-IR"/>
        </w:rPr>
        <w:t>هذه الصورة لا یتحقّق الاقتران الذهنی أصلا،بل المتحقّق نفس تعیین اللفظ للمعنی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سلّمنا تحقّق الاقتران حین الوضع،و لکنّه منحصر بالعامل الکمّی فقط،بمعنی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أذهان الناس یدرکون الاقتران بعد کثرة استعمال اللفظ بالمعنی،و إلاّ فمجرّد استعمال واحد لا یدرک الاقتران،و علی هذا ینحصر الوضع بالتعیّنی،و 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قلنا بأنّ الوضع من الامور التکوینیّة،و من صغریات القانون الطبیعی،لکان اعتبار الخلاف فیه ممتنعا؛بمعنی عدم إمکان اعتبار استعمال اللفظ فی معنی آخر غیر المعنی الأوّل،و هو و إن کان مقبولا فی الوضع التعیّنی،و لکنّه فی التعیینی غیر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الاقتران مستلزم لکون کلّ من اللفظ و المعنی دالاّ و مدلولا؛بمعنی أنّ لازم الاقتران هو الانتقال من المعنی إلی اللفظ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مع عدم إمکانه عادة مستلزم لکون المعنی دالاّ أیضا،مع أنّه من الواضح کون اللفظ دالاّ فقط،و المعنی مدلولا فقط،فتدبّر</w:t>
      </w:r>
      <w:r>
        <w:rPr>
          <w:rFonts w:eastAsia="IRNazanin" w:cs="IRNazanin"/>
          <w:color w:val="111111"/>
          <w:sz w:val="28"/>
          <w:szCs w:val="28"/>
          <w:rtl w:val="true"/>
          <w:lang w:bidi="fa-IR"/>
        </w:rPr>
        <w:t>.</w:t>
      </w:r>
    </w:p>
    <w:p>
      <w:pPr>
        <w:pStyle w:val="Heading5"/>
        <w:numPr>
          <w:ilvl w:val="4"/>
          <w:numId w:val="1"/>
        </w:numPr>
        <w:rPr/>
      </w:pPr>
      <w:bookmarkStart w:id="265" w:name="__RefHeading___Toc1856030_581953129"/>
      <w:bookmarkStart w:id="266" w:name="_Toc100"/>
      <w:bookmarkEnd w:id="265"/>
      <w:r>
        <w:rPr>
          <w:rtl w:val="true"/>
        </w:rPr>
        <w:t>المسلک السادس</w:t>
      </w:r>
      <w:r>
        <w:rPr>
          <w:rtl w:val="true"/>
        </w:rPr>
        <w:t>:</w:t>
      </w:r>
      <w:bookmarkEnd w:id="266"/>
    </w:p>
    <w:p>
      <w:pPr>
        <w:pStyle w:val="BookText"/>
        <w:rPr/>
      </w:pPr>
      <w:r>
        <w:rPr>
          <w:rFonts w:ascii="IRNazanin" w:hAnsi="IRNazanin" w:eastAsia="IRNazanin"/>
          <w:color w:val="111111"/>
          <w:sz w:val="28"/>
          <w:sz w:val="28"/>
          <w:szCs w:val="28"/>
          <w:rtl w:val="true"/>
          <w:lang w:bidi="fa-IR"/>
        </w:rPr>
        <w:t xml:space="preserve">ما ذهب إلیه جمع من المتأخّرین </w:t>
      </w:r>
      <w:r>
        <w:rPr>
          <w:rStyle w:val="FootnoteAnchor"/>
          <w:rtl w:val="true"/>
        </w:rPr>
        <w:footnoteReference w:id="432"/>
      </w:r>
      <w:r>
        <w:rPr>
          <w:rFonts w:ascii="IRNazanin" w:hAnsi="IRNazanin" w:eastAsia="IRNazanin"/>
          <w:color w:val="111111"/>
          <w:sz w:val="28"/>
          <w:sz w:val="28"/>
          <w:szCs w:val="28"/>
          <w:rtl w:val="true"/>
          <w:lang w:bidi="fa-IR"/>
        </w:rPr>
        <w:t xml:space="preserve">،و منهم شیخنا الاستاذ </w:t>
      </w:r>
      <w:r>
        <w:rPr>
          <w:rStyle w:val="FootnoteAnchor"/>
          <w:rtl w:val="true"/>
        </w:rPr>
        <w:footnoteReference w:id="4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الوضع عبارة عن اعتبار اللفظ علامة للمعنی،فحقیقته ترجع إلی العلامیّة، و توضیح هذا یحتاج إلی ذکر أمرین</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الأفعال الخارجیّة،و کذا الصفات النفسانیّة تکون مقرونة بامور،فمثلا الحکم مقرون بتصوّر الموضوع و المحمول،و أیضا الإرادة النفسانیّة مقرونة بتصوّر المراد و التصدیق بفائدته،و الوضع من الصفات النفسانیّة التی</w:t>
      </w:r>
    </w:p>
    <w:p>
      <w:pPr>
        <w:pStyle w:val="BookText"/>
        <w:rPr/>
      </w:pPr>
      <w:r>
        <w:rPr>
          <w:rFonts w:ascii="IRNazanin" w:hAnsi="IRNazanin" w:eastAsia="IRNazanin"/>
          <w:color w:val="111111"/>
          <w:sz w:val="28"/>
          <w:sz w:val="28"/>
          <w:szCs w:val="28"/>
          <w:rtl w:val="true"/>
          <w:lang w:bidi="fa-IR"/>
        </w:rPr>
        <w:t>تکون مقرونة بالامور التی ذکرت فی المسالک السابقة؛بمعنی أنّ التلازم الذی ذهب إلیه المحقّق العراقی،و التنزیل أو الهوهویّة و التعهّد الذی ذهب إلیه السیّد الخوئی لیست داخلة فی حقیقة الوضع،بل إنّما هی من الامور الطارئة له،و اللاّزم کشف الأمر الذی تکون هذه الامور من مقارناته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اللاّزم فی کشف حقیقة کلّ شیء أن یستفاد من الامور المناسبة له و الأسباب المسانخة له،فمثلا الأدلّة التی تکون جاریة فی الحکمة،مغایرة من حیث الکیفیّة مع الأدلّة التی جاریة فی الفقه،و کذا الأدلّة الجاریة فی العلوم الأدبیّة،مغایرة لها فی سائر العلوم،و اللاّزم فیما نحن فیه الاستفادة من المدارک و المنابع المسانخة للوضع؛و هی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ورد من طریق الأئمّة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 أجمعین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بیان کیفیّة 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ورد فی کلمات أساطین اللغة و الأدب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المراجعة إلی الارتکاز و الوجدان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ورد فی بعض النصوص ما یظهر منه أنّ الوضع فی الحقیقة عبارة عن جعل العلامیّة،منها ما ذکره الصدوق فی معانی الأخبار،عن الحسن بن علیّ بن فضّال،عن أبیه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الرضا علیّ بن موسی علیه السّلام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قول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أسمّ علی نفسی سمة من سمات اللّه عزّ و جلّ؛ و هی العبادة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السمة؟قال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 العلامة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هذه الروایة معتبرة </w:t>
      </w:r>
      <w:r>
        <w:rPr>
          <w:rStyle w:val="FootnoteAnchor"/>
          <w:rtl w:val="true"/>
        </w:rPr>
        <w:footnoteReference w:id="435"/>
      </w:r>
      <w:r>
        <w:rPr>
          <w:rFonts w:ascii="IRNazanin" w:hAnsi="IRNazanin" w:eastAsia="IRNazanin"/>
          <w:color w:val="111111"/>
          <w:sz w:val="28"/>
          <w:sz w:val="28"/>
          <w:szCs w:val="28"/>
          <w:rtl w:val="true"/>
          <w:lang w:bidi="fa-IR"/>
        </w:rPr>
        <w:t>من حیث السند؛لأنّ طریق الصدوق إلی الحسن بن</w:t>
      </w:r>
    </w:p>
    <w:p>
      <w:pPr>
        <w:pStyle w:val="BookText"/>
        <w:rPr/>
      </w:pPr>
      <w:r>
        <w:rPr>
          <w:rFonts w:ascii="IRNazanin" w:hAnsi="IRNazanin" w:eastAsia="IRNazanin"/>
          <w:color w:val="111111"/>
          <w:sz w:val="28"/>
          <w:sz w:val="28"/>
          <w:szCs w:val="28"/>
          <w:rtl w:val="true"/>
          <w:lang w:bidi="fa-IR"/>
        </w:rPr>
        <w:t>علی ابن فضّال صحیح یعتمد علیه،و أمّا الدلالة؛فإنّها لیست فی مقام بیان مفهوم السمة؛لأنّ السائل مع جلالة شأنه کان عالما بمفهومه،إنّما هی عن حقیقة السمة، و أجاب فیها الإمام علیه السّلام بأنّ حقیقة السمة عبارة عن العلامة؛بمعنی أنّ الواضع یعتبر أن یکون الاسم علامة للمسمّی،لکن هذه العلامة لیست علامة خارجیّة،بل علامة اعتباریّة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ذکر فی لسان العرب و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الاسم علامة للمسمّی </w:t>
      </w:r>
      <w:r>
        <w:rPr>
          <w:rStyle w:val="FootnoteAnchor"/>
          <w:rtl w:val="true"/>
        </w:rPr>
        <w:footnoteReference w:id="436"/>
      </w:r>
      <w:r>
        <w:rPr>
          <w:rFonts w:ascii="IRNazanin" w:hAnsi="IRNazanin" w:eastAsia="IRNazanin"/>
          <w:color w:val="111111"/>
          <w:sz w:val="28"/>
          <w:sz w:val="28"/>
          <w:szCs w:val="28"/>
          <w:rtl w:val="true"/>
          <w:lang w:bidi="fa-IR"/>
        </w:rPr>
        <w:t>و الألفاظ علامات للمعانی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الارتکاز یحکم بأنّ الوضع عبارة عن جعل اللفظ علامة للمعنی؛لأنّ اللفظ فی الإنسان الذی یقدر علی التکلّم یکون بمنزلة الإشارة فی الأخرس،فکما أنّها عبارة عن کونها علامة للمقصود و المعنی،فکذا الألفاظ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ذکره فی الأمر الأوّل من أنّ الوضع من الصفات النفسانیّة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کالإرادة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صحیح جدّا،بل هو من الامور الخارجیّة التی یکون الخارج ظرفا له لا قیدا له،فما لم یتحقّق شیء فی الخارج لم یتحقّق وضع أصلا، 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صرف اعتبار العلامة فی عالم الذهن بین اللفظ و المعنی لا یکون مصحّحا للوضع،بل یحتاج إلی التکلّم و التنطّق بالقول أو بنفس الاستعمال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الاستدلال بروایة الحسن بن علی بن فضّال مخدوش؛من جهة أنّ المدّعی أعمّ من ذلک؛فإنّ الروایة لو کانت دالّة علی أنّ حقیقة الوضع عبارة عن العلامیّة،فإنّما دالّة علی خصوص الوضع فی الأسماء،و لیست دالّة علی أنّ الوضع فی الحروف و ما یشابهها أیضا کذلک،فالدلیل أخصّ من المدّعی</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 اللفظ بعد تحقّق الوضع یصیر علامة للمعنی،فربما یکون العلامیّة من آثار الوضع لا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قیاس الألفاظ بالإشارات غیر صحیح جدّا؛فإنّ قبح المعنی أو حسنه یسری إلی اللفظ بخلاف الإشارة،فلا سرایة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فمسلک العلامیّة غیر قابل للاعتماد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فتبیّن إلی هنا عدم صحّة جمیع المسالک المذکورة إلاّ ما ذهب إلیه المشهور </w:t>
      </w:r>
      <w:r>
        <w:rPr>
          <w:rStyle w:val="FootnoteAnchor"/>
          <w:rtl w:val="true"/>
        </w:rPr>
        <w:footnoteReference w:id="437"/>
      </w:r>
      <w:r>
        <w:rPr>
          <w:rFonts w:ascii="IRNazanin" w:hAnsi="IRNazanin" w:eastAsia="IRNazanin"/>
          <w:color w:val="111111"/>
          <w:sz w:val="28"/>
          <w:sz w:val="28"/>
          <w:szCs w:val="28"/>
          <w:rtl w:val="true"/>
          <w:lang w:bidi="fa-IR"/>
        </w:rPr>
        <w:t>من أنّ الوضع عبارة عن تعیین اللفظ للدلالة علی المعنی؛بمعنی أنّ الواضع قد جعل اللفظ للدلالة علی المعنی،و لا یرد علیه شیء ممّا أوردناه علی المسالک الاخر، و ذلک یتّضح بعد بیان نکات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مرّ آنفا أنّ ظرف تحقّق الوضع عبارة عن الخارج،فما لم یتحقّق فی الخارج شیء لم یتحقّق الوضع أصلا؛فإنّ صرف الاعتبار الذهنی بین اللفظ و المعنی،أو التعهّد،أو اعتبار التنزیل لا یفید شیئا أصلا،فنحن نری دائما أنّ الشخص لو لم یذکر أو لم یستعمل اللفظ فی الخارج لم یتحقّق الوضع أصلا،فهو محتاج إلی الخارج و متحقّق فیه و لو بنفس الاستعمال،فتدبّر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بعد تحقّقه فی الخارج یمکن أن ینتقل إلی المعنی بنفس تصوّر اللفظ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یکون الاعتبار من المبادئ المتوقّف علیها الوضع،و لکنّه خارج عن حقیقته،بل فی الخارج یذکر اللفظ للدلالة علی المعنی،و من أجل هذا یمکن انتزاع العناوین المتعدّدة من قبیل التعهّد و التنزیل و الملازمة منها،فمنشأ الانتزاع یکون من الامور الخارجیّة</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مقام الوضع غیر مقام الاستعمال،ففی الثانی یکون اللفظ فانیا فی المعنی أو علامة له،بخلاف الأوّل،ففیه یتصوّر اللفظ مستقلاّ کما یتصوّر المعنی مستقلاّ أیضا،فما ذکره المحقّق العراقی </w:t>
      </w:r>
      <w:r>
        <w:rPr>
          <w:rStyle w:val="FootnoteAnchor"/>
          <w:rtl w:val="true"/>
        </w:rPr>
        <w:footnoteReference w:id="438"/>
      </w:r>
      <w:r>
        <w:rPr>
          <w:rFonts w:ascii="IRNazanin" w:hAnsi="IRNazanin" w:eastAsia="IRNazanin"/>
          <w:color w:val="111111"/>
          <w:sz w:val="28"/>
          <w:sz w:val="28"/>
          <w:szCs w:val="28"/>
          <w:rtl w:val="true"/>
          <w:lang w:bidi="fa-IR"/>
        </w:rPr>
        <w:t>من أنّ اللفظ مرآة للمعنی،و بهذا یفترق عن</w:t>
      </w:r>
      <w:bookmarkStart w:id="267" w:name="pg5439_46803"/>
    </w:p>
    <w:p>
      <w:pPr>
        <w:pStyle w:val="BookText"/>
        <w:rPr/>
      </w:pPr>
      <w:bookmarkEnd w:id="267"/>
      <w:r>
        <w:rPr>
          <w:rFonts w:ascii="IRNazanin" w:hAnsi="IRNazanin" w:eastAsia="IRNazanin"/>
          <w:color w:val="111111"/>
          <w:sz w:val="28"/>
          <w:sz w:val="28"/>
          <w:szCs w:val="28"/>
          <w:rtl w:val="true"/>
          <w:lang w:bidi="fa-IR"/>
        </w:rPr>
        <w:t xml:space="preserve">سائر العلامات و الدوالّ،غیر مجد؛لأنّه فی مقام الوضع لا یکون اللفظ متصوّرا بالتصوّر الآلی،بل هو متصوّر بالتصوّر الاستقلالی،کصانع المرآة الذی ینظر فیه لا به،و کذا ما ذکره القائل بالتنزیل </w:t>
      </w:r>
      <w:r>
        <w:rPr>
          <w:rStyle w:val="FootnoteAnchor"/>
          <w:rtl w:val="true"/>
        </w:rPr>
        <w:footnoteReference w:id="439"/>
      </w:r>
      <w:r>
        <w:rPr>
          <w:rFonts w:ascii="IRNazanin" w:hAnsi="IRNazanin" w:eastAsia="IRNazanin"/>
          <w:color w:val="111111"/>
          <w:sz w:val="28"/>
          <w:sz w:val="28"/>
          <w:szCs w:val="28"/>
          <w:rtl w:val="true"/>
          <w:lang w:bidi="fa-IR"/>
        </w:rPr>
        <w:t>من أنّ إلقاء اللفظ عبارة عن إلقاء المعنی؛ فإنّ هذا لا یجری فی مقام الوضع،بل هو من مختصّات مقام الاستعمال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من أهمّ النکات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الامور الحقیقیّة لها حقیقة واحدة یجب أن تستخرج و تستنبط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الامور الاعتباریّة التی تکون متقوّمة بالاعتبار،أو التی تکون مبادؤها من الامور الاعتباریّة،فلیست بلازم أن تکون لها حقیقة واحدة،بل هو غیر ممکن؛لاختلاف الإرادة بکیفیّة الاعتبار و المعتبر،فبعض یعتبر التنزیل،و بعض آخر یعتبر التلازم،فلیس فیها ملاک واحد،لکن نوع الواضعین لم یعتبروا شیئا من الامور المذکورة،بل یجعلون اللفظ دالاّ علی المعنی، و یعیّنون اللفظ للمعنی من دون شیء 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بهذه النکات یظهر أنّ الحقّ ما ذهب إلیه المشهور</w:t>
      </w:r>
      <w:r>
        <w:rPr>
          <w:rFonts w:eastAsia="IRNazanin" w:cs="IRNazanin"/>
          <w:color w:val="111111"/>
          <w:sz w:val="28"/>
          <w:szCs w:val="28"/>
          <w:rtl w:val="true"/>
          <w:lang w:bidi="fa-IR"/>
        </w:rPr>
        <w:t>.</w:t>
      </w:r>
    </w:p>
    <w:p>
      <w:pPr>
        <w:pStyle w:val="Heading4"/>
        <w:numPr>
          <w:ilvl w:val="3"/>
          <w:numId w:val="1"/>
        </w:numPr>
        <w:rPr/>
      </w:pPr>
      <w:bookmarkStart w:id="268" w:name="__RefHeading___Toc1856032_581953129"/>
      <w:bookmarkStart w:id="269" w:name="_Toc101"/>
      <w:bookmarkEnd w:id="268"/>
      <w:r>
        <w:rPr>
          <w:rtl w:val="true"/>
        </w:rPr>
        <w:t>تقسیم الوضع إلی التعیینی و التعیّنی</w:t>
      </w:r>
      <w:bookmarkEnd w:id="269"/>
    </w:p>
    <w:p>
      <w:pPr>
        <w:pStyle w:val="BookText"/>
        <w:rPr/>
      </w:pPr>
      <w:r>
        <w:rPr>
          <w:rFonts w:ascii="IRNazanin" w:hAnsi="IRNazanin" w:eastAsia="IRNazanin"/>
          <w:color w:val="111111"/>
          <w:sz w:val="28"/>
          <w:sz w:val="28"/>
          <w:szCs w:val="28"/>
          <w:rtl w:val="true"/>
          <w:lang w:bidi="fa-IR"/>
        </w:rPr>
        <w:t xml:space="preserve">قد ذکر فی بعض الکلمات أنّ الوضع ینقسم إلی قسمین </w:t>
      </w:r>
      <w:r>
        <w:rPr>
          <w:rStyle w:val="FootnoteAnchor"/>
          <w:rtl w:val="true"/>
        </w:rPr>
        <w:footnoteReference w:id="4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تعیینی؛و هو ما کان الارتباط و الاختصاص بین اللفظ و المعنی مستندا إلی جعل جاعل معیّن،و التعیّنی؛ و هو ما کان الاختصاص حاصلا بسبب کثرة الاستعمال</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ربما یقال </w:t>
      </w:r>
      <w:r>
        <w:rPr>
          <w:rStyle w:val="FootnoteAnchor"/>
          <w:rtl w:val="true"/>
        </w:rPr>
        <w:footnoteReference w:id="441"/>
      </w:r>
      <w:r>
        <w:rPr>
          <w:rFonts w:ascii="IRNazanin" w:hAnsi="IRNazanin" w:eastAsia="IRNazanin"/>
          <w:color w:val="111111"/>
          <w:sz w:val="28"/>
          <w:sz w:val="28"/>
          <w:szCs w:val="28"/>
          <w:rtl w:val="true"/>
          <w:lang w:bidi="fa-IR"/>
        </w:rPr>
        <w:t>بعدم معقولیّة الوضع التعیّنی،ببیان أنّه لا وجه لأن یختصّ اللفظ</w:t>
      </w:r>
      <w:bookmarkStart w:id="270" w:name="pg5439_46804"/>
    </w:p>
    <w:p>
      <w:pPr>
        <w:pStyle w:val="BookText"/>
        <w:rPr/>
      </w:pPr>
      <w:bookmarkEnd w:id="270"/>
      <w:r>
        <w:rPr>
          <w:rFonts w:ascii="IRNazanin" w:hAnsi="IRNazanin" w:eastAsia="IRNazanin"/>
          <w:color w:val="111111"/>
          <w:sz w:val="28"/>
          <w:sz w:val="28"/>
          <w:szCs w:val="28"/>
          <w:rtl w:val="true"/>
          <w:lang w:bidi="fa-IR"/>
        </w:rPr>
        <w:t>بالدلالة علی المعنی بنفس کثرة الاستعمال؛بمعنی أنّ کثرة الاستعمال لا تصلح لأن یجعل اللفظ دالاّ علی المعنی،بل اللفظ یتوقّف فی الدلالة علی وجود القرینة، فهی موجبة للدلالة علی المعنی،فلا یعقل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نفس اللفظ بدون القرینة صار دالاّ علی المعنی بسبب کثرة الاستعمال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القرینة إنّما تکون واسطة فی الثبوت،و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 أن یقال إنّ نفس اللفظ دالّ علی المعنی بواسطة القرینة،لکن بعد کثرة الاستعمال نستغنی عن القرینة، فکثرة الاستعمال لا تکون بنفسها موجبة للدلالة،بل تکون قائمة مقام القرینة، فتدبّر</w:t>
      </w:r>
      <w:r>
        <w:rPr>
          <w:rFonts w:eastAsia="IRNazanin" w:cs="IRNazanin"/>
          <w:color w:val="111111"/>
          <w:sz w:val="28"/>
          <w:szCs w:val="28"/>
          <w:rtl w:val="true"/>
          <w:lang w:bidi="fa-IR"/>
        </w:rPr>
        <w:t>.</w:t>
      </w:r>
    </w:p>
    <w:p>
      <w:pPr>
        <w:pStyle w:val="Heading4"/>
        <w:numPr>
          <w:ilvl w:val="3"/>
          <w:numId w:val="1"/>
        </w:numPr>
        <w:rPr/>
      </w:pPr>
      <w:bookmarkStart w:id="271" w:name="__RefHeading___Toc1856034_581953129"/>
      <w:bookmarkStart w:id="272" w:name="_Toc102"/>
      <w:bookmarkEnd w:id="271"/>
      <w:r>
        <w:rPr>
          <w:rtl w:val="true"/>
        </w:rPr>
        <w:t>جریان التقسیم علی المسالک الموجودة فی حقیقة الوضع</w:t>
      </w:r>
      <w:bookmarkEnd w:id="272"/>
    </w:p>
    <w:p>
      <w:pPr>
        <w:pStyle w:val="BookText"/>
        <w:rPr/>
      </w:pPr>
      <w:r>
        <w:rPr>
          <w:rFonts w:ascii="IRNazanin" w:hAnsi="IRNazanin" w:eastAsia="IRNazanin"/>
          <w:color w:val="111111"/>
          <w:sz w:val="28"/>
          <w:sz w:val="28"/>
          <w:szCs w:val="28"/>
          <w:rtl w:val="true"/>
          <w:lang w:bidi="fa-IR"/>
        </w:rPr>
        <w:t>ثمّ إنّه بعد فرض المعقولیّة فی الوضع التعیّنی یجب تصویره علی المسالک المذکورة فی حقیقة الوضع،و أنّه علی أیّ واحد منها لا یتحقّق،و علی أیّ منها یتحقّق و یمکن وقوعا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المسلک المشهور الذی اخترناه أیضا،فواضح أنّ الوضع منحصر بالوضع التعیینی،و دعوی أنّ التقسیم صدر من المشهور أیضا،و هذا لا یجتمع مع ما ذکروه فی بیان حقیقة الوضع،فاسدة جدّا؛لعدم الدلیل علی صدور التقسیم من المشهور،و الانتساب إلیهم غیر صحیح،بل إنّما وقع فی کلمات بعض من الاصولیّین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علی ما ذهب إلیه الآخوند من کونه نحو اختصاص اللفظ فی المعنی فالتقسیم صحیح،کما صرّح به فی الکفایة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مسلک التنزیل و الهوهویّة،فهو کالمشهور لا یجری فیه التقسیم؛لأنّ</w:t>
      </w:r>
    </w:p>
    <w:p>
      <w:pPr>
        <w:pStyle w:val="BookText"/>
        <w:rPr/>
      </w:pPr>
      <w:r>
        <w:rPr>
          <w:rFonts w:ascii="IRNazanin" w:hAnsi="IRNazanin" w:eastAsia="IRNazanin"/>
          <w:color w:val="111111"/>
          <w:sz w:val="28"/>
          <w:sz w:val="28"/>
          <w:szCs w:val="28"/>
          <w:rtl w:val="true"/>
          <w:lang w:bidi="fa-IR"/>
        </w:rPr>
        <w:t>التنزیل یحتاج إلی منزّل،و کثرة الاستعمال لا تصلح لجعل شیء منزلة شیء آخر أو لإیجاد الاتّحاد الاعتباری بین اللفظ و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بناء علی مسلک التعهّد و الالتزام النفسانی،فقد ورد فی کلمات السیّد الخوئی أنّ التعهّد إن کان ابتدائیّا،فهو الوضع التعیینی،و إن کان مسبوقا بکثرة الاستعمال فهو تعیّنی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کانت الکثرة علی حدّ موجب لدلالة اللفظ بنفسه علی المعنی فالتعهّد و عدمه سیّان،و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التعهّد لغوا؛لسببیّة کثرة الاستعمال من دون دخل للتعهّد،فالوضع التعیّنی علی القول بالتعهّد غیر مقبول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علی مسلک الاعتبار،فتقسیمه إلی التعیینی و التعیّنی غیر صحیح؛لأنّ حقیقة الوضع عبارة عن اعتبار الواضع،فلا جامع بین التعیینی و التعیّنی،بل التعیّنی یشترک مع التعیینی فی نتیجة الأمر؛إذ کما أنّ اعتبار الواضع یوجب الملازمة بین اللفظ و المعنی من حیث الانتقال من سماع اللفظ إلی المعنی،کذلک کثرة الاستعمال توجب استئناس أذهان أهل المحاورة بالانتقال من سماع اللفظ إلی المعنی،فلا حاجة إلی دعوی اعتبار أهل المحاورة علی حدّ اعتبار الواضع؛فإنّه لغو بعد حصول النتیجة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علی مسلک قرن الأکید،فقد ذکر الشهید الصدر أنّ التقسیم صحیح؛لأنّه کما أنّ القرن الأکید یحصل بعمل کیفیّ کوضع الواضع،کذلک یحصل بعمل کمّی؛و هو تکرار قرن اللفظ بالمعنی فی استعمالات کثیرة علی نحو یؤدی إلی قیام علاقة التلازم التصوّریة بینهما،و هی العلاقة الوضعیّة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446"/>
      </w:r>
      <w:r>
        <w:rPr>
          <w:rFonts w:ascii="IRNazanin" w:hAnsi="IRNazanin" w:eastAsia="IRNazanin"/>
          <w:color w:val="111111"/>
          <w:sz w:val="28"/>
          <w:sz w:val="28"/>
          <w:szCs w:val="28"/>
          <w:rtl w:val="true"/>
          <w:lang w:bidi="fa-IR"/>
        </w:rPr>
        <w:t>منّا فی بیان الإیرادات الواردة علی هذا المسلک أنّ القول بکون الارتباط بین اللفظ و المعنی إنّما حصل من القرن الأکید بینهما،مستلزم لکون الوضع تعیینیّا دائما،و لا مجال للوضع التعیّنی أصلا؛فإنّ إنشاء الواضع لا یکون موجبا للقرن الأکید أصلا و إن کان موجبا لأصل الاقتران الاعتباری،لکنّه لا یفید بنظر القائل بهذا المسلک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بناء علی مسلک العلامیّة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فالتقسیم صحیح؛لأنّه کما یمکن أن یکون وضع الواضع موجبا لاعتبار کون اللفظ علامة للمعنی،فکذلک کثرة الاستعمال موجبة لکونه علامة للمعنی و إن کانت مستغنیة عن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بناء علی مسلک جعل الملازمة الذی ذهب إلیه المحقّق العراقی </w:t>
      </w:r>
      <w:r>
        <w:rPr>
          <w:rStyle w:val="FootnoteAnchor"/>
          <w:rtl w:val="true"/>
        </w:rPr>
        <w:footnoteReference w:id="447"/>
      </w:r>
      <w:r>
        <w:rPr>
          <w:rFonts w:ascii="IRNazanin" w:hAnsi="IRNazanin" w:eastAsia="IRNazanin"/>
          <w:color w:val="111111"/>
          <w:sz w:val="28"/>
          <w:sz w:val="28"/>
          <w:szCs w:val="28"/>
          <w:rtl w:val="true"/>
          <w:lang w:bidi="fa-IR"/>
        </w:rPr>
        <w:t>فصحیح؛ لأنّها کما تحصل بجعل الجاعل،فکذلک تحصل بکثرة الاستعمال</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بناء علی ما ذهب إلیه المحقّق النائینی </w:t>
      </w:r>
      <w:r>
        <w:rPr>
          <w:rStyle w:val="FootnoteAnchor"/>
          <w:rtl w:val="true"/>
        </w:rPr>
        <w:footnoteReference w:id="448"/>
      </w:r>
      <w:r>
        <w:rPr>
          <w:rFonts w:ascii="IRNazanin" w:hAnsi="IRNazanin" w:eastAsia="IRNazanin"/>
          <w:color w:val="111111"/>
          <w:sz w:val="28"/>
          <w:sz w:val="28"/>
          <w:szCs w:val="28"/>
          <w:rtl w:val="true"/>
          <w:lang w:bidi="fa-IR"/>
        </w:rPr>
        <w:t>من کون الواضع هو اللّه تبارک و تعالی،فالأمر واضح من جهة اختصاص الوضع بالتعیینی،و عدم المجال للوضع التعیّنی</w:t>
      </w:r>
      <w:r>
        <w:rPr>
          <w:rFonts w:eastAsia="IRNazanin" w:cs="IRNazanin"/>
          <w:color w:val="111111"/>
          <w:sz w:val="28"/>
          <w:szCs w:val="28"/>
          <w:rtl w:val="true"/>
          <w:lang w:bidi="fa-IR"/>
        </w:rPr>
        <w:t>.</w:t>
      </w:r>
      <w:bookmarkStart w:id="273" w:name="pg5439_46807"/>
    </w:p>
    <w:p>
      <w:pPr>
        <w:pStyle w:val="Heading2"/>
        <w:numPr>
          <w:ilvl w:val="1"/>
          <w:numId w:val="1"/>
        </w:numPr>
        <w:rPr/>
      </w:pPr>
      <w:bookmarkStart w:id="274" w:name="__RefHeading___Toc1856036_581953129"/>
      <w:bookmarkStart w:id="275" w:name="_Toc103"/>
      <w:bookmarkEnd w:id="273"/>
      <w:bookmarkEnd w:id="274"/>
      <w:r>
        <w:rPr>
          <w:rtl w:val="true"/>
        </w:rPr>
        <w:t>رسالة فی شرطیّة الابتلاء فی منجّزیّة العلم الإجمالی</w:t>
      </w:r>
      <w:bookmarkEnd w:id="275"/>
    </w:p>
    <w:p>
      <w:pPr>
        <w:pStyle w:val="Heading3"/>
        <w:numPr>
          <w:ilvl w:val="2"/>
          <w:numId w:val="1"/>
        </w:numPr>
        <w:rPr/>
      </w:pPr>
      <w:bookmarkStart w:id="276" w:name="__RefHeading___Toc1856038_581953129"/>
      <w:bookmarkStart w:id="277" w:name="_Toc104"/>
      <w:bookmarkEnd w:id="276"/>
      <w:r>
        <w:rPr>
          <w:rtl w:val="true"/>
        </w:rPr>
        <w:t>اشارة</w:t>
      </w:r>
      <w:bookmarkEnd w:id="277"/>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ألّفت فی سنة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بمناسبة المؤتمر العالمی للشیخ مرتضی الأنصاری قدّس سرّه</w:t>
      </w:r>
      <w:bookmarkStart w:id="278" w:name="pg5439_46809"/>
    </w:p>
    <w:p>
      <w:pPr>
        <w:pStyle w:val="BookText"/>
        <w:rPr/>
      </w:pPr>
      <w:bookmarkEnd w:id="278"/>
      <w:r>
        <w:rPr>
          <w:rFonts w:ascii="Amiri" w:hAnsi="Amiri" w:eastAsia="Amiri" w:cs="Amiri"/>
          <w:color w:val="111111"/>
          <w:sz w:val="28"/>
          <w:sz w:val="28"/>
          <w:szCs w:val="28"/>
          <w:rtl w:val="true"/>
          <w:lang w:bidi="ar-SA"/>
        </w:rPr>
        <w:t>بِسْمِ اللّهِ الرَّحْمنِ الرَّحِیمِ موضوع البحث</w:t>
      </w:r>
      <w:r>
        <w:rPr>
          <w:rFonts w:eastAsia="Amiri" w:cs="Amiri" w:ascii="Amiri" w:hAnsi="Amiri"/>
          <w:color w:val="111111"/>
          <w:sz w:val="28"/>
          <w:szCs w:val="28"/>
          <w:rtl w:val="true"/>
          <w:lang w:bidi="ar-SA"/>
        </w:rPr>
        <w:t>:</w:t>
      </w:r>
    </w:p>
    <w:p>
      <w:pPr>
        <w:pStyle w:val="Heading3"/>
        <w:numPr>
          <w:ilvl w:val="2"/>
          <w:numId w:val="1"/>
        </w:numPr>
        <w:rPr/>
      </w:pPr>
      <w:bookmarkStart w:id="279" w:name="__RefHeading___Toc1856040_581953129"/>
      <w:bookmarkStart w:id="280" w:name="_Toc105"/>
      <w:bookmarkEnd w:id="279"/>
      <w:r>
        <w:rPr>
          <w:rtl w:val="true"/>
        </w:rPr>
        <w:t>ذهب المشهور إلی وجوب الموافقة القطعیّة فی العلم الإجمالی؛</w:t>
      </w:r>
      <w:bookmarkEnd w:id="280"/>
    </w:p>
    <w:p>
      <w:pPr>
        <w:pStyle w:val="BookText"/>
        <w:rPr/>
      </w:pPr>
      <w:r>
        <w:rPr>
          <w:rFonts w:ascii="IRNazanin" w:hAnsi="IRNazanin" w:eastAsia="IRNazanin"/>
          <w:color w:val="111111"/>
          <w:sz w:val="28"/>
          <w:sz w:val="28"/>
          <w:szCs w:val="28"/>
          <w:rtl w:val="true"/>
          <w:lang w:bidi="fa-IR"/>
        </w:rPr>
        <w:t xml:space="preserve">ذهب المشهور </w:t>
      </w:r>
      <w:r>
        <w:rPr>
          <w:rStyle w:val="FootnoteAnchor"/>
        </w:rPr>
        <w:footnoteReference w:id="449"/>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إلی وجوب الموافقة القطعیّة فی العلم الإجمالی؛</w:t>
      </w:r>
    </w:p>
    <w:p>
      <w:pPr>
        <w:pStyle w:val="BookText"/>
        <w:rPr/>
      </w:pPr>
      <w:r>
        <w:rPr>
          <w:rFonts w:ascii="IRNazanin" w:hAnsi="IRNazanin" w:eastAsia="IRNazanin"/>
          <w:color w:val="111111"/>
          <w:sz w:val="28"/>
          <w:sz w:val="28"/>
          <w:szCs w:val="28"/>
          <w:rtl w:val="true"/>
          <w:lang w:bidi="fa-IR"/>
        </w:rPr>
        <w:t xml:space="preserve">و هی تحصل بالاجتناب عن جمیع الأطراف،لکنّ الشیخ الأعظم الأنصاری قدّس سرّه </w:t>
      </w:r>
      <w:r>
        <w:rPr>
          <w:rStyle w:val="FootnoteAnchor"/>
          <w:rtl w:val="true"/>
        </w:rPr>
        <w:footnoteReference w:id="450"/>
      </w:r>
      <w:r>
        <w:rPr>
          <w:rFonts w:ascii="IRNazanin" w:hAnsi="IRNazanin" w:eastAsia="IRNazanin"/>
          <w:color w:val="111111"/>
          <w:sz w:val="28"/>
          <w:sz w:val="28"/>
          <w:szCs w:val="28"/>
          <w:rtl w:val="true"/>
          <w:lang w:bidi="fa-IR"/>
        </w:rPr>
        <w:t>قد اشترط فی منجّزیّة العلم الإجمالی کون التکلیف فعلیّا بالنسبة إلی جمیع الأطراف علی تقدیر کون الحرام کلّ واحد من الأطراف،و احترز بهذا الشرط عن امور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کان بعض الأطراف خارجا عن محلّ الابتلاء،فلا یجب الاجتناب عن الطرف الآخر الذی هو داخل فی محلّ الابتلاء</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شرطیّة الابتلاء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ممّا اخترعه الشیخ الأعظم،و لم یسبقه إلیه أحد قبله،کما صرّح به المحشّی التبریزی فی کتابه </w:t>
      </w:r>
      <w:r>
        <w:rPr>
          <w:rStyle w:val="FootnoteAnchor"/>
          <w:rtl w:val="true"/>
        </w:rPr>
        <w:footnoteReference w:id="451"/>
      </w:r>
      <w:r>
        <w:rPr>
          <w:rFonts w:ascii="IRNazanin" w:hAnsi="IRNazanin" w:eastAsia="IRNazanin"/>
          <w:color w:val="111111"/>
          <w:sz w:val="28"/>
          <w:sz w:val="28"/>
          <w:szCs w:val="28"/>
          <w:rtl w:val="true"/>
          <w:lang w:bidi="fa-IR"/>
        </w:rPr>
        <w:t>،و صرّح به أیضا المحقّق الأشتیانی،حیث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شرطیّة الابتلاء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نقف علی التصریح به فی کلماتهم،بل المترائی منها فی قصر شرائط التکلیف،و حصرها فی أربعة عدم</w:t>
      </w:r>
      <w:bookmarkStart w:id="281" w:name="pg5439_46810"/>
    </w:p>
    <w:p>
      <w:pPr>
        <w:pStyle w:val="BookText"/>
        <w:rPr/>
      </w:pPr>
      <w:bookmarkEnd w:id="281"/>
      <w:r>
        <w:rPr>
          <w:rFonts w:ascii="IRNazanin" w:hAnsi="IRNazanin" w:eastAsia="IRNazanin"/>
          <w:color w:val="111111"/>
          <w:sz w:val="28"/>
          <w:sz w:val="28"/>
          <w:szCs w:val="28"/>
          <w:rtl w:val="true"/>
          <w:lang w:bidi="fa-IR"/>
        </w:rPr>
        <w:t>اشتراطه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کان بعض مشایخنا کثیرا ما یطعن علی شیخنا الاستاذ بکونه منفردا فی تأسیس هذا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فی تأیید هذا المبنی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أنّه یجده المنصف المتأمّل المتتبّع؛ألا تری </w:t>
      </w:r>
      <w:r>
        <w:rPr>
          <w:rStyle w:val="FootnoteAnchor"/>
          <w:rtl w:val="true"/>
        </w:rPr>
        <w:footnoteReference w:id="452"/>
      </w:r>
      <w:r>
        <w:rPr>
          <w:rFonts w:ascii="IRNazanin" w:hAnsi="IRNazanin" w:eastAsia="IRNazanin"/>
          <w:color w:val="111111"/>
          <w:sz w:val="28"/>
          <w:sz w:val="28"/>
          <w:szCs w:val="28"/>
          <w:rtl w:val="true"/>
          <w:lang w:bidi="fa-IR"/>
        </w:rPr>
        <w:t xml:space="preserve">فتوی الفقیه بوجوب تعلّم مسائل الحیض و النفاس مثلا علی العامّی غیر المزوّج، و کذا بوجوب تعلّم مسائل الجهاد علی العوامّ و هکذا،مع أنّه لا یمتنع عقلا تحقّق الحاجة إلیه بالنسبة إلی هذه المسائل،حاشا ثمّ حاشا،مع أنّه یجب تعلّمها و استنباطها علی المستنبط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بعد هذا فینبغی لنا أن نبحث عن ذلک الأصل؛فإنّه أصل مهمّ ذو ثمرات متعدّدة فی کثیر من أبواب الفقه،و یترتّب علیه فوائد جلیلة،و باب واسع ینحلّ منه الإشکال عمّا علم من عدم وجوب الاجتناب عن الشبهة المحصورة فی مواقع علی حسب اعتقاد الشیخ </w:t>
      </w:r>
      <w:r>
        <w:rPr>
          <w:rStyle w:val="FootnoteAnchor"/>
          <w:rtl w:val="true"/>
        </w:rPr>
        <w:footnoteReference w:id="454"/>
      </w:r>
      <w:r>
        <w:rPr>
          <w:rFonts w:ascii="IRNazanin" w:hAnsi="IRNazanin" w:eastAsia="IRNazanin"/>
          <w:color w:val="111111"/>
          <w:sz w:val="28"/>
          <w:sz w:val="28"/>
          <w:szCs w:val="28"/>
          <w:rtl w:val="true"/>
          <w:lang w:bidi="fa-IR"/>
        </w:rPr>
        <w:t>فإنّ هنا أمثلة موجودة من باب الشبهة المحصورة مع عدم وجوب الاحتیاط،بل و جواز المخالفة القطعیّة فیها،فربما یتوهّم خروجها من حکم الشبهة المحصورة لدلیل خاصّ فی کلّ مورد مع انتفائه قطعا،مضافا إلی أنّ حرمة المخالفة القطعیّة و قبحها أمر عقلیّ لا یقبل التخصیص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هنا ذهب بعض </w:t>
      </w:r>
      <w:r>
        <w:rPr>
          <w:rStyle w:val="FootnoteAnchor"/>
          <w:rtl w:val="true"/>
        </w:rPr>
        <w:footnoteReference w:id="455"/>
      </w:r>
      <w:r>
        <w:rPr>
          <w:rFonts w:ascii="IRNazanin" w:hAnsi="IRNazanin" w:eastAsia="IRNazanin"/>
          <w:color w:val="111111"/>
          <w:sz w:val="28"/>
          <w:sz w:val="28"/>
          <w:szCs w:val="28"/>
          <w:rtl w:val="true"/>
          <w:lang w:bidi="fa-IR"/>
        </w:rPr>
        <w:t>إلی أنّ عدم وجوب الاحتیاط فی هذه الأمثلة دلیل علی البرائة فی الشبهة المحصورة،و لکنّ الشیخ قدّس سرّه اعتقد أنّ الطریق الصحیح لحلّ هذه الأمثلة ما ذهب إلیه من أنّه فی جمیع هذه الموارد یکون بعض الأطراف خارجا عن محلّ الابتلاء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إلیک</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2" w:name="__RefHeading___Toc1856042_581953129"/>
      <w:bookmarkStart w:id="283" w:name="_Toc106"/>
      <w:bookmarkEnd w:id="282"/>
      <w:r>
        <w:rPr>
          <w:rtl w:val="true"/>
        </w:rPr>
        <w:t>بعض الأمثلة التی ذکرها الشیخ و غیره</w:t>
      </w:r>
      <w:r>
        <w:rPr>
          <w:rtl w:val="true"/>
        </w:rPr>
        <w:t>:</w:t>
      </w:r>
      <w:bookmarkEnd w:id="283"/>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علم إجمالا بوقوع النجاسة فی إنائه،أو فی موضع من الأرض التی لا یبتلی بها المکلّف 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علم إجمالا بوقوع النجاسة فی ثوبه،أو ثوب غیره الذی لا یکون موردا لابتلائه؛فإنّ الثوبین من باب الشبهة المحصورة قطعا،مع عدم وجوب الاجتناب عن شیء منها،حتّی ثوب نفسه الذی هو طرف للعلم الإجمالی بالنجاسة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زوجة شخص لو شکّت فی أنّها هی المطلّقة،أو غیرها من ضرّاتها،لم یجب علیها الاحتیاط،و جاز لها ترتیب أحکام الزوجیّة علی نفسها، مع أنّ الشبهة محصورة،لکن غیرها من الضرّات خارجة عن محلّ ابتلائها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یجب علی الزوج الاجتناب عن الجمیع لو شکّ فی المطلّقة،و دار أمرها بین کلّ واحدة من زوجاته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المحقّق الآشتیانی فی حاشیته؛و هو وقوع طین السوق فی الشتاء،أو طین الطریق علی لباس الشخص أو بدنه مع حصول العلم الإجمالی بنجاسة بعض ما فیها علی وجه ینتهی إلی الشبهة المحصورة قطعا؛فإنّ محلّ ابتلاء المکلّف خصوص ما وقع فی لباسه،أو بدنه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الموجود فی أرض السوق و الطریق،فهو خارج عن محلّ ابتلائه،فلا مانع من الرجوع إلی أصالة الطهارة بالنسبة إلی ما وقع فی بدنه و لباسه؛فیجوز له الصلاة فی تلک الحال من دون إزالة الطین فضلا عن تطهیر البدن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أیضا؛و هو أنّه لو علم الزوج بحیض بعض زوجاته،مع عدم ابتلاء بعضهنّ به،کما إذا کانت غائبة عنه،و أراد الوقاع مع الحاضرة؛فإنّه یجوز له ذلک</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لو علم الزوج بارتداد بعض زوجاته مع غیبة بعضهنّ؛فإنّه یجوز</w:t>
      </w:r>
      <w:bookmarkStart w:id="284" w:name="pg5439_46812"/>
    </w:p>
    <w:p>
      <w:pPr>
        <w:pStyle w:val="BookText"/>
        <w:rPr/>
      </w:pPr>
      <w:bookmarkEnd w:id="284"/>
      <w:r>
        <w:rPr>
          <w:rFonts w:ascii="IRNazanin" w:hAnsi="IRNazanin" w:eastAsia="IRNazanin"/>
          <w:color w:val="111111"/>
          <w:sz w:val="28"/>
          <w:sz w:val="28"/>
          <w:szCs w:val="28"/>
          <w:rtl w:val="true"/>
          <w:lang w:bidi="fa-IR"/>
        </w:rPr>
        <w:t xml:space="preserve">إجراء الاستصحاب بالنسبة إلی الحاضرة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الأمثلة التی لم تذکر فی الکتب لکنّه یصحّ أن یکون مثالا للبحث،و هو مهمّ جدّا،أنّه إذا فرضنا فرضا بعیدا أنّ شخصا قد علم إجمالا بوقوع التحریف فی مجموع القرآن،فبما أنّ المتشابهات خارجة عن باب الاستدلال؛لعدم وجود الظاهر لها،صحّ التمسّک بالمحکمات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المتشابهات خارجة عن محلّ الابتلاء،فلذا یکون العلم الإجمالی منجّزا،فصحّ التمسّک بالمحکمات التی هی داخلة فی محلّ الابتلاء،إلی غیر ذلک من الأمثلة التی یجدها المتتبّع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وافق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هذا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المشهور من المتأخّرین عنه،منهم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المحقّق الخراسانی </w:t>
      </w:r>
      <w:r>
        <w:rPr>
          <w:rStyle w:val="FootnoteAnchor"/>
          <w:rtl w:val="true"/>
        </w:rPr>
        <w:footnoteReference w:id="457"/>
      </w:r>
      <w:r>
        <w:rPr>
          <w:rFonts w:ascii="IRNazanin" w:hAnsi="IRNazanin" w:eastAsia="IRNazanin"/>
          <w:color w:val="111111"/>
          <w:sz w:val="28"/>
          <w:sz w:val="28"/>
          <w:szCs w:val="28"/>
          <w:rtl w:val="true"/>
          <w:lang w:bidi="fa-IR"/>
        </w:rPr>
        <w:t xml:space="preserve">،و المحقّق النائینی </w:t>
      </w:r>
      <w:r>
        <w:rPr>
          <w:rStyle w:val="FootnoteAnchor"/>
          <w:rtl w:val="true"/>
        </w:rPr>
        <w:footnoteReference w:id="458"/>
      </w:r>
      <w:r>
        <w:rPr>
          <w:rFonts w:ascii="IRNazanin" w:hAnsi="IRNazanin" w:eastAsia="IRNazanin"/>
          <w:color w:val="111111"/>
          <w:sz w:val="28"/>
          <w:sz w:val="28"/>
          <w:szCs w:val="28"/>
          <w:rtl w:val="true"/>
          <w:lang w:bidi="fa-IR"/>
        </w:rPr>
        <w:t>،و خالفه جملة من المحقّقین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کالسیّد الإمام الخمینی </w:t>
      </w:r>
      <w:r>
        <w:rPr>
          <w:rStyle w:val="FootnoteAnchor"/>
          <w:rtl w:val="true"/>
        </w:rPr>
        <w:footnoteReference w:id="459"/>
      </w:r>
      <w:r>
        <w:rPr>
          <w:rFonts w:ascii="IRNazanin" w:hAnsi="IRNazanin" w:eastAsia="IRNazanin"/>
          <w:color w:val="111111"/>
          <w:sz w:val="28"/>
          <w:sz w:val="28"/>
          <w:szCs w:val="28"/>
          <w:rtl w:val="true"/>
          <w:lang w:bidi="fa-IR"/>
        </w:rPr>
        <w:t xml:space="preserve">،و السیّد المحقّق الخوئی رحمهم اللّه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5" w:name="__RefHeading___Toc1856044_581953129"/>
      <w:bookmarkStart w:id="286" w:name="_Toc107"/>
      <w:bookmarkEnd w:id="285"/>
      <w:r>
        <w:rPr>
          <w:rtl w:val="true"/>
        </w:rPr>
        <w:t>و قبل الورود فی البحث یجب التعرّض</w:t>
      </w:r>
      <w:bookmarkEnd w:id="286"/>
    </w:p>
    <w:p>
      <w:pPr>
        <w:pStyle w:val="BookText"/>
        <w:rPr/>
      </w:pPr>
      <w:r>
        <w:rPr>
          <w:rFonts w:ascii="IRNazanin" w:hAnsi="IRNazanin" w:eastAsia="IRNazanin"/>
          <w:color w:val="111111"/>
          <w:sz w:val="28"/>
          <w:sz w:val="28"/>
          <w:szCs w:val="28"/>
          <w:rtl w:val="true"/>
          <w:lang w:bidi="fa-IR"/>
        </w:rPr>
        <w:t>لامور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البحث لا ینحصر بمسألة العلم الإجمالی و الشبهة المحصورة و إن ذکره الشیخ فی هذا المجال؛لکن دائرته تشمل جمیع التکالیف، 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 البحث فی أنّه هل من شرائط تنجّز التکلیف ابتلاء المکلّف بمتعلّقه أم لا؟</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معنی الابتلاء و الخروج عن محلّ الابتلاء،فاعلم أنّه یظهر من بعض الکلمات أنّ المراد من الخروج هو خصوص عدم القدرة العادیة للمکلّف فقط؛کما یظهر من کلمات المحقّق النائینی فی الجواب عن النقض الذی أورد</w:t>
      </w:r>
    </w:p>
    <w:p>
      <w:pPr>
        <w:pStyle w:val="BookText"/>
        <w:rPr/>
      </w:pPr>
      <w:r>
        <w:rPr>
          <w:rFonts w:ascii="IRNazanin" w:hAnsi="IRNazanin" w:eastAsia="IRNazanin"/>
          <w:color w:val="111111"/>
          <w:sz w:val="28"/>
          <w:sz w:val="28"/>
          <w:szCs w:val="28"/>
          <w:rtl w:val="true"/>
          <w:lang w:bidi="fa-IR"/>
        </w:rPr>
        <w:t xml:space="preserve">علی الشیخ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یظهر من المحقّق الحائری </w:t>
      </w:r>
      <w:r>
        <w:rPr>
          <w:rStyle w:val="FootnoteAnchor"/>
          <w:rtl w:val="true"/>
        </w:rPr>
        <w:footnoteReference w:id="462"/>
      </w:r>
      <w:r>
        <w:rPr>
          <w:rFonts w:ascii="IRNazanin" w:hAnsi="IRNazanin" w:eastAsia="IRNazanin"/>
          <w:color w:val="111111"/>
          <w:sz w:val="28"/>
          <w:sz w:val="28"/>
          <w:szCs w:val="28"/>
          <w:rtl w:val="true"/>
          <w:lang w:bidi="fa-IR"/>
        </w:rPr>
        <w:t>أنّ المراد بالخروج أعمّ من أن یکون الفعل غیر مقدور للمکلّف عادة،کما إذا کان فی بعض البلاد البعیدة،أو کان مقدورا عادة،و لکن علی نحو یکون بعض الناس معرضا عنه عادة،و یکون دواعیهم مصروفة عنه کذلک،و المیزان استهجان العقلاء للخطاب المتعلّق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خلاصة کلامه ترجع إلی أنّ الابتلاء إمّا أن یکون شخصیّا،فمقابله أیضا شخصیّ،و إمّا أن یکون نوعیّا،فمقابله أیضا نوعیّ،و نتیجة هذا خروج الأفعال التی کانت منافرة للطبع عن محلّ الابتلاء،و یظهر هذا المعنی من عبارة الکفایة </w:t>
      </w:r>
      <w:r>
        <w:rPr>
          <w:rStyle w:val="FootnoteAnchor"/>
          <w:rtl w:val="true"/>
        </w:rPr>
        <w:footnoteReference w:id="463"/>
      </w:r>
      <w:r>
        <w:rPr>
          <w:rFonts w:ascii="IRNazanin" w:hAnsi="IRNazanin" w:eastAsia="IRNazanin"/>
          <w:color w:val="111111"/>
          <w:sz w:val="28"/>
          <w:sz w:val="28"/>
          <w:szCs w:val="28"/>
          <w:rtl w:val="true"/>
          <w:lang w:bidi="fa-IR"/>
        </w:rPr>
        <w:t>، و حاشیة الماتن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قد یظهر من کلام الشیخ الأعظم أنّ المراد خصوص عدم وجود القدرة العادیة؛سواء کان للمکلّف،أو لنوع الناس،و لا یشمل کلامه ما إذا کان الشیء منفورا عند الناس؛فإنّ الشیخ قد فرّع الخروج عن الابتلاء علی عدم تنجّز التکلیف،بینما أنّ تنجّز التکلیف فیما إذا کان الشیء منفورا منه عند الناس واضح، فحرمة کشف العورة منجّزة و إن کان منفورا منه عند جمیع الناس</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هنا معنی رابع یستفاد من صحیحة علیّ بن جعفر الآتیة </w:t>
      </w:r>
      <w:r>
        <w:rPr>
          <w:rStyle w:val="FootnoteAnchor"/>
          <w:rtl w:val="true"/>
        </w:rPr>
        <w:footnoteReference w:id="464"/>
      </w:r>
      <w:r>
        <w:rPr>
          <w:rFonts w:ascii="IRNazanin" w:hAnsi="IRNazanin" w:eastAsia="IRNazanin"/>
          <w:color w:val="111111"/>
          <w:sz w:val="28"/>
          <w:sz w:val="28"/>
          <w:szCs w:val="28"/>
          <w:rtl w:val="true"/>
          <w:lang w:bidi="fa-IR"/>
        </w:rPr>
        <w:t>،بناء علی التفسیر الذی ذکره الشیخ،و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الخروج عن محلّ الابتلاء لیس منحصرا بعدم وجود القدرة العادیة،بل یشمل عدم الاحتیاج إلیه،و عدم کونه موردا للحاجة فعلا، و الظاهر أنّ المحقّق الآشتیانی </w:t>
      </w:r>
      <w:r>
        <w:rPr>
          <w:rStyle w:val="FootnoteAnchor"/>
          <w:rtl w:val="true"/>
        </w:rPr>
        <w:footnoteReference w:id="465"/>
      </w:r>
      <w:r>
        <w:rPr>
          <w:rFonts w:ascii="IRNazanin" w:hAnsi="IRNazanin" w:eastAsia="IRNazanin"/>
          <w:color w:val="111111"/>
          <w:sz w:val="28"/>
          <w:sz w:val="28"/>
          <w:szCs w:val="28"/>
          <w:rtl w:val="true"/>
          <w:lang w:bidi="fa-IR"/>
        </w:rPr>
        <w:t>یمیل إلی هذا المعنی،کما یستفاد من أمثلته للمقام؛</w:t>
      </w:r>
    </w:p>
    <w:p>
      <w:pPr>
        <w:pStyle w:val="BookText"/>
        <w:rPr/>
      </w:pPr>
      <w:r>
        <w:rPr>
          <w:rFonts w:ascii="IRNazanin" w:hAnsi="IRNazanin" w:eastAsia="IRNazanin"/>
          <w:color w:val="111111"/>
          <w:sz w:val="28"/>
          <w:sz w:val="28"/>
          <w:szCs w:val="28"/>
          <w:rtl w:val="true"/>
          <w:lang w:bidi="fa-IR"/>
        </w:rPr>
        <w:t>فإنّه حکم بأنّ غیبة بعض الأزواج سبب للخروج عن محلّ الابتلاء مع وجود القدرة العادیة بالنسبة إلیه،فتدبّر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من جمیع ذلک أنّ لنا فروضا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الفرض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الشیء خارجا عن القدرة العادیة،و لا شکّ أنّه داخل فی محلّ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الفرض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کون الشیء داخلا تحت القدرة العادیة،و لکنّه لا یکون موردا للحاجة فعلا،کخارج الإناء الذی یستفاد من صحیحة علی بن جعفر </w:t>
      </w:r>
      <w:r>
        <w:rPr>
          <w:rStyle w:val="FootnoteAnchor"/>
          <w:rtl w:val="true"/>
        </w:rPr>
        <w:footnoteReference w:id="466"/>
      </w:r>
      <w:r>
        <w:rPr>
          <w:rFonts w:ascii="IRNazanin" w:hAnsi="IRNazanin" w:eastAsia="IRNazanin"/>
          <w:color w:val="111111"/>
          <w:sz w:val="28"/>
          <w:sz w:val="28"/>
          <w:szCs w:val="28"/>
          <w:rtl w:val="true"/>
          <w:lang w:bidi="fa-IR"/>
        </w:rPr>
        <w:t>لأنّه خارج عن محلّ الابتلاء بناء علی التفسیر الذی ذکره الشیخ،و الظاهر أنّ هذا المورد داخل فی محلّ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الفرض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الشیء داخلا تحت القدرة العادیة،و لکنّه ممّا ینفر الطبع عنه،و یعرض العقلاء عنه عادة؛و الظاهر أنّه لیس داخلا فی محلّ البحث؛ لاستلزامه عدم منجّزیّة أکثر النواهی،و هذا بعید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الخروج عن محلّ الابتلاء إذا کان قبل العلم الإجمالی، أو مقارنا للعلم الإجمالی،فهو مانع عن تنجّز العلم الإجمالی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إذا کان بعد العلم الإجمالی،فهو الاضطرار الطارئ لا یکون مانعا عن التنجّز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وقع البحث فی أنّ هذا المطلب هل یرتبط باشتراط الدخول فی محلّ الابتلاء فی حصّة التکلیف،أم لا یرتبط؟أی أنّنا لو قلنا بأنّ الدخول فی محلّ الابتلاء شرط فی صحّة التکلیف،لوجب أن نذهب إلی عدم منجّزیّة هذا العلم الإجمالی،و إن أنکرنا اشتراط الدخول،فیجب أن نعتقد بمنجّزیّة هذا العلم الإجمالی،کما هو مذهب السیّد المحقّق الخوئی قدّس سرّه</w:t>
      </w:r>
      <w:r>
        <w:rPr>
          <w:rFonts w:eastAsia="IRNazanin" w:cs="IRNazanin"/>
          <w:color w:val="111111"/>
          <w:sz w:val="28"/>
          <w:szCs w:val="28"/>
          <w:rtl w:val="true"/>
          <w:lang w:bidi="fa-IR"/>
        </w:rPr>
        <w:t xml:space="preserve">. </w:t>
      </w:r>
      <w:r>
        <w:rPr>
          <w:rStyle w:val="FootnoteAnchor"/>
          <w:rtl w:val="true"/>
        </w:rPr>
        <w:footnoteReference w:id="468"/>
      </w:r>
      <w:bookmarkStart w:id="287" w:name="pg5439_46815"/>
    </w:p>
    <w:p>
      <w:pPr>
        <w:pStyle w:val="BookText"/>
        <w:rPr/>
      </w:pPr>
      <w:bookmarkEnd w:id="287"/>
      <w:r>
        <w:rPr>
          <w:rFonts w:ascii="IRNazanin" w:hAnsi="IRNazanin" w:eastAsia="IRNazanin"/>
          <w:color w:val="111111"/>
          <w:sz w:val="28"/>
          <w:sz w:val="28"/>
          <w:szCs w:val="28"/>
          <w:rtl w:val="true"/>
          <w:lang w:bidi="fa-IR"/>
        </w:rPr>
        <w:t xml:space="preserve">و قد أنکر الشهید الصدر قدّس سرّه </w:t>
      </w:r>
      <w:r>
        <w:rPr>
          <w:rStyle w:val="FootnoteAnchor"/>
          <w:rtl w:val="true"/>
        </w:rPr>
        <w:footnoteReference w:id="469"/>
      </w:r>
      <w:r>
        <w:rPr>
          <w:rFonts w:ascii="IRNazanin" w:hAnsi="IRNazanin" w:eastAsia="IRNazanin"/>
          <w:color w:val="111111"/>
          <w:sz w:val="28"/>
          <w:sz w:val="28"/>
          <w:szCs w:val="28"/>
          <w:rtl w:val="true"/>
          <w:lang w:bidi="fa-IR"/>
        </w:rPr>
        <w:t>هذا الارتباط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منجّزیّة هذا العلم الإجمالی لا یرتبط بهذه المسألة أصلا،بل حتّی علی القول بفعلیّة التکلیف فی موارد الخروج عن محلّ الابتلاء لا یکون هذا العلم الإجمالی منجّزا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فی توضیح هذا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الدخول فی محلّ الابتلاء لا یمکن أن یکون دخیلا فی الملاک؛لأنّ هذا الوصف لا یمکن أن یکون محصّصا إلی حصّتین،حصّة داخلة فی محلّ الابتلاء، و حصّة خارجة؛إذ فرض وقوعه هو فرض دخوله فی محلّ الابتلاء،و الملاک محرز علی کلّ حال،و هو کاف فی التنجیز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أیضا،اشتراط الخطاب بهذا القید غیر صحیح؛لعدم وجود الاستهجان عند الخروج عن محلّ الابتلاء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قوله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منجّزیّة هذا العلم الإجمالی لا یرتبط بهذه المسألة أصلا،محلّ تأمّل؛فإنّ الملازمة فی جانب الإثبات ممّا لا یقبل الإنکار،فکلّ من قال بشرطیّة الدخول فی محلّ الابتلاء فی صحّة التکلیف؛یجب أن یقول بعدم منجّزیّة هذا العلم الإجمالی،و لعلّ مراده قدّس سرّه هذا و إن کانت العبارة تأبی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نفی الملازمة فی جانب النفی إنّما یصحّ بناء علی عدم جریان الأصل الترخیصی فی الشیء الخارج عن الابتلاء،و سنذکر لکم بطلانه فی الجواب عن الدلیل الثانی 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الدلیل الأوّل أنّ الخطاب،أو التکلیف و إن لم یکن ملاکه مقیّدا بهذا القید؛لرجوع الابتلاء إلی القدرة العادیة،و هی کالقدرة العقلیّة غیر دخیلة فی الملاک،إلاّ أنّ فعلیّة الخطاب و تنجّزه مشروط بهذا القید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بیان هذه الامور</w:t>
      </w:r>
    </w:p>
    <w:p>
      <w:pPr>
        <w:pStyle w:val="Heading3"/>
        <w:numPr>
          <w:ilvl w:val="2"/>
          <w:numId w:val="1"/>
        </w:numPr>
        <w:rPr/>
      </w:pPr>
      <w:bookmarkStart w:id="288" w:name="__RefHeading___Toc1856046_581953129"/>
      <w:bookmarkStart w:id="289" w:name="_Toc108"/>
      <w:bookmarkEnd w:id="288"/>
      <w:r>
        <w:rPr>
          <w:rtl w:val="true"/>
        </w:rPr>
        <w:t>یجب البحث فی مقامین</w:t>
      </w:r>
      <w:r>
        <w:rPr>
          <w:rtl w:val="true"/>
        </w:rPr>
        <w:t>:</w:t>
      </w:r>
      <w:bookmarkEnd w:id="289"/>
    </w:p>
    <w:p>
      <w:pPr>
        <w:pStyle w:val="Heading4"/>
        <w:numPr>
          <w:ilvl w:val="3"/>
          <w:numId w:val="1"/>
        </w:numPr>
        <w:rPr/>
      </w:pPr>
      <w:bookmarkStart w:id="290" w:name="__RefHeading___Toc1856048_581953129"/>
      <w:bookmarkStart w:id="291" w:name="_Toc109"/>
      <w:bookmarkEnd w:id="290"/>
      <w:r>
        <w:rPr>
          <w:rtl w:val="true"/>
        </w:rPr>
        <w:t>اشارة</w:t>
      </w:r>
      <w:bookmarkEnd w:id="291"/>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أنّه هل یکون الابتلاء و إمکانه شرطا فی التکلیف،أم لا؟</w:t>
      </w:r>
      <w:bookmarkStart w:id="292" w:name="pg5439_46816"/>
    </w:p>
    <w:p>
      <w:pPr>
        <w:pStyle w:val="BookText"/>
        <w:rPr/>
      </w:pPr>
      <w:bookmarkEnd w:id="292"/>
      <w:r>
        <w:rPr>
          <w:rFonts w:ascii="IRNazanin" w:hAnsi="IRNazanin" w:eastAsia="IRNazanin"/>
          <w:color w:val="111111"/>
          <w:sz w:val="28"/>
          <w:sz w:val="28"/>
          <w:szCs w:val="28"/>
          <w:rtl w:val="true"/>
          <w:lang w:bidi="fa-IR"/>
        </w:rPr>
        <w:t>و هل یکون شرطا فی ملاک التکلیف،أو یکون شرطا فی الخطاب فعلیّا، أو تنجّزا؟و بعد کونه شرطا فی أصل التکلیف،هل یکون أیضا من شرائط منجّزیّة العلم الإجمالی،أم لا؟</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أنّه بعد کونه شرطا،إذا شککنا فی أنّ الابتلاء هل دائرة مفهومه یشمل الشیء الفلانی،أم لا؟فما هو المرجع فی ذلک؟هل المرجع إطلاقات أدلّة المحرّمات الواقعیّة،کما ذهب إلیه الشیخ الأنصاری </w:t>
      </w:r>
      <w:r>
        <w:rPr>
          <w:rStyle w:val="FootnoteAnchor"/>
          <w:rtl w:val="true"/>
        </w:rPr>
        <w:footnoteReference w:id="470"/>
      </w:r>
      <w:r>
        <w:rPr>
          <w:rFonts w:ascii="IRNazanin" w:hAnsi="IRNazanin" w:eastAsia="IRNazanin"/>
          <w:color w:val="111111"/>
          <w:sz w:val="28"/>
          <w:sz w:val="28"/>
          <w:szCs w:val="28"/>
          <w:rtl w:val="true"/>
          <w:lang w:bidi="fa-IR"/>
        </w:rPr>
        <w:t xml:space="preserve">و إن تردّد فی آخر کلامه، أم المرجع أصالة البراءة عن الخطاب التنجیزی،کما ذهب إلیه المحقّق الخراسانی؟ </w:t>
      </w:r>
      <w:r>
        <w:rPr>
          <w:rStyle w:val="FootnoteAnchor"/>
          <w:rtl w:val="true"/>
        </w:rPr>
        <w:footnoteReference w:id="471"/>
      </w:r>
    </w:p>
    <w:p>
      <w:pPr>
        <w:pStyle w:val="Heading4"/>
        <w:numPr>
          <w:ilvl w:val="3"/>
          <w:numId w:val="1"/>
        </w:numPr>
        <w:rPr/>
      </w:pPr>
      <w:bookmarkStart w:id="293" w:name="__RefHeading___Toc1856050_581953129"/>
      <w:bookmarkStart w:id="294" w:name="_Toc110"/>
      <w:bookmarkEnd w:id="293"/>
      <w:r>
        <w:rPr>
          <w:rtl w:val="true"/>
        </w:rPr>
        <w:t>أمّا المقام الأوّل</w:t>
      </w:r>
      <w:r>
        <w:rPr>
          <w:rtl w:val="true"/>
        </w:rPr>
        <w:t>:</w:t>
      </w:r>
      <w:r>
        <w:rPr>
          <w:rtl w:val="true"/>
        </w:rPr>
        <w:t>فإنّه یستفاد من کلام الشیخ الأعظم</w:t>
      </w:r>
      <w:bookmarkEnd w:id="294"/>
    </w:p>
    <w:p>
      <w:pPr>
        <w:pStyle w:val="Heading5"/>
        <w:numPr>
          <w:ilvl w:val="4"/>
          <w:numId w:val="1"/>
        </w:numPr>
        <w:rPr/>
      </w:pPr>
      <w:bookmarkStart w:id="295" w:name="__RefHeading___Toc1856052_581953129"/>
      <w:bookmarkStart w:id="296" w:name="_Toc111"/>
      <w:bookmarkEnd w:id="295"/>
      <w:r>
        <w:rPr>
          <w:rtl w:val="true"/>
        </w:rPr>
        <w:t>اشارة</w:t>
      </w:r>
      <w:bookmarkEnd w:id="296"/>
    </w:p>
    <w:p>
      <w:pPr>
        <w:pStyle w:val="BookText"/>
        <w:rPr/>
      </w:pPr>
      <w:r>
        <w:rPr>
          <w:rFonts w:ascii="IRNazanin" w:hAnsi="IRNazanin" w:eastAsia="IRNazanin"/>
          <w:color w:val="111111"/>
          <w:sz w:val="28"/>
          <w:sz w:val="28"/>
          <w:szCs w:val="28"/>
          <w:rtl w:val="true"/>
          <w:lang w:bidi="fa-IR"/>
        </w:rPr>
        <w:t>أمّا المقام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فإنّه یستفاد من کلام الشیخ الأعظم </w:t>
      </w:r>
      <w:r>
        <w:rPr>
          <w:rStyle w:val="FootnoteAnchor"/>
        </w:rPr>
        <w:footnoteReference w:id="472"/>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أنّ الابتلاء من شرائط منجّزیّة العلم الإجمالی،کما أنّه من شرائط نفس التکلیف؛فإنّه ذهب إلی أنّ من شرائط منجّزیّة العلم الإجمالی أن یکون التکلیف فی کلّ من طرفیه فعلیّا، بحیث لو علمنا بالتحریم فی کلّ واحد من طرفیه لکان التکلیف ثابتا منجّزا، و احترز بهذا الشرط عن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بعض الأطراف خارجا عن محلّ الابتلاء،و کلامه قدّس سرّه و إن کان کلّیا شاملا لجمیع التکالیف أمرا و نهیا؛لکنّه یظهر من دلیله الأوّل الآتی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الدخول فی محلّ الابتلاء شرط لصحّة النهی،و سیأتی تفصیل ذلک فی تحلیل کلمات المحقّق النائینی</w:t>
      </w:r>
      <w:r>
        <w:rPr>
          <w:rFonts w:eastAsia="IRNazanin" w:cs="IRNazanin"/>
          <w:color w:val="111111"/>
          <w:sz w:val="28"/>
          <w:szCs w:val="28"/>
          <w:rtl w:val="true"/>
          <w:lang w:bidi="fa-IR"/>
        </w:rPr>
        <w:t>.</w:t>
      </w:r>
    </w:p>
    <w:p>
      <w:pPr>
        <w:pStyle w:val="Heading5"/>
        <w:numPr>
          <w:ilvl w:val="4"/>
          <w:numId w:val="1"/>
        </w:numPr>
        <w:rPr/>
      </w:pPr>
      <w:bookmarkStart w:id="297" w:name="__RefHeading___Toc1856054_581953129"/>
      <w:bookmarkStart w:id="298" w:name="_Toc112"/>
      <w:bookmarkEnd w:id="297"/>
      <w:r>
        <w:rPr>
          <w:rtl w:val="true"/>
        </w:rPr>
        <w:t>و استدلّ علی ذلک بأدلّة ثلاثة</w:t>
      </w:r>
      <w:r>
        <w:rPr>
          <w:rtl w:val="true"/>
        </w:rPr>
        <w:t>-</w:t>
      </w:r>
      <w:bookmarkEnd w:id="298"/>
    </w:p>
    <w:p>
      <w:pPr>
        <w:pStyle w:val="Heading6"/>
        <w:numPr>
          <w:ilvl w:val="5"/>
          <w:numId w:val="1"/>
        </w:numPr>
        <w:rPr/>
      </w:pPr>
      <w:bookmarkStart w:id="299" w:name="__RefHeading___Toc1856056_581953129"/>
      <w:bookmarkStart w:id="300" w:name="_Toc113"/>
      <w:bookmarkEnd w:id="299"/>
      <w:r>
        <w:rPr>
          <w:rtl w:val="true"/>
        </w:rPr>
        <w:t>اشارة</w:t>
      </w:r>
      <w:bookmarkEnd w:id="300"/>
    </w:p>
    <w:p>
      <w:pPr>
        <w:pStyle w:val="BookText"/>
        <w:rPr/>
      </w:pPr>
      <w:r>
        <w:rPr>
          <w:rFonts w:ascii="IRNazanin" w:hAnsi="IRNazanin" w:eastAsia="IRNazanin"/>
          <w:color w:val="111111"/>
          <w:sz w:val="28"/>
          <w:sz w:val="28"/>
          <w:szCs w:val="28"/>
          <w:rtl w:val="true"/>
          <w:lang w:bidi="fa-IR"/>
        </w:rPr>
        <w:t>علی ما یستفاد من مجموع کلماته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یختصّ بعضها بشرطیّة الابتلاء فی أصل التکلیف،و بعضها الآخر بمنجّزیّة العلم الإجمالی</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301" w:name="__RefHeading___Toc1856058_581953129"/>
      <w:bookmarkStart w:id="302" w:name="_Toc114"/>
      <w:bookmarkEnd w:id="301"/>
      <w:r>
        <w:rPr>
          <w:rtl w:val="true"/>
        </w:rPr>
        <w:t>الدلیل الأوّل</w:t>
      </w:r>
      <w:r>
        <w:rPr>
          <w:rtl w:val="true"/>
        </w:rPr>
        <w:t>:</w:t>
      </w:r>
      <w:r>
        <w:rPr>
          <w:rtl w:val="true"/>
        </w:rPr>
        <w:t>أنّ المقصود من النهی حمل المکلّف علی الترک،و هذا مختصّ</w:t>
      </w:r>
      <w:bookmarkStart w:id="303" w:name="pg5439_46817"/>
      <w:bookmarkEnd w:id="302"/>
    </w:p>
    <w:p>
      <w:pPr>
        <w:pStyle w:val="BookText"/>
        <w:rPr/>
      </w:pPr>
      <w:bookmarkEnd w:id="303"/>
      <w:r>
        <w:rPr>
          <w:rFonts w:ascii="IRNazanin" w:hAnsi="IRNazanin" w:eastAsia="IRNazanin"/>
          <w:color w:val="111111"/>
          <w:sz w:val="28"/>
          <w:sz w:val="28"/>
          <w:szCs w:val="28"/>
          <w:rtl w:val="true"/>
          <w:lang w:bidi="fa-IR"/>
        </w:rPr>
        <w:t>بمورد الابتلاء؛لأنّ فی مورد الخروج عن محلّ الابتلاء یکون الترک حاصلا بنفس عدم الابتلاء،و یصیر النهی عنه تحصیلا للحاصل</w:t>
      </w:r>
      <w:r>
        <w:rPr>
          <w:rFonts w:eastAsia="IRNazanin" w:cs="IRNazanin"/>
          <w:color w:val="111111"/>
          <w:sz w:val="28"/>
          <w:szCs w:val="28"/>
          <w:rtl w:val="true"/>
          <w:lang w:bidi="fa-IR"/>
        </w:rPr>
        <w:t>.</w:t>
      </w:r>
    </w:p>
    <w:p>
      <w:pPr>
        <w:pStyle w:val="Heading6"/>
        <w:numPr>
          <w:ilvl w:val="5"/>
          <w:numId w:val="1"/>
        </w:numPr>
        <w:rPr/>
      </w:pPr>
      <w:bookmarkStart w:id="304" w:name="__RefHeading___Toc1856060_581953129"/>
      <w:bookmarkStart w:id="305" w:name="_Toc115"/>
      <w:bookmarkEnd w:id="304"/>
      <w:r>
        <w:rPr>
          <w:rtl w:val="true"/>
        </w:rPr>
        <w:t>الدلیل الثانی</w:t>
      </w:r>
      <w:r>
        <w:rPr>
          <w:rtl w:val="true"/>
        </w:rPr>
        <w:t>:-</w:t>
      </w:r>
      <w:r>
        <w:rPr>
          <w:rtl w:val="true"/>
        </w:rPr>
        <w:t>و هو مختصّ بشرطیّة الابتلاء فی منجّزیّة العلم الإجمالی</w:t>
      </w:r>
      <w:r>
        <w:rPr>
          <w:rtl w:val="true"/>
        </w:rPr>
        <w:t>-</w:t>
      </w:r>
      <w:bookmarkEnd w:id="305"/>
    </w:p>
    <w:p>
      <w:pPr>
        <w:pStyle w:val="BookText"/>
        <w:rPr/>
      </w:pPr>
      <w:r>
        <w:rPr>
          <w:rFonts w:ascii="IRNazanin" w:hAnsi="IRNazanin" w:eastAsia="IRNazanin"/>
          <w:color w:val="111111"/>
          <w:sz w:val="28"/>
          <w:sz w:val="28"/>
          <w:szCs w:val="28"/>
          <w:rtl w:val="true"/>
          <w:lang w:bidi="fa-IR"/>
        </w:rPr>
        <w:t>أنّه لا یجری الأصل فی الشیء الخارج عن الابتلاء،و قد ذکر لهذا تقریبان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التقریب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ذکره الشیخ الأنصاری </w:t>
      </w:r>
      <w:r>
        <w:rPr>
          <w:rStyle w:val="FootnoteAnchor"/>
          <w:rtl w:val="true"/>
        </w:rPr>
        <w:footnoteReference w:id="473"/>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فی الموارد التی یکون جمیع الأطراف موردا للابتلاء یتحقّق التعارض بین الأصل الترخیصی الجاری فی طرف،مع الأصل الترخیصی الجاری فی الطرف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التعارض یجب الرجوع إلی التکلیف التحریمی الثابت،و یجب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فیما إذا کان بعض الأطراف خارجا عن محلّ الابتلاء یکون الأصل الجاری فی محلّ الابتلاء خالیا عن المعارض؛لعدم وجود الثمرة العملیّة لجریان الأصل فی المورد الخارج عن الابتلاء بالنسبة إلی المکلّف،فیکون الأصل لغوا فی مقام العمل،و لا یقع التعارض بینهما،و علی هذا یصحّ العمل بالأصل الترخیصی الموجود فی محلّ الابتلاء،و معنی هذا عدم منجّزیّة العلم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التقریب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ذکره الشهید الصدر </w:t>
      </w:r>
      <w:r>
        <w:rPr>
          <w:rStyle w:val="FootnoteAnchor"/>
          <w:rtl w:val="true"/>
        </w:rPr>
        <w:footnoteReference w:id="474"/>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الملاک فی جریان الأصل وجود التزاحم الحفظی بین الأغراض اللزومیّة؛و الأغراض الترخیصیّة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العرف و العقلاء لا یرون تزاحما إذا کان الشیء خارجا عن محلّ الابتلاء</w:t>
      </w:r>
      <w:r>
        <w:rPr>
          <w:rFonts w:eastAsia="IRNazanin" w:cs="IRNazanin"/>
          <w:color w:val="111111"/>
          <w:sz w:val="28"/>
          <w:szCs w:val="28"/>
          <w:rtl w:val="true"/>
          <w:lang w:bidi="fa-IR"/>
        </w:rPr>
        <w:t>.</w:t>
      </w:r>
    </w:p>
    <w:p>
      <w:pPr>
        <w:pStyle w:val="Heading6"/>
        <w:numPr>
          <w:ilvl w:val="5"/>
          <w:numId w:val="1"/>
        </w:numPr>
        <w:rPr/>
      </w:pPr>
      <w:bookmarkStart w:id="306" w:name="__RefHeading___Toc1856062_581953129"/>
      <w:bookmarkStart w:id="307" w:name="_Toc116"/>
      <w:bookmarkEnd w:id="306"/>
      <w:r>
        <w:rPr>
          <w:rtl w:val="true"/>
        </w:rPr>
        <w:t>الدلیل الثالث</w:t>
      </w:r>
      <w:r>
        <w:rPr>
          <w:rtl w:val="true"/>
        </w:rPr>
        <w:t>:</w:t>
      </w:r>
      <w:r>
        <w:rPr>
          <w:rtl w:val="true"/>
        </w:rPr>
        <w:t>استهجان الخطاب بترک ما هو خارج عن محلّ الابتلاء،</w:t>
      </w:r>
      <w:bookmarkEnd w:id="307"/>
    </w:p>
    <w:p>
      <w:pPr>
        <w:pStyle w:val="BookText"/>
        <w:rPr/>
      </w:pPr>
      <w:r>
        <w:rPr>
          <w:rFonts w:ascii="IRNazanin" w:hAnsi="IRNazanin" w:eastAsia="IRNazanin"/>
          <w:color w:val="111111"/>
          <w:sz w:val="28"/>
          <w:sz w:val="28"/>
          <w:szCs w:val="28"/>
          <w:rtl w:val="true"/>
          <w:lang w:bidi="fa-IR"/>
        </w:rPr>
        <w:t xml:space="preserve">و قد عبّر المحقّق العراقی </w:t>
      </w:r>
      <w:r>
        <w:rPr>
          <w:rStyle w:val="FootnoteAnchor"/>
          <w:rtl w:val="true"/>
        </w:rPr>
        <w:footnoteReference w:id="475"/>
      </w:r>
      <w:r>
        <w:rPr>
          <w:rFonts w:ascii="Amiri" w:hAnsi="Amiri" w:eastAsia="Amiri" w:cs="Amiri"/>
          <w:color w:val="111111"/>
          <w:sz w:val="28"/>
          <w:sz w:val="28"/>
          <w:szCs w:val="28"/>
          <w:rtl w:val="true"/>
          <w:lang w:bidi="ar-SA"/>
        </w:rPr>
        <w:t>بأنّ المکلّف أجنبیّ عن المتعلّق عرفا</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الشیخ الأنصاری قدّس سرّه </w:t>
      </w:r>
      <w:r>
        <w:rPr>
          <w:rStyle w:val="FootnoteAnchor"/>
          <w:rtl w:val="true"/>
        </w:rPr>
        <w:footnoteReference w:id="476"/>
      </w:r>
      <w:r>
        <w:rPr>
          <w:rFonts w:ascii="IRNazanin" w:hAnsi="IRNazanin" w:eastAsia="IRNazanin"/>
          <w:color w:val="111111"/>
          <w:sz w:val="28"/>
          <w:sz w:val="28"/>
          <w:szCs w:val="28"/>
          <w:rtl w:val="true"/>
          <w:lang w:bidi="fa-IR"/>
        </w:rPr>
        <w:t>أیّد مقصوده بما ورد فی صحیحة علی بن جعفر،</w:t>
      </w:r>
      <w:bookmarkStart w:id="308" w:name="pg5439_46818"/>
    </w:p>
    <w:p>
      <w:pPr>
        <w:pStyle w:val="BookText"/>
        <w:rPr/>
      </w:pPr>
      <w:bookmarkEnd w:id="308"/>
      <w:r>
        <w:rPr>
          <w:rFonts w:ascii="IRNazanin" w:hAnsi="IRNazanin" w:eastAsia="IRNazanin"/>
          <w:color w:val="111111"/>
          <w:sz w:val="28"/>
          <w:sz w:val="28"/>
          <w:szCs w:val="28"/>
          <w:rtl w:val="true"/>
          <w:lang w:bidi="fa-IR"/>
        </w:rPr>
        <w:t>عن أخیه علیه السّلام،الواردة فی من رعف فامتخط،فصار بعض ذلک الدم قطعا صغارا، فأصاب إناءه؛هل یصلح له الوضوء منه؟فقال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لم یکن شیئا یستبین فی الماء فلا بأس،و إن کان شیئا بیّنا فلا تتوضّأ منه إلخ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التأیید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ظاهر الإناء و باطنه من مصادیق الشبهة المحصورة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ذلک حکم الإمام علیه السّلام بعدم وجوب الاجتناب عن الإناء فی صورة عدم استبانة شیء فی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السرّ فی هذا الحکم أنّ خارج الإناء یکون خارجا عن محلّ الابتلاء</w:t>
      </w:r>
      <w:r>
        <w:rPr>
          <w:rFonts w:eastAsia="IRNazanin" w:cs="IRNazanin"/>
          <w:color w:val="111111"/>
          <w:sz w:val="28"/>
          <w:szCs w:val="28"/>
          <w:rtl w:val="true"/>
          <w:lang w:bidi="fa-IR"/>
        </w:rPr>
        <w:t>.</w:t>
      </w:r>
    </w:p>
    <w:p>
      <w:pPr>
        <w:pStyle w:val="Heading5"/>
        <w:numPr>
          <w:ilvl w:val="4"/>
          <w:numId w:val="1"/>
        </w:numPr>
        <w:rPr/>
      </w:pPr>
      <w:bookmarkStart w:id="309" w:name="__RefHeading___Toc1856064_581953129"/>
      <w:bookmarkStart w:id="310" w:name="_Toc117"/>
      <w:bookmarkEnd w:id="309"/>
      <w:r>
        <w:rPr>
          <w:rtl w:val="true"/>
        </w:rPr>
        <w:t>و استدلّ المحقّق النائینی بدلیل رابع،</w:t>
      </w:r>
      <w:bookmarkEnd w:id="310"/>
    </w:p>
    <w:p>
      <w:pPr>
        <w:pStyle w:val="BookText"/>
        <w:rPr/>
      </w:pP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النهی مشروط بوجود القدرة العادیة علی الترک زائدا علی القدرة العقلیّة،بخلاف الأمر؛فإنّه مشروط بالقدرة العقلیّة فقط؛و المراد من القدرة العادیة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تمکّن المکلّف عادة من نقض العدم،و فعل المنهیّ عنه</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وجهه استهجان التکلیف بترک ما لا یقدر عادة علی فعله؛لأنّ الترک حاصل بنفسه،بخلاف التکلیف بالفعل؛لأنّ الأمر بالفعل إنّما یکون لأجل اشتمال الفعل علی مصلحة لازمة الاستیفاء فی عالم التشریع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یقبح من المولی التکلیف بإیجاد ما اشتمل علی المصلحة بأیّ وجه أمکن؛و لو بتحصیل الأسباب البعیدة الخارجة عن القدرة العادیة و إن لم یأمر المولی تفضّلا،إلاّ أنّه أمر آخر غیر قبح التکلیف و استهجانه،فلا یتوقّف صحّة الأمر بالفعل علی أزید من التمکّن العقلی، بخلاف النهی عن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یصحّ مع عدم التمکّن العادی من إیجاد المنهیّ عنه؛فإنّ النهی مع عدم التمکّن قبیح </w:t>
      </w:r>
      <w:r>
        <w:rPr>
          <w:rStyle w:val="FootnoteAnchor"/>
          <w:rtl w:val="true"/>
        </w:rPr>
        <w:footnoteReference w:id="4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ملخّص کلامه</w:t>
      </w:r>
      <w:r>
        <w:rPr>
          <w:rFonts w:eastAsia="IRNazanin" w:cs="IRNazanin"/>
          <w:color w:val="111111"/>
          <w:sz w:val="28"/>
          <w:szCs w:val="28"/>
          <w:rtl w:val="true"/>
          <w:lang w:bidi="fa-IR"/>
        </w:rPr>
        <w:t>.</w:t>
      </w:r>
      <w:bookmarkStart w:id="311" w:name="pg5439_46819"/>
    </w:p>
    <w:p>
      <w:pPr>
        <w:pStyle w:val="BookText"/>
        <w:rPr/>
      </w:pPr>
      <w:bookmarkEnd w:id="311"/>
      <w:r>
        <w:rPr>
          <w:rFonts w:ascii="IRNazanin" w:hAnsi="IRNazanin" w:eastAsia="IRNazanin"/>
          <w:color w:val="111111"/>
          <w:sz w:val="28"/>
          <w:sz w:val="28"/>
          <w:szCs w:val="28"/>
          <w:rtl w:val="true"/>
          <w:lang w:bidi="fa-IR"/>
        </w:rPr>
        <w:t xml:space="preserve">و مع التأمّل یظهر أنّ روح هذا الکلام یرجع إلی ما أفاده الشیخ </w:t>
      </w:r>
      <w:r>
        <w:rPr>
          <w:rStyle w:val="FootnoteAnchor"/>
          <w:rtl w:val="true"/>
        </w:rPr>
        <w:footnoteReference w:id="479"/>
      </w:r>
      <w:r>
        <w:rPr>
          <w:rFonts w:ascii="IRNazanin" w:hAnsi="IRNazanin" w:eastAsia="IRNazanin"/>
          <w:color w:val="111111"/>
          <w:sz w:val="28"/>
          <w:sz w:val="28"/>
          <w:szCs w:val="28"/>
          <w:rtl w:val="true"/>
          <w:lang w:bidi="fa-IR"/>
        </w:rPr>
        <w:t>فی الدلیل الأوّل؛من أنّ النهی عن شیء خارج عن محلّ الابتلاء یکون تحصیلا للحاصل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أضاف شیئا آخر لم یصرّح به الشیخ و إن کان هو المستفاد من عبارته مع التأمّل؛و هو وجود الفرق بین الأمر و النهی؛فإنّ النهی مشروط بالقدرة العادیة دون الأمر الذی یکون مشروطا بالقدرة العقلیّة فقط</w:t>
      </w:r>
      <w:r>
        <w:rPr>
          <w:rFonts w:eastAsia="IRNazanin" w:cs="IRNazanin"/>
          <w:color w:val="111111"/>
          <w:sz w:val="28"/>
          <w:szCs w:val="28"/>
          <w:rtl w:val="true"/>
          <w:lang w:bidi="fa-IR"/>
        </w:rPr>
        <w:t>.</w:t>
      </w:r>
    </w:p>
    <w:p>
      <w:pPr>
        <w:pStyle w:val="Heading5"/>
        <w:numPr>
          <w:ilvl w:val="4"/>
          <w:numId w:val="1"/>
        </w:numPr>
        <w:rPr/>
      </w:pPr>
      <w:bookmarkStart w:id="312" w:name="__RefHeading___Toc1856066_581953129"/>
      <w:bookmarkStart w:id="313" w:name="_Toc118"/>
      <w:bookmarkEnd w:id="312"/>
      <w:r>
        <w:rPr>
          <w:rtl w:val="true"/>
        </w:rPr>
        <w:t>و أجاب الشهید الصدر عن الدلیل الأوّل بوجوه</w:t>
      </w:r>
      <w:r>
        <w:rPr>
          <w:rtl w:val="true"/>
        </w:rPr>
        <w:t>:</w:t>
      </w:r>
      <w:bookmarkEnd w:id="313"/>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النهی لا یکون تحصیلا للحاصل؛لوجود الفائدة له؛ و هی تمکّن المکلّف من التعبّد بترکه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تحصیل الحاصل عبارة عن تحصیل أمر فی طول حصوله، و هو المحال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نحن فیه لیس کذلک،و إنّما هو تحصیل فی عرض تحصیل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فالمکلّف یوجد له زاجران عن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 و الخروج عن الابتلاء، و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النهی المولوی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الفرق بین التحصیل التشریعی،و التحصیل التکوینی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مجعول بسبب الخطاب،بخلاف الثانی،و المراد من الخطاب هو الحصول التشریعی،بخلاف الحاصل الذی هو حصول تکوینیّ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الوجوه غیر تامّة فی نظری القاصر</w:t>
      </w:r>
      <w:r>
        <w:rPr>
          <w:rFonts w:eastAsia="IRNazanin" w:cs="IRNazanin"/>
          <w:color w:val="111111"/>
          <w:sz w:val="28"/>
          <w:szCs w:val="28"/>
          <w:rtl w:val="true"/>
          <w:lang w:bidi="fa-IR"/>
        </w:rPr>
        <w:t>.</w:t>
      </w:r>
    </w:p>
    <w:p>
      <w:pPr>
        <w:pStyle w:val="Heading5"/>
        <w:numPr>
          <w:ilvl w:val="4"/>
          <w:numId w:val="1"/>
        </w:numPr>
        <w:rPr/>
      </w:pPr>
      <w:bookmarkStart w:id="314" w:name="__RefHeading___Toc1856068_581953129"/>
      <w:bookmarkStart w:id="315" w:name="_Toc119"/>
      <w:bookmarkEnd w:id="314"/>
      <w:r>
        <w:rPr>
          <w:rtl w:val="true"/>
        </w:rPr>
        <w:t>جواب المؤلف عن الشهید الصدر</w:t>
      </w:r>
      <w:bookmarkEnd w:id="315"/>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فیمکن الجواب عنه حلاّ و نقضا؛فالجواب الحلّی أنّ معنی التعبّد هو الفعل أو الترک لأجل إطاعة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کمون معناه یوجد استناد الفعل أو الترک إلی المتعبّد؛و فیما إذا کان الترک حاصلا لا معنی للتعبّد بالترک، مضافا إلی أنّ المقصود من الفائدة المترتّبة علی نفس الترک فی نظر الشارع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قطع</w:t>
      </w:r>
      <w:bookmarkStart w:id="316" w:name="pg5439_46820"/>
    </w:p>
    <w:p>
      <w:pPr>
        <w:pStyle w:val="BookText"/>
        <w:rPr/>
      </w:pPr>
      <w:bookmarkEnd w:id="316"/>
      <w:r>
        <w:rPr>
          <w:rFonts w:ascii="IRNazanin" w:hAnsi="IRNazanin" w:eastAsia="IRNazanin"/>
          <w:color w:val="111111"/>
          <w:sz w:val="28"/>
          <w:sz w:val="28"/>
          <w:szCs w:val="28"/>
          <w:rtl w:val="true"/>
          <w:lang w:bidi="fa-IR"/>
        </w:rPr>
        <w:t>النظر عن التعبّد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الجواب النقضی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کان التعبّد بالترک کافیا فیما نحن فیه،لکان التعبّد بالفعل الموجود الحاصل کافیا فی صحّة الأمر به،مع وضوح فساده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الظاهر عدم الفرق فی بطلان تحصیل الحاصل بین کون التحصیل فی عرضه،أو فی طوله؛فإنّ تحصیل الشیء الذی هو حاصل محال؛ علی أنّه فیما نحن فیه یکون التحصیل فی طول وجود الحاصل؛فإنّ ترک الشیء غیر المتبلی به متحقّق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الوجه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التحصیل التشریعیّ یرجع إلی التعبّد،و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معنی للتعبّد بالترک الحاصل</w:t>
      </w:r>
      <w:r>
        <w:rPr>
          <w:rFonts w:eastAsia="IRNazanin" w:cs="IRNazanin"/>
          <w:color w:val="111111"/>
          <w:sz w:val="28"/>
          <w:szCs w:val="28"/>
          <w:rtl w:val="true"/>
          <w:lang w:bidi="fa-IR"/>
        </w:rPr>
        <w:t>.</w:t>
      </w:r>
    </w:p>
    <w:p>
      <w:pPr>
        <w:pStyle w:val="Heading5"/>
        <w:numPr>
          <w:ilvl w:val="4"/>
          <w:numId w:val="1"/>
        </w:numPr>
        <w:rPr/>
      </w:pPr>
      <w:bookmarkStart w:id="317" w:name="__RefHeading___Toc1856070_581953129"/>
      <w:bookmarkStart w:id="318" w:name="_Toc120"/>
      <w:bookmarkEnd w:id="317"/>
      <w:r>
        <w:rPr>
          <w:rtl w:val="true"/>
        </w:rPr>
        <w:t>و قد ینتقض الدلیل الأوّل بالموارد</w:t>
      </w:r>
      <w:bookmarkEnd w:id="318"/>
    </w:p>
    <w:p>
      <w:pPr>
        <w:pStyle w:val="BookText"/>
        <w:rPr/>
      </w:pPr>
      <w:r>
        <w:rPr>
          <w:rFonts w:ascii="IRNazanin" w:hAnsi="IRNazanin" w:eastAsia="IRNazanin"/>
          <w:color w:val="111111"/>
          <w:sz w:val="28"/>
          <w:sz w:val="28"/>
          <w:szCs w:val="28"/>
          <w:rtl w:val="true"/>
          <w:lang w:bidi="fa-IR"/>
        </w:rPr>
        <w:t>التی لا ینقدح الداعی للمکلّف إلی فعلها دائما أو غالبا؛کالعذرة،و کشف العورة بالنسبة إلی صاحب المروءة؛فإنّه بناء علی الدلیل الأوّل یلزم عدم صحّة النهی عنها؛لأنّ الترک حاصل مع قطع النظر عن النهی</w:t>
      </w:r>
      <w:r>
        <w:rPr>
          <w:rFonts w:eastAsia="IRNazanin" w:cs="IRNazanin"/>
          <w:color w:val="111111"/>
          <w:sz w:val="28"/>
          <w:szCs w:val="28"/>
          <w:rtl w:val="true"/>
          <w:lang w:bidi="fa-IR"/>
        </w:rPr>
        <w:t>.</w:t>
      </w:r>
    </w:p>
    <w:p>
      <w:pPr>
        <w:pStyle w:val="Heading5"/>
        <w:numPr>
          <w:ilvl w:val="4"/>
          <w:numId w:val="1"/>
        </w:numPr>
        <w:rPr/>
      </w:pPr>
      <w:bookmarkStart w:id="319" w:name="__RefHeading___Toc1856072_581953129"/>
      <w:bookmarkStart w:id="320" w:name="_Toc121"/>
      <w:bookmarkEnd w:id="319"/>
      <w:r>
        <w:rPr>
          <w:rtl w:val="true"/>
        </w:rPr>
        <w:t>و أجاب المحقّق النائینی؛بأنّ الفرق موجود</w:t>
      </w:r>
      <w:bookmarkEnd w:id="320"/>
    </w:p>
    <w:p>
      <w:pPr>
        <w:pStyle w:val="BookText"/>
        <w:rPr/>
      </w:pPr>
      <w:r>
        <w:rPr>
          <w:rFonts w:ascii="IRNazanin" w:hAnsi="IRNazanin" w:eastAsia="IRNazanin"/>
          <w:color w:val="111111"/>
          <w:sz w:val="28"/>
          <w:sz w:val="28"/>
          <w:szCs w:val="28"/>
          <w:rtl w:val="true"/>
          <w:lang w:bidi="fa-IR"/>
        </w:rPr>
        <w:t xml:space="preserve">بین عدم القدرة عادة علی الفعل، و بین عدم إرادة الفعل عادة،فالقدرة قید فی التکلیف،بخلاف الإرادة؛فإنّه لا یعقل تقیید التکلیف بصورة الإرادة،و فی هذه الموارد تکون القدرة موجودة؛لأنّ بقاء ترک کشف العورة مثلا مستند إلی المکلّف،و لا مانع من هذا النهی،بخلاف الخروج عن محلّ الابتلاء؛لأنّ بقاء الترک مستند إلی نفس الخروج،لا إلی إرادة المکلّف، فلا یصحّ الخطاب به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فتبیّن من جمیع ذلک أنّ الدلیل الأوّل تامّ لا یرد علیه شیء من الوجوه</w:t>
      </w:r>
      <w:bookmarkStart w:id="321" w:name="pg5439_46821"/>
    </w:p>
    <w:p>
      <w:pPr>
        <w:pStyle w:val="BookText"/>
        <w:rPr/>
      </w:pPr>
      <w:bookmarkEnd w:id="321"/>
      <w:r>
        <w:rPr>
          <w:rFonts w:ascii="IRNazanin" w:hAnsi="IRNazanin" w:eastAsia="IRNazanin"/>
          <w:color w:val="111111"/>
          <w:sz w:val="28"/>
          <w:sz w:val="28"/>
          <w:szCs w:val="28"/>
          <w:rtl w:val="true"/>
          <w:lang w:bidi="fa-IR"/>
        </w:rPr>
        <w:t>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p>
    <w:p>
      <w:pPr>
        <w:pStyle w:val="Heading5"/>
        <w:numPr>
          <w:ilvl w:val="4"/>
          <w:numId w:val="1"/>
        </w:numPr>
        <w:rPr/>
      </w:pPr>
      <w:bookmarkStart w:id="322" w:name="__RefHeading___Toc1856074_581953129"/>
      <w:bookmarkStart w:id="323" w:name="_Toc122"/>
      <w:bookmarkEnd w:id="322"/>
      <w:r>
        <w:rPr>
          <w:rtl w:val="true"/>
        </w:rPr>
        <w:t>هنا کلام للمحقّ الخراسانی إیرادا علی الشیخ الأعظم؛</w:t>
      </w:r>
      <w:bookmarkEnd w:id="323"/>
    </w:p>
    <w:p>
      <w:pPr>
        <w:pStyle w:val="BookText"/>
        <w:rPr/>
      </w:pPr>
      <w:r>
        <w:rPr>
          <w:rFonts w:ascii="IRNazanin" w:hAnsi="IRNazanin" w:eastAsia="IRNazanin"/>
          <w:color w:val="111111"/>
          <w:sz w:val="28"/>
          <w:sz w:val="28"/>
          <w:szCs w:val="28"/>
          <w:rtl w:val="true"/>
          <w:lang w:bidi="fa-IR"/>
        </w:rPr>
        <w:t xml:space="preserve">هنا کلام للمحقّ الخراسانی </w:t>
      </w:r>
      <w:r>
        <w:rPr>
          <w:rStyle w:val="FootnoteAnchor"/>
        </w:rPr>
        <w:footnoteReference w:id="482"/>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إیرادا علی الشیخ الأعظم؛</w:t>
      </w:r>
    </w:p>
    <w:p>
      <w:pPr>
        <w:pStyle w:val="BookText"/>
        <w:rPr/>
      </w:pP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لماذا ذهبتم إلی وجود الفرق بین النهی و الأمر؟</w:t>
      </w:r>
    </w:p>
    <w:p>
      <w:pPr>
        <w:pStyle w:val="BookText"/>
        <w:rPr/>
      </w:pPr>
      <w:r>
        <w:rPr>
          <w:rFonts w:ascii="IRNazanin" w:hAnsi="IRNazanin" w:eastAsia="IRNazanin"/>
          <w:color w:val="111111"/>
          <w:sz w:val="28"/>
          <w:sz w:val="28"/>
          <w:szCs w:val="28"/>
          <w:rtl w:val="true"/>
          <w:lang w:bidi="fa-IR"/>
        </w:rPr>
        <w:t>فکما أنّ القدرة العادیة معتبرة فی الفعل بالنسبة إلی النواهی،فکذلک هی معتبرة فی الترک بالنسبة إلی الأوامر؛لوحدة الملاک؛فإذا کان المعلوم بالعلم الإجمالی مردّدا بین ما لا یتمکّن المکلّف من ترکه،و بین غیره،لم یکن هذا العلم الإجمالی منجّزا</w:t>
      </w:r>
      <w:r>
        <w:rPr>
          <w:rFonts w:eastAsia="IRNazanin" w:cs="IRNazanin"/>
          <w:color w:val="111111"/>
          <w:sz w:val="28"/>
          <w:szCs w:val="28"/>
          <w:rtl w:val="true"/>
          <w:lang w:bidi="fa-IR"/>
        </w:rPr>
        <w:t>.</w:t>
      </w:r>
    </w:p>
    <w:p>
      <w:pPr>
        <w:pStyle w:val="Heading5"/>
        <w:numPr>
          <w:ilvl w:val="4"/>
          <w:numId w:val="1"/>
        </w:numPr>
        <w:rPr/>
      </w:pPr>
      <w:bookmarkStart w:id="324" w:name="__RefHeading___Toc1856076_581953129"/>
      <w:bookmarkStart w:id="325" w:name="_Toc123"/>
      <w:bookmarkEnd w:id="324"/>
      <w:r>
        <w:rPr>
          <w:rtl w:val="true"/>
        </w:rPr>
        <w:t>و أجاب عنه المحقّق النائینی؛بأنّ المطلوب فی باب النواهی مجرّد الترک</w:t>
      </w:r>
      <w:bookmarkEnd w:id="325"/>
    </w:p>
    <w:p>
      <w:pPr>
        <w:pStyle w:val="BookText"/>
        <w:rPr/>
      </w:pPr>
      <w:r>
        <w:rPr>
          <w:rFonts w:ascii="IRNazanin" w:hAnsi="IRNazanin" w:eastAsia="IRNazanin"/>
          <w:color w:val="111111"/>
          <w:sz w:val="28"/>
          <w:sz w:val="28"/>
          <w:szCs w:val="28"/>
          <w:rtl w:val="true"/>
          <w:lang w:bidi="fa-IR"/>
        </w:rPr>
        <w:t xml:space="preserve">و استمرار العدم،و فی صورة عدم الابتلاء یکون الترک حاصلا،فالخطاب لغو،بل تحصیل للحاصل،بخلاف الأوامر؛فإنّ المطلوب فیها إیجاد المصلحة الموجودة فی الفعل بأیّ وجه أمکن،و لو بأسباب بعیدة خارجة عن القدرة العادیة،و لیس هذا التکلیف مستهجنا عند العقلاء،و لا طلبا للحاصل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هذا الجواب نظر؛لأنّ المحقّق الخراسانی لا یدّعی شرطیّة القدرة العادیة فی الفعل بالنسبة إلی الواجبات؛بل یدّعی شرطیّتها فی الترک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القدرة العادیة علی الفعل معتبرة فی النهی،فاللازم اعتبار القدرة العادیة علی الترک فی الأمر،و الظاهر تمامیّة إیراد الخراسانی قدّس سرّه علی الشیخ الأعظم،فظهر عدم وجود الفرق بین الأمر و النهی من هذه الجهة</w:t>
      </w:r>
      <w:r>
        <w:rPr>
          <w:rFonts w:eastAsia="IRNazanin" w:cs="IRNazanin"/>
          <w:color w:val="111111"/>
          <w:sz w:val="28"/>
          <w:szCs w:val="28"/>
          <w:rtl w:val="true"/>
          <w:lang w:bidi="fa-IR"/>
        </w:rPr>
        <w:t>.</w:t>
      </w:r>
    </w:p>
    <w:p>
      <w:pPr>
        <w:pStyle w:val="Heading5"/>
        <w:numPr>
          <w:ilvl w:val="4"/>
          <w:numId w:val="1"/>
        </w:numPr>
        <w:rPr/>
      </w:pPr>
      <w:bookmarkStart w:id="326" w:name="__RefHeading___Toc1856078_581953129"/>
      <w:bookmarkStart w:id="327" w:name="_Toc124"/>
      <w:bookmarkEnd w:id="326"/>
      <w:r>
        <w:rPr>
          <w:rtl w:val="true"/>
        </w:rPr>
        <w:t>ثمّ إنّ المحقّق العراقی قد ناقش فیما أفاده المحقّق النائینی</w:t>
      </w:r>
      <w:bookmarkEnd w:id="327"/>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أنّ ملاک الاستهجان لیس اعتبار القدرة العادیة علی الفعل فی باب النواهی حتّی یقال بوجود الفرق بین الأمر و النهی؛بل الملاک فی الاستهجان کون المکلّف أجنبیّا عن المتعلّق،بحیث یری</w:t>
      </w:r>
      <w:bookmarkStart w:id="328" w:name="pg5439_46822"/>
    </w:p>
    <w:p>
      <w:pPr>
        <w:pStyle w:val="BookText"/>
        <w:rPr/>
      </w:pPr>
      <w:bookmarkEnd w:id="328"/>
      <w:r>
        <w:rPr>
          <w:rFonts w:ascii="IRNazanin" w:hAnsi="IRNazanin" w:eastAsia="IRNazanin"/>
          <w:color w:val="111111"/>
          <w:sz w:val="28"/>
          <w:sz w:val="28"/>
          <w:szCs w:val="28"/>
          <w:rtl w:val="true"/>
          <w:lang w:bidi="fa-IR"/>
        </w:rPr>
        <w:t xml:space="preserve">العرف مثل هذا الشخص أجنبیّا عن الفعل،من دون فرق بین الأمر و النهی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قلنا قبل أسطر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مع صحّة الملاک الذی ذهب إلیه النائینی،لا فرق بین الأمر و النهی،و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ملازمة بین صحّة هذا الملاک،و بین وجود الفرق بین الأمر و النهی،علی أنّ لنا سؤالا من المحقّق العراقی؛و هو أنّه ما هو الملاک فی کون المکلّف أجنبیّا؟فلیس له بدّ إلاّ الرجوع إلی ما ذهب إلیه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قلنا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هذا الملاک مستفاد من کلام الشیخ الأعظم،فراجع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کلّه بالنسبة إلی الدلیل الأوّل</w:t>
      </w:r>
      <w:r>
        <w:rPr>
          <w:rFonts w:eastAsia="IRNazanin" w:cs="IRNazanin"/>
          <w:color w:val="111111"/>
          <w:sz w:val="28"/>
          <w:szCs w:val="28"/>
          <w:rtl w:val="true"/>
          <w:lang w:bidi="fa-IR"/>
        </w:rPr>
        <w:t>.</w:t>
      </w:r>
    </w:p>
    <w:p>
      <w:pPr>
        <w:pStyle w:val="Heading5"/>
        <w:numPr>
          <w:ilvl w:val="4"/>
          <w:numId w:val="1"/>
        </w:numPr>
        <w:rPr/>
      </w:pPr>
      <w:bookmarkStart w:id="329" w:name="__RefHeading___Toc1856080_581953129"/>
      <w:bookmarkStart w:id="330" w:name="_Toc125"/>
      <w:bookmarkEnd w:id="329"/>
      <w:r>
        <w:rPr>
          <w:rtl w:val="true"/>
        </w:rPr>
        <w:t>و أمّا الدلیل الثانی</w:t>
      </w:r>
      <w:r>
        <w:rPr>
          <w:rtl w:val="true"/>
        </w:rPr>
        <w:t>:</w:t>
      </w:r>
      <w:r>
        <w:rPr>
          <w:rtl w:val="true"/>
        </w:rPr>
        <w:t>فالظاهر أنّه غیر تامّ بکلا تقریبیه؛</w:t>
      </w:r>
      <w:bookmarkEnd w:id="330"/>
    </w:p>
    <w:p>
      <w:pPr>
        <w:pStyle w:val="BookText"/>
        <w:rPr/>
      </w:pPr>
      <w:r>
        <w:rPr>
          <w:rFonts w:ascii="IRNazanin" w:hAnsi="IRNazanin" w:eastAsia="IRNazanin"/>
          <w:color w:val="111111"/>
          <w:sz w:val="28"/>
          <w:sz w:val="28"/>
          <w:szCs w:val="28"/>
          <w:rtl w:val="true"/>
          <w:lang w:bidi="fa-IR"/>
        </w:rPr>
        <w:t>لأنّه عین محلّ الخلاف؛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الخلاف واقع فی أنّ التکالیف الواقعیّة هل هی مشروطة بابتلاء المکلّف بمتعلّقاتها،أم لا؟فکذلک یجری الخلاف فی أنّ الأحکام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الاصول العملیّة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هی مشروطة بابتلاء المکلّف،أم لا؟فلا یصحّ القول الجزمی بعدم جریان الأصل فیما إذا لم یکن الشیء موردا للابتلاء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الغایة من جریان الاصول العملیّة رفع التحیّر للمکلّف فی مقام العمل،و لا معنی لرفع التحیّر فی الشیء الذی لا یکون موردا للابتلاء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رفع التحیّر إنّما یکون فی مقابل الحکم الواقعی؛بمعنی أنّ الاصول العملیّة لا تعطی حکما واقعیّا،و إنّما هی رافعة للتحیّر فی مقام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الابتلاء، فلا یکون شرطا،فربما یجری الأصل العملی فی الشیء الذی لا یکون موردا للحاجة،فإذا شککنا فی طهارة ثوب،فأصالة الطهارة تجری و إن لم یکن الثوب موردا للحاجة فعلا</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ذکره الشهید الصدر؛من أنّ أدلّة الاصول العملیّة لا تجری فی التکلیف</w:t>
      </w:r>
      <w:bookmarkStart w:id="331" w:name="pg5439_46823"/>
    </w:p>
    <w:p>
      <w:pPr>
        <w:pStyle w:val="BookText"/>
        <w:rPr/>
      </w:pPr>
      <w:bookmarkEnd w:id="331"/>
      <w:r>
        <w:rPr>
          <w:rFonts w:ascii="IRNazanin" w:hAnsi="IRNazanin" w:eastAsia="IRNazanin"/>
          <w:color w:val="111111"/>
          <w:sz w:val="28"/>
          <w:sz w:val="28"/>
          <w:szCs w:val="28"/>
          <w:rtl w:val="true"/>
          <w:lang w:bidi="fa-IR"/>
        </w:rPr>
        <w:t xml:space="preserve">المحتمل فی الطرف الخارج عن محلّ الابتلاء </w:t>
      </w:r>
      <w:r>
        <w:rPr>
          <w:rStyle w:val="FootnoteAnchor"/>
          <w:rtl w:val="true"/>
        </w:rPr>
        <w:footnoteReference w:id="486"/>
      </w:r>
      <w:r>
        <w:rPr>
          <w:rFonts w:ascii="IRNazanin" w:hAnsi="IRNazanin" w:eastAsia="IRNazanin"/>
          <w:color w:val="111111"/>
          <w:sz w:val="28"/>
          <w:sz w:val="28"/>
          <w:szCs w:val="28"/>
          <w:rtl w:val="true"/>
          <w:lang w:bidi="fa-IR"/>
        </w:rPr>
        <w:t>،محلّ إشکال،بل منع؛فإنّ 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شیء طاهر</w:t>
      </w:r>
      <w:r>
        <w:rPr>
          <w:rFonts w:eastAsia="Amiri" w:cs="Amiri" w:ascii="Amiri" w:hAnsi="Amiri"/>
          <w:color w:val="111111"/>
          <w:sz w:val="28"/>
          <w:szCs w:val="28"/>
          <w:rtl w:val="true"/>
          <w:lang w:bidi="ar-SA"/>
        </w:rPr>
        <w:t xml:space="preserve">...» </w:t>
      </w:r>
      <w:r>
        <w:rPr>
          <w:rStyle w:val="FootnoteAnchor"/>
          <w:rtl w:val="true"/>
        </w:rPr>
        <w:footnoteReference w:id="487"/>
      </w:r>
      <w:r>
        <w:rPr>
          <w:rFonts w:ascii="IRNazanin" w:hAnsi="IRNazanin" w:eastAsia="IRNazanin"/>
          <w:color w:val="111111"/>
          <w:sz w:val="28"/>
          <w:sz w:val="28"/>
          <w:szCs w:val="28"/>
          <w:rtl w:val="true"/>
          <w:lang w:bidi="fa-IR"/>
        </w:rPr>
        <w:t>شامل للشیء الذی هو مورد للابتلاء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ذکره أیضا من أنّ الأصل الترخیصی تعیین للموقف العملی تجاه التزاحم بین الأغراض اللزومیّة و الترخیصیّة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العقلاء لا یرون تزاحما من هذا القبیل بالنسبة إلی الطرف الخارجی عن محلّ الابتلاء </w:t>
      </w:r>
      <w:r>
        <w:rPr>
          <w:rStyle w:val="FootnoteAnchor"/>
          <w:rtl w:val="true"/>
        </w:rPr>
        <w:footnoteReference w:id="4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تامّ؛لأنّ هذا التزاحم هو التزاحم الملاکی، و هو موجود فی الواقع حتّی فی الشیء الخارج عن الابتلاء؛فإنّه لا أقلّ داخل فی دائرة العلم الإجمالی،و لیس معدوما محضا</w:t>
      </w:r>
      <w:r>
        <w:rPr>
          <w:rFonts w:eastAsia="IRNazanin" w:cs="IRNazanin"/>
          <w:color w:val="111111"/>
          <w:sz w:val="28"/>
          <w:szCs w:val="28"/>
          <w:rtl w:val="true"/>
          <w:lang w:bidi="fa-IR"/>
        </w:rPr>
        <w:t>.</w:t>
      </w:r>
    </w:p>
    <w:p>
      <w:pPr>
        <w:pStyle w:val="Heading5"/>
        <w:numPr>
          <w:ilvl w:val="4"/>
          <w:numId w:val="1"/>
        </w:numPr>
        <w:rPr/>
      </w:pPr>
      <w:bookmarkStart w:id="332" w:name="__RefHeading___Toc1856082_581953129"/>
      <w:bookmarkStart w:id="333" w:name="_Toc126"/>
      <w:bookmarkEnd w:id="332"/>
      <w:r>
        <w:rPr>
          <w:rtl w:val="true"/>
        </w:rPr>
        <w:t>و أمّا الدلیل الثالث</w:t>
      </w:r>
      <w:r>
        <w:rPr>
          <w:rtl w:val="true"/>
        </w:rPr>
        <w:t>:</w:t>
      </w:r>
      <w:r>
        <w:rPr>
          <w:rtl w:val="true"/>
        </w:rPr>
        <w:t>فالاستهجان مبنیّ علی انحلال</w:t>
      </w:r>
      <w:bookmarkEnd w:id="333"/>
    </w:p>
    <w:p>
      <w:pPr>
        <w:pStyle w:val="BookText"/>
        <w:rPr/>
      </w:pPr>
      <w:r>
        <w:rPr>
          <w:rFonts w:ascii="IRNazanin" w:hAnsi="IRNazanin" w:eastAsia="IRNazanin"/>
          <w:color w:val="111111"/>
          <w:sz w:val="28"/>
          <w:sz w:val="28"/>
          <w:szCs w:val="28"/>
          <w:rtl w:val="true"/>
          <w:lang w:bidi="fa-IR"/>
        </w:rPr>
        <w:t xml:space="preserve">الخطاب إلی خطابات متعدّدة بتعدّد الأفراد و المکلّفین،کما ذهب إلیه المشهور </w:t>
      </w:r>
      <w:r>
        <w:rPr>
          <w:rStyle w:val="FootnoteAnchor"/>
          <w:rtl w:val="true"/>
        </w:rPr>
        <w:footnoteReference w:id="489"/>
      </w:r>
      <w:r>
        <w:rPr>
          <w:rFonts w:ascii="IRNazanin" w:hAnsi="IRNazanin" w:eastAsia="IRNazanin"/>
          <w:color w:val="111111"/>
          <w:sz w:val="28"/>
          <w:sz w:val="28"/>
          <w:szCs w:val="28"/>
          <w:rtl w:val="true"/>
          <w:lang w:bidi="fa-IR"/>
        </w:rPr>
        <w:t>،و أیضا مبنیّ علی کون الابتلاء شخصیّا؛بمعنی أنّه لو لم یکن الشیء موردا لابتلاء شخص،و کان الخطاب منحلاّ إلی خطابات متعدّدة لکان مستهجنا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بناء علی عدم الانحلال و کون الخطاب واحدا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کان المخاطب متعدّدا کما ذهب إلیه الإمام الخمینی قدّس سرّه </w:t>
      </w:r>
      <w:r>
        <w:rPr>
          <w:rStyle w:val="FootnoteAnchor"/>
          <w:rtl w:val="true"/>
        </w:rPr>
        <w:footnoteReference w:id="4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استهجان فی الخطاب،إلاّ أن یکون عدم الابتلاء نوعیّا،ففی هذه الصورة یکون الخطاب مستهجنا؛لعدم ابتلاء نوع الناس إلیه</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الاستشهاد بالصحیحة غیر جیّد؛لأنّها خارجة عن باب العلم الإجمالی و الشبهة المحصورة؛فإنّ السائل قد علم تفصیلا أنّ الدم قد أصاب الإناء،و لا یعلم أنّه مع ذلک هل أصاب الماء،أم لا؟فالإصابة بالنسبة إلی الإناء قطعیّ تفصیلا،</w:t>
      </w:r>
      <w:bookmarkStart w:id="334" w:name="pg5439_46824"/>
    </w:p>
    <w:p>
      <w:pPr>
        <w:pStyle w:val="BookText"/>
        <w:rPr/>
      </w:pPr>
      <w:bookmarkEnd w:id="334"/>
      <w:r>
        <w:rPr>
          <w:rFonts w:ascii="IRNazanin" w:hAnsi="IRNazanin" w:eastAsia="IRNazanin"/>
          <w:color w:val="111111"/>
          <w:sz w:val="28"/>
          <w:sz w:val="28"/>
          <w:szCs w:val="28"/>
          <w:rtl w:val="true"/>
          <w:lang w:bidi="fa-IR"/>
        </w:rPr>
        <w:t>و بالنسبة إلی الماء مشکوک بالشک البدوی،فیصحّ الوضوء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إلی هذا المعنی ذهب الشیخ الحرّ العاملی صاحب الوسائل </w:t>
      </w:r>
      <w:r>
        <w:rPr>
          <w:rStyle w:val="FootnoteAnchor"/>
          <w:rtl w:val="true"/>
        </w:rPr>
        <w:footnoteReference w:id="4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بهذا البیان بطل أیضا ما ذکره الشیخ الطوسی؛من عدم انفعال الماء بالأجزاء غیر المستبانة من الدم </w:t>
      </w:r>
      <w:r>
        <w:rPr>
          <w:rStyle w:val="FootnoteAnchor"/>
          <w:rtl w:val="true"/>
        </w:rPr>
        <w:footnoteReference w:id="492"/>
      </w:r>
      <w:r>
        <w:rPr>
          <w:rFonts w:ascii="IRNazanin" w:hAnsi="IRNazanin" w:eastAsia="IRNazanin"/>
          <w:color w:val="111111"/>
          <w:sz w:val="28"/>
          <w:sz w:val="28"/>
          <w:szCs w:val="28"/>
          <w:rtl w:val="true"/>
          <w:lang w:bidi="fa-IR"/>
        </w:rPr>
        <w:t>،فإنّ وجود الدم فی الماء و لو صغیرا مشکوک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مجموع ما ذکرنا یظهر أنّ الابتلاء من شرائط تنجّز التکلیف،من دون فرق بین الأمر و النهی،و أنّ الحاکم بشرطیّة الابتلاء مختلف باختلاف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فبناء علی الدلیل الأوّل یکون الحاکم هو العقل،و علی الثالث هو العرف، فلا یصحّ القول المطلق بأنّ الحاکم بالتقیید هو العرف،کما صرّح به الشیخ الأنصاری قدّس سرّه فی کلماته،فراجع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بقی هنا إشکال لا یمکن الذبّ عنه؛و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ما هو المستند فی الفتوی بوجوب تعلّم خصوص المسائل التی تکون موردا للابتلاء عند من لا یعتقد بشرطیّة الابتلاء فی التکلیف؟و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اعتقد أنّه شرط فی التکلیف کالشیخ، فیصحّ له القول بوجوب تعلّم هذا المقدار من المسائل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الذین لم یعتقدوا بشرطیّة هذا،فبم أفتوا بهذه الفتوی؟و لا فرق فی هذا الإشکال بین کون الطریق إلی وجوب التعلّم وجود الروایات الموجودة،أو وجود العلم الإجمالی بتکالیف واقعیّة</w:t>
      </w:r>
      <w:r>
        <w:rPr>
          <w:rFonts w:eastAsia="IRNazanin" w:cs="IRNazanin"/>
          <w:color w:val="111111"/>
          <w:sz w:val="28"/>
          <w:szCs w:val="28"/>
          <w:rtl w:val="true"/>
          <w:lang w:bidi="fa-IR"/>
        </w:rPr>
        <w:t>.</w:t>
      </w:r>
    </w:p>
    <w:p>
      <w:pPr>
        <w:pStyle w:val="Heading4"/>
        <w:numPr>
          <w:ilvl w:val="3"/>
          <w:numId w:val="1"/>
        </w:numPr>
        <w:rPr/>
      </w:pPr>
      <w:bookmarkStart w:id="335" w:name="__RefHeading___Toc1856084_581953129"/>
      <w:bookmarkStart w:id="336" w:name="_Toc127"/>
      <w:bookmarkEnd w:id="335"/>
      <w:r>
        <w:rPr>
          <w:rtl w:val="true"/>
        </w:rPr>
        <w:t>و أمّا المقام الثانی</w:t>
      </w:r>
      <w:r>
        <w:rPr>
          <w:rtl w:val="true"/>
        </w:rPr>
        <w:t>:</w:t>
      </w:r>
      <w:r>
        <w:rPr>
          <w:rtl w:val="true"/>
        </w:rPr>
        <w:t>فهو أنّه بعد إثبات کون الابتلاء شرطا فی صحّة التکلیف</w:t>
      </w:r>
      <w:bookmarkEnd w:id="336"/>
    </w:p>
    <w:p>
      <w:pPr>
        <w:pStyle w:val="Heading5"/>
        <w:numPr>
          <w:ilvl w:val="4"/>
          <w:numId w:val="1"/>
        </w:numPr>
        <w:rPr/>
      </w:pPr>
      <w:bookmarkStart w:id="337" w:name="__RefHeading___Toc1856086_581953129"/>
      <w:bookmarkStart w:id="338" w:name="_Toc128"/>
      <w:bookmarkEnd w:id="337"/>
      <w:r>
        <w:rPr>
          <w:rtl w:val="true"/>
        </w:rPr>
        <w:t>اشارة</w:t>
      </w:r>
      <w:bookmarkEnd w:id="338"/>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حسب تعبیر المشهور </w:t>
      </w:r>
      <w:r>
        <w:rPr>
          <w:rStyle w:val="FootnoteAnchor"/>
          <w:rtl w:val="true"/>
        </w:rPr>
        <w:footnoteReference w:id="494"/>
      </w:r>
      <w:r>
        <w:rPr>
          <w:rFonts w:ascii="IRNazanin" w:hAnsi="IRNazanin" w:eastAsia="IRNazanin"/>
          <w:color w:val="111111"/>
          <w:sz w:val="28"/>
          <w:sz w:val="28"/>
          <w:szCs w:val="28"/>
          <w:rtl w:val="true"/>
          <w:lang w:bidi="fa-IR"/>
        </w:rPr>
        <w:t>،أو شرطا لجریان الأصل الترخیصی علی حسب</w:t>
      </w:r>
    </w:p>
    <w:p>
      <w:pPr>
        <w:pStyle w:val="BookText"/>
        <w:rPr/>
      </w:pPr>
      <w:r>
        <w:rPr>
          <w:rFonts w:ascii="IRNazanin" w:hAnsi="IRNazanin" w:eastAsia="IRNazanin"/>
          <w:color w:val="111111"/>
          <w:sz w:val="28"/>
          <w:sz w:val="28"/>
          <w:szCs w:val="28"/>
          <w:rtl w:val="true"/>
          <w:lang w:bidi="fa-IR"/>
        </w:rPr>
        <w:t xml:space="preserve">تعبیر الشهید الصدر قدّس سرّه </w:t>
      </w:r>
      <w:r>
        <w:rPr>
          <w:rStyle w:val="FootnoteAnchor"/>
          <w:rtl w:val="true"/>
        </w:rPr>
        <w:footnoteReference w:id="495"/>
      </w:r>
      <w:r>
        <w:rPr>
          <w:rFonts w:ascii="IRNazanin" w:hAnsi="IRNazanin" w:eastAsia="IRNazanin"/>
          <w:color w:val="111111"/>
          <w:sz w:val="28"/>
          <w:sz w:val="28"/>
          <w:szCs w:val="28"/>
          <w:rtl w:val="true"/>
          <w:lang w:bidi="fa-IR"/>
        </w:rPr>
        <w:t xml:space="preserve">،إذا شککنا فی الابتلاء،فهل یجب الاجتناب عنه،إمّا تمسّکا بالإطلاقات،کما ذهب إلیه الشیخ الأنصاری قدّس سرّه </w:t>
      </w:r>
      <w:r>
        <w:rPr>
          <w:rStyle w:val="FootnoteAnchor"/>
          <w:rtl w:val="true"/>
        </w:rPr>
        <w:footnoteReference w:id="496"/>
      </w:r>
      <w:r>
        <w:rPr>
          <w:rFonts w:ascii="IRNazanin" w:hAnsi="IRNazanin" w:eastAsia="IRNazanin"/>
          <w:color w:val="111111"/>
          <w:sz w:val="28"/>
          <w:sz w:val="28"/>
          <w:szCs w:val="28"/>
          <w:rtl w:val="true"/>
          <w:lang w:bidi="fa-IR"/>
        </w:rPr>
        <w:t xml:space="preserve">،أو تمسّکا بکون الشکّ فیه شکّا فی المسقط،کما صرّح به المحقّق النائینی </w:t>
      </w:r>
      <w:r>
        <w:rPr>
          <w:rStyle w:val="FootnoteAnchor"/>
          <w:rtl w:val="true"/>
        </w:rPr>
        <w:footnoteReference w:id="497"/>
      </w:r>
      <w:r>
        <w:rPr>
          <w:rFonts w:ascii="IRNazanin" w:hAnsi="IRNazanin" w:eastAsia="IRNazanin"/>
          <w:color w:val="111111"/>
          <w:sz w:val="28"/>
          <w:sz w:val="28"/>
          <w:szCs w:val="28"/>
          <w:rtl w:val="true"/>
          <w:lang w:bidi="fa-IR"/>
        </w:rPr>
        <w:t xml:space="preserve">،أو لا یجب الاجتناب،تمسّکا بأصالة البراءة عن التکلیف المنجّز،کما ذهب إلیه المحقّق الخراسانی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قبل الخوض فی ذلک لا بدّ من ملاحظة أنّه هل الشبهة مفهومیّة، أو موضوعیّة؟</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صرّح الشیخ الأنصاری بأنّ الشبهة مفهومیّة لا مصداقیّة،حیث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فمرجع المسألة إلی أنّ المطلق المقیّد بقید مشکوک التحقّق فی بعض الموارد؛ لتعذّر ضبط مفهومه </w:t>
      </w:r>
      <w:r>
        <w:rPr>
          <w:rStyle w:val="FootnoteAnchor"/>
          <w:rtl w:val="true"/>
        </w:rPr>
        <w:footnoteReference w:id="4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صرّح المحقّق الحائری أیضا فی الدرر بأنّ الشبهة مفهومیّة،حیث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شککنا فی کون الشیء داخلا فی محلّ الابتلاء أو خارجا عنه لا من جهة الامور الخارجیّة،بل من جهة إجمال ما هو خارج عن موارد التکلیف الفعلی </w:t>
      </w:r>
      <w:r>
        <w:rPr>
          <w:rStyle w:val="FootnoteAnchor"/>
          <w:rtl w:val="true"/>
        </w:rPr>
        <w:footnoteReference w:id="500"/>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قیل </w:t>
      </w:r>
      <w:r>
        <w:rPr>
          <w:rStyle w:val="FootnoteAnchor"/>
          <w:rtl w:val="true"/>
        </w:rPr>
        <w:footnoteReference w:id="5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الشبهة فی المقام موضوعیّة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اعترض علی الشیخ بأنّه لا مجال للتمسّک بالإطلاق فی الشبهات الموضوعیّة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هذا القول مدفوع بأنّ هذه الشبهة راجعة إلی عدم ضبط المفهوم من ناحیة العرف</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نعم،یمکن تصویرها بنحو الشبهة المصداقیّة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ببیان أنّ الشیء المعیّن،</w:t>
      </w:r>
      <w:bookmarkStart w:id="339" w:name="pg5439_46826"/>
    </w:p>
    <w:p>
      <w:pPr>
        <w:pStyle w:val="BookText"/>
        <w:rPr/>
      </w:pPr>
      <w:bookmarkEnd w:id="339"/>
      <w:r>
        <w:rPr>
          <w:rFonts w:ascii="IRNazanin" w:hAnsi="IRNazanin" w:eastAsia="IRNazanin"/>
          <w:color w:val="111111"/>
          <w:sz w:val="28"/>
          <w:sz w:val="28"/>
          <w:szCs w:val="28"/>
          <w:rtl w:val="true"/>
          <w:lang w:bidi="fa-IR"/>
        </w:rPr>
        <w:t>هل یکون فی البلاد البعیدة الخارجة عن القدرة العادیة،أم لا؟لکن هذا غیر محلّ البحث،سیّما بالنسبة إلی کلام الشیخ</w:t>
      </w:r>
      <w:r>
        <w:rPr>
          <w:rFonts w:eastAsia="IRNazanin" w:cs="IRNazanin"/>
          <w:color w:val="111111"/>
          <w:sz w:val="28"/>
          <w:szCs w:val="28"/>
          <w:rtl w:val="true"/>
          <w:lang w:bidi="fa-IR"/>
        </w:rPr>
        <w:t>.</w:t>
      </w:r>
    </w:p>
    <w:p>
      <w:pPr>
        <w:pStyle w:val="Heading5"/>
        <w:numPr>
          <w:ilvl w:val="4"/>
          <w:numId w:val="1"/>
        </w:numPr>
        <w:rPr/>
      </w:pPr>
      <w:bookmarkStart w:id="340" w:name="__RefHeading___Toc1856088_581953129"/>
      <w:bookmarkStart w:id="341" w:name="_Toc129"/>
      <w:bookmarkEnd w:id="340"/>
      <w:r>
        <w:rPr>
          <w:rtl w:val="true"/>
        </w:rPr>
        <w:t>تصویر الشبهة المفهومیّة عند المحقّق النائینی</w:t>
      </w:r>
      <w:bookmarkEnd w:id="341"/>
    </w:p>
    <w:p>
      <w:pPr>
        <w:pStyle w:val="BookText"/>
        <w:rPr/>
      </w:pPr>
      <w:r>
        <w:rPr>
          <w:rFonts w:ascii="IRNazanin" w:hAnsi="IRNazanin" w:eastAsia="IRNazanin"/>
          <w:color w:val="111111"/>
          <w:sz w:val="28"/>
          <w:sz w:val="28"/>
          <w:szCs w:val="28"/>
          <w:rtl w:val="true"/>
          <w:lang w:bidi="fa-IR"/>
        </w:rPr>
        <w:t xml:space="preserve">ذهب المحقّق النائینی </w:t>
      </w:r>
      <w:r>
        <w:rPr>
          <w:rStyle w:val="FootnoteAnchor"/>
          <w:rtl w:val="true"/>
        </w:rPr>
        <w:footnoteReference w:id="502"/>
      </w:r>
      <w:r>
        <w:rPr>
          <w:rFonts w:ascii="IRNazanin" w:hAnsi="IRNazanin" w:eastAsia="IRNazanin"/>
          <w:color w:val="111111"/>
          <w:sz w:val="28"/>
          <w:sz w:val="28"/>
          <w:szCs w:val="28"/>
          <w:rtl w:val="true"/>
          <w:lang w:bidi="fa-IR"/>
        </w:rPr>
        <w:t>إلی أنّ منشأ الشکّ عبارة عن اختلاف المراتب الموجودة فی القدرة العادیة،فبعضها ممّا یقطع بوجود القدرة العادیة،فهو محلّ للابتلاء،و بعضها الآخر ممّا یقطع بخروجه عن محلّ الابتلاء،کالخمر الموجود فی أقصی بلاد الهند مثلا،و قد یحصل الشکّ فی وجود القدرة العادیة فی البعض الثالث، کالخمر الموجود بین البلاد البعیدة و القریبة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دائرة القدرة العادیة تشمل البلاد المتوسّطة،أم لا؟کقولنا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مفهوم الفسق شامل للصغائر أم لا؟</w:t>
      </w:r>
    </w:p>
    <w:p>
      <w:pPr>
        <w:pStyle w:val="BookText"/>
        <w:rPr/>
      </w:pPr>
      <w:r>
        <w:rPr>
          <w:rFonts w:ascii="IRNazanin" w:hAnsi="IRNazanin" w:eastAsia="IRNazanin"/>
          <w:color w:val="111111"/>
          <w:sz w:val="28"/>
          <w:sz w:val="28"/>
          <w:szCs w:val="28"/>
          <w:rtl w:val="true"/>
          <w:lang w:bidi="fa-IR"/>
        </w:rPr>
        <w:t xml:space="preserve">و علی هذا البیان لا یصحّ إرجاع هذه الشبهة إلی الشبهة المصداقیّة،کما أرجعها الشهید الصدر </w:t>
      </w:r>
      <w:r>
        <w:rPr>
          <w:rStyle w:val="FootnoteAnchor"/>
          <w:rtl w:val="true"/>
        </w:rPr>
        <w:footnoteReference w:id="503"/>
      </w:r>
      <w:r>
        <w:rPr>
          <w:rFonts w:ascii="IRNazanin" w:hAnsi="IRNazanin" w:eastAsia="IRNazanin"/>
          <w:color w:val="111111"/>
          <w:sz w:val="28"/>
          <w:sz w:val="28"/>
          <w:szCs w:val="28"/>
          <w:rtl w:val="true"/>
          <w:lang w:bidi="fa-IR"/>
        </w:rPr>
        <w:t>ببیان أنّ الخارج بالتخصیص عنوان ما یقبّح التکلیف به، و مفهوم القبیح واضح،و الشکّ إنّما هو فی مصداقه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السرّ فی عدم صحّة الإرجاع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البحث إنّما هو فی نفس مفهوم الابتلاء، و أنّه من المفاهیم غیر المنضبطة عند العرف و العقل،و لیس البحث فی عنوان الخارج،أو الخروج علی حسب تعبیره قدّس سرّه،علی أنّ مفهوم القبیح أیضا غیر واضح؛ لعدم العلم بشموله بالنسبة إلی التکلیف فی البلاد المتوسّطة،فتدبّر</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فتصویر الشبهة المفهومیّة بنحو ذهب إلیه المحقّق النائینی صحیح،إلاّ أنّه مبنیّ علی ما ذهب إلیه من تفسیر الابتلاء بالقدرة العادیة</w:t>
      </w:r>
      <w:r>
        <w:rPr>
          <w:rFonts w:eastAsia="IRNazanin" w:cs="IRNazanin"/>
          <w:color w:val="111111"/>
          <w:sz w:val="28"/>
          <w:szCs w:val="28"/>
          <w:rtl w:val="true"/>
          <w:lang w:bidi="fa-IR"/>
        </w:rPr>
        <w:t>.</w:t>
      </w:r>
      <w:bookmarkStart w:id="342" w:name="pg5439_46827"/>
    </w:p>
    <w:p>
      <w:pPr>
        <w:pStyle w:val="BookText"/>
        <w:rPr/>
      </w:pPr>
      <w:bookmarkEnd w:id="342"/>
      <w:r>
        <w:rPr>
          <w:rFonts w:ascii="IRNazanin" w:hAnsi="IRNazanin" w:eastAsia="IRNazanin"/>
          <w:color w:val="111111"/>
          <w:sz w:val="28"/>
          <w:sz w:val="28"/>
          <w:szCs w:val="28"/>
          <w:rtl w:val="true"/>
          <w:lang w:bidi="fa-IR"/>
        </w:rPr>
        <w:t>أمّا بناء علی تفسیره بکون الشیء ممّا یرغب إلیه الناس،أو تفسیره بکون الشیء ممّا یکون موردا للحاجة فعلا،فالظاهر عدم صحّة کون الشبهة مفهومیّة، بل هی موضوعیّة دائما،فتأمّل</w:t>
      </w:r>
      <w:r>
        <w:rPr>
          <w:rFonts w:eastAsia="IRNazanin" w:cs="IRNazanin"/>
          <w:color w:val="111111"/>
          <w:sz w:val="28"/>
          <w:szCs w:val="28"/>
          <w:rtl w:val="true"/>
          <w:lang w:bidi="fa-IR"/>
        </w:rPr>
        <w:t>.</w:t>
      </w:r>
    </w:p>
    <w:p>
      <w:pPr>
        <w:pStyle w:val="Heading5"/>
        <w:numPr>
          <w:ilvl w:val="4"/>
          <w:numId w:val="1"/>
        </w:numPr>
        <w:rPr/>
      </w:pPr>
      <w:bookmarkStart w:id="343" w:name="__RefHeading___Toc1856090_581953129"/>
      <w:bookmarkStart w:id="344" w:name="_Toc130"/>
      <w:bookmarkEnd w:id="343"/>
      <w:r>
        <w:rPr>
          <w:rtl w:val="true"/>
        </w:rPr>
        <w:t>تصویر الشبهة المفهومیّة عند الشهید الصدر</w:t>
      </w:r>
      <w:bookmarkEnd w:id="344"/>
    </w:p>
    <w:p>
      <w:pPr>
        <w:pStyle w:val="BookText"/>
        <w:rPr/>
      </w:pPr>
      <w:r>
        <w:rPr>
          <w:rFonts w:ascii="IRNazanin" w:hAnsi="IRNazanin" w:eastAsia="IRNazanin"/>
          <w:color w:val="111111"/>
          <w:sz w:val="28"/>
          <w:sz w:val="28"/>
          <w:szCs w:val="28"/>
          <w:rtl w:val="true"/>
          <w:lang w:bidi="fa-IR"/>
        </w:rPr>
        <w:t>ثمّ إنّ الشهید الصدر بعد أن ذهب إلی أنّ عدم منجّزیّة العلم الإجمالی یکون بملاک عدم جریان الأصل الترخیصی فی الشیء الخارج عن محلّ الابتلاء،قد صوّر الشبهة المفهومیّة فی دائرة هذا الملاک علی أنحاء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العرف نفسه بما هو عرف فی الإرتکاز؛أعنی ارتکاز عدم جریان الأصل لهذه المرتبة من الخروج عن محلّ الابتلاء؛فإنّه یعقل ذلک بالنسبة للعرف أیضا؛لکون هذه الامور تشکیکیّة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العرف فی نکتة الارتکاز؛أی أنّ العرف بما هو عرف لا یشکّ فی وقوع التزاحم الحفظی بین الغرض اللزومی حتّی إذا کان فی الطرف المشکوک، و بین الغرض الترخیصی،و لکن یحتمل أنّ المولی لا یهتمّ بهذا المقدار من التزاحم لضئالته،فیحتمل أنّ نکتة الارتکاز عند المولی تختلف عن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شخصا یحتمل ثبوت الارتکاز و عدمه لدی العرف،و إنّما لا یکون واضحا لدیه؛لاحتمال أنّه شذّ عنهم لجهة من الجهات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حکم بعدم جریان الأصل فی القسم الأوّل و الثالث،بخلاف القسم الثانی؛فإنّه یجری الأصل،و یتعارض مع الأصل الجاری فی محلّ الابتلاء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الکلام قابل للمناقشة؛لأنّه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عدم الفرق الجوهری بین الأوّل</w:t>
      </w:r>
      <w:bookmarkStart w:id="345" w:name="pg5439_46828"/>
    </w:p>
    <w:p>
      <w:pPr>
        <w:pStyle w:val="BookText"/>
        <w:rPr/>
      </w:pPr>
      <w:bookmarkEnd w:id="345"/>
      <w:r>
        <w:rPr>
          <w:rFonts w:ascii="IRNazanin" w:hAnsi="IRNazanin" w:eastAsia="IRNazanin"/>
          <w:color w:val="111111"/>
          <w:sz w:val="28"/>
          <w:sz w:val="28"/>
          <w:szCs w:val="28"/>
          <w:rtl w:val="true"/>
          <w:lang w:bidi="fa-IR"/>
        </w:rPr>
        <w:t>و الثالث،و إلی أنّ القسم الثانی لا یکون من الشبهة المفهومیّة؛لأنّ احتمال الاختلاف فی نکتة الارتکاز بین العرف و الشرع لا یوجب إیجاد الشبهة المفهومیّة فی الارتکاز؛فإنّ عدم جریان الأصل مرتکز عند العرف إذا کان التزاحم موجودا بحسب نظر العرف،و التزاحم العرفی موجود حسب الفرض فی القسم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أبطلنا هذا الملاک و قلنا بأنّ الملاک فی عدم منجّزیّة هذا العلم الإجمالی لیس ارتکاز عدم جریان الأصل،بل الملاک شرطیّة الدخول فی محلّ الابتلاء فی صحّة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المناقشة فی هذا التصویر یجب تصویر الشبهة المفهومیّة علی نحو صوّرها المحقّق النائینی؛أی الشکّ فی کون دائرة الابتلاء هل یشمل مفهومها عرفا البلد الفلانی أم لا؟</w:t>
      </w:r>
    </w:p>
    <w:p>
      <w:pPr>
        <w:pStyle w:val="BookText"/>
        <w:rPr/>
      </w:pPr>
      <w:r>
        <w:rPr>
          <w:rFonts w:ascii="IRNazanin" w:hAnsi="IRNazanin" w:eastAsia="IRNazanin"/>
          <w:color w:val="111111"/>
          <w:sz w:val="28"/>
          <w:sz w:val="28"/>
          <w:szCs w:val="28"/>
          <w:rtl w:val="true"/>
          <w:lang w:bidi="fa-IR"/>
        </w:rPr>
        <w:t>فبناء علی هذا التصویر قد یقال بعدم التنجیز؛للشکّ فی فعلیّة التکلیف علی أحد التقدیرین،و عدم العلم بالتکلیف الفعلی علی کلّ تقدیر،لکن ذهب جمع إلی وجوب الاجتناب عن المشکوک،و منجّزیّة العلم الإجمالی</w:t>
      </w:r>
      <w:r>
        <w:rPr>
          <w:rFonts w:eastAsia="IRNazanin" w:cs="IRNazanin"/>
          <w:color w:val="111111"/>
          <w:sz w:val="28"/>
          <w:szCs w:val="28"/>
          <w:rtl w:val="true"/>
          <w:lang w:bidi="fa-IR"/>
        </w:rPr>
        <w:t>.</w:t>
      </w:r>
    </w:p>
    <w:p>
      <w:pPr>
        <w:pStyle w:val="Heading5"/>
        <w:numPr>
          <w:ilvl w:val="4"/>
          <w:numId w:val="1"/>
        </w:numPr>
        <w:rPr/>
      </w:pPr>
      <w:bookmarkStart w:id="346" w:name="__RefHeading___Toc1856092_581953129"/>
      <w:bookmarkStart w:id="347" w:name="_Toc131"/>
      <w:bookmarkEnd w:id="346"/>
      <w:r>
        <w:rPr>
          <w:rtl w:val="true"/>
        </w:rPr>
        <w:t>الاستدلال بعدم خروج المشکوک بوجهین</w:t>
      </w:r>
      <w:r>
        <w:rPr>
          <w:rtl w:val="true"/>
        </w:rPr>
        <w:t>:</w:t>
      </w:r>
      <w:bookmarkEnd w:id="347"/>
    </w:p>
    <w:p>
      <w:pPr>
        <w:pStyle w:val="Heading6"/>
        <w:numPr>
          <w:ilvl w:val="5"/>
          <w:numId w:val="1"/>
        </w:numPr>
        <w:rPr/>
      </w:pPr>
      <w:bookmarkStart w:id="348" w:name="__RefHeading___Toc1856094_581953129"/>
      <w:bookmarkStart w:id="349" w:name="_Toc132"/>
      <w:bookmarkEnd w:id="348"/>
      <w:r>
        <w:rPr>
          <w:rtl w:val="true"/>
        </w:rPr>
        <w:t>الوجه الأوّل</w:t>
      </w:r>
      <w:r>
        <w:rPr>
          <w:rtl w:val="true"/>
        </w:rPr>
        <w:t>:</w:t>
      </w:r>
      <w:r>
        <w:rPr>
          <w:rtl w:val="true"/>
        </w:rPr>
        <w:t>ما ذهب إلیه المحقّق النائینی؛</w:t>
      </w:r>
      <w:bookmarkEnd w:id="349"/>
    </w:p>
    <w:p>
      <w:pPr>
        <w:pStyle w:val="BookText"/>
        <w:rPr/>
      </w:pPr>
      <w:r>
        <w:rPr>
          <w:rFonts w:ascii="IRNazanin" w:hAnsi="IRNazanin" w:eastAsia="IRNazanin"/>
          <w:color w:val="111111"/>
          <w:sz w:val="28"/>
          <w:sz w:val="28"/>
          <w:szCs w:val="28"/>
          <w:rtl w:val="true"/>
          <w:lang w:bidi="fa-IR"/>
        </w:rPr>
        <w:t>فإنّه بعد أن ذکر أنّ الشکّ فی القدرة یستتبع الشکّ فی ثبوت التکلیف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لمکان العلم بالملاک،و ما هو المناط لانقداح الإرادة المولویّة یجری علیه حکم الشکّ فی المسقط؛لأنّ القدرة بکلا قسمیها من العقلیّة و العادیّة لیست من الشرائط التی لها دخل فی ثبوت الملاکات النفس الأمریّة،فالملاک محفوظ فی کلتا صورتی وجود القدرة و عدمها،و العقل یستقلّ بلزوم رعایة الملاک و عدم تفویته مهما أمکن</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عند العلم بعدم القدرة علی استیفاء الملاک لا یلزم العقل برعایة الملاک،بخلاف الشکّ فیها،فإنّ العقل یلزم برعایة الاحتمال تخلّصا عن الوقوع فی</w:t>
      </w:r>
      <w:bookmarkStart w:id="350" w:name="pg5439_46829"/>
    </w:p>
    <w:p>
      <w:pPr>
        <w:pStyle w:val="BookText"/>
        <w:rPr/>
      </w:pPr>
      <w:bookmarkEnd w:id="350"/>
      <w:r>
        <w:rPr>
          <w:rFonts w:ascii="IRNazanin" w:hAnsi="IRNazanin" w:eastAsia="IRNazanin"/>
          <w:color w:val="111111"/>
          <w:sz w:val="28"/>
          <w:sz w:val="28"/>
          <w:szCs w:val="28"/>
          <w:rtl w:val="true"/>
          <w:lang w:bidi="fa-IR"/>
        </w:rPr>
        <w:t>مخالفة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فالشکّ فی المقام ینتج نتیجة الشکّ فی المسقط؛أی فی سقوط الملاک؛ و هو مجری الاشتغال لا البراءة </w:t>
      </w:r>
      <w:r>
        <w:rPr>
          <w:rStyle w:val="FootnoteAnchor"/>
          <w:rtl w:val="true"/>
        </w:rPr>
        <w:footnoteReference w:id="5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تأمّل فی آخر کلامه،و أسقط هذا الوجه عن الاعتبار بعد إیراد المحقّق الکاظمی علیه؛بأنّ لازمه وجوب الاجتناب عن أحد طرفی المعلوم بالإجمال مع العلم بخروج الآخر عن مورد الابتلاء؛للعلم بتحقّق الملاک أیضا فی أحد الطرفین، و لا دخل للابتلاء و عدمه فی الملاک،فلو کان العلم بثبوت الملاک یقتضی وجوب الاجتناب عن أحد الطرفین مع الشکّ فی خروج الآخر عن مورد الابتلاء، فلیقتض ذلک أیضا مع العلم بخروج أحدهما عن مورد الابتلاء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المحقّق العراقی </w:t>
      </w:r>
      <w:r>
        <w:rPr>
          <w:rStyle w:val="FootnoteAnchor"/>
          <w:rtl w:val="true"/>
        </w:rPr>
        <w:footnoteReference w:id="506"/>
      </w:r>
      <w:r>
        <w:rPr>
          <w:rFonts w:ascii="IRNazanin" w:hAnsi="IRNazanin" w:eastAsia="IRNazanin"/>
          <w:color w:val="111111"/>
          <w:sz w:val="28"/>
          <w:sz w:val="28"/>
          <w:szCs w:val="28"/>
          <w:rtl w:val="true"/>
          <w:lang w:bidi="fa-IR"/>
        </w:rPr>
        <w:t>ذهب إلی عدم تمامیّة إیراد الکاظمی علی استاذه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الفرق موجود بین الشکّ فی القدرة فی مورد وجود المصلحة،و بین الشکّ فی وجود المصلحة فی المقدور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 موضوع حکم العقل بالاحتیاط،و الثانی لیس من باب الشکّ فی القدرة؛بل إمّا مقدور جزما،و إمّا غیر مقدور جزما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الشکّ فی أنّ ظرف المناط أیّما کان،و مرجعه إلی الشکّ فی أصل المناط،و قال فی آخر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العجب من المتوهّم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الکاظمی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اشتباه الأمر علیه،و إنّما العجب من استاذه کیف قنع بهذا الإشکال؟فما ذهب إلیه النائینی تامّ</w:t>
      </w:r>
      <w:r>
        <w:rPr>
          <w:rFonts w:eastAsia="IRNazanin" w:cs="IRNazanin"/>
          <w:color w:val="111111"/>
          <w:sz w:val="28"/>
          <w:szCs w:val="28"/>
          <w:rtl w:val="true"/>
          <w:lang w:bidi="fa-IR"/>
        </w:rPr>
        <w:t>.</w:t>
      </w:r>
    </w:p>
    <w:p>
      <w:pPr>
        <w:pStyle w:val="Heading6"/>
        <w:numPr>
          <w:ilvl w:val="5"/>
          <w:numId w:val="1"/>
        </w:numPr>
        <w:rPr/>
      </w:pPr>
      <w:bookmarkStart w:id="351" w:name="__RefHeading___Toc1856096_581953129"/>
      <w:bookmarkStart w:id="352" w:name="_Toc133"/>
      <w:bookmarkEnd w:id="351"/>
      <w:r>
        <w:rPr>
          <w:rtl w:val="true"/>
        </w:rPr>
        <w:t>الوجه الثانی</w:t>
      </w:r>
      <w:r>
        <w:rPr>
          <w:rtl w:val="true"/>
        </w:rPr>
        <w:t>:</w:t>
      </w:r>
      <w:r>
        <w:rPr>
          <w:rtl w:val="true"/>
        </w:rPr>
        <w:t>ما أفاده الشیخ الأنصاری من التمسّک بإطلاق</w:t>
      </w:r>
      <w:bookmarkEnd w:id="352"/>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دلّ علی حرمة الشیء،و القدر المتیقّن خروج ما علم منه عدم الابتلاء،فإنّ الخطاب بالنسبة إلیه مستهجن،فبقی الباقی؛أی ما علم الابتلاء به،و ما هو مشکوک الابتلاء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bookmarkStart w:id="353" w:name="pg5439_46830"/>
    </w:p>
    <w:p>
      <w:pPr>
        <w:pStyle w:val="BookText"/>
        <w:rPr/>
      </w:pPr>
      <w:bookmarkEnd w:id="353"/>
      <w:r>
        <w:rPr>
          <w:rFonts w:ascii="IRNazanin" w:hAnsi="IRNazanin" w:eastAsia="IRNazanin"/>
          <w:color w:val="111111"/>
          <w:sz w:val="28"/>
          <w:sz w:val="28"/>
          <w:szCs w:val="28"/>
          <w:rtl w:val="true"/>
          <w:lang w:bidi="fa-IR"/>
        </w:rPr>
        <w:t xml:space="preserve">و السرّ فی ذلک حسب تفسیر المحقّق النائینی أنّ التخصیص بالمجمل مفهوما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المردّد بین الأقل و الأکثر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یمنع عن التمسّک بالعامّ فیما عدا القدر المتیقّن من التخصیص و هو الأقل،</w:t>
      </w:r>
    </w:p>
    <w:p>
      <w:pPr>
        <w:pStyle w:val="Heading6"/>
        <w:numPr>
          <w:ilvl w:val="5"/>
          <w:numId w:val="1"/>
        </w:numPr>
        <w:rPr/>
      </w:pPr>
      <w:bookmarkStart w:id="354" w:name="__RefHeading___Toc1856098_581953129"/>
      <w:bookmarkStart w:id="355" w:name="_Toc134"/>
      <w:bookmarkEnd w:id="354"/>
      <w:r>
        <w:rPr>
          <w:rtl w:val="true"/>
        </w:rPr>
        <w:t>بیان المحقق النائینی للتمسک بالإطلاق</w:t>
      </w:r>
      <w:bookmarkEnd w:id="355"/>
    </w:p>
    <w:p>
      <w:pPr>
        <w:pStyle w:val="BookText"/>
        <w:rPr/>
      </w:pPr>
      <w:r>
        <w:rPr>
          <w:rFonts w:ascii="IRNazanin" w:hAnsi="IRNazanin" w:eastAsia="IRNazanin"/>
          <w:color w:val="111111"/>
          <w:sz w:val="28"/>
          <w:sz w:val="28"/>
          <w:szCs w:val="28"/>
          <w:rtl w:val="true"/>
          <w:lang w:bidi="fa-IR"/>
        </w:rPr>
        <w:t>و التمسّک بالإطلاق فیما نحن فیه أولی؛لأنّ المقیّد لبیّ، و التمسّک فیه بالإطلاق جائز حتّی فی الشبهة المصداقیّة،فضلا عن الشبهة المفهومیّة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منع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کون هذا القید من الأحکام العقلیّة الضروریّة حتّی ینطبق علیه حکم المخصّص المتّصل الذی یسری إجماله إلی العامّ،و ذهب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سرایة إجمال المخصّص اللفظی المتّصل،أو العقلی الضروری إنّما هو فیما إذا کان الخارج عن العموم عنوانا واقعیّا غیر مختلف المراتب،و تردّد مفهومه بین الأقلّ و الأکثر،کمفهوم الفاسق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إذا کان عنوانا ذا مراتب مختلفة،و علم بخروج بعض مراتبه عن العامّ، و شکّ فی خروج بعض آخر،فلا یسری إجماله إلی العامّ؛لأنّ الشکّ فی مثل هذا یرجع فی الحقیقة إلی الشکّ فی ورود مخصّص آخر للعامّ،غیر ما علم التخصیص به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6" w:name="__RefHeading___Toc1856100_581953129"/>
      <w:bookmarkStart w:id="357" w:name="_Toc135"/>
      <w:bookmarkEnd w:id="356"/>
      <w:r>
        <w:rPr>
          <w:rtl w:val="true"/>
        </w:rPr>
        <w:t>و ما ذهب إلیه أوّلا</w:t>
      </w:r>
      <w:bookmarkEnd w:id="357"/>
    </w:p>
    <w:p>
      <w:pPr>
        <w:pStyle w:val="BookText"/>
        <w:rPr/>
      </w:pPr>
      <w:r>
        <w:rPr>
          <w:rFonts w:ascii="IRNazanin" w:hAnsi="IRNazanin" w:eastAsia="IRNazanin"/>
          <w:color w:val="111111"/>
          <w:sz w:val="28"/>
          <w:sz w:val="28"/>
          <w:szCs w:val="28"/>
          <w:rtl w:val="true"/>
          <w:lang w:bidi="fa-IR"/>
        </w:rPr>
        <w:t>و إن کان صحیحا لا غبار فیه،إلاّ أنّ المطلب الثانی لا یخلو عن إشکال،کما بیّنه المحقّق العراقی،قال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من قال بحجّیّة الألفاظ من باب أصالة الظهور،یلتزم بأنّه إذا أتّصل بالکلام ما یشکّ و لو بدوا فی قرینیّته یضرّ بانعقاد الظهور،و هذا الحکم العقلی و إن فرضنا عدم تردّده بین الأقل و الأکثر،بل کان موجبا للشکّ فی التخصیص بدوا؛یمنع هذا المقدار من انعقاد أصل الظهور،من دون احتیاج إلی ضمّ عنوان واقعیّ کان مفهومه مردّدا بین الأقلّ و الأکثر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 هناک إشکالا آخر یرد علیه،و هو عدم وجود الفرق بین کون المفهوم</w:t>
      </w:r>
      <w:bookmarkStart w:id="358" w:name="pg5439_46831"/>
    </w:p>
    <w:p>
      <w:pPr>
        <w:pStyle w:val="BookText"/>
        <w:rPr/>
      </w:pPr>
      <w:bookmarkEnd w:id="358"/>
      <w:r>
        <w:rPr>
          <w:rFonts w:ascii="IRNazanin" w:hAnsi="IRNazanin" w:eastAsia="IRNazanin"/>
          <w:color w:val="111111"/>
          <w:sz w:val="28"/>
          <w:sz w:val="28"/>
          <w:szCs w:val="28"/>
          <w:rtl w:val="true"/>
          <w:lang w:bidi="fa-IR"/>
        </w:rPr>
        <w:t>ذا مراتب مختلفة،و بین کونه غیر مختلف المراتب؛فإنّ الشبهة فی کلا القسمین مفهومیّة،و نفس إجمال المفهوم فی المخصّص المتّصل اللفظی و ما هو بحکمه یسری إلی العامّ؛فإنّ الملاک فی السرایة نفس وجود الإجمال فی المفهوم؛سواء کان له مراتب مختلفة،أم لا،فتدبّر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المحقّق النائینی التفت إلی هذا الإشکال و أمر بالتأمّل فی آخر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الشهید الصدر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 ضاع مراد المحقّق النائینی علی مقرّر بحث المحقّق العراقی،فتخیّل أنّ المقصود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مفهوم الخارج عن محلّ الابتلاء ذو مراتب،و قد خرج عن العامّ بجمیع مراتبه،و شکّ فی أنّ مرتبته الضعیفة داخلة فی محلّ الابتلاء أم لا؟فأورد علیه بأنّ هذا خلف فرض سریان إجمال المخصّص المتّصل إلی العامّ فی تمام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مقصود المحقّق النائینی قدّس سرّه لم یکن ذلک،بل المقصود أنّ بعض مراتب الخروج عن محلّ الابتلاء یفرض خروجه عن العامّ بالمخصّص؛لوضوحه عند العقل،و تضعف درجة الوضوح هذا إلی أن تنعدم فی بعض مراتب الخروج عن محلّ الابتلاء،فلا یحکم العقل بعدم صحّة جعل الحکم فیه،فلا یکون خارجا بالمخصّص اللبّی المتّصل،فیتمسّک فیه بالعامّ مطلقا،أو فی خصوص الشبهة المفهومیّة حسب اختلاف المبانی </w:t>
      </w:r>
      <w:r>
        <w:rPr>
          <w:rStyle w:val="FootnoteAnchor"/>
          <w:rtl w:val="true"/>
        </w:rPr>
        <w:footnoteReference w:id="510"/>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pStyle w:val="Heading5"/>
        <w:numPr>
          <w:ilvl w:val="4"/>
          <w:numId w:val="1"/>
        </w:numPr>
        <w:rPr/>
      </w:pPr>
      <w:bookmarkStart w:id="359" w:name="__RefHeading___Toc1856102_581953129"/>
      <w:bookmarkStart w:id="360" w:name="_Toc136"/>
      <w:bookmarkEnd w:id="359"/>
      <w:r>
        <w:rPr>
          <w:rtl w:val="true"/>
        </w:rPr>
        <w:t>ثمّ قال المحقّق النائینی فی آخر کلامه</w:t>
      </w:r>
      <w:r>
        <w:rPr>
          <w:rtl w:val="true"/>
        </w:rPr>
        <w:t>:</w:t>
      </w:r>
      <w:bookmarkEnd w:id="360"/>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الابتلاء بالموضوع لیس کالعلم من القیود المتأخّرة عن التکلیف وجودا،حتّی لا یصحّ التمسّک بالإطلاق فی نفی ما شکّ فی اعتباره؛بل هو من الانقسامات السابقة علیه؛لأنّ القدرة العادیّة کالقدرة العقلیّة من الأوصاف العارضة علی المکلّف قبل توجّه التکلیف إلیه،و علی فرض</w:t>
      </w:r>
      <w:bookmarkStart w:id="361" w:name="pg5439_46832"/>
    </w:p>
    <w:p>
      <w:pPr>
        <w:pStyle w:val="BookText"/>
        <w:rPr/>
      </w:pPr>
      <w:bookmarkEnd w:id="361"/>
      <w:r>
        <w:rPr>
          <w:rFonts w:ascii="IRNazanin" w:hAnsi="IRNazanin" w:eastAsia="IRNazanin"/>
          <w:color w:val="111111"/>
          <w:sz w:val="28"/>
          <w:sz w:val="28"/>
          <w:szCs w:val="28"/>
          <w:rtl w:val="true"/>
          <w:lang w:bidi="fa-IR"/>
        </w:rPr>
        <w:t xml:space="preserve">تسلیم کون الابتلاء من القیود المتأخّرة،لکن مجرّد هذا لا یجعله من شرائط التنجیز؛فإنّه منحصر بالعلم و الوصول،أو ما یقوم مقام العلم؛فإنّ الملاک فی شرطیّة التنجیز هو کون الشیء موجبا لوصول التکلیف،و قید الابتلاء لیس ممّا یوجب التکلیف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یتوجّه علیه إیرادان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ذکره المحقّق العراقی؛من أنّ معنی تنجیز الخطاب وصوله بمثابة یوجب استحقاق العقوبة علی مخالفته،و کما أنّ للوصول دخلا،کذلک للقدرة علیه أیضا دخل فی فعلیّة استحقاق العقاب،فلا معنی لحصر أسباب التنجیز بخصوص الوصول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ذکره نفسه قدّس سرّه من أنّه بعد تسلیم کون الابتلاء من القیود المتأخّرة، لا مجال للتمسّک بالإطلاقات و إن لم یکن من شرائط التنجیز؛ضرورة أنّه لا ملازمة بین عدم کونه شرطا للتنجیز،و بین صحّة التمسّک بالإطلاق؛إذ یکفی فی المنع عن التمسّک بالإطلاقات مجرّد کونه من الانقسامات المتأخّرة،فالأولی منع کونه من القیود المتأخّرة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2" w:name="__RefHeading___Toc1856104_581953129"/>
      <w:bookmarkStart w:id="363" w:name="_Toc137"/>
      <w:bookmarkEnd w:id="362"/>
      <w:r>
        <w:rPr>
          <w:rtl w:val="true"/>
        </w:rPr>
        <w:t>و لا یذهب علیک أنّ فی تفسیر کلام الشیخ الأنصاری یوجد احتمالان</w:t>
      </w:r>
      <w:r>
        <w:rPr>
          <w:rtl w:val="true"/>
        </w:rPr>
        <w:t>:</w:t>
      </w:r>
      <w:bookmarkEnd w:id="363"/>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الاحتمال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الأظهر وفاقا للمحقّق الآشتیانی </w:t>
      </w:r>
      <w:r>
        <w:rPr>
          <w:rStyle w:val="FootnoteAnchor"/>
          <w:rtl w:val="true"/>
        </w:rPr>
        <w:footnoteReference w:id="514"/>
      </w:r>
      <w:r>
        <w:rPr>
          <w:rFonts w:ascii="IRNazanin" w:hAnsi="IRNazanin" w:eastAsia="IRNazanin"/>
          <w:color w:val="111111"/>
          <w:sz w:val="28"/>
          <w:sz w:val="28"/>
          <w:szCs w:val="28"/>
          <w:rtl w:val="true"/>
          <w:lang w:bidi="fa-IR"/>
        </w:rPr>
        <w:t>،أنّ مقصوده قدّس سرّه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المقیّد اللبّی لیس کالمقیّد المتّصل الذی یسری إجماله إلی العامّ،و لا یجوز التمسّک فیه بالإطلاق،بل من قبیل المقیّد المنفصل الذی لا یسری إجماله إلی العامّ</w:t>
      </w:r>
      <w:r>
        <w:rPr>
          <w:rFonts w:eastAsia="IRNazanin" w:cs="IRNazanin"/>
          <w:color w:val="111111"/>
          <w:sz w:val="28"/>
          <w:szCs w:val="28"/>
          <w:rtl w:val="true"/>
          <w:lang w:bidi="fa-IR"/>
        </w:rPr>
        <w:t>.</w:t>
      </w:r>
      <w:bookmarkStart w:id="364" w:name="pg5439_46833"/>
    </w:p>
    <w:p>
      <w:pPr>
        <w:pStyle w:val="BookText"/>
        <w:rPr/>
      </w:pPr>
      <w:bookmarkEnd w:id="364"/>
      <w:r>
        <w:rPr>
          <w:rFonts w:ascii="IRNazanin" w:hAnsi="IRNazanin" w:eastAsia="IRNazanin"/>
          <w:color w:val="111111"/>
          <w:sz w:val="28"/>
          <w:sz w:val="28"/>
          <w:szCs w:val="28"/>
          <w:rtl w:val="true"/>
          <w:lang w:bidi="fa-IR"/>
        </w:rPr>
        <w:t>و علی هذا یمکن أن یرد علی الشیخ منع هذا المبنی؛فإنّ الملاک فی الاتّصال، أو الانفصال هو العرف و العقلاء،و هم یرون المقیّد اللبّی متّصلا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المقیّد اللبّی المنفصل المردّد بین الأقلّ و الأکثر،هل هو کالمقیّد اللفظی المنفصل،أم لا؟</w:t>
      </w:r>
    </w:p>
    <w:p>
      <w:pPr>
        <w:pStyle w:val="BookText"/>
        <w:rPr/>
      </w:pPr>
      <w:r>
        <w:rPr>
          <w:rFonts w:ascii="IRNazanin" w:hAnsi="IRNazanin" w:eastAsia="IRNazanin"/>
          <w:color w:val="111111"/>
          <w:sz w:val="28"/>
          <w:sz w:val="28"/>
          <w:szCs w:val="28"/>
          <w:rtl w:val="true"/>
          <w:lang w:bidi="fa-IR"/>
        </w:rPr>
        <w:t>و بعد هذا الکلام نقول</w:t>
      </w:r>
      <w:r>
        <w:rPr>
          <w:rFonts w:eastAsia="IRNazanin" w:cs="IRNazanin"/>
          <w:color w:val="111111"/>
          <w:sz w:val="28"/>
          <w:szCs w:val="28"/>
          <w:rtl w:val="true"/>
          <w:lang w:bidi="fa-IR"/>
        </w:rPr>
        <w:t>:</w:t>
      </w:r>
    </w:p>
    <w:p>
      <w:pPr>
        <w:pStyle w:val="Heading5"/>
        <w:numPr>
          <w:ilvl w:val="4"/>
          <w:numId w:val="1"/>
        </w:numPr>
        <w:rPr/>
      </w:pPr>
      <w:bookmarkStart w:id="365" w:name="__RefHeading___Toc1856106_581953129"/>
      <w:bookmarkStart w:id="366" w:name="_Toc138"/>
      <w:bookmarkEnd w:id="365"/>
      <w:r>
        <w:rPr>
          <w:rtl w:val="true"/>
        </w:rPr>
        <w:t>قد اورد علی الشیخ إیرادات ثلاثة لا یمکن الجواب</w:t>
      </w:r>
      <w:bookmarkEnd w:id="366"/>
    </w:p>
    <w:p>
      <w:pPr>
        <w:pStyle w:val="BookText"/>
        <w:rPr/>
      </w:pPr>
      <w:r>
        <w:rPr>
          <w:rFonts w:ascii="IRNazanin" w:hAnsi="IRNazanin" w:eastAsia="IRNazanin"/>
          <w:color w:val="111111"/>
          <w:sz w:val="28"/>
          <w:sz w:val="28"/>
          <w:szCs w:val="28"/>
          <w:rtl w:val="true"/>
          <w:lang w:bidi="fa-IR"/>
        </w:rPr>
        <w:t>عن جمیعها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اجیب عن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الإیراد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ذکره صاحب الکفایة؛من أنّ التمسّک بالإطلاق إثباتا فرع إمکان ثبوته،و الشکّ فی المقام فی إمکان ثبوته،فلا معنی للتمسّک بالإطلاق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أجاب عنه المحقّق النائینی حلاّ و نقضا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الحلّ؛فلأنّ الأمر بالعکس؛أی إنّ الإطلاق إثباتا کاشف عن وجود الإطلاق ثبوتا و فی نفس الأمر،کما أنّ الخطاب کاشف عن وجود الملاک فی نفس الأمر،فمن هذا الإطلاق نستکشف عدم استهجان التکلیف فی مورد الشکّ،کما یستکشف من إطلاق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العن بنی امیّة قاطبة</w:t>
      </w:r>
      <w:r>
        <w:rPr>
          <w:rFonts w:eastAsia="IRNazanin" w:cs="IRNazanin"/>
          <w:color w:val="111111"/>
          <w:sz w:val="28"/>
          <w:szCs w:val="28"/>
          <w:rtl w:val="true"/>
          <w:lang w:bidi="fa-IR"/>
        </w:rPr>
        <w:t xml:space="preserve">» </w:t>
      </w:r>
      <w:r>
        <w:rPr>
          <w:rStyle w:val="FootnoteAnchor"/>
          <w:rtl w:val="true"/>
        </w:rPr>
        <w:footnoteReference w:id="516"/>
      </w:r>
      <w:r>
        <w:rPr>
          <w:rFonts w:ascii="IRNazanin" w:hAnsi="IRNazanin" w:eastAsia="IRNazanin"/>
          <w:color w:val="111111"/>
          <w:sz w:val="28"/>
          <w:sz w:val="28"/>
          <w:szCs w:val="28"/>
          <w:rtl w:val="true"/>
          <w:lang w:bidi="fa-IR"/>
        </w:rPr>
        <w:t>عدم إیمان من شکّ فی إیمانه من هذه الطائفة الخبیثة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النقض؛فبأنّ هذا البیان موجب لسدّ باب التمسّک بالإطلاقات،ففی جمیع موارد التمسّک یکون الشکّ موجودا فی نفس الأمر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فسّر المحقّق العراقی </w:t>
      </w:r>
      <w:r>
        <w:rPr>
          <w:rStyle w:val="FootnoteAnchor"/>
          <w:rtl w:val="true"/>
        </w:rPr>
        <w:footnoteReference w:id="518"/>
      </w:r>
      <w:r>
        <w:rPr>
          <w:rFonts w:ascii="IRNazanin" w:hAnsi="IRNazanin" w:eastAsia="IRNazanin"/>
          <w:color w:val="111111"/>
          <w:sz w:val="28"/>
          <w:sz w:val="28"/>
          <w:szCs w:val="28"/>
          <w:rtl w:val="true"/>
          <w:lang w:bidi="fa-IR"/>
        </w:rPr>
        <w:t>عبارة الکفایة بما یسلم من هذین الإیرادین،و لکنّ التفسیر لا یستفاد من ظاهر العبارة أصلا؛لأنّه راجع إلی کلتا العبارتین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فإیراد</w:t>
      </w:r>
    </w:p>
    <w:p>
      <w:pPr>
        <w:pStyle w:val="BookText"/>
        <w:rPr/>
      </w:pPr>
      <w:r>
        <w:rPr>
          <w:rFonts w:ascii="IRNazanin" w:hAnsi="IRNazanin" w:eastAsia="IRNazanin"/>
          <w:color w:val="111111"/>
          <w:sz w:val="28"/>
          <w:sz w:val="28"/>
          <w:szCs w:val="28"/>
          <w:rtl w:val="true"/>
          <w:lang w:bidi="fa-IR"/>
        </w:rPr>
        <w:t>المحقّق الخراسانی غیر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الإیراد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وجوب الاجتناب فی الشبهة المحصورة لا یستفاد من مجرّد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اجتنب عن النجس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یتمسّک بالإطلاق فی الموارد المشکوکة،بل یستفاد منه بضمیمة حکم العقل بوجوب الموافقة القطعیّة؛و لا جریان للإطلاق فی الحکم العقلی؛لأنّه من الأدلّة اللبّیّة،و الإطلاق من أوصاف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اجیب عن هذا الإیراد بأنّ المراد هو التمسّک بالإطلاق الموجود فی أدلّة أخبار الاحتیاط،لکن هذا الجواب مخالف لصریح عبارة الشیخ،فراجع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الإیراد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الرجوع إلی الإطلاق إنّما یصحّ لدفع القیود التی کانت فی مرتبة المقیّد،مع أنّ الابتلاء بحکم العقل و العرف من شرائط تنجّز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التمسّک بالإطلاق إنّما هو فی مرتبة الإنشاء،و بعد تمامیّة هذین الإیرادین ینتج أنّ التمسّک بالإطلاق غیر تامّ جدّا،و الصحیح هو التمسّک بما ذهب إلیه النائینی من کونه شکّا فی المسقط،و عدم إیراد المحقّق الکاظمی علیه کما سبق تفصیله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الابتلاء من شرائط تنجّز التکلیف،فما هو المعنی لوجود التکلیف عند الشکّ فی الشرط؟</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مسلّم؛فإنّ المشروط ینتفی عند انتفاء الشرط،و مشکوک عند الشکّ فی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لا ندّعی أنّ التکلیف المشروط بهذا الشرط موجود،بل حکم العقل بلزوم الاحتیاط موجود فی فرض العلم بالملاک،و هذا غیر مشروط بالتنجّز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من جمیع ما ذکرنا فی هذا المقام أنّ المرجع عند الشکّ هو الاحتیاط؛ من باب أنّ الشکّ شکّ فی المسقط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مجری الاحتیاط،و لا تصل النوبة إلی جریان البراءة</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الحمد للّه أوّلا و آخرا و ظاهرا و باطنا سنة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الهجرة النبویّة</w:t>
      </w:r>
      <w:bookmarkStart w:id="367" w:name="pg5439_46835"/>
    </w:p>
    <w:p>
      <w:pPr>
        <w:pStyle w:val="Heading2"/>
        <w:numPr>
          <w:ilvl w:val="1"/>
          <w:numId w:val="1"/>
        </w:numPr>
        <w:rPr/>
      </w:pPr>
      <w:bookmarkStart w:id="368" w:name="__RefHeading___Toc1856108_581953129"/>
      <w:bookmarkStart w:id="369" w:name="_Toc139"/>
      <w:bookmarkEnd w:id="367"/>
      <w:bookmarkEnd w:id="368"/>
      <w:r>
        <w:rPr>
          <w:rtl w:val="true"/>
        </w:rPr>
        <w:t>رسالة فی نظریّة العدالة فی الحکومة الإسلامیّة و ولایة الفقیه</w:t>
      </w:r>
      <w:bookmarkEnd w:id="369"/>
    </w:p>
    <w:p>
      <w:pPr>
        <w:pStyle w:val="Heading3"/>
        <w:numPr>
          <w:ilvl w:val="2"/>
          <w:numId w:val="1"/>
        </w:numPr>
        <w:rPr/>
      </w:pPr>
      <w:bookmarkStart w:id="370" w:name="__RefHeading___Toc1856110_581953129"/>
      <w:bookmarkStart w:id="371" w:name="_Toc140"/>
      <w:bookmarkEnd w:id="370"/>
      <w:r>
        <w:rPr>
          <w:rtl w:val="true"/>
        </w:rPr>
        <w:t>اشارة</w:t>
      </w:r>
      <w:bookmarkEnd w:id="371"/>
    </w:p>
    <w:p>
      <w:pPr>
        <w:pStyle w:val="BookText"/>
        <w:rPr/>
      </w:pPr>
      <w:r>
        <w:rPr>
          <w:rFonts w:ascii="IRNazanin" w:hAnsi="IRNazanin" w:eastAsia="IRNazanin"/>
          <w:color w:val="111111"/>
          <w:sz w:val="28"/>
          <w:sz w:val="28"/>
          <w:szCs w:val="28"/>
          <w:rtl w:val="true"/>
          <w:lang w:bidi="fa-IR"/>
        </w:rPr>
        <w:t xml:space="preserve">و قد ألّفت فی سنة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بمناسبة مؤتمر الإمام الخمینی قدّس سرّه و الفکرة و رویّة الحکومة الإسلامیّة</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کانت هذه الرسالة باللغة الفارسیّة بقلم المؤلّف حفظه اللّه و قد نقلت إلی اللغة العربیّة</w:t>
      </w:r>
      <w:bookmarkStart w:id="372" w:name="pg5439_46837"/>
    </w:p>
    <w:p>
      <w:pPr>
        <w:pStyle w:val="BookText"/>
        <w:rPr/>
      </w:pPr>
      <w:bookmarkEnd w:id="372"/>
      <w:r>
        <w:rPr>
          <w:rFonts w:ascii="Amiri" w:hAnsi="Amiri" w:eastAsia="Amiri" w:cs="Amiri"/>
          <w:color w:val="111111"/>
          <w:sz w:val="28"/>
          <w:sz w:val="28"/>
          <w:szCs w:val="28"/>
          <w:rtl w:val="true"/>
          <w:lang w:bidi="ar-SA"/>
        </w:rPr>
        <w:t>بِسْمِ اللّهِ الرَّحْمنِ الرَّحِیمِ</w:t>
      </w:r>
    </w:p>
    <w:p>
      <w:pPr>
        <w:pStyle w:val="Heading3"/>
        <w:numPr>
          <w:ilvl w:val="2"/>
          <w:numId w:val="1"/>
        </w:numPr>
        <w:rPr/>
      </w:pPr>
      <w:bookmarkStart w:id="373" w:name="__RefHeading___Toc1856112_581953129"/>
      <w:bookmarkStart w:id="374" w:name="_Toc141"/>
      <w:bookmarkEnd w:id="373"/>
      <w:r>
        <w:rPr>
          <w:rtl w:val="true"/>
        </w:rPr>
        <w:t>تمهید</w:t>
      </w:r>
      <w:bookmarkEnd w:id="374"/>
    </w:p>
    <w:p>
      <w:pPr>
        <w:pStyle w:val="BookText"/>
        <w:rPr/>
      </w:pPr>
      <w:r>
        <w:rPr>
          <w:rFonts w:ascii="IRNazanin" w:hAnsi="IRNazanin" w:eastAsia="IRNazanin"/>
          <w:color w:val="111111"/>
          <w:sz w:val="28"/>
          <w:sz w:val="28"/>
          <w:szCs w:val="28"/>
          <w:rtl w:val="true"/>
          <w:lang w:bidi="fa-IR"/>
        </w:rPr>
        <w:t xml:space="preserve">إنّ بالإمکان دراسة مشروعیّة </w:t>
      </w:r>
      <w:r>
        <w:rPr>
          <w:rStyle w:val="FootnoteAnchor"/>
          <w:rtl w:val="true"/>
        </w:rPr>
        <w:footnoteReference w:id="519"/>
      </w:r>
      <w:r>
        <w:rPr>
          <w:rFonts w:ascii="IRNazanin" w:hAnsi="IRNazanin" w:eastAsia="IRNazanin"/>
          <w:color w:val="111111"/>
          <w:sz w:val="28"/>
          <w:sz w:val="28"/>
          <w:szCs w:val="28"/>
          <w:rtl w:val="true"/>
          <w:lang w:bidi="fa-IR"/>
        </w:rPr>
        <w:t>فی لزوم إقامة الحکومة الإسلامیّة تحت زعامة الفقیه الجامع للشرائط من أبعاد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ذهب بعض فقهاء الإمامیّة إلی إثبات الحکومة الإسلامیّة و ولایة الفقیه عن طریق الحسبة،أو تحت عنوان الأمر بالمعروف؛من جهة أنّ الحکومة الإسلامیّة أعلی و أسمی أشکال المعروف </w:t>
      </w:r>
      <w:r>
        <w:rPr>
          <w:rStyle w:val="FootnoteAnchor"/>
          <w:rtl w:val="true"/>
        </w:rPr>
        <w:footnoteReference w:id="520"/>
      </w:r>
      <w:r>
        <w:rPr>
          <w:rFonts w:ascii="IRNazanin" w:hAnsi="IRNazanin" w:eastAsia="IRNazanin"/>
          <w:color w:val="111111"/>
          <w:sz w:val="28"/>
          <w:sz w:val="28"/>
          <w:szCs w:val="28"/>
          <w:rtl w:val="true"/>
          <w:lang w:bidi="fa-IR"/>
        </w:rPr>
        <w:t xml:space="preserve">،و ذهب البعض الآخر إلی إثباتها عن طریق العقل،أو الدلیل التلفیقی من العقل و النقل علی أساس ضرورة وجود الحاکم لحفظ نظام المجتمع و معیشة الناس،و القدر المتیقّن فی سماة الحاکم أن یکون فقیها عارفا بأحکام الإسلام و أبعاده المختلفة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هذا المقال تحرّکنا من زاویة اخری لإثبات مشروعیّة الحکومة</w:t>
      </w:r>
    </w:p>
    <w:p>
      <w:pPr>
        <w:pStyle w:val="BookText"/>
        <w:rPr/>
      </w:pPr>
      <w:r>
        <w:rPr>
          <w:rFonts w:ascii="IRNazanin" w:hAnsi="IRNazanin" w:eastAsia="IRNazanin"/>
          <w:color w:val="111111"/>
          <w:sz w:val="28"/>
          <w:sz w:val="28"/>
          <w:szCs w:val="28"/>
          <w:rtl w:val="true"/>
          <w:lang w:bidi="fa-IR"/>
        </w:rPr>
        <w:t>الإسلامیّة إجمالا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 مشروعیّة،بل ضرورة ولایة الفقیه من منهج آخر علی نحو الإجمال،رغم أنّ الدراسة الفقهیّة الدقیقة و المستوعبة بحاجة إلی مجال أوسع و تدبّر 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تمّت الإشارة إلی هذا المنهج فی کلمات الإمام الخمینی قدّس سرّه بنحو الإجمال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عملیّة إثبات مشروعیّة ولایة الفقیه بهذا المنهج،لا نجد أنفسنا بحاجة إلی الاستدلال بأدلّة الحسبة،أو أدلّة الأمر بالمعروف و النهی عن المنکر،أو روایات بحث ولایة الفقیه من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العلماء ورثة الأنبیاء </w:t>
      </w:r>
      <w:r>
        <w:rPr>
          <w:rStyle w:val="FootnoteAnchor"/>
          <w:rtl w:val="true"/>
        </w:rPr>
        <w:footnoteReference w:id="523"/>
      </w:r>
      <w:r>
        <w:rPr>
          <w:rFonts w:ascii="IRNazanin" w:hAnsi="IRNazanin" w:eastAsia="IRNazanin"/>
          <w:color w:val="111111"/>
          <w:sz w:val="28"/>
          <w:sz w:val="28"/>
          <w:szCs w:val="28"/>
          <w:rtl w:val="true"/>
          <w:lang w:bidi="fa-IR"/>
        </w:rPr>
        <w:t xml:space="preserve">،أو العلماء أمناء الرّسل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لیس من اللازم أیضا التمسّک لإثبات أصل الولایة بهذا المنهج بمقبولة عمر بن حنظلة </w:t>
      </w:r>
      <w:r>
        <w:rPr>
          <w:rStyle w:val="FootnoteAnchor"/>
          <w:rtl w:val="true"/>
        </w:rPr>
        <w:footnoteReference w:id="525"/>
      </w:r>
      <w:r>
        <w:rPr>
          <w:rFonts w:ascii="IRNazanin" w:hAnsi="IRNazanin" w:eastAsia="IRNazanin"/>
          <w:color w:val="111111"/>
          <w:sz w:val="28"/>
          <w:sz w:val="28"/>
          <w:szCs w:val="28"/>
          <w:rtl w:val="true"/>
          <w:lang w:bidi="fa-IR"/>
        </w:rPr>
        <w:t xml:space="preserve">،و التوقیع الشریف لإمام العصر </w:t>
      </w:r>
      <w:r>
        <w:rPr>
          <w:rStyle w:val="FootnoteAnchor"/>
          <w:rtl w:val="true"/>
        </w:rPr>
        <w:footnoteReference w:id="526"/>
      </w:r>
      <w:r>
        <w:rPr>
          <w:rFonts w:ascii="IRNazanin" w:hAnsi="IRNazanin" w:eastAsia="IRNazanin"/>
          <w:color w:val="111111"/>
          <w:sz w:val="28"/>
          <w:sz w:val="28"/>
          <w:szCs w:val="28"/>
          <w:rtl w:val="true"/>
          <w:lang w:bidi="fa-IR"/>
        </w:rPr>
        <w:t>علیه السّلام؛لأنّ هذا المنهج یقوم علی قاعدة متماسکة للکثیر من محکمات القرآن الکریم،و الروایات المعتبرة التی سوف یشار إلیها لاحقا</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هذا المنهج نلاحظ هامشیّة إلغاء مسألة لزوم بیعة الناس مع الفقیه،فی حین أنّ المناهج الاخر تأخذ بنظر الاعتبار الحاجة إلی البیعة فی مسألة إثبات ولایة 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یتلخّص هذا المنهج فی نقاط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الهدف الأساسی لبیان الأحکام،و إیجاد الأدیان،و إرسال الأنبیاء علیهم السّلام،و إنزال الکتب السماویّة،عبارة عن تحقّق العدالة بمعناها الأوسع،الذی سوف یأتی الحدیث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تحقّق العدالة واجب فی دائرة العقل،و القرآن،و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جعل الولایة للأنبیاء و المرسلین علیهم السّلام لیس من جهة أنّ الشارع المقدّس أراد إعطاء القدرة الظاهریّة لهم،بل من أجل تحقّق العدل بمعناه الواسع بین الناس </w:t>
      </w:r>
      <w:r>
        <w:rPr>
          <w:rStyle w:val="FootnoteAnchor"/>
          <w:rtl w:val="true"/>
        </w:rPr>
        <w:footnoteReference w:id="5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فالشارع جعل الولایة للأنبیاء علیهم السّلام،و خاصّة النبیّ الأکرم صلّی اللّه علیه و اله من حیث ارتباطهم بمصدر الوحی النورانیّ،وصلتهم الوثیقة بالتعالیم السماویّة،فکانوا أوثق الناس،و أعرفهم بعملیّة تلقّی الوحی،و تطبیقه فی حرکة الواقع الاجتماعی،و إلاّ فمع قطع النظر عن هذه الجهة،لا یمکن تصویر وجه صحیح لهذا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یستفاد من الروایات التی تقرّر بأنّ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 ورثة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امناء الرّسل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المنصب قد جعله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للفقهاء الجامعین للشرائط، و مع الأخذ بنظر الاعتبار أنّ تحقّق العدالة لا یختصّ بالأنبیاء و الأئمّة المعصومین علیهم السّلام،بل یشمل کلّ من له معرفة جیّدة بالعدالة من خلال الارتباط بالقرآن،و السنّة الشریفة،و بالتالی من وجوب تحقّق العدالة یتبیّن حینئذ لزوم ولایة هذه الفئة علی الناس،و سیتمّ توضیح هذا المطلب أکثر فیما بعد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الفقیه الجامع للشرائط یستطیع تحقّق العدالة بمعناها الواقعی فی المجتمع، حیث نعتقد بأنّ أعرف الناس بحقیقة العدالة،و أبعادها،و جزئیّاتها،هم المتعمّقون فی الدّین،و المحقّقون فی کتاب اللّه و سنّة نبیّه الکریم صلّی اللّه علیه و اله،و هذا المعنی یتجسّد فی</w:t>
      </w:r>
      <w:bookmarkStart w:id="375" w:name="pg5439_46840"/>
    </w:p>
    <w:p>
      <w:pPr>
        <w:pStyle w:val="BookText"/>
        <w:rPr/>
      </w:pPr>
      <w:bookmarkEnd w:id="375"/>
      <w:r>
        <w:rPr>
          <w:rFonts w:ascii="IRNazanin" w:hAnsi="IRNazanin" w:eastAsia="IRNazanin"/>
          <w:color w:val="111111"/>
          <w:sz w:val="28"/>
          <w:sz w:val="28"/>
          <w:szCs w:val="28"/>
          <w:rtl w:val="true"/>
          <w:lang w:bidi="fa-IR"/>
        </w:rPr>
        <w:t>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الإمام الخمینی قدّس سرّه یقرّر هذا المعنی فی خطبته بتاریخ </w:t>
      </w:r>
      <w:r>
        <w:rPr>
          <w:rFonts w:eastAsia="IRNazanin" w:cs="IRNazanin"/>
          <w:color w:val="111111"/>
          <w:sz w:val="28"/>
          <w:szCs w:val="28"/>
          <w:lang w:bidi="fa-IR"/>
        </w:rPr>
        <w:t>1365/6/2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المطابق لسنة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ق،بمناسبة عید الغدیر 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بأنّه لا أحد بعد رسول اللّه صلّی اللّه علیه و اله بإمکان تحقّق العدالة بما فی الکلمة من معنی،و بالصورة المطلوبة،فأمر رسوله الکریم صلّی اللّه علیه و اله بأن ینصب لذلک من یتمتّع بالقدرة الکافیة لتحقّق العدالة بجمیع معانیها فی المجتمع، و تکون حکومته حکومة إلهیّة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یتبیّن من هذا المقطع من کلام الإمام أنّ فلسفة الغدیر و الغایة المهمّة من نصب الإمام علیه السّلام هی إقامة العدل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ما جعل أساس الإمامة ضروریّا فی الإسلام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الشخص الوحید القادر علی تحقّق العدالة بمعناها الواقعی فی المجتمع هو الإمام علیه السّلام؛لأنّ العدالة فی مفهومها و تعریفها هی وضع الشیء فی موضعه،و هذا المفهوم الواسع للعدالة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الشامل لجمیع الأبعاد الوجودیّة للإنسان،و جمیع موجودات العالم،و ارتباط الإنسان مع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یعلمه سوی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الإمام المعصوم علیه السّلام و من خلال العلم الواسع الذی أودعه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یمکنه تبیین العدالة للمجتمع الإنسانی،و بالتالی العمل علی تحقّقها</w:t>
      </w:r>
      <w:r>
        <w:rPr>
          <w:rFonts w:eastAsia="IRNazanin" w:cs="IRNazanin"/>
          <w:color w:val="111111"/>
          <w:sz w:val="28"/>
          <w:szCs w:val="28"/>
          <w:rtl w:val="true"/>
          <w:lang w:bidi="fa-IR"/>
        </w:rPr>
        <w:t>.</w:t>
      </w:r>
    </w:p>
    <w:p>
      <w:pPr>
        <w:pStyle w:val="Heading3"/>
        <w:numPr>
          <w:ilvl w:val="2"/>
          <w:numId w:val="1"/>
        </w:numPr>
        <w:rPr/>
      </w:pPr>
      <w:bookmarkStart w:id="376" w:name="__RefHeading___Toc1856114_581953129"/>
      <w:bookmarkStart w:id="377" w:name="_Toc142"/>
      <w:bookmarkEnd w:id="376"/>
      <w:r>
        <w:rPr>
          <w:rtl w:val="true"/>
        </w:rPr>
        <w:t>المراد من العدالة</w:t>
      </w:r>
      <w:bookmarkEnd w:id="377"/>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المراد من العدالة فی هذا البحث لیس هی الملکة النفسانیّة التی تعدّ إحدی فضائل النفس،بل أکمل فضائلها،و التی تقع مورد البحث الفقهی،و تعتبر شرطا فی</w:t>
      </w:r>
    </w:p>
    <w:p>
      <w:pPr>
        <w:pStyle w:val="BookText"/>
        <w:rPr/>
      </w:pPr>
      <w:r>
        <w:rPr>
          <w:rFonts w:ascii="IRNazanin" w:hAnsi="IRNazanin" w:eastAsia="IRNazanin"/>
          <w:color w:val="111111"/>
          <w:sz w:val="28"/>
          <w:sz w:val="28"/>
          <w:szCs w:val="28"/>
          <w:rtl w:val="true"/>
          <w:lang w:bidi="fa-IR"/>
        </w:rPr>
        <w:t>إمام الجماعة،أو الجمعة،أو الشاهد،و أمثال ذلک،کما أنّ المراد منها لیس هو المفهوم من العدالة فی دائرة الصفات الإلهیّة؛أنّه تعالی لا یظلم أحدا إطلاقا فی جمیع الظروف،بل یجازی کلّ إنسان بعمله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فالمراد من العدالة فی هذا البحث هو معنی ثالث،و یمکن التعبیر عنه بعنوان العدالة الاجتماعیّة بالمعنی الذی نطرحه فیما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یخطر إلی الذهن فی البدایة،المعنی المحدود لهذه الکلمة؛و هو لزوم مراعاة العدالة الاقتصادیّة فی طبقات المجتمع،حیث یقوم الحاکم أو القائد بتوزیع المنابع المالیّة،و القدرات الاقتصادیّة الموجودة فی المجتمع علی أفراده بشکل صحیح و منطقیّ،لا أن تجتمع الثروات بید فئة معیّنة أو شخص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بعد التأمّل و الدقّة فی مفهوم العدالة نجد أنّه بإمکاننا توسعة هذا المفهوم إلی أفق أسمی لا یقتصر علی المسائل الاقتصادیّة و المالیّة فی المجتمع،بل یستوعب جمیع الأبعاد الموجودة فی المجتمع البشری،و جمیع العلاقات المرسومة بین أفراد البشر،بل بین الإنسان و غیره أیضا؛لأنّه بالعدل قامت السماوات و الأرض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العدالة الاجتماعیّة بهذا المعنی الشامل،تستوعب جمیع الحقوق الفردیّة، و الاجتماعیّة للإنسان،و جمیع أشکال الحقوق المعتبرة للإنسان،فیدخل فی هذه الدائرة حقوق الأدیان،و المذاهب،و القومیّات،و جمیع الحقوق التی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الإنسان،و المجتمع الإنسانی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تشمل جمیع امور الإنسان بصورة کاملة؛ سواء فی الامور العبادیّة،و السیاسیّة،و الاقتصادیّة،و الاجتماعیّة و أمثال ذلک</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العدالة الاجتماعیّة بمعناها الواسع عبارة عن رعایة جمیع ما ینبغی و ما لا ینبغی فی جمیع أبعاد الإنسان،و المجتمع الإنسانی،و حتّی خالق</w:t>
      </w:r>
    </w:p>
    <w:p>
      <w:pPr>
        <w:pStyle w:val="BookText"/>
        <w:rPr/>
      </w:pPr>
      <w:r>
        <w:rPr>
          <w:rFonts w:ascii="IRNazanin" w:hAnsi="IRNazanin" w:eastAsia="IRNazanin"/>
          <w:color w:val="111111"/>
          <w:sz w:val="28"/>
          <w:sz w:val="28"/>
          <w:szCs w:val="28"/>
          <w:rtl w:val="true"/>
          <w:lang w:bidi="fa-IR"/>
        </w:rPr>
        <w:t>الإنسان،و مع تحقّق هذه العدالة یتحرّک جمیع أفراد البشر فی المسار الصحیح فی دائرة العقیدة و الممارسة إلی درجة أنّ کلّ فرد و کلّ موجود ینال نصیبه المقرّر له من الکمال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أمیر المؤمنین علیه السّلام فی توضیح المراد من الآیة الشریفة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یَأْمُرُ بِالْعَدْلِ وَ الْإِحْسانِ </w:t>
      </w:r>
      <w:r>
        <w:rPr>
          <w:rStyle w:val="FootnoteAnchor"/>
          <w:rtl w:val="true"/>
        </w:rPr>
        <w:footnoteReference w:id="530"/>
      </w:r>
      <w:r>
        <w:rPr>
          <w:rFonts w:ascii="IRNazanin" w:hAnsi="IRNazanin" w:eastAsia="IRNazanin"/>
          <w:color w:val="111111"/>
          <w:sz w:val="28"/>
          <w:sz w:val="28"/>
          <w:szCs w:val="28"/>
          <w:rtl w:val="true"/>
          <w:lang w:bidi="fa-IR"/>
        </w:rPr>
        <w:t>العدل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التفضّل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یقول الفیلسوف الخواجة نصیر الدّین الطوسی فی شرحه لکلام أرسطو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الحکیم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أرسطو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العدالة إلی ثلاثة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یکون مقتضی حقّ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الناس باعتباره واهب الخیرات،و مفیض الکرامات،بل سبب الوجود،و سبب کلّ نعمة تلحق بالوجود، و العدالة فی هذا القسم تقتضی أن یقوم العبد ببذل الجهد لرعایة حقّ المولی بقدر الوسع و الطاقة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یکون مقتضی حقّ أبناء النوع علی الإنسان من لزوم تعظیم الرؤساء،و أداء الأمانات،و الإنصاف فی المعاملات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العدالة فی رعایة حقوق الأسلاف؛من قبیل قضاء الدیون،و إنفاذ الوصایا،و ما علیهم من الحقوق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نلاحظ فی هذا الصدد أنّ المنادین بحقوق الإنسان بإمکانهم درک المعنی المحدود للعدالة الاجتماعیّة،و بعد معرفة حدودها و مواردها فی هذا الإطار المحدود یتحرّکون فی دائرة ترجمتها علی أرض الواقع العملی،إلاّ أنّهم لا یتمکّنون من درک العدالة الاجتماعیّة بالمعنی الصحیح و الواسع إطلاقا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الحال أنّ هذا النحو من الإدراک و الفهم لمتطلّبات العدالة یتوقّف قطعا علی الوحی الإلهی،و المعرفة الصحیحة لمفاهیم و علوم القرآن و التعالیم الإلهیّة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فالعدالة الاجتماعیّة بمعناها الواسع لا یمکن معرفتها،و إدراک مدیاتها القصّیة إلاّ بمعونة الوحی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یتسنّی لأحد معرفة حقوق الخالق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 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الإنسان،مع قطع النظر عن الوحی و التعالیم الإلهیّة؟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یتمکّن الإنسان من التوصّل إلی معرفة حقوق المذاهب،و الأقلّیات الدینیّة،و معارف الأدیان من دون الاتّصال بنور الوحی؟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یستطیع أفراد البشر،و علماء الحقوق و القانون إدراک العقوبات، و المقرّرات الجزائیّة المترتّبة علی تخلّفات الإنسان فی الدائرة الجزائیّة و القانونیّة، بدون الاستمداد من القرآن و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الأهمّ من ذلک کلّه،هل یمکن معرفة حدود اختیارات الإنسان، و المساحات المسموحة لحریّته من دون الاسترفاد من هذا المنهل الإلهی الفیّاض؟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یمکن معرفة حقوق الإنسان علی أبناء نوعه،من خلال الفکر المحدود و العقل الناقص للإنسان؟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الإنسان المعاصر عاجز حتّی من بیان و معرفة الحقوق الابتدائیّة للوالدین علی الأبناء</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هذا یتّضح أنّ المبیّن و المعرّف لهذه العدالة الاجتماعیّة لیس سوی الوحی فحسب،و المبیّن لهذه العدالة من أفراد البشر لا بدّ أن یکون علی صلة بالوحی، کالأنبیاء علیهم السّلام،أو علی معرفة دقیقة به کالأئمّة المعصومین علیهم السّلام</w:t>
      </w:r>
      <w:r>
        <w:rPr>
          <w:rFonts w:eastAsia="IRNazanin" w:cs="IRNazanin"/>
          <w:color w:val="111111"/>
          <w:sz w:val="28"/>
          <w:szCs w:val="28"/>
          <w:rtl w:val="true"/>
          <w:lang w:bidi="fa-IR"/>
        </w:rPr>
        <w:t>.</w:t>
      </w:r>
      <w:bookmarkStart w:id="378" w:name="pg5439_46844"/>
    </w:p>
    <w:p>
      <w:pPr>
        <w:pStyle w:val="Heading3"/>
        <w:numPr>
          <w:ilvl w:val="2"/>
          <w:numId w:val="1"/>
        </w:numPr>
        <w:rPr/>
      </w:pPr>
      <w:bookmarkStart w:id="379" w:name="__RefHeading___Toc1856116_581953129"/>
      <w:bookmarkStart w:id="380" w:name="_Toc143"/>
      <w:bookmarkEnd w:id="378"/>
      <w:bookmarkEnd w:id="379"/>
      <w:r>
        <w:rPr>
          <w:rtl w:val="true"/>
        </w:rPr>
        <w:t>وجوب تحقّق العدالة</w:t>
      </w:r>
      <w:bookmarkEnd w:id="380"/>
    </w:p>
    <w:p>
      <w:pPr>
        <w:pStyle w:val="BookText"/>
        <w:rPr/>
      </w:pPr>
      <w:r>
        <w:rPr>
          <w:rFonts w:ascii="IRNazanin" w:hAnsi="IRNazanin" w:eastAsia="IRNazanin"/>
          <w:color w:val="111111"/>
          <w:sz w:val="28"/>
          <w:sz w:val="28"/>
          <w:szCs w:val="28"/>
          <w:rtl w:val="true"/>
          <w:lang w:bidi="fa-IR"/>
        </w:rPr>
        <w:t>إنّ أوّل سؤال یخطر فی الذهن بعد توضیح معنی العدالة،و یدعو الإنسان إلی التفکیر و التأمّل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الدلیل علی وجوب تحقّق مثل هذه العدالة؟و هل یجب إجراء العدالة بالمعنی الواسع فی المجتمع؟</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قد یتصوّر أنّ هذه العدالة بمعناها الواسع؛هی أمر مثالیّ لا یمکن ترجمته إلی أرض الواقع العملی،أو إذا أمکن ذلک،فیقتصر علی الممارسات الفردیّة فقط،و یکون أمرا جیّدا و محمودا،و لکن لا دلیل علی وجوب تحقّق هذه العدالة علی مستوی المجتمع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خاصّة فی زمن الغیبة،حیث یکون المجتمع محروما من حضور المعصوم علیه السّلام؛و هو العارف بالوحی واقعا</w:t>
      </w:r>
      <w:r>
        <w:rPr>
          <w:rFonts w:eastAsia="IRNazanin" w:cs="IRNazanin"/>
          <w:color w:val="111111"/>
          <w:sz w:val="28"/>
          <w:szCs w:val="28"/>
          <w:rtl w:val="true"/>
          <w:lang w:bidi="fa-IR"/>
        </w:rPr>
        <w:t>.</w:t>
      </w:r>
    </w:p>
    <w:p>
      <w:pPr>
        <w:pStyle w:val="Heading3"/>
        <w:numPr>
          <w:ilvl w:val="2"/>
          <w:numId w:val="1"/>
        </w:numPr>
        <w:rPr/>
      </w:pPr>
      <w:bookmarkStart w:id="381" w:name="__RefHeading___Toc1856118_581953129"/>
      <w:bookmarkStart w:id="382" w:name="_Toc144"/>
      <w:bookmarkEnd w:id="381"/>
      <w:r>
        <w:rPr>
          <w:rtl w:val="true"/>
        </w:rPr>
        <w:t>أدلّة وجوب تحقّق العدالة</w:t>
      </w:r>
      <w:bookmarkEnd w:id="382"/>
    </w:p>
    <w:p>
      <w:pPr>
        <w:pStyle w:val="Heading4"/>
        <w:numPr>
          <w:ilvl w:val="3"/>
          <w:numId w:val="1"/>
        </w:numPr>
        <w:rPr/>
      </w:pPr>
      <w:bookmarkStart w:id="383" w:name="__RefHeading___Toc1856120_581953129"/>
      <w:bookmarkStart w:id="384" w:name="_Toc145"/>
      <w:bookmarkEnd w:id="383"/>
      <w:r>
        <w:rPr>
          <w:rtl w:val="true"/>
        </w:rPr>
        <w:t>اشارة</w:t>
      </w:r>
      <w:bookmarkEnd w:id="384"/>
    </w:p>
    <w:p>
      <w:pPr>
        <w:pStyle w:val="BookText"/>
        <w:rPr/>
      </w:pPr>
      <w:r>
        <w:rPr>
          <w:rFonts w:ascii="IRNazanin" w:hAnsi="IRNazanin" w:eastAsia="IRNazanin"/>
          <w:color w:val="111111"/>
          <w:sz w:val="28"/>
          <w:sz w:val="28"/>
          <w:szCs w:val="28"/>
          <w:rtl w:val="true"/>
          <w:lang w:bidi="fa-IR"/>
        </w:rPr>
        <w:t>علی هذا الأساس لا بدّ من ذکر أدلّة وجوب تحقّق العدالة بمعناها الواسع</w:t>
      </w:r>
      <w:r>
        <w:rPr>
          <w:rFonts w:eastAsia="IRNazanin" w:cs="IRNazanin"/>
          <w:color w:val="111111"/>
          <w:sz w:val="28"/>
          <w:szCs w:val="28"/>
          <w:rtl w:val="true"/>
          <w:lang w:bidi="fa-IR"/>
        </w:rPr>
        <w:t>:</w:t>
      </w:r>
    </w:p>
    <w:p>
      <w:pPr>
        <w:pStyle w:val="Heading4"/>
        <w:numPr>
          <w:ilvl w:val="3"/>
          <w:numId w:val="1"/>
        </w:numPr>
        <w:rPr/>
      </w:pPr>
      <w:bookmarkStart w:id="385" w:name="__RefHeading___Toc1856122_581953129"/>
      <w:bookmarkStart w:id="386" w:name="_Toc146"/>
      <w:bookmarkEnd w:id="385"/>
      <w:r>
        <w:rPr>
          <w:rtl w:val="true"/>
        </w:rPr>
        <w:t>الدلیل الأوّل</w:t>
      </w:r>
      <w:r>
        <w:rPr>
          <w:rtl w:val="true"/>
        </w:rPr>
        <w:t>:</w:t>
      </w:r>
      <w:r>
        <w:rPr>
          <w:rtl w:val="true"/>
        </w:rPr>
        <w:t>العقل،بمراجعة العقل السلیم</w:t>
      </w:r>
      <w:bookmarkEnd w:id="386"/>
    </w:p>
    <w:p>
      <w:pPr>
        <w:pStyle w:val="BookText"/>
        <w:rPr/>
      </w:pPr>
      <w:r>
        <w:rPr>
          <w:rFonts w:ascii="IRNazanin" w:hAnsi="IRNazanin" w:eastAsia="IRNazanin"/>
          <w:color w:val="111111"/>
          <w:sz w:val="28"/>
          <w:sz w:val="28"/>
          <w:szCs w:val="28"/>
          <w:rtl w:val="true"/>
          <w:lang w:bidi="fa-IR"/>
        </w:rPr>
        <w:t>یتّضح أنّ العقل یری ضرورة تحقّق مثل هذه العدالة مع توفّر المقدّمات و الشروط؛لأنّ التخلّف عنها،و عدم التحرّک من أجل تنفیذها فی حرکة الحیاة یعتبر نوعا من الظلم،و الظلم قبیح بنظر العقل المستقلّ</w:t>
      </w:r>
      <w:r>
        <w:rPr>
          <w:rFonts w:eastAsia="IRNazanin" w:cs="IRNazanin"/>
          <w:color w:val="111111"/>
          <w:sz w:val="28"/>
          <w:szCs w:val="28"/>
          <w:rtl w:val="true"/>
          <w:lang w:bidi="fa-IR"/>
        </w:rPr>
        <w:t>.</w:t>
      </w:r>
    </w:p>
    <w:p>
      <w:pPr>
        <w:pStyle w:val="Heading4"/>
        <w:numPr>
          <w:ilvl w:val="3"/>
          <w:numId w:val="1"/>
        </w:numPr>
        <w:rPr/>
      </w:pPr>
      <w:bookmarkStart w:id="387" w:name="__RefHeading___Toc1856124_581953129"/>
      <w:bookmarkStart w:id="388" w:name="_Toc147"/>
      <w:bookmarkEnd w:id="387"/>
      <w:r>
        <w:rPr>
          <w:rtl w:val="true"/>
        </w:rPr>
        <w:t>الدلیل الثانی</w:t>
      </w:r>
      <w:r>
        <w:rPr>
          <w:rtl w:val="true"/>
        </w:rPr>
        <w:t>:</w:t>
      </w:r>
      <w:r>
        <w:rPr>
          <w:rtl w:val="true"/>
        </w:rPr>
        <w:t>القرآن،لقد تمّ التأکید فی موارد کثیرة من القرآن الکریم</w:t>
      </w:r>
      <w:bookmarkEnd w:id="388"/>
    </w:p>
    <w:p>
      <w:pPr>
        <w:pStyle w:val="BookText"/>
        <w:rPr/>
      </w:pPr>
      <w:r>
        <w:rPr>
          <w:rFonts w:ascii="IRNazanin" w:hAnsi="IRNazanin" w:eastAsia="IRNazanin"/>
          <w:color w:val="111111"/>
          <w:sz w:val="28"/>
          <w:sz w:val="28"/>
          <w:szCs w:val="28"/>
          <w:rtl w:val="true"/>
          <w:lang w:bidi="fa-IR"/>
        </w:rPr>
        <w:t>علی لزوم إجراء العدالة،بل یستفاد من الآیات الشریفة أنّ الهدف من نصب الخلفاء علیهم السّلام،و إرسال الرسل و الأنبیاء علیهم السّلام هو إجراء العدالة و الحکم بالحقّ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هذا المجال نلفت النظر إلی عدّة آیات قرآنیّة تقرّر هذا المطلب</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یَأْمُرُ بِالْعَدْلِ وَ الْإِحْسانِ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هذه الآیة الشریفة یأمر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بالعدالة بشکل مطلق و کلّی،و من الواضح أنّ المقصود من العدل و العدالة هنا لیس هو المحدود فی دائرة الامور المالیّة و الاقتصادیّة،بل المقصود هو العدل فی جمیع الامور،فالعدل بمعناه الواسع هو المراد للّه تعالی،و یستفاد الوجوب من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بصورة جیّدة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 العلماء ذهب فی تفسیر الآیة الشریفة إلی أنّ المراد بالعدل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أداء الواجبات،و المراد بالإحسان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الإتیان بالمستحبّات </w:t>
      </w:r>
      <w:r>
        <w:rPr>
          <w:rStyle w:val="FootnoteAnchor"/>
          <w:rtl w:val="true"/>
        </w:rPr>
        <w:footnoteReference w:id="534"/>
      </w:r>
      <w:r>
        <w:rPr>
          <w:rFonts w:ascii="IRNazanin" w:hAnsi="IRNazanin" w:eastAsia="IRNazanin"/>
          <w:color w:val="111111"/>
          <w:sz w:val="28"/>
          <w:sz w:val="28"/>
          <w:szCs w:val="28"/>
          <w:rtl w:val="true"/>
          <w:lang w:bidi="fa-IR"/>
        </w:rPr>
        <w:t>،بینما ذهب آخرون إلی أنّ العدل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التوحید،و الإحسان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أداء الأعمال الواجبة </w:t>
      </w:r>
      <w:r>
        <w:rPr>
          <w:rStyle w:val="FootnoteAnchor"/>
          <w:rtl w:val="true"/>
        </w:rPr>
        <w:footnoteReference w:id="5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ذهب فریق ثالث إلی أنّ العدل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تناغم الظاهر مع الباطن،و الإحسان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أن یکون باطن الشخص أفضل من ظاهره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بما أنّ الآیة الشریفة لم تحدّد المراد من العدالة فی أیّ من هذه المعانی المذکورة،فیستفاد أنّ مقصود الآیة هی العدالة بمعناها الواسع کما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الملاحظة التی تستدعی التدبّر فی الآیة الشریفة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المستفاد من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الوجوب التکلیفی،أو الوجوب الإرشادی؟</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 المحتمل أن یکون الأمر الإلهی فی هذه الآیة الشریفة أمرا إرشادیّا،و خاصّة إذا أخذنا بتفسیر العدل علی أساس أنّه أداء الواجبات،فمن الواضح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أداء الواجبات لا یمکن أن یکون أمرا تکلیفیّا،بل هو أمر إرشادیّ</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الجواب عن ذلک یمکن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الدقّة فی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تستدعی الوجوب التکلیفیّ،و لا أقلّ من الوجوب بالمعنی الأعمّ من التکلیفی و الإرشادی؛ یعنی أنّ أحد الواجبات الشرعیّة و الإلهیّة،إیجاد العدالة و تحقّقها فی المجتمع</w:t>
      </w:r>
    </w:p>
    <w:p>
      <w:pPr>
        <w:pStyle w:val="BookText"/>
        <w:rPr/>
      </w:pPr>
      <w:r>
        <w:rPr>
          <w:rFonts w:ascii="IRNazanin" w:hAnsi="IRNazanin" w:eastAsia="IRNazanin"/>
          <w:color w:val="111111"/>
          <w:sz w:val="28"/>
          <w:sz w:val="28"/>
          <w:szCs w:val="28"/>
          <w:rtl w:val="true"/>
          <w:lang w:bidi="fa-IR"/>
        </w:rPr>
        <w:t>البشری،و الأشخاص القادرون علی امتثال هذا الأمر الإلهی،و هم لا یذعنون له یستحقّون العقاب،و مجرّد درک العقل لوجوب إجراء العدالة لا یلازم کون الأمر بها إرشادیّا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الملاحظة الاخری فی هذه الآیة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الآیة الشریفة تتضمّن تکلیفا مهمّا للأفراد و المجتمع،و لیست فی مقام الإخبار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الجملة فی الآیة لیست جملة إخباریّة،بل هی فی مقام الإنشاء،أمّا الاحتمال الذی طرحه البعض فی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الناس مسلّطون علی أموالهم </w:t>
      </w:r>
      <w:r>
        <w:rPr>
          <w:rStyle w:val="FootnoteAnchor"/>
          <w:rtl w:val="true"/>
        </w:rPr>
        <w:footnoteReference w:id="537"/>
      </w:r>
      <w:r>
        <w:rPr>
          <w:rFonts w:ascii="IRNazanin" w:hAnsi="IRNazanin" w:eastAsia="IRNazanin"/>
          <w:color w:val="111111"/>
          <w:sz w:val="28"/>
          <w:sz w:val="28"/>
          <w:szCs w:val="28"/>
          <w:rtl w:val="true"/>
          <w:lang w:bidi="fa-IR"/>
        </w:rPr>
        <w:t xml:space="preserve">من أنّ هذه العبارة خبریّة،و لا دلالة لها إطلاقا علی الحکم </w:t>
      </w:r>
      <w:r>
        <w:rPr>
          <w:rStyle w:val="FootnoteAnchor"/>
          <w:rtl w:val="true"/>
        </w:rPr>
        <w:footnoteReference w:id="538"/>
      </w:r>
      <w:r>
        <w:rPr>
          <w:rFonts w:ascii="IRNazanin" w:hAnsi="IRNazanin" w:eastAsia="IRNazanin"/>
          <w:color w:val="111111"/>
          <w:sz w:val="28"/>
          <w:sz w:val="28"/>
          <w:szCs w:val="28"/>
          <w:rtl w:val="true"/>
          <w:lang w:bidi="fa-IR"/>
        </w:rPr>
        <w:t>،لا یرد فی هذه الآیة الشریفة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داوُدُ إِنّا جَعَلْناکَ خَلِیفَةً فِی الْأَرْضِ فَاحْکُمْ بَیْنَ النّاسِ بِالْحَقِّ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الآیة الشریفة التی ورد ذیلها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 التفریعیّة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تقرّر أنّ الحکم بین الناس بالحقّ هو أحد آثار و نتائج خلافة داود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بالحقّ هنا لا یقتصر علی مورد المنازعة و المخاصمة الجزئیّة،بل یشمل هدایة المجتمع و أفراد البشر إلی الحقّ و الکمال،و إیجاد الأرضیّة المساعدة لتعالی الإنسان و رشده المعنوی و الأخلاقی،بواسطة القوانین الإلهیّة،و تبیین کافّة الحقوق للفرد و المجتمع</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یَأْمُرُکُمْ أَنْ تُؤَدُّوا الْأَماناتِ إِلی أَهْلِها وَ إِذا حَکَمْتُمْ بَیْنَ النّاسِ أَنْ تَحْکُمُوا بِالْعَدْلِ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یستفاد من هذه الآیة الشریفة أنّ الحکم بالعدل بین الناس واجب،کما هو الحال فی وجوب ردّ الأمانة إلی أهلها،و یمکن أن یستشکل البعض بأنّ الحکم بالعدل فی هذه الآیة غیر مطلق،بل مقیّد بحدوث المنازعة بین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یمکن الجواب عن ذلک بأنّ کلمة الحکم بالعدل مطلقة؛أی کما أنّه شاملة لحکم القضاة،کذلک شاملة لحکم الولاة و الحکّام أیضا،کما ذهب إلی ذلک بعض المفسّرین صراحة </w:t>
      </w:r>
      <w:r>
        <w:rPr>
          <w:rStyle w:val="FootnoteAnchor"/>
          <w:rtl w:val="true"/>
        </w:rPr>
        <w:footnoteReference w:id="5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لیس الحکم بالعدل مقیّدا بحدوث النزاع، بل هو عنوان کلّی لبیان أنّ مطلوب الشارع المقدّس هو الحکم بالعدل بین الناس فی المجتمع الإسلامی،و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الحکم بالعدل فی هذه الآیة هو ما تقدّم فی الآیة السابقة من الحکم بالحقّ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کُونُوا قَوّامِینَ بِالْقِسْطِ شُهَداءَ لِلّهِ وَ لَوْ عَلی أَنْفُسِکُمْ أَوِ الْوالِدَیْنِ وَ الْأَقْرَبِینَ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هذه الآیة الشریفة یأمر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المؤمنین بالقیام لتحقّق القسط و العدل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صیغة مبالغة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 علی التأکید؛یعنی قوموا کرارا لتحقّق هذا الأمر،أو تدلّ علی أنّ الإتیان بهذه الفریضة مهمّ فی کلّ عصر و زمان،و فی مختلف الظروف و الأحوال</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هذا،فالآیة الشریفة تدلّ بوضوح علی أصل وجوب القیام بالقسط و العدل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هل أنّ القائم بذلک فی البدایة هم أفراد المجتمع،أو الأنبیاء و الأئمّة علیهم السّلام،و الفقهاء قدّس سرّهم،بحیث یترتّب علی بیان العدالة بواسطة الأفراد قیام المجتمع بالقسط؟فذلک بحث آخر سیأتی توضیحه</w:t>
      </w:r>
      <w:r>
        <w:rPr>
          <w:rFonts w:eastAsia="IRNazanin" w:cs="IRNazanin"/>
          <w:color w:val="111111"/>
          <w:sz w:val="28"/>
          <w:szCs w:val="28"/>
          <w:rtl w:val="true"/>
          <w:lang w:bidi="fa-IR"/>
        </w:rPr>
        <w:t>.</w:t>
      </w:r>
      <w:bookmarkStart w:id="389" w:name="pg5439_46848"/>
    </w:p>
    <w:p>
      <w:pPr>
        <w:pStyle w:val="Heading4"/>
        <w:numPr>
          <w:ilvl w:val="3"/>
          <w:numId w:val="1"/>
        </w:numPr>
        <w:rPr/>
      </w:pPr>
      <w:bookmarkStart w:id="390" w:name="__RefHeading___Toc1856126_581953129"/>
      <w:bookmarkStart w:id="391" w:name="_Toc148"/>
      <w:bookmarkEnd w:id="389"/>
      <w:bookmarkEnd w:id="390"/>
      <w:r>
        <w:rPr>
          <w:rtl w:val="true"/>
        </w:rPr>
        <w:t>الدلیل الثالث،الروایات</w:t>
      </w:r>
      <w:r>
        <w:rPr>
          <w:rtl w:val="true"/>
        </w:rPr>
        <w:t>:</w:t>
      </w:r>
      <w:r>
        <w:rPr>
          <w:rtl w:val="true"/>
        </w:rPr>
        <w:t>لقد ورد تقریر مسألة العدل بالمعنی المذکور</w:t>
      </w:r>
      <w:bookmarkEnd w:id="391"/>
    </w:p>
    <w:p>
      <w:pPr>
        <w:pStyle w:val="BookText"/>
        <w:rPr/>
      </w:pPr>
      <w:r>
        <w:rPr>
          <w:rFonts w:ascii="IRNazanin" w:hAnsi="IRNazanin" w:eastAsia="IRNazanin"/>
          <w:color w:val="111111"/>
          <w:sz w:val="28"/>
          <w:sz w:val="28"/>
          <w:szCs w:val="28"/>
          <w:rtl w:val="true"/>
          <w:lang w:bidi="fa-IR"/>
        </w:rPr>
        <w:t>و التأکید علیه فی الروایات الواردة عن أهل البیت علیهم السّلام،و فی نظرة سریعة یمکننا استخراج عناوین مهمّة منها لتقریر هذا المطلب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العدل و إقامة القسط یمثّل أساس الدّین إلی جانب 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ورد بهذا المعنی أحادیث متعدّدة،منها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أساس الدّین التوحید و العدل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هذا الأساس لو لم تؤخذ العدالة بنظر الاعتبار،أو لم یتمّ إیجادها فی المجتمع،فالدّین سوف یفقدر صیده علی مستوی التواجد،و الحضور فی الساحة الاجتماعیّة،و تحقّق الدّین و حضوره فی المجتمع مبتن علی أساس التوحید و العدل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هذا؛یعنی أنّ الحکومة الدینیّة إذا استطاعت إقامة العدل فی المجتمع،أمکنها أن تدّعی أنّ الدّین قائم و متحقّق فی 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الحکمة الأساسیّة للولایة و الإمامة هی إیجاد العدل و القسط بین الناس،فقد ورد فی بعض الروایات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یراد من الإمام قسطه و عدله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فهذا الحدیث الشریف یحصر الهدف من الإمامة و الولایة فی إقامة القسط و العدل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من العدل هذا هو جمیع أبعاده،و إلاّ فإنّ إیجاد العدالة فی موارد محدودة ممکن لغیر الإمام علیه السّلام أیضا،أمّا ما لا یقدر علیه سوی الإمام علیه السّلام،فهو تحقّق العدالة بالمعنی الواسع المذکور سابقا</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الأساس فی ولایة الوالی العادل هی إقامة الحقّ و إبطال الباطل، حیث نقرأ فی بعض الروایات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ولایة والی العدل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إحیاء کلّ حقّ و کلّ عدل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هو جدیر بالتأمّل فی هذه العبارة هو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إحیاء کلّ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بصیغة القضیّة العامّة،حیث یتمّ إحیاء کلّ حقّ و عدل ببرکة ولایة العادل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یتوهّم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الروایة تدلّ دلالة واضحة علی أنّ إقامة الحقّ،و حراسة الحقوق لجمیع الأفراد،و إیجاد العدل بجمیع معانیه،هی أحد شؤون الولایة و الإمامة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إیجاد العدالة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یعتبر علّة تامّة لتحقّق و مشروعیّة الإمامة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مقام الجواب یجب القول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یحتمل قویّا کون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الواردة فی هذه الروایة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أنّ هذا الأمر یتحقّق ببرکة ولایة والی العدل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فرض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 علی الظرفیّة فی هذه العبارة،إلاّ أنّه لا ملازمة بین وجوب إجراء العدالة،و بین کونها واقعة فی سلسلة المعالیل للإمامة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هی فی سلسلة العلل للإمامة،و الولایة تعتبر غایة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 الأساسی بین الولایة المباحة،و الولایة المحرّمة کامن فی هذا الأمر،فنری أنّ بعض الروایات تقرّر هذا المعنی بقوله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فوجه الحلال من الولایة،ولایة الوالی العادل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المجتمع الذی یقع مورد رضا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المجتمع الذی تقام فیه العدالة بقوله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علامة رضا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عدل سلطانهم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تفضیل ساعة واحدة من العدل علی سبعین سنة عبادة بقوله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عدل ساعة خیر من عبادة سبعین سنة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ینبغی التدبّر لمعرفة الحکمة فی کون ساعة واحدة من العدل أفضل من سبعین سنة من العبادة،و من الواضح عدم وجود خصوصیّة لذکر رقم سبعین</w:t>
      </w:r>
    </w:p>
    <w:p>
      <w:pPr>
        <w:pStyle w:val="BookText"/>
        <w:rPr/>
      </w:pPr>
      <w:r>
        <w:rPr>
          <w:rFonts w:ascii="IRNazanin" w:hAnsi="IRNazanin" w:eastAsia="IRNazanin"/>
          <w:color w:val="111111"/>
          <w:sz w:val="28"/>
          <w:sz w:val="28"/>
          <w:szCs w:val="28"/>
          <w:rtl w:val="true"/>
          <w:lang w:bidi="fa-IR"/>
        </w:rPr>
        <w:t>سوی دلالته علی أهمیّة المطلب و عظمة مرتبة العدالة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تتّضح حقیقة و کنه هذا المطلب أکثر فیما لو ضممنا إلیه الروایات التی تدلّ علی عدم قبول العبادة من دون الولایة،حیث ورد التصریح فی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 یناد بشیء کما نودی بالولایة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هناک إشارة فی بعض الروایات إلی جهات اخر من المسألة،حیث یمکن بیانها بشکل إجمالیّ من قولهم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لمحمّد صلّی اللّه علیه و اله اثنی عشر إماما عدلا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ورد فی هذه الروایة وصف أوصیاء النبیّ صلّی اللّه علیه و اله بالعدالة،حیث یتّضح أنّ الهدف من وصایتهم علیهم السّلام هو تحقّق العدالة فی 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المعلوم أنّ المقصود من وصف الأئمّة علیهم السّلام بالعدالة لیس بیان للملکة النفسانیّة؛لأنّه مع وجود العصمة لا یبقی معنی لوصف العدالة، إذن فالمقصود من العدالة هو ذلک المعنی الواسع الذی ینحصر تحقّقه و إیجاده بهذه الفئة من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روایات کثیرة وردت فی صدد ظهور الإمام المهدی علیه السّلام،و لعلّه یمکن القول بالتواتر المعنوی،بل التواتر اللفظی فیها،حیث یمکن الاستفادة منها فی موضوعنا من قولهم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یملأ اللّه به الأرض قسطا و عدلا بعدما ملئت ظلما و جورا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الأساس فی حکومة الإمام المهدی علیه السّلام العالمیّة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تتمثّل فی تحقّق القسط و العدل فی المجتمع البشری</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النتیجة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تحقّق العدالة فی نظر العقل و القرآن و الروایات،أمر ضروریّ</w:t>
      </w:r>
      <w:bookmarkStart w:id="392" w:name="pg5439_46851"/>
    </w:p>
    <w:p>
      <w:pPr>
        <w:pStyle w:val="BookText"/>
        <w:rPr/>
      </w:pPr>
      <w:bookmarkEnd w:id="392"/>
      <w:r>
        <w:rPr>
          <w:rFonts w:ascii="IRNazanin" w:hAnsi="IRNazanin" w:eastAsia="IRNazanin"/>
          <w:color w:val="111111"/>
          <w:sz w:val="28"/>
          <w:sz w:val="28"/>
          <w:szCs w:val="28"/>
          <w:rtl w:val="true"/>
          <w:lang w:bidi="fa-IR"/>
        </w:rPr>
        <w:t>و واجب،و یستفاد من مجموع الروایات أنّ أساس الإمامة یقوم علی مسألة إیجاد العدالة فی المجتمع البشری،لا إیجاد الرابطة العاطفیّة و المحبّة بین الإمام علیه السّلام و أفراد البشر،رغم أنّ هذه الغایة الأخیرة تمثّل أحد الامور المطلوبة فی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الاعتقاد بالإمامة بمعناه الدقیق؛یعنی الاعتقاد بوجود شخص قادر علی القیام بالعدل بین الناس،و إنقاذ المجتمع من کلّ أشکال التلوّث و الانحطاط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الاعتقاد بالإمامة بمعناه الصحیح لا ینحصر فی الاعتقاد القلبی بوصیّة النبیّ الأکرم صلّی اللّه علیه و اله بخلافة الإمام علیه السّلام من بعده،و حبّه و البراءة من أعدائه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أکثر الروایات التی ورد فیها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وردت إلی جانبه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صفة،و خصوصیّة مهمّة و أساسیّة و غایة قصوی للإمامة،و لذلک قال الإمام الخمینی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الهدف و الغایة من الإمامة هی العدالة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3" w:name="__RefHeading___Toc1856128_581953129"/>
      <w:bookmarkStart w:id="394" w:name="_Toc149"/>
      <w:bookmarkEnd w:id="393"/>
      <w:r>
        <w:rPr>
          <w:rtl w:val="true"/>
        </w:rPr>
        <w:t>المنفّذون للعدالة فی المجتمع</w:t>
      </w:r>
      <w:bookmarkEnd w:id="394"/>
    </w:p>
    <w:p>
      <w:pPr>
        <w:pStyle w:val="BookText"/>
        <w:rPr/>
      </w:pPr>
      <w:r>
        <w:rPr>
          <w:rFonts w:ascii="IRNazanin" w:hAnsi="IRNazanin" w:eastAsia="IRNazanin"/>
          <w:color w:val="111111"/>
          <w:sz w:val="28"/>
          <w:sz w:val="28"/>
          <w:szCs w:val="28"/>
          <w:rtl w:val="true"/>
          <w:lang w:bidi="fa-IR"/>
        </w:rPr>
        <w:t>یتّضح من مجمل المطالب السالفة أنّ تحقّق العدالة أمر واجب علی النبیّ صلّی اللّه علیه و اله و أوصیائه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الإمامة بدون إجراء العدالة لم تکن یوما مقصودة للشارع المقدّس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نحن بصدد بحثه فی هذا القسم،و لعلّه یمثّل العمدة فی هذا الموضوع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یختصّ وجوب إجراء العدالة بالنبیّ صلّی اللّه علیه و اله و أوصیائه المعصومین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یمتدّ لیشمل الفقیه الجامع للشرائط؟</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یستفاد من الآیات الشریفة التی تمّ الاستدلال بها آنفا أنّ وجوب إجراء العدالة لا یختصّ بالنبیّ صلّی اللّه علیه و اله أو أوصیائه علیهم السّلام،بل یشمل أشخاصا آخرین أیضا، و هؤلاء الأشخاص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تقدّم سابقا </w:t>
      </w:r>
      <w:r>
        <w:rPr>
          <w:rStyle w:val="FootnoteAnchor"/>
          <w:rtl w:val="true"/>
        </w:rPr>
        <w:footnoteReference w:id="5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لیسوا سوی الفقهاء الجامعین للشرائط،</w:t>
      </w:r>
    </w:p>
    <w:p>
      <w:pPr>
        <w:pStyle w:val="BookText"/>
        <w:rPr/>
      </w:pPr>
      <w:r>
        <w:rPr>
          <w:rFonts w:ascii="IRNazanin" w:hAnsi="IRNazanin" w:eastAsia="IRNazanin"/>
          <w:color w:val="111111"/>
          <w:sz w:val="28"/>
          <w:sz w:val="28"/>
          <w:szCs w:val="28"/>
          <w:rtl w:val="true"/>
          <w:lang w:bidi="fa-IR"/>
        </w:rPr>
        <w:t>حیث لا یوجد سواهم من لدیه رابطة مع القرآن،و تعالیم النبیّ صلّی اللّه علیه و اله و الأئمّة علیهم السّلام علی أساس التخصّص فی هذا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لا بدّ من الأخذ بنظر الاعتبار الروایات التی تقرّر خلافة العلماء الأئمّة المعصومین و الأنبیاء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العلماء ورثة الأنبیاء </w:t>
      </w:r>
      <w:r>
        <w:rPr>
          <w:rStyle w:val="FootnoteAnchor"/>
          <w:rtl w:val="true"/>
        </w:rPr>
        <w:footnoteReference w:id="554"/>
      </w:r>
      <w:r>
        <w:rPr>
          <w:rFonts w:ascii="IRNazanin" w:hAnsi="IRNazanin" w:eastAsia="IRNazanin"/>
          <w:color w:val="111111"/>
          <w:sz w:val="28"/>
          <w:sz w:val="28"/>
          <w:szCs w:val="28"/>
          <w:rtl w:val="true"/>
          <w:lang w:bidi="fa-IR"/>
        </w:rPr>
        <w:t xml:space="preserve">،أو العلماء امناء الرّسل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أو روایات اخر فی هذا الباب </w:t>
      </w:r>
      <w:r>
        <w:rPr>
          <w:rStyle w:val="FootnoteAnchor"/>
          <w:rtl w:val="true"/>
        </w:rPr>
        <w:footnoteReference w:id="5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 دلالة واضحة علی خلافة العلماء للأئمّة المعصومین و الأنبیاء علیهم السّلام،إلاّ أنّ النقطة المهمّة هنا هی جهة التنزیل،فهل جهة التنزیل هی أنّ العلماء امناء الرسل فی بیان أحکام الدّین و تبلیغ الرسالة،أو أنّ الوراثة و الأمانة تتمثّل فی الجهة الأصلیّة و العمدة فی المنزل علیه؟</w:t>
      </w:r>
    </w:p>
    <w:p>
      <w:pPr>
        <w:pStyle w:val="BookText"/>
        <w:rPr/>
      </w:pPr>
      <w:r>
        <w:rPr>
          <w:rFonts w:ascii="IRNazanin" w:hAnsi="IRNazanin" w:eastAsia="IRNazanin"/>
          <w:color w:val="111111"/>
          <w:sz w:val="28"/>
          <w:sz w:val="28"/>
          <w:szCs w:val="28"/>
          <w:rtl w:val="true"/>
          <w:lang w:bidi="fa-IR"/>
        </w:rPr>
        <w:t>من الواضح أنّ الاحتمال الأوّل غیر مقبول إطلاقا؛لأنّ مجرّد بیان الأحکام و تبلیغ الرسالة قد یتحقّق أحیانا من غیر العلماء،فلا حاجة لتنزیل العلماء منزلة الأنبیاء علیهم السّلام من هذه الجهة،و علی هذا الأساس فالاحتمال الثانی هو المتعیّن،و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التنزیل یقصد به تلک الجهة الأصلیّة للأنبیاء و المرسلین علیهم السّلام،و هی إقامة العدل و القسط بمعناه الواسع و الدقیق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هذا الصدد نذکر ما ورد عن رسول اللّه صلّی اللّه علیه و اله،حیث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ارحم خلفائی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من خلفاؤک؟قال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یأتون من بعدی،و یروون عنّی أحادیثی و سنّتی،فیعلّمونها الناس من بعدی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خلفاء الرسول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یتعیّن بالأئمّة</w:t>
      </w:r>
    </w:p>
    <w:p>
      <w:pPr>
        <w:pStyle w:val="BookText"/>
        <w:rPr/>
      </w:pPr>
      <w:r>
        <w:rPr>
          <w:rFonts w:ascii="IRNazanin" w:hAnsi="IRNazanin" w:eastAsia="IRNazanin"/>
          <w:color w:val="111111"/>
          <w:sz w:val="28"/>
          <w:sz w:val="28"/>
          <w:szCs w:val="28"/>
          <w:rtl w:val="true"/>
          <w:lang w:bidi="fa-IR"/>
        </w:rPr>
        <w:t>المعصومین علیهم السّلام؛لأنّ شأنهم أعلی من کونهم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یروون عنّی أحادیثی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هذا یستفاد من الروایة أنّ الفقهاء خلفاء النبیّ صلّی اللّه علیه و اله و منزّلون منزلة النبیّ صلّی اللّه علیه و اله،إلاّ أنّه لا ینبغی توهّم أنّ هذه الروایة تقرّر خلافة الفقهاء للنبیّ صلّی اللّه علیه و اله؛من جهة بیان الأحادیث و سنّة النبیّ صلّی اللّه علیه و اله فحسب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بالتالی لا تدلّ علی ولایتهم؛لأنّ التعبیر بجملة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یروون 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حیثیّة تعلیلیّة للخلافة،لا حیثیّة تقییدیّة،و الخلط بین هاتین الجهتین هو السبب فی هذا التوهّم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مرجع هذا التعبیر هو مرجع التعبیر الوارد فی مقبولة عمر بن حنظلة فی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ینظران من کان منکم ممّن قد روی حدیثنا،و نظر فی حلالنا و حرامنا،و عرف أحکامنا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المعرفة بالأحکام،بل جمیع الأحکام تختلف کثیرا عن عنوان المبیّن للأحکام،إلاّ أنّ الإنصاف أنّ المنظور من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الروایة یقتصر علی الأئمّة المعصومین علیهم السّلام،و لا یشمل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الشاهد علی هذا المطلب أمران رغم وجود قرائن اخر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 علی أنّ الخلفاء هم الأشخاص الذین یروون الأحادیث عن النبیّ نفسه صلّی اللّه علیه و اله،فی حین أنّ الفقهاء یفتقدون هذه السمة،کما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نظرا لما ورد فی بعض الروایات عن أهل البیت علیهم السّلام بهذا المضمون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جمیع ما نقوله هو عن آبائنا،عن أمیر المؤمنین علیهم السّلام،عن رسول اللّه صلّی اللّه علیه و اله،یتّضح أنّ کلام النبیّ صلّی اللّه علیه و اله الوارد فی الروایة ینحصر فی الأئمّة المعصومین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نکتفی فی هذا الصدد بذکر روایة عن اصول الکافی</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هشام بن سالم و حمّاد بن عثمان و غیره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سمعنا أبا عبد اللّه علیه السّلام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حدیثی حدیث أبی،و حدیث أبی حدیث جدّی،و حدیث جدّی حدیث الحسین علیه السّلام،و حدیث الحسین حدیث الحسن علیهما السّلام،و حدیث الحسن حدیث أمیر المؤمنین علیهما السّلام،و حدیث أمیر المؤمنین علیه السّلام حدیث رسول اللّه صلّی اللّه علیه و اله،و حدیث رسول اللّه صلّی اللّه علیه و اله قول اللّه عزّ و جلّ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النتیجة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هذه الروایة بالرغم من أنّ الإمام الخمینی قدّس سرّه </w:t>
      </w:r>
      <w:r>
        <w:rPr>
          <w:rStyle w:val="FootnoteAnchor"/>
          <w:rtl w:val="true"/>
        </w:rPr>
        <w:footnoteReference w:id="559"/>
      </w:r>
      <w:r>
        <w:rPr>
          <w:rFonts w:ascii="IRNazanin" w:hAnsi="IRNazanin" w:eastAsia="IRNazanin"/>
          <w:color w:val="111111"/>
          <w:sz w:val="28"/>
          <w:sz w:val="28"/>
          <w:szCs w:val="28"/>
          <w:rtl w:val="true"/>
          <w:lang w:bidi="fa-IR"/>
        </w:rPr>
        <w:t>یری شمولیّتها للفقهاء،إلاّ أنّه فی نظری القاصر غیر شاملة للفقهاء إطلاقا،بل تختصّ بالأئمّة المعصومین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هذا البحث لا نجد حاجة للتمسّک بإطلاق هذه الروایات لیرد إشکال أنّ هذه الروایات لیست فی مقام البیان؛من جهة أنّ الفقیه یمکنه تشکیل الحکومة کالإمام المعصوم علیه السّلام،بل نتمسّک بهذه الروایات فی أصل التنزیل فحسب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یستفاد جدّا من هذه الروایات أنّ العلماء و الفقهاء منزّلون منزلة الأنبیاء و الأئمّة علیهم السّلام فی أصل المعرفة بالدّین و الأحکام الإلهیّة،و یکفی هذا المیزان فی المقام؛ لأنّ هذه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إجراء العدالة واجبا علی النبیّ صلّی اللّه علیه و اله و الإمام المعصوم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واضحة،کما ثبت من خلال هذه الروایات؛أنّ الفقیه الجامع للشرائط بسبب ارتباطه بالقرآن و السنّة،و معرفته بالعدالة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بمعناها الدقیق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خلیفتهم، و حینئذ تکون النتیجة بأنّ إجراء العدالة واجب علی الفقیه الجامع للشرائط</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 فلو تمکّن الفقیه الجامع للشرائط من إجراء العدالة علی مستوی الواقع العملی من خلال تشکیل الحکومة،وجب علیه السعی لتشکیل الحکومة،و إلاّ وجب علیه القیام بالعدل و القسط بین الناس فی إطار قدرته علی ذلک</w:t>
      </w:r>
      <w:r>
        <w:rPr>
          <w:rFonts w:eastAsia="IRNazanin" w:cs="IRNazanin"/>
          <w:color w:val="111111"/>
          <w:sz w:val="28"/>
          <w:szCs w:val="28"/>
          <w:rtl w:val="true"/>
          <w:lang w:bidi="fa-IR"/>
        </w:rPr>
        <w:t>.</w:t>
      </w:r>
      <w:bookmarkStart w:id="395" w:name="pg5439_46855"/>
    </w:p>
    <w:p>
      <w:pPr>
        <w:pStyle w:val="Heading3"/>
        <w:numPr>
          <w:ilvl w:val="2"/>
          <w:numId w:val="1"/>
        </w:numPr>
        <w:rPr/>
      </w:pPr>
      <w:bookmarkStart w:id="396" w:name="__RefHeading___Toc1856130_581953129"/>
      <w:bookmarkStart w:id="397" w:name="_Toc150"/>
      <w:bookmarkEnd w:id="395"/>
      <w:bookmarkEnd w:id="396"/>
      <w:r>
        <w:rPr>
          <w:rtl w:val="true"/>
        </w:rPr>
        <w:t>الإجابة علی إشکالات ثلاث</w:t>
      </w:r>
      <w:bookmarkEnd w:id="397"/>
    </w:p>
    <w:p>
      <w:pPr>
        <w:pStyle w:val="BookText"/>
        <w:rPr/>
      </w:pPr>
      <w:r>
        <w:rPr>
          <w:rFonts w:ascii="Amiri" w:hAnsi="Amiri" w:eastAsia="Amiri" w:cs="Amiri"/>
          <w:color w:val="111111"/>
          <w:sz w:val="28"/>
          <w:sz w:val="28"/>
          <w:szCs w:val="28"/>
          <w:rtl w:val="true"/>
          <w:lang w:bidi="ar-SA"/>
        </w:rPr>
        <w:t>الإشکال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الآیة الشریفة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کُونُوا قَوّامِینَ بِالْقِسْطِ </w:t>
      </w:r>
      <w:r>
        <w:rPr>
          <w:rStyle w:val="FootnoteAnchor"/>
          <w:rtl w:val="true"/>
        </w:rPr>
        <w:footnoteReference w:id="560"/>
      </w:r>
      <w:r>
        <w:rPr>
          <w:rFonts w:ascii="IRNazanin" w:hAnsi="IRNazanin" w:eastAsia="IRNazanin"/>
          <w:color w:val="111111"/>
          <w:sz w:val="28"/>
          <w:sz w:val="28"/>
          <w:szCs w:val="28"/>
          <w:rtl w:val="true"/>
          <w:lang w:bidi="fa-IR"/>
        </w:rPr>
        <w:t>تدلّ علی أنّ وجوب القیام بالقسط غیر منحصر بفئة خاصّة من الناس،کالأنبیاء أو الأئمّة المعصومین علیهم السّلام،أو الفقهاء،بل یستوعب جمیع المؤمنین،حیث یجب علیهم القیام بالقسط،و بالتالی،إذا استطاع بعض المؤمنین من نیل الزعامة الظاهریّة،و التصدّی للحکومة و القیام بالقسط بین الناس؛ فحکومتهم حینئذ تکون معتبرة و مشروعة،و لیست غیر إلهیّة،و علی هذا الأساس لا تختصّ الحکومة و الولایة بالفقیه فی زمن غیبة المعصوم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الجواب ینبغی أن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القیام بالقسط من قبل عموم الناس لا یتسنّی إلاّ فی صورة بیان حدود و ماهیّة القسط بصورة کاملة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 الناس القیام بالقسط بعد بیان معنی القسط و العدل بالنحو المعتبر و الدلیل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نعلم بأنّ نوع البشر غیر قادر علی القیام بالقسط بالمعنی الواقعی للکلمة،بل یمکنهم الإتیان بهذه الوظیفة فی حدود معیّنة،و لذلک طلب الشارع المقدّس من الناس فی هذه الآیة الشریفة،القیام بالقسط فی تلک الدائرة المعیّنة الممکنة لهم،و هذا المعنی لا یتنافی مع وجوب القیام بالقسط بمعناه الواسع علی من له معرفة حقیقیّة بالوحی</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إثبات وجوب القیام بالقسط علی النوع من أفراد البشر لا یدلّ علی نفی هذا التکلیف عن الأنبیاء و أوصیائهم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الإشکال 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أَرْسَلْنا رُسُلَنا بِالْبَیِّناتِ وَ أَنْزَلْنا مَعَهُمُ الْکِتابَ وَ الْمِیزانَ لِیَقُومَ النّاسُ بِالْقِسْطِ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یستفاد من هذه الآیة الشریفة أنّ القائم بالقسط هم الناس أنفسهم، و قد ذکر الدکتور مهدی الحائری قدّس سرّه فی ذیل الآیة الشریفة أنّ الآیة فوّضت إلی الناس القیام بالقسط،و تحقیق العدالة،و النظم الاجتماعی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 تر أنّ مسؤولیّة إجراء و تنفیذ هذا الأمر یتناسب شأن الأنبیاء علیهم السّلام و مقامهم الرفیع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مقام الجواب لا بدّ من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العجب من هذا المفکّر أنّه توجّه إلی جملة لِیَقُومَ النّاسُ و لم یتأمّل بما قبلها بصورة وافیة،حیث تقرّر الآیة أنّ إرسال الرسل و إنزال الکتب عبارة عن طریق و مقدّمة لقیام الناس بالقسط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یتمکّن الناس مع قطع النظر عن الأنبیاء علیهم السّلام و الکتب السماویّة،من القیام بالقسط؟</w:t>
      </w:r>
    </w:p>
    <w:p>
      <w:pPr>
        <w:pStyle w:val="BookText"/>
        <w:rPr/>
      </w:pPr>
      <w:r>
        <w:rPr>
          <w:rFonts w:ascii="IRNazanin" w:hAnsi="IRNazanin" w:eastAsia="IRNazanin"/>
          <w:color w:val="111111"/>
          <w:sz w:val="28"/>
          <w:sz w:val="28"/>
          <w:szCs w:val="28"/>
          <w:rtl w:val="true"/>
          <w:lang w:bidi="fa-IR"/>
        </w:rPr>
        <w:t>إنّ مدّعی هذا العالم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الناس یجب علیهم تشکیل الحکومة و التصدّی للقیام بالقسط،فی حین أنّ الناس طبقا للآیة الشریفة لا یتمکّنون من القیام بالقسط بدون الارتباط مع الأنبیاء علیهم السّلام و الکتب السماویّة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فمن باب کلّ ما بالعرض لا بدّ أن یرجع إلی ما بالذات،یستفاد ضرورة أن یکون الأنبیاء و الأولیاء الإلهیّین علیهم السّلام هم السابقون للقیام بالقسط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مقام توضیح الجواب أکثر نقول</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أساسا لا یصحّ أن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جهة بأنّ للفقیه مسؤولیّة بیان الأحکام</w:t>
      </w:r>
    </w:p>
    <w:p>
      <w:pPr>
        <w:pStyle w:val="BookText"/>
        <w:rPr/>
      </w:pPr>
      <w:r>
        <w:rPr>
          <w:rFonts w:ascii="IRNazanin" w:hAnsi="IRNazanin" w:eastAsia="IRNazanin"/>
          <w:color w:val="111111"/>
          <w:sz w:val="28"/>
          <w:sz w:val="28"/>
          <w:szCs w:val="28"/>
          <w:rtl w:val="true"/>
          <w:lang w:bidi="fa-IR"/>
        </w:rPr>
        <w:t>و شأنیّة النظارة علیها،و من جهة اخری نسلّم الحکومة بید غیر الفقیه و نری مقام الفقیه فی معزل عن الحکومة،و لا یوجد دلیل علی مستوی العقل أو النقل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یمکن أن نعتبر الفقیه منظّرا،أو صاحب ایدیولوجیّة فحسب،بینما یقوم غیره بالتصدّی لأمر الحکومة،بل یجب أن یکون الفقیه علی رأس الحکومة الإسلامیّة،و یتمّ وضع جمیع الامور فی المجتمع تحت اختیاره و تدبیره بعنوانه قائما بالقسط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هذا،مضافا إلی أنّه لا یتنافی شأن الفقیه؛بل سلبه منه یقلّل من شأنه و منزلته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هذا الصدد یجب الانتباه إلی وجود فرق بین القائم بالقسط،و المباشر له، فلا ینبغی الخلط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الإشکال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الملازمة بین وجوب إجراء العدالة و مسألة الولایة؟ألا یمکن القول بأنّ القادر علی إجراء العدالة یجب علیه هذا العمل،و فی نفس الوقت لیس له ولایة إطلاقا؟</w:t>
      </w:r>
    </w:p>
    <w:p>
      <w:pPr>
        <w:pStyle w:val="BookText"/>
        <w:rPr/>
      </w:pPr>
      <w:r>
        <w:rPr>
          <w:rFonts w:ascii="IRNazanin" w:hAnsi="IRNazanin" w:eastAsia="IRNazanin"/>
          <w:color w:val="111111"/>
          <w:sz w:val="28"/>
          <w:sz w:val="28"/>
          <w:szCs w:val="28"/>
          <w:rtl w:val="true"/>
          <w:lang w:bidi="fa-IR"/>
        </w:rPr>
        <w:t>و فی مقام الجواب لا بدّ من التحقیق فی أقسام و موارد إجراء العدالة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إجراء العدالة فی دائرة العلاقة الزوجیّة،فلو کانت له عدّة زوجات،وجب علیه العدل بینهنّ فی مقام العمل و السلوک،إلاّ أنّ هذا النحو من إجراء العدالة لا یلازم وجود الولایة بأیّ شکل من الأشکال،و لا یمکن القول بأنّ للزوج ولایة علی زوجاته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إجراء العدالة من قبل الوالدین تجاه أبنائهم،و فی هذا المورد لا ملازمة أیضا بین وجوب العدالة و الولایة،رغم أنّه مع قطع النظر عن العدالة أنّ للأب ولایة علی أبنائه</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إجراء العدالة فی توزیع الثروات و الإمکانات من قبل الحکومة بین أفراد و طبقات المجتمع،و فی هذا المورد أیضا لا ملازمة بین هذا الأمر و الولایة</w:t>
      </w:r>
      <w:r>
        <w:rPr>
          <w:rFonts w:eastAsia="IRNazanin" w:cs="IRNazanin"/>
          <w:color w:val="111111"/>
          <w:sz w:val="28"/>
          <w:szCs w:val="28"/>
          <w:rtl w:val="true"/>
          <w:lang w:bidi="fa-IR"/>
        </w:rPr>
        <w:t>.</w:t>
      </w:r>
      <w:bookmarkStart w:id="398" w:name="pg5439_46858"/>
    </w:p>
    <w:p>
      <w:pPr>
        <w:pStyle w:val="BookText"/>
        <w:rPr/>
      </w:pPr>
      <w:bookmarkEnd w:id="398"/>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القسم الذی یختصّ بمورد إجراء العدالة فی أحکام الدّین و تحقّقه فی المجتمع،له ملازمة واضحة مع الولایة؛لأنّ هذا القسم من أقسام تحقیق العدالة؛ یعنی استیفاء کلّ شخص جمیع حقوقه،و یتوقّف هذا الأمر علی قبول نظر الحاکم و لزوم التبعیّة له،و هو معنی الولایة،حیث إنّ حقیقة الولایة لیست أکثر من لزوم تبعیّة الحاکم و طاعته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الولایة تقوم علی رکنین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و نفوذ رأی الحاکم و نظره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إطاعة الآخرین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هذان الأمران متوفّران بوضوح فی وجوب إجراء العدالة فی هذا القسم</w:t>
      </w:r>
      <w:r>
        <w:rPr>
          <w:rFonts w:eastAsia="IRNazanin" w:cs="IRNazanin"/>
          <w:color w:val="111111"/>
          <w:sz w:val="28"/>
          <w:szCs w:val="28"/>
          <w:rtl w:val="true"/>
          <w:lang w:bidi="fa-IR"/>
        </w:rPr>
        <w:t>.</w:t>
      </w:r>
    </w:p>
    <w:p>
      <w:pPr>
        <w:pStyle w:val="Heading3"/>
        <w:numPr>
          <w:ilvl w:val="2"/>
          <w:numId w:val="1"/>
        </w:numPr>
        <w:rPr/>
      </w:pPr>
      <w:bookmarkStart w:id="399" w:name="__RefHeading___Toc1856132_581953129"/>
      <w:bookmarkStart w:id="400" w:name="_Toc151"/>
      <w:bookmarkEnd w:id="399"/>
      <w:r>
        <w:rPr>
          <w:rtl w:val="true"/>
        </w:rPr>
        <w:t>العدالة،و علاقتها بمسألة الحسن و القبح العقلیّین</w:t>
      </w:r>
      <w:bookmarkEnd w:id="400"/>
    </w:p>
    <w:p>
      <w:pPr>
        <w:pStyle w:val="BookText"/>
        <w:rPr/>
      </w:pPr>
      <w:r>
        <w:rPr>
          <w:rFonts w:ascii="IRNazanin" w:hAnsi="IRNazanin" w:eastAsia="IRNazanin"/>
          <w:color w:val="111111"/>
          <w:sz w:val="28"/>
          <w:sz w:val="28"/>
          <w:szCs w:val="28"/>
          <w:rtl w:val="true"/>
          <w:lang w:bidi="fa-IR"/>
        </w:rPr>
        <w:t>فی هذا البحث یمکن أن یدور فی الذهن هذا المطلب،و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مع التسلیم بکون الحسن و القبح عقلیّین،و أنّ حسن العدل من المستقلاّت العقلیّة،فأیّ حاجة بعد ذلک لفهم العدالة و بیان حدودها و ماهیّتها إلی الأنبیاء أو الأئمّة علیهم السّلام أو غیرهم،فقضیّة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القضایا المشهورة و الآراء المحمودة،أو بتعبیر ابن سینا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التأدیبات الصلاحیّة </w:t>
      </w:r>
      <w:r>
        <w:rPr>
          <w:rStyle w:val="FootnoteAnchor"/>
          <w:rtl w:val="true"/>
        </w:rPr>
        <w:footnoteReference w:id="563"/>
      </w:r>
      <w:r>
        <w:rPr>
          <w:rFonts w:ascii="IRNazanin" w:hAnsi="IRNazanin" w:eastAsia="IRNazanin"/>
          <w:color w:val="111111"/>
          <w:sz w:val="28"/>
          <w:sz w:val="28"/>
          <w:szCs w:val="28"/>
          <w:rtl w:val="true"/>
          <w:lang w:bidi="fa-IR"/>
        </w:rPr>
        <w:t>التی وقعت مورد اتّفاق جمیع أفراد البشر لوجود ملاک المصلحة العامّة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فمع غضّ النظر عن الشریعة و أصحابها و العارفین بها یمکن فهم و معرفة العدالة بالعقل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للإجابة علی هذا المطلب لا بدّ من بیان امور</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بالرغم من أنّ مبنی الإمامیّة فی بحث الحسن و القبح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العقل</w:t>
      </w:r>
    </w:p>
    <w:p>
      <w:pPr>
        <w:pStyle w:val="BookText"/>
        <w:rPr/>
      </w:pPr>
      <w:r>
        <w:rPr>
          <w:rFonts w:ascii="IRNazanin" w:hAnsi="IRNazanin" w:eastAsia="IRNazanin"/>
          <w:color w:val="111111"/>
          <w:sz w:val="28"/>
          <w:sz w:val="28"/>
          <w:szCs w:val="28"/>
          <w:rtl w:val="true"/>
          <w:lang w:bidi="fa-IR"/>
        </w:rPr>
        <w:t>یدرک حسن و قبح الأشیاء بالاستقلال،إلاّ أنّ ذلک لا یعنی کفایة العقل فی الرجوع إلیه فی تبیین المعنی الواسع للعدل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أصبح واضحا فی بحث الحسن و القبح أنّ العقل لا یستقلّ بإدراک الحسن و القبح فی جمیع الأفعال و الامور،و طبعا فالعقول الکاملة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حسب نظر الآخوند الخراسانی قدّس سرّه </w:t>
      </w:r>
      <w:r>
        <w:rPr>
          <w:rStyle w:val="FootnoteAnchor"/>
          <w:rtl w:val="true"/>
        </w:rPr>
        <w:footnoteReference w:id="5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المحیطة بجمیع جهات الأفعال،تکون محیطة کذلک بحسن و قبح هذه الأفعال،و لا یخرج أیّ فعل عن دائرة حکمها بالحسن و القبح،و لکن من الواضح أنّ هذه العقول لا تکون کاملة من دون الارتباط بالوحی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المقصود من بحث العدالة هو کیفیّة إجرائها فی المجتمع البشری بالطرق الصحیحة و المشروعة،و الحال أنّ مجرّد قبول التحسین و التقبیح العقلیّین لا یکون موجبا للبعث و الزجر،و إنّما إذا صدر فعل من شخص اتّفاقا،یدرک العقل حسنه أو قبحه،و لذلک لا بدّ من توفّر دواع اخر للبعث و الزجر،و یتحقّق هذا الأمر بإرسال الرسل و تبیین المعنی الدقیق لمفهوم العدالة من قبل الشارع و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المحقق الاصفهانی تبعا لاستاذه الآخوند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شأن القوّة العاقلة هو التعقّل فقط،لا البعث و الزجر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قضیّة حسن العدل رغم کونها من القضایا المشهورة،إلاّ أنّ المجتمع البشری بحاجة إلی إضافة المدح و الذمّ و الحکم باستحقاق المثوبة و العقوبة، فی حین أنّ استحقاق المدح و الذمّ لیس من القضایا المشهورة؛لأنّ القضایا المشهورة من سنخ القضایا البرهانیّة التی تتجلّی فی أحد أشکال القضایا الستّ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الأوّلیات،الحسیّات،الفطریّات،التجربیّات،المتواترات،الحدسیّات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یلزم لإجراء العدالة فی المجتمع بعد درک حدود و ماهیّة العدالة،</w:t>
      </w:r>
      <w:bookmarkStart w:id="401" w:name="pg5439_46860"/>
    </w:p>
    <w:p>
      <w:pPr>
        <w:pStyle w:val="BookText"/>
        <w:rPr/>
      </w:pPr>
      <w:bookmarkEnd w:id="401"/>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تشخیص مصادیق العدالة و الظلم،و طبعا فقد قرّر فی محلّه مفصّلا أنّ تشخیص المصادیق و تطبیق المفاهیم الکلّی علیها مختصّ بالعقل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کأن یحکم فی الموارد الجزئیّة بأنّ هذا الفعل من مصادیق العدل أو الظلم،کما قال به الآخوند الخراسانی و جمع من تلامذته </w:t>
      </w:r>
      <w:r>
        <w:rPr>
          <w:rStyle w:val="FootnoteAnchor"/>
          <w:rtl w:val="true"/>
        </w:rPr>
        <w:footnoteReference w:id="5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أنّ للعرف أیضا له دخل فیه،کما قال به المحقّق النراقی و الإمام الخمینی قدّس سرّه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تردید فی أنّه لو قلنا بأنّ تطبیق و تشخیص المصادیق بالعقل،أو به و بالعرف،فحینئذ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أنّ الموارد التی لا یقدر العقل و العرف تطبیق تلک المصادیق بالعدل و الظلم،أو الحسن و القبح ممّا لا تحصی،لا بدّ فی تشخیصها من مراجعة الشرع الذی هو الناظر لتمام الامور و الآثار و الأمر و النهی</w:t>
      </w:r>
      <w:r>
        <w:rPr>
          <w:rFonts w:eastAsia="IRNazanin" w:cs="IRNazanin"/>
          <w:color w:val="111111"/>
          <w:sz w:val="28"/>
          <w:szCs w:val="28"/>
          <w:rtl w:val="true"/>
          <w:lang w:bidi="fa-IR"/>
        </w:rPr>
        <w:t>.</w:t>
      </w:r>
    </w:p>
    <w:p>
      <w:pPr>
        <w:pStyle w:val="Heading3"/>
        <w:numPr>
          <w:ilvl w:val="2"/>
          <w:numId w:val="1"/>
        </w:numPr>
        <w:rPr/>
      </w:pPr>
      <w:bookmarkStart w:id="402" w:name="__RefHeading___Toc1856134_581953129"/>
      <w:bookmarkStart w:id="403" w:name="_Toc152"/>
      <w:bookmarkEnd w:id="402"/>
      <w:r>
        <w:rPr>
          <w:rtl w:val="true"/>
        </w:rPr>
        <w:t>حاجة البشر إلی الولی،و انحصار الولایة بالذات فی اللّه تعالی</w:t>
      </w:r>
      <w:bookmarkEnd w:id="403"/>
    </w:p>
    <w:p>
      <w:pPr>
        <w:pStyle w:val="BookText"/>
        <w:rPr/>
      </w:pPr>
      <w:r>
        <w:rPr>
          <w:rFonts w:ascii="IRNazanin" w:hAnsi="IRNazanin" w:eastAsia="IRNazanin"/>
          <w:color w:val="111111"/>
          <w:sz w:val="28"/>
          <w:sz w:val="28"/>
          <w:szCs w:val="28"/>
          <w:rtl w:val="true"/>
          <w:lang w:bidi="fa-IR"/>
        </w:rPr>
        <w:t>المشهور فی أوساط المحقّقین و أرباب النظر أنّ البشر و المجتمع البشری بحاجة إلی حاکم و أمیر لنظم امور المجتمع و تدبیر شؤونه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المطلب و إن کان من البداهة و الوضوح بمکان،إلاّ أنّه بالنظر الدقیق ندرک جیّدا أنّ البشر بحاجة إلی ولیّ من حیث وقوع الإنسان تحت ولایة الحقّ تعالی، و أساسا لا یمکن للمخلوق أن یخرج یوما من دائرة ولایة الخالق جلّ و 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هذا الصدد یمکن دعوی أنّ البشریّة یجب أن تکون تحت ولایة الحقّ و إن تحقّق ذلک بواسطة نصب اللّه تعالی و أمره بولایة بعض الأفراد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أنّ البشر یحتاج إلی ولایة الحقّ،فلا بدّ أن یکون تحت ولایة من اختارهم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للولایة من قبیل الأنبیاء العظام و الأئمّة المعصومین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بذلک یمکن ادّعاء بأنّ الأشخاص المرتبطین من قریب بمعارف</w:t>
      </w:r>
    </w:p>
    <w:p>
      <w:pPr>
        <w:pStyle w:val="BookText"/>
        <w:rPr/>
      </w:pPr>
      <w:r>
        <w:rPr>
          <w:rFonts w:ascii="IRNazanin" w:hAnsi="IRNazanin" w:eastAsia="IRNazanin"/>
          <w:color w:val="111111"/>
          <w:sz w:val="28"/>
          <w:sz w:val="28"/>
          <w:szCs w:val="28"/>
          <w:rtl w:val="true"/>
          <w:lang w:bidi="fa-IR"/>
        </w:rPr>
        <w:t>الأنبیاء و الأئمّة علیهم السّلام،و بکلمة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أعلم الناس بأحکام الدّین و علومه و غایاته،فله تلک الولایة علی الناس فی زمن عدم حضورهم؛أی فی صورة عدم التوصّل إلی المعصوم علیه السّلام،فالبشر بحاجة إلی الولی،و لا بدّ من حلّ مسألة الولایة من هذا السبیل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یمکن القول بأنّ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خلق الإنسان و المجتمع البشری بشکل یحتاج فیه إلی الولایة و الإمامة،و هذا الأمر لا یختصّ بالمجتمع،بل حسب ما ورد فی بعض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لم یبقی فی الأرض إلاّ اثنان لکان أحدهما الحجّة علیه السّلام </w:t>
      </w:r>
      <w:r>
        <w:rPr>
          <w:rStyle w:val="FootnoteAnchor"/>
          <w:rtl w:val="true"/>
        </w:rPr>
        <w:footnoteReference w:id="5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الإنسان خلق بشکل یحتاج إلی ولایة وال و حاکم من نوعه فی ظلّ ولایة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بإذنه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فالولایة فی المرتبة الاولی و بالأصل و الذات للّه تعالی،فله سبحانه الولایة علی البشر من حیث خالقیّته لهم،و تتّسع دائرة ولایته إلی أنّ له الحقّ فی نصب بعض الأشخاص للولایة علی الآخرین،و ما لم تنته الولایة إلی الشارع المقدّس فلا اعتبار لها أصلا و إن اختار الناس أحدهم لهذا المنصب،مثلا لو اتّفق الناس علی أن یجعلوا شخصا معیّنا للولایة،فلا دلیل لدینا علی مشروعیّته،فالناس بمجرّد اتّفاقهم و انتخابهم لأحد الأشخاص لا یتمکّنون من جعل الولایة له علی أعناقهم،و ما أکثر ما أدّی الخلط بین هذین الأمرین إلی تباین الآراء و تزییف فی الأفکار و الکلمات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الناس لهم الحقّ فی اختیار أحدهم بعنوان النائب أو الوکیل عنهم فی إدارة امورهم،و لکنّهم لا یستطیعون انتخابه بعنوان الولی،فانتخاب الولی یجب أن یکون من قبل الشارع المقدّس</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أساس هذا البیان،فالتعبیر بالمشروعیّة الإلهیّة العرفیّة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ورد فی کلمات البعض </w:t>
      </w:r>
      <w:r>
        <w:rPr>
          <w:rStyle w:val="FootnoteAnchor"/>
          <w:rtl w:val="true"/>
        </w:rPr>
        <w:footnoteReference w:id="569"/>
      </w:r>
      <w:r>
        <w:rPr>
          <w:rFonts w:ascii="IRNazanin" w:hAnsi="IRNazanin" w:eastAsia="IRNazanin"/>
          <w:color w:val="111111"/>
          <w:sz w:val="28"/>
          <w:sz w:val="28"/>
          <w:szCs w:val="28"/>
          <w:rtl w:val="true"/>
          <w:lang w:bidi="fa-IR"/>
        </w:rPr>
        <w:t>لغرض إسناد المشروعیّة لولایة الفقیه علی أساس هذا المبنی</w:t>
      </w:r>
      <w:r>
        <w:rPr>
          <w:rFonts w:eastAsia="IRNazanin" w:cs="IRNazanin"/>
          <w:color w:val="111111"/>
          <w:sz w:val="28"/>
          <w:szCs w:val="28"/>
          <w:rtl w:val="true"/>
          <w:lang w:bidi="fa-IR"/>
        </w:rPr>
        <w:t>-</w:t>
      </w:r>
      <w:bookmarkStart w:id="404" w:name="pg5439_46862"/>
    </w:p>
    <w:p>
      <w:pPr>
        <w:pStyle w:val="BookText"/>
        <w:rPr/>
      </w:pPr>
      <w:bookmarkEnd w:id="404"/>
      <w:r>
        <w:rPr>
          <w:rFonts w:ascii="IRNazanin" w:hAnsi="IRNazanin" w:eastAsia="IRNazanin"/>
          <w:color w:val="111111"/>
          <w:sz w:val="28"/>
          <w:sz w:val="28"/>
          <w:szCs w:val="28"/>
          <w:rtl w:val="true"/>
          <w:lang w:bidi="fa-IR"/>
        </w:rPr>
        <w:t xml:space="preserve">لیس له نصیب من الدقّة و الاعتبار،فالمشروعیّة السیاسیّة فی أمر الولایة منحصرة باللّه تعالی،و لا صلاحیّة للناس فی إعطاء المشروعیّة السیاسیّة للولی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حقّانیّة الولایة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إطلاقا و إن کان لهم دور مهمّ فی إطار التحقّق العملی للولایة فی حرکة الواقع الاجتماعی</w:t>
      </w:r>
      <w:r>
        <w:rPr>
          <w:rFonts w:eastAsia="IRNazanin" w:cs="IRNazanin"/>
          <w:color w:val="111111"/>
          <w:sz w:val="28"/>
          <w:szCs w:val="28"/>
          <w:rtl w:val="true"/>
          <w:lang w:bidi="fa-IR"/>
        </w:rPr>
        <w:t>.</w:t>
      </w:r>
    </w:p>
    <w:p>
      <w:pPr>
        <w:pStyle w:val="Heading3"/>
        <w:numPr>
          <w:ilvl w:val="2"/>
          <w:numId w:val="1"/>
        </w:numPr>
        <w:rPr/>
      </w:pPr>
      <w:bookmarkStart w:id="405" w:name="__RefHeading___Toc1856136_581953129"/>
      <w:bookmarkStart w:id="406" w:name="_Toc153"/>
      <w:bookmarkEnd w:id="405"/>
      <w:r>
        <w:rPr>
          <w:rtl w:val="true"/>
        </w:rPr>
        <w:t>العدالة،و مسألة خلافة الإنسان</w:t>
      </w:r>
      <w:bookmarkEnd w:id="406"/>
    </w:p>
    <w:p>
      <w:pPr>
        <w:pStyle w:val="BookText"/>
        <w:rPr/>
      </w:pPr>
      <w:r>
        <w:rPr>
          <w:rFonts w:ascii="IRNazanin" w:hAnsi="IRNazanin" w:eastAsia="IRNazanin"/>
          <w:color w:val="111111"/>
          <w:sz w:val="28"/>
          <w:sz w:val="28"/>
          <w:szCs w:val="28"/>
          <w:rtl w:val="true"/>
          <w:lang w:bidi="fa-IR"/>
        </w:rPr>
        <w:t xml:space="preserve">لقد أشار القرآن الکریم إلی هذا المطلب المهمّ فی عدّة موارد </w:t>
      </w:r>
      <w:r>
        <w:rPr>
          <w:rStyle w:val="FootnoteAnchor"/>
          <w:rtl w:val="true"/>
        </w:rPr>
        <w:footnoteReference w:id="570"/>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جعل الإنسان خلیفته فی الأرض،و ربما یخطر علی الذهن أنّ خلافة الإنسان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تسلیم مقالید الامور فی دائرة إدارة المجتمع الإنسانی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هی من شؤون خلافة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هذا الإنسان،و لذلک کان الإنسان خلیفة اللّه و نائبه فی تدبیر جمیع اموره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خلافة الإنسان هی السبب وراء تسلیم مفاتیح إجراء العدالة و القیام بالقسط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البیان لا یخلو من ضعف و عدم إتقان؛لأنّه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الآیات الشریفة الدالّة علی خلافة الإنسان،لم تکن أبدا فی مقام بیان تقریر مصیره و تدبیر امور المجتمع بیده،بل إنّ هذه الآیات تقرّر هذا المطلب؛و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الإنسان مظهر صفات اللّه و أسمائه الحسنی فی مقابل الموجودات الاخر الفاقدة لهذه السمة من الظهور و التجلّی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فرض أنّ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یخلق سوی إنسان واحد علی الأرض،کان هذا الإنسان خلیفة اللّه أیضا من دون الأخذ بنظر الاعتبار تفویض تدبیر الامور إلیه</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هذه الآیات وردت فی مقام تقریر الشرف الذاتی و الواقعی للإنسان،أعمّ من الصغیر و الکبیر،المسلم و غیر المسلم،الرجل و المرأة،فکلّ هذه</w:t>
      </w:r>
      <w:bookmarkStart w:id="407" w:name="pg5439_46863"/>
    </w:p>
    <w:p>
      <w:pPr>
        <w:pStyle w:val="BookText"/>
        <w:rPr/>
      </w:pPr>
      <w:bookmarkEnd w:id="407"/>
      <w:r>
        <w:rPr>
          <w:rFonts w:ascii="IRNazanin" w:hAnsi="IRNazanin" w:eastAsia="IRNazanin"/>
          <w:color w:val="111111"/>
          <w:sz w:val="28"/>
          <w:sz w:val="28"/>
          <w:szCs w:val="28"/>
          <w:rtl w:val="true"/>
          <w:lang w:bidi="fa-IR"/>
        </w:rPr>
        <w:t>الموارد فی هذه الجهة سواء حتّی الولید فی یومه الأوّل؛فإنّه یحمل معه عنوان خلیفة اللّه،فی حین أن لا أحد یتوهّم أنّ لهذا الطفل الصغیر عنوان الولایة علی نفسه أو علی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النتیجة هی أنّ الآیات الشریفة الدالّة علی خلافة الإنسان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تدلّ أبدا علی ولایته علی نفسه أو علی الآخرین فی إطار تدبیر امور المجتمع</w:t>
      </w:r>
      <w:r>
        <w:rPr>
          <w:rFonts w:eastAsia="IRNazanin" w:cs="IRNazanin"/>
          <w:color w:val="111111"/>
          <w:sz w:val="28"/>
          <w:szCs w:val="28"/>
          <w:rtl w:val="true"/>
          <w:lang w:bidi="fa-IR"/>
        </w:rPr>
        <w:t>.</w:t>
      </w:r>
    </w:p>
    <w:p>
      <w:pPr>
        <w:pStyle w:val="Heading3"/>
        <w:numPr>
          <w:ilvl w:val="2"/>
          <w:numId w:val="1"/>
        </w:numPr>
        <w:rPr/>
      </w:pPr>
      <w:bookmarkStart w:id="408" w:name="__RefHeading___Toc1856138_581953129"/>
      <w:bookmarkStart w:id="409" w:name="_Toc154"/>
      <w:bookmarkEnd w:id="408"/>
      <w:r>
        <w:rPr>
          <w:rtl w:val="true"/>
        </w:rPr>
        <w:t>العدالة و الشوری</w:t>
      </w:r>
      <w:bookmarkEnd w:id="409"/>
    </w:p>
    <w:p>
      <w:pPr>
        <w:pStyle w:val="BookText"/>
        <w:rPr/>
      </w:pPr>
      <w:r>
        <w:rPr>
          <w:rFonts w:ascii="IRNazanin" w:hAnsi="IRNazanin" w:eastAsia="IRNazanin"/>
          <w:color w:val="111111"/>
          <w:sz w:val="28"/>
          <w:sz w:val="28"/>
          <w:szCs w:val="28"/>
          <w:rtl w:val="true"/>
          <w:lang w:bidi="fa-IR"/>
        </w:rPr>
        <w:t>من المعلوم أنّ الدّین الإسلامیّ قد اهتمّ فی تعالیمه و إرشاداته بأمر الشوری و المشورة،و من البداهة أنّ هذا الأمر یفقد کلّ اعتبار و قیمة فی صورة ما إذا ورد أمر صریح من قبل الشارع المقدّس،فالقدر المتیقّن من اعتبار الشوری هو ما یکون فی الموارد التی لم یرد فیها دستور خاصّ من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نعتقد أنّه لو توقّف تشخیص أمر من الامور علی الشوری،فلا بدّ من الاستفادة من هذا المنهج،و ترک المشهورة فی مثل هذه الموارد یفضی إلی عدم إجراء العدالة فی المورد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مجلس الشوری الإسلامی یمکنه أن یحتلّ موقعا متمیّزا فی نظام ولایة الفقیه فی مثل هذه الموارد،و طبقا لمبنی العدالة؛فإنّ الفقیه الحاکم إذا کان له فی مورد من الموارد نظر اجتهادیّ معیّن،فلا یمکن القول بلزوم العمل وفقا لهذه الرؤیا فقط،فالعدالة فی مثل هذه الموارد تقتضی أن یعمل الحاکم وفقا للفتوی التی تتناغم و تنسجم أکثر مع مصلحة المجتمع فی إطار حفظ النظام و تسهیل الامور المعیشیّة للناس</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إذا کان الحاکم یری من الناحیة الفقهیّة لزوم الخمس و وجوبه فی مورد خاصّ من الموارد الاجتماعیّة المهمّة،و لکن هناک نظریّة اخری فی فتاوی</w:t>
      </w:r>
      <w:bookmarkStart w:id="410" w:name="pg5439_46864"/>
    </w:p>
    <w:p>
      <w:pPr>
        <w:pStyle w:val="BookText"/>
        <w:rPr/>
      </w:pPr>
      <w:bookmarkEnd w:id="410"/>
      <w:r>
        <w:rPr>
          <w:rFonts w:ascii="IRNazanin" w:hAnsi="IRNazanin" w:eastAsia="IRNazanin"/>
          <w:color w:val="111111"/>
          <w:sz w:val="28"/>
          <w:sz w:val="28"/>
          <w:szCs w:val="28"/>
          <w:rtl w:val="true"/>
          <w:lang w:bidi="fa-IR"/>
        </w:rPr>
        <w:t>الفقهاء تری عدم وجوب الخمس فی ذلک المورد،فلو کانت النظریّة الثانیة متوافقة مع مصلحة المجتمع،فعلی الحاکم فی مقام إعمال حکومته العمل بها و صرف النظر عن فتواه و نظره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آخر فی مورد الضرائب التی تقرّرها الدولة غیر الوجوه الشرعیّة المقرّرة فی الفقه،فلو کانت هذه الضرائب مشروعة لدی فقیه،و غیر مشروعة لدی آخر،فعلی الحاکم فی مقام العمل اختیار الفتوی المطابقة للمصالح الکلّیة للدّین و المجتمع،و العدالة فی هذه الموارد تقتضی ذلک،و بهذا لا یبقی محلّ و موقع للاستبداد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فیما لو رأی الفقیه لزوم المشورة مع أرباب النظر أو الفقهاء الآخرین فی تشخیص العدالة و تنفیذها فی أمر من الامور،وجب علیه ذلک،فلو أقدم علی عمل من هذا القبیل بدون مشورة،فقد خرج من جادّة العدالة</w:t>
      </w:r>
      <w:r>
        <w:rPr>
          <w:rFonts w:eastAsia="IRNazanin" w:cs="IRNazanin"/>
          <w:color w:val="111111"/>
          <w:sz w:val="28"/>
          <w:szCs w:val="28"/>
          <w:rtl w:val="true"/>
          <w:lang w:bidi="fa-IR"/>
        </w:rPr>
        <w:t>.</w:t>
      </w:r>
    </w:p>
    <w:p>
      <w:pPr>
        <w:pStyle w:val="Heading3"/>
        <w:numPr>
          <w:ilvl w:val="2"/>
          <w:numId w:val="1"/>
        </w:numPr>
        <w:rPr/>
      </w:pPr>
      <w:bookmarkStart w:id="411" w:name="__RefHeading___Toc1856140_581953129"/>
      <w:bookmarkStart w:id="412" w:name="_Toc155"/>
      <w:bookmarkEnd w:id="411"/>
      <w:r>
        <w:rPr>
          <w:rtl w:val="true"/>
        </w:rPr>
        <w:t>العدالة و تعدّد الفقهاء</w:t>
      </w:r>
      <w:bookmarkEnd w:id="412"/>
    </w:p>
    <w:p>
      <w:pPr>
        <w:pStyle w:val="BookText"/>
        <w:rPr/>
      </w:pPr>
      <w:r>
        <w:rPr>
          <w:rFonts w:ascii="IRNazanin" w:hAnsi="IRNazanin" w:eastAsia="IRNazanin"/>
          <w:color w:val="111111"/>
          <w:sz w:val="28"/>
          <w:sz w:val="28"/>
          <w:szCs w:val="28"/>
          <w:rtl w:val="true"/>
          <w:lang w:bidi="fa-IR"/>
        </w:rPr>
        <w:t>بعد أن ثبت أنّ حقیقة العدالة أمر لا یمکن تحقیقه إلاّ من خلال الارتباط بالوحی و التعرّف علی القرآن و السنّة،یمکن أن یتساءل أنّه مع تعدّد الفقهاء و وجود اختلاف الرأی و النظر بینهم،بحیث یمکن أن یکون عمل معیّن مصداق العدل فی نظر البعض،و مصداق للظلم فی نظر الآخر،فما هو الحلّ؟</w:t>
      </w:r>
    </w:p>
    <w:p>
      <w:pPr>
        <w:pStyle w:val="BookText"/>
        <w:rPr/>
      </w:pPr>
      <w:r>
        <w:rPr>
          <w:rFonts w:ascii="IRNazanin" w:hAnsi="IRNazanin" w:eastAsia="IRNazanin"/>
          <w:color w:val="111111"/>
          <w:sz w:val="28"/>
          <w:sz w:val="28"/>
          <w:szCs w:val="28"/>
          <w:rtl w:val="true"/>
          <w:lang w:bidi="fa-IR"/>
        </w:rPr>
        <w:t>ألا یوجب ذلک أن یکون حقّ تعیین الحاکم بید العقلاء و الناس لتکون المشروعیّة فی الحکم بید من یختاره الناس حاکما علیهم؟</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الجواب لا بدّ من القول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مجرّد اختلاف الفقهاء لا یوجب أن یکون انتخاب الحاکم بید الناس،بل کما ذکرنا سابقا أنّ الحاکم لا یتمکّن من الحکم علی وفق رأیه و نظره و إن کان أعلم من الآخرین،بل لا بدّ أن یأخذ بنظر الاعتبار فی</w:t>
      </w:r>
      <w:bookmarkStart w:id="413" w:name="pg5439_46865"/>
    </w:p>
    <w:p>
      <w:pPr>
        <w:pStyle w:val="BookText"/>
        <w:rPr/>
      </w:pPr>
      <w:bookmarkEnd w:id="413"/>
      <w:r>
        <w:rPr>
          <w:rFonts w:ascii="IRNazanin" w:hAnsi="IRNazanin" w:eastAsia="IRNazanin"/>
          <w:color w:val="111111"/>
          <w:sz w:val="28"/>
          <w:sz w:val="28"/>
          <w:szCs w:val="28"/>
          <w:rtl w:val="true"/>
          <w:lang w:bidi="fa-IR"/>
        </w:rPr>
        <w:t>الموارد الخلافیّة مصلحة المجتمع و یعمل برأی من یکون نظره أقرب إلی تحقیق مصلحة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الموارد الخلافیّة فی دائرة مصادیق العدل و الظلم،تکون المشورة مع الفقهاء الآخرین هی المتعیّنة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مثل هذا الاختلاف الفرضی إمّا أن لا یقع فی أرض الواقع الخارجی،أو یکون وقوعه نادرا جدّا؛لأنّ ملاک الظلم و العدل واضح تماما،و فی مورد الاختلاف لو تحقّق فلا بدّ من التدبّر و الدقّة أکثر للوصول إلی اتّفاق فی الرأی و النظر</w:t>
      </w:r>
      <w:r>
        <w:rPr>
          <w:rFonts w:eastAsia="IRNazanin" w:cs="IRNazanin"/>
          <w:color w:val="111111"/>
          <w:sz w:val="28"/>
          <w:szCs w:val="28"/>
          <w:rtl w:val="true"/>
          <w:lang w:bidi="fa-IR"/>
        </w:rPr>
        <w:t>.</w:t>
      </w:r>
    </w:p>
    <w:p>
      <w:pPr>
        <w:pStyle w:val="Heading3"/>
        <w:numPr>
          <w:ilvl w:val="2"/>
          <w:numId w:val="1"/>
        </w:numPr>
        <w:rPr/>
      </w:pPr>
      <w:bookmarkStart w:id="414" w:name="__RefHeading___Toc1856142_581953129"/>
      <w:bookmarkStart w:id="415" w:name="_Toc156"/>
      <w:bookmarkEnd w:id="414"/>
      <w:r>
        <w:rPr>
          <w:rtl w:val="true"/>
        </w:rPr>
        <w:t>الرابطة بین الحاکم و أفراد المجتمع</w:t>
      </w:r>
      <w:bookmarkEnd w:id="415"/>
    </w:p>
    <w:p>
      <w:pPr>
        <w:pStyle w:val="BookText"/>
        <w:rPr/>
      </w:pPr>
      <w:r>
        <w:rPr>
          <w:rFonts w:ascii="IRNazanin" w:hAnsi="IRNazanin" w:eastAsia="IRNazanin"/>
          <w:color w:val="111111"/>
          <w:sz w:val="28"/>
          <w:sz w:val="28"/>
          <w:szCs w:val="28"/>
          <w:rtl w:val="true"/>
          <w:lang w:bidi="fa-IR"/>
        </w:rPr>
        <w:t>و من المسائل الأساسیّة التی ینبغی دراستها و التدقیق فیها مسألة تصویر العلاقة بین الحاکم و أفراد المجتمع،و کذلک علاقة الناس بالحاکم من الجهة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علی أساس مبنی العدالة هل هناک قیمة و اعتبار للناس فی النظام الإسلامی،أم لا؟</w:t>
      </w:r>
    </w:p>
    <w:p>
      <w:pPr>
        <w:pStyle w:val="BookText"/>
        <w:rPr/>
      </w:pPr>
      <w:r>
        <w:rPr>
          <w:rFonts w:ascii="IRNazanin" w:hAnsi="IRNazanin" w:eastAsia="IRNazanin"/>
          <w:color w:val="111111"/>
          <w:sz w:val="28"/>
          <w:sz w:val="28"/>
          <w:szCs w:val="28"/>
          <w:rtl w:val="true"/>
          <w:lang w:bidi="fa-IR"/>
        </w:rPr>
        <w:t>لقد اتّضح ممّا سبق أنّ الحاکم الإسلامی فی المرتبة الاولی یجب أن یکون أعلم الناس بحقیقة العدالة،فیجب أن یکون محیطا بجمیع أبعاد و تفاصیل العدالة التی یحتاج إلیها المجتمع البشری لیتسنّی له توظیفها فی مرتبة العمل و التطبیق</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أحد الأبعاد المهمّة فی العدالة هی الحقوق الاجتماعیّة لأفراد المجتمع فیما بینهم حتّی حقوق الجماعات و الفئات فی المجتمع الواحد،فعلی الحاکم الإسلامی بعد اکتسابه معرفة صحیحة لهذه الحقوق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باعتقادنا أنّ تشخیص وجود حقّ معیّن و عدمه لا یمکن إلاّ بمیزان الفقه و ملاکاته،و الحاکم یستطیع بقدرته الفقهیّة تبیین</w:t>
      </w:r>
      <w:bookmarkStart w:id="416" w:name="pg5439_46866"/>
    </w:p>
    <w:p>
      <w:pPr>
        <w:pStyle w:val="BookText"/>
        <w:rPr/>
      </w:pPr>
      <w:bookmarkEnd w:id="416"/>
      <w:r>
        <w:rPr>
          <w:rFonts w:ascii="IRNazanin" w:hAnsi="IRNazanin" w:eastAsia="IRNazanin"/>
          <w:color w:val="111111"/>
          <w:sz w:val="28"/>
          <w:sz w:val="28"/>
          <w:szCs w:val="28"/>
          <w:rtl w:val="true"/>
          <w:lang w:bidi="fa-IR"/>
        </w:rPr>
        <w:t>و تشخیص الحقوق بالنسبة للأفراد و الجماعات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یتحرّک نحو تطبیقها علی أرض الواقع الاجتماعی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الأساس فلو کان هناک حقّ للمجتمع فی اختیار أفراد لتولّی المهامّ السیاسیّة،فالحاکم موظّف فی تهیئة الأرضیّة اللازمة لتحقیق هذا الأمر علی المستوی العملی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فعلی مبنی العدالة یتّضح أنّ الناس فی المجتمع الإسلامی یمکنهم استیفاء جمیع حقوقهم المشروعة فی ظلّ هذا النظام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جهة اخری نشاهد نوعا من الولایة ذات طرفین فی بعض الامور بین الحاکم و الناس فی المجتمع الإسلامی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طبقا للآیة الشریفة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الْمُؤْمِنُونَ وَ الْمُؤْمِناتُ بَعْضُهُمْ أَوْلِیاءُ بَعْضٍ یَأْمُرُونَ بِالْمَعْرُوفِ وَ یَنْهَوْنَ عَنِ الْمُنْکَرِ </w:t>
      </w:r>
      <w:r>
        <w:rPr>
          <w:rStyle w:val="FootnoteAnchor"/>
          <w:rtl w:val="true"/>
        </w:rPr>
        <w:footnoteReference w:id="571"/>
      </w:r>
      <w:r>
        <w:rPr>
          <w:rFonts w:ascii="IRNazanin" w:hAnsi="IRNazanin" w:eastAsia="IRNazanin"/>
          <w:color w:val="111111"/>
          <w:sz w:val="28"/>
          <w:sz w:val="28"/>
          <w:szCs w:val="28"/>
          <w:rtl w:val="true"/>
          <w:lang w:bidi="fa-IR"/>
        </w:rPr>
        <w:t>أنّ کلّ مؤمن له ولایة علی المؤمن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فکما أنّه یجب علی الحاکم فی صورة مشاهدته للمنکر فی المجتمع التصدّی له و منعه،فکذلک یجب علی المؤمنین فی صورة اللزوم النصیحة للحاکم و تحذیره و تقدیم الاقتراحات البنّاءة له،و هذا هو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النصیحة لأئمّة المسلمین</w:t>
      </w:r>
      <w:r>
        <w:rPr>
          <w:rFonts w:eastAsia="IRNazanin" w:cs="IRNazanin"/>
          <w:color w:val="111111"/>
          <w:sz w:val="28"/>
          <w:szCs w:val="28"/>
          <w:rtl w:val="true"/>
          <w:lang w:bidi="fa-IR"/>
        </w:rPr>
        <w:t xml:space="preserve">»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7" w:name="__RefHeading___Toc1856144_581953129"/>
      <w:bookmarkStart w:id="418" w:name="_Toc157"/>
      <w:bookmarkEnd w:id="417"/>
      <w:r>
        <w:rPr>
          <w:rtl w:val="true"/>
        </w:rPr>
        <w:t>العدالة،و عدم الفرق بین زمان المعصوم علیه السّلام و غیر المعصوم</w:t>
      </w:r>
      <w:bookmarkEnd w:id="418"/>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مبنی العدالة لا یوجد هناک فرق علی مستوی المشروعیّة السیاسیّة</w:t>
      </w:r>
      <w:bookmarkStart w:id="419" w:name="pg5439_46867"/>
    </w:p>
    <w:p>
      <w:pPr>
        <w:pStyle w:val="BookText"/>
        <w:rPr/>
      </w:pPr>
      <w:bookmarkEnd w:id="419"/>
      <w:r>
        <w:rPr>
          <w:rFonts w:ascii="IRNazanin" w:hAnsi="IRNazanin" w:eastAsia="IRNazanin"/>
          <w:color w:val="111111"/>
          <w:sz w:val="28"/>
          <w:sz w:val="28"/>
          <w:szCs w:val="28"/>
          <w:rtl w:val="true"/>
          <w:lang w:bidi="fa-IR"/>
        </w:rPr>
        <w:t>للحکومة الإسلامیّة بین زمان المعصوم علیه السّلام و غیر المعصوم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أجل تحقّق العدالة فی زمن المعصوم علیه السّلام،فالحاکم المطلق و الولیّ الواقعی هو شخص المعصوم علیه السّلام،أمّا فی زمان الغیبة و عدم الوصول إلی المعصوم علیه السّلام؛فإنّ مشروعیّة الحکومة الإسلامیّة تبقی ذات مشروعیّة 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مبنی العدالة،فالحکومة الإسلامیّة فی نظر الشارع هی الحکومة التی تقیم العدل و القسط بین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الحاکم یجب أن یکون أعرف الناس بمعنی حقیقة العدالة</w:t>
      </w:r>
      <w:r>
        <w:rPr>
          <w:rFonts w:eastAsia="IRNazanin" w:cs="IRNazanin"/>
          <w:color w:val="111111"/>
          <w:sz w:val="28"/>
          <w:szCs w:val="28"/>
          <w:rtl w:val="true"/>
          <w:lang w:bidi="fa-IR"/>
        </w:rPr>
        <w:t>.</w:t>
      </w:r>
    </w:p>
    <w:p>
      <w:pPr>
        <w:pStyle w:val="Heading3"/>
        <w:numPr>
          <w:ilvl w:val="2"/>
          <w:numId w:val="1"/>
        </w:numPr>
        <w:rPr/>
      </w:pPr>
      <w:bookmarkStart w:id="420" w:name="__RefHeading___Toc1856146_581953129"/>
      <w:bookmarkStart w:id="421" w:name="_Toc158"/>
      <w:bookmarkEnd w:id="420"/>
      <w:r>
        <w:rPr>
          <w:rtl w:val="true"/>
        </w:rPr>
        <w:t>نتائج بحث نظریّة العدالة</w:t>
      </w:r>
      <w:bookmarkEnd w:id="42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تحقیق العدالة هو من الامور الأساسیّة للدّین،و یمثّل الهدف الأصلی لإرسال الرسل و الأنبیاء علیهم السّلام،و الواجب علی النبیّ و الأئمّة المعصومین علیهم السّلام تحقّق العدالة فی المجتمع البشری بمعناها الواسع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طبقا للآیات القرآنیّة </w:t>
      </w:r>
      <w:r>
        <w:rPr>
          <w:rStyle w:val="FootnoteAnchor"/>
          <w:rtl w:val="true"/>
        </w:rPr>
        <w:footnoteReference w:id="573"/>
      </w:r>
      <w:r>
        <w:rPr>
          <w:rFonts w:ascii="Amiri" w:hAnsi="Amiri" w:eastAsia="Amiri" w:cs="Amiri"/>
          <w:color w:val="111111"/>
          <w:sz w:val="28"/>
          <w:sz w:val="28"/>
          <w:szCs w:val="28"/>
          <w:rtl w:val="true"/>
          <w:lang w:bidi="ar-SA"/>
        </w:rPr>
        <w:t>الشریفة أنّ وجوب تحقّق العدالة لا یختصّ بالنبیّ صلّی اللّه علیه و اله و وصیّه علیه السّلام</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طبقا للروایات المعتبرة </w:t>
      </w:r>
      <w:r>
        <w:rPr>
          <w:rStyle w:val="FootnoteAnchor"/>
          <w:rtl w:val="true"/>
        </w:rPr>
        <w:footnoteReference w:id="574"/>
      </w:r>
      <w:r>
        <w:rPr>
          <w:rFonts w:ascii="IRNazanin" w:hAnsi="IRNazanin" w:eastAsia="IRNazanin"/>
          <w:color w:val="111111"/>
          <w:sz w:val="28"/>
          <w:sz w:val="28"/>
          <w:szCs w:val="28"/>
          <w:rtl w:val="true"/>
          <w:lang w:bidi="fa-IR"/>
        </w:rPr>
        <w:t>أنّ العلماء و الفقهاء الجامعین للشرائط هم خلفاء النبیّ صلّی اللّه علیه و اله و الأئمّة علیهم السّلام و منزّلون منزلتهم،و هذا التنزیل یقوم قطعا علی أساس أنّ النبیّ صلّی اللّه علیه و اله و الأئمّة علیهم السّلام علی علم دقیق بالعدالة الواقعیّة بسبب اتّصالهم و ارتباطهم بالوحی،فکذلک العلماء الذین یستلهمون علومهم من تعالیم النبیّ صلّی اللّه علیه و اله و الأئمّة علیهم السّلام و إرشاداتهم،هم أعلم الناس بحقیقة العدالة و مواردها،و لهذا السبب فلو أمکنهم إقامة العدالة بواسطة تشکیل الحکومة الإسلامیّة لوجب علیهم القیام</w:t>
      </w:r>
    </w:p>
    <w:p>
      <w:pPr>
        <w:pStyle w:val="BookText"/>
        <w:rPr/>
      </w:pPr>
      <w:r>
        <w:rPr>
          <w:rFonts w:ascii="IRNazanin" w:hAnsi="IRNazanin" w:eastAsia="IRNazanin"/>
          <w:color w:val="111111"/>
          <w:sz w:val="28"/>
          <w:sz w:val="28"/>
          <w:szCs w:val="28"/>
          <w:rtl w:val="true"/>
          <w:lang w:bidi="fa-IR"/>
        </w:rPr>
        <w:t>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هذا المنهج لا یحتاج إلی التمسّک بالروایات و عملیّة التنزیل؛لأنّ الفقهاء بما أنّهم أعلم الناس بالحقوق و فروعاتها،لذلک یجب علیهم إجراء العدالة فی المجتمع؛لأنّ حقیقة العدالة و إیجادها فرع وجود الحقّ،و تشخیص هذا الأمر لا یتسنّی إلاّ من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روایات التنزیل تکون مؤیّدة لهذا المعنی، و یمکن الاستفادة منها کشاهد لا بعنوان الاستدلال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فرضنا أنّ مبنی مشروعیّة ولایة الفقیه هو القیام بالقسط و إقامة العدل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 لا تتحدّد منطقة نفوذه فی إطار ما یقع تحت سیطرته،بل یمتدّ لیستوعب کلّ منطقة یستطیع فیها الحاکم القیام بالقسط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هذا المنهج نلاحظ وجود رابطة و انسجام ذاتیّ و واقعیّ بین الولایة الشرعیّة و حقوق الناس؛لأنّ ماهیّة العدالة بما أنّها من العناوین ذات الإضافة لا تتحقّق بدون الأخذ بنظر الاعتبار حقوق جمیع الأشخاص و 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إیجاد العدالة لا یتیسّر علی مستوی الممارسة و التطبیق إلاّ إذا راعی الحاکم حقوق جمیع الأفراد فی المجتمع؛سواء الحقوق التی قرّرها الشارع للأفراد أو أمضاها العقل و حکم بصحّتها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الأساس،فالولایة التی تکون من موقع العدالة لا تعنی إطلاقا أنّ المولّی علیهم محجورون،بل تمثّل إعزاز و عظمة المولّی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أساس هذه النظریّة لا تکون النسبة بین الحاکم و أفراد الشعب کالنسبة بین الوالی و الرعیّة،المخدوم و الخادم،المالک و المملوک،بل أنّ الحاکم إنّما یکون حاکما إذا کان أشدّ الناس أمانة فی إجراء العدالة</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لیس الحاکم فی النظریّة الإسلامیّة بعنوان وکیل الناس أو الوالی المستبدّ،بل یمارس عمله بعنوانه أمینا لدین و دنیا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اشیر إلی هذا المعنی فی بعض</w:t>
      </w:r>
    </w:p>
    <w:p>
      <w:pPr>
        <w:pStyle w:val="BookText"/>
        <w:rPr/>
      </w:pPr>
      <w:r>
        <w:rPr>
          <w:rFonts w:ascii="IRNazanin" w:hAnsi="IRNazanin" w:eastAsia="IRNazanin"/>
          <w:color w:val="111111"/>
          <w:sz w:val="28"/>
          <w:sz w:val="28"/>
          <w:szCs w:val="28"/>
          <w:rtl w:val="true"/>
          <w:lang w:bidi="fa-IR"/>
        </w:rPr>
        <w:t>الروایات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الروایة المعتبرة عن الفضل بن شاذان،عن الإمام الرضا علیه السّلام فی علّة جعل أولی الأمر و وجوب طاعتهم،قال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الخلق لمّا وقفوا علی حدّ محدود،و امروا أن لا یتعدّوا ذلک الحدّ لما فیه من فسادهم،لم یکن یثبت ذلک و لا یقوم إلاّ بأن یجعل علیهم فیه أمینا یأخذهم بالوقف عندما ابیح لهم،و یمنعهم من التعدّی و الدخول فیما خطر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جانب آخر من الروایة یقول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لو لم یجعل لهم إماما قیّما أمینا حافظا مستودعا،لدرست الملّة،و ذهب الدّین و غیّرت السنّة و الأحکام،و لزاد فیه المبتدعون،و نقص منه الملحدون،و شبّهوا ذلک علی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فلو لم یجعل لهم قیّما حافظا لما جاء به الرسول لفسدوا علی نحو ما بیّنا،و غیّرت الشرائع و السنن و الأحکام و الإیمان،و کان فی ذلک فساد الخلق أجمعین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یوجد شیء لإعطاء حقوق جمیع الأشخاص فی المجتمع أقوی من العدالة،و هنا یجب الالتفات إلی هذه الحقیقة،و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مجرّد انتخاب الناس للحاکم و توفّر الحرّیة فی ذلک الانتخاب لا یکون دلیلا علی صحّة ذلک الانتخاب و حقّانیّته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أکثر ما أدّی الانتخاب إلی وقوع المفسدة فی 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المشروعیّة السیاسیّة للحاکم تتحقّق من خلال انتخاب الناس له؛فإنّ ذلک لا یکون بمعنی إعزاز الناس و إکرامهم،بل إنّ العزّة الواقعیّة و الإکرام الحقیقی یتمّ فیما لو تمّت الاستفادة من معاییر و رکائز دقیقة و ثابتة من قبیل معیار العدل و القیام بالقسط</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أساس هذه النظریّة،فإنّ ولایة الحاکم الواجد للشرائط تکون أمرا إسلامیّا،لا شیعیّا،فی حین أنّ النظریّات الاخر فی إثبات ولایة الفقیه منحصرة فی</w:t>
      </w:r>
    </w:p>
    <w:p>
      <w:pPr>
        <w:pStyle w:val="BookText"/>
        <w:rPr/>
      </w:pPr>
      <w:r>
        <w:rPr>
          <w:rFonts w:ascii="IRNazanin" w:hAnsi="IRNazanin" w:eastAsia="IRNazanin"/>
          <w:color w:val="111111"/>
          <w:sz w:val="28"/>
          <w:sz w:val="28"/>
          <w:szCs w:val="28"/>
          <w:rtl w:val="true"/>
          <w:lang w:bidi="fa-IR"/>
        </w:rPr>
        <w:t>المذهب الشیعی تماما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 لهذه النظریّة لا فرق بین الولایة و الحکومة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الحاکم له الولایة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بالرغم من وجود الفرق بینهما علی المستوی اللغوی،ففی اللغة یکون بین هذین العنوانین عموم و خصوص من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طبقا لنظریّة العدالة؛فأنّ من له الولایة له حقّ الحکومة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ببیان أوضح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البعض یری بأنّ الحکومة هی فنّ تدبیر امور الدولة، و التفکیر فی إدارة امور المجتمع الداخلیّة و الخارجیّة،و لذا فهی من فروع الحکمة العملیّة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الولایة،فتأتی بمعنی القیومیّة،و بالتالی ذهبوا إلی التفریق بین هذین العنوانین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لکنّنا ندّعی بأنّه رغم أنّ المعنی اللغوی یؤیّد ما ذکر آنفا،إلاّ أنّ المعنی الاصطلاحی یقوم علی أساس أنّ من کان مجریا للعدالة و قد تصدّی للحکومة لهذا الغرض،فله الولایة بمعنی إعمال النظر و نفوذ التصرّفات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حاجة فی هذا البحث إلی التمسّک بمقبولة عمر بن حنظلة أو الروایات الاخر </w:t>
      </w:r>
      <w:r>
        <w:rPr>
          <w:rStyle w:val="FootnoteAnchor"/>
          <w:rtl w:val="true"/>
        </w:rPr>
        <w:footnoteReference w:id="576"/>
      </w:r>
      <w:r>
        <w:rPr>
          <w:rFonts w:ascii="IRNazanin" w:hAnsi="IRNazanin" w:eastAsia="IRNazanin"/>
          <w:color w:val="111111"/>
          <w:sz w:val="28"/>
          <w:sz w:val="28"/>
          <w:szCs w:val="28"/>
          <w:rtl w:val="true"/>
          <w:lang w:bidi="fa-IR"/>
        </w:rPr>
        <w:t>فی هذا الباب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أنّ وجوب إجراء العدالة غیر مشروط برغبة الناس و اختیارهم،إذن لا حاجة للبیعة من قبل الناس،بل إنّ الفقیه الجامع للشرائط یجب علیه القیام بالقسط،و طبعا فإنّ البیعة یمکنها أن تکون مؤکّدة لطاعة الناس للفقیه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لا أثر لها فی تحقّق المشروعیّة،أی لیس لها إثبات حقّانیة هذا العمل</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ولایة الحاکم علی المجتمع و الناس هی نظیر ولایة الأب علی الابن،کما أنّ الأب الذی یتمتّع باللیاقة الکافیة له ولایة علی ابنه،و لیس للابن أیّ دور فی جعل هذه الولایة،فکذلک الحاکم الفقیه إذا توفّرت فیه شروط</w:t>
      </w:r>
    </w:p>
    <w:p>
      <w:pPr>
        <w:pStyle w:val="BookText"/>
        <w:rPr/>
      </w:pPr>
      <w:r>
        <w:rPr>
          <w:rFonts w:ascii="IRNazanin" w:hAnsi="IRNazanin" w:eastAsia="IRNazanin"/>
          <w:color w:val="111111"/>
          <w:sz w:val="28"/>
          <w:sz w:val="28"/>
          <w:szCs w:val="28"/>
          <w:rtl w:val="true"/>
          <w:lang w:bidi="fa-IR"/>
        </w:rPr>
        <w:t>معیّنة،له هذا الحقّ و الشأن بجعل من قبل الشارع المقدّس،و لا دور للناس فی أصل هذه الولایة و الحقّانیّة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نعم،تکون بیعة الناس له بمثابة إعلان الطاعة له،و بها تتمّ الحجّة علی الحاکم من قبل الناس،و کذلک علی الناس من قبل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النتیجة هی من روافد نظریّة العدالة،و إن کان من اللازم دراسة مسألة نظر الدّین تجاه الناس للخروج بنظریّة نهائیّة فی هذا المورد فی بحث مستقلّ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بهذا البیان لا یمکن النظر إلی الدّین من الزاویة الفردیّة حینئذ؛لأنّه إذا کان أساس الدّین هو القیام بالعدل و إقامة القسط،فالتعبیر عن الدّین بکونه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 عن مقرّرات و دستورات فردیّة و متعلّقة بالأشخاص فحسب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کلاما سخیفا و فارغا من أیّ دقّة و تتبّع،فالدّین هو المتصدّی لجمیع الامور الفردیّة و الاجتماعیّة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هذا المنهج لأجل إثبات المشروعیّة لولایة الفقیه،لا تکون ولایته بعنوان القدر المتیقّن،بل بعنوان أنّ الفقیه هو الشخص الوحید العارف بامور الدّین و مفاهیم القرآن الکریم،و بالتالی من له القدرة علی تحقّق العدالة بمعناها الدقیق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 لهذه النظریّة؛فإنّ تشکیل الحکومة الظاهریّة من قبل الفقیه یکون وجوبا غیریّا و مقدّمیّا،و لا تکون الحکومة واجبا نفسیّا و أصلیّا إطلاقا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لذلک إذا لم نعتبر الوجوب الأوّلیّ و الثانویّ مختصّا بالأحکام النفسیّة،أمکننا القول بأنّ الحکومة من الأحکام الأوّلیّة المقدّمیة أو الغیریّة</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 لهذه النظریّة؛فإنّ من شؤون النبیّ الأکرم صلّی اللّه علیه و اله الأساسیّة هی إقامة العدل و القسط،و لا یمکن الادّعاء بصورة جازمة أنّ تشکیل الحکومة هو من وظائفه الأوّلیّة،بل أنّه صلّی اللّه علیه و اله قام بتشکیل الحکومة فی المدینة المنوّرة من أجل نشر الدّین،و تحقّق القسط و العدل کان بعنوان المقدّمة الضروریّة لذلک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 لهذه النظریّة؛فإنّ مساحة نفوذ ولایة الفقیه تتحدّد بمیزان قدرته علی إجراء العدالة،و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یمکن الحکم بکونها مطلقة أو مقیّدة بشکل کلّی،بل من جهة أنّ إجراء العدالة یتقوّم بمعرفة الحقوق فی کلّ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لم یتمکّن الفقیه من تشخیص الحقّ فی أحد الموارد،فلا تکون له القدرة علی إقامة العدل فی ذلک المورد،و بالتالی لا تکون له الولایة فی ذلک المورد بالخصوص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جهة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إجراء العدالة لا یختصّ بالقاصرین و الغائبین و أمثالهم، بل یشمل جمیع الشؤون السیاسیّة و الاجتماعیّة للحکومة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طبعا فإنّ الأئمّة المعصومین علیهم السّلام لکونهم عالمین بجمیع الامور و مدرکین للواقع،یمکن القول بأنّ ولایتهم مطلقة و تشمل جمیع الامور،و لکن بالنسبة إلی الفقهاء یختلف الحال،فقد لا یستطیعون تشخیص الحقّ فی بعض الموارد حتّی بحسب الظاهر،فیمکن القول بأنّ ولایتهم ساقطة فی ذلک المورد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فولایة الفقهاء محدودة بالموارد التی یمکنهم تشخیص الحقّ فیها، و تکون لدیهم معرفة بکیفیّة إجراء العدالة کذلک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أنّ الإمام الخمینی قدّس سرّه یری أنّ ولایة الفقیه أمر بدیهیّ و لا یحتاج إلی دلیل و برهان </w:t>
      </w:r>
      <w:r>
        <w:rPr>
          <w:rStyle w:val="FootnoteAnchor"/>
          <w:rtl w:val="true"/>
        </w:rPr>
        <w:footnoteReference w:id="577"/>
      </w:r>
      <w:r>
        <w:rPr>
          <w:rFonts w:ascii="IRNazanin" w:hAnsi="IRNazanin" w:eastAsia="IRNazanin"/>
          <w:color w:val="111111"/>
          <w:sz w:val="28"/>
          <w:sz w:val="28"/>
          <w:szCs w:val="28"/>
          <w:rtl w:val="true"/>
          <w:lang w:bidi="fa-IR"/>
        </w:rPr>
        <w:t>،فقد اتّضح من خلال ما تقدّم فی نظریّة العدالة أنّ ولایة الفقیه لا تحتاج إلی برهان و دلیل سوی ما ذکر فی أصل وجوب القیام بالعدل و إجرائه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بمجرّد تصوّر وجوب إجراء العدالة یمکننا التصدیق بولایة الفقیه و الإذعان بحقّانیّتها</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ما تقدّم فی هذه المقالة یعتبر بیان لنظریّة حول إثبات مشروعیّة و حقّانیّة ولایة و حکومة الفقیه بواسطة العدالة،و تکمیل هذا البحث و التحقیق فی مدی</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ارتباط هذا المبنی مع سائر المبانی فی ولایة الفقیه،یحتاج إلی دراسة أدقّ و أوسع و أکثر تخصّصا،و لعلّنا نوفّق لذلک فی المستقبل إن شاء اللّه</w:t>
      </w:r>
      <w:r>
        <w:rPr>
          <w:rFonts w:eastAsia="IRNazanin" w:cs="IRNazanin"/>
          <w:color w:val="111111"/>
          <w:sz w:val="28"/>
          <w:szCs w:val="28"/>
          <w:rtl w:val="true"/>
          <w:lang w:bidi="fa-IR"/>
        </w:rPr>
        <w:t>.</w:t>
      </w:r>
      <w:bookmarkStart w:id="422" w:name="pg5439_46875"/>
    </w:p>
    <w:p>
      <w:pPr>
        <w:pStyle w:val="Heading2"/>
        <w:numPr>
          <w:ilvl w:val="1"/>
          <w:numId w:val="1"/>
        </w:numPr>
        <w:rPr/>
      </w:pPr>
      <w:bookmarkStart w:id="423" w:name="__RefHeading___Toc1856148_581953129"/>
      <w:bookmarkStart w:id="424" w:name="_Toc159"/>
      <w:bookmarkEnd w:id="422"/>
      <w:bookmarkEnd w:id="423"/>
      <w:r>
        <w:rPr>
          <w:rtl w:val="true"/>
        </w:rPr>
        <w:t>رسالة فی تأثیر الزمان و المکان فی الفقه</w:t>
      </w:r>
      <w:bookmarkEnd w:id="424"/>
    </w:p>
    <w:p>
      <w:pPr>
        <w:pStyle w:val="Heading3"/>
        <w:numPr>
          <w:ilvl w:val="2"/>
          <w:numId w:val="1"/>
        </w:numPr>
        <w:rPr/>
      </w:pPr>
      <w:bookmarkStart w:id="425" w:name="__RefHeading___Toc1856150_581953129"/>
      <w:bookmarkStart w:id="426" w:name="_Toc160"/>
      <w:bookmarkEnd w:id="425"/>
      <w:r>
        <w:rPr>
          <w:rtl w:val="true"/>
        </w:rPr>
        <w:t>اشارة</w:t>
      </w:r>
      <w:bookmarkEnd w:id="426"/>
    </w:p>
    <w:p>
      <w:pPr>
        <w:pStyle w:val="BookText"/>
        <w:rPr/>
      </w:pPr>
      <w:r>
        <w:rPr>
          <w:rFonts w:ascii="IRNazanin" w:hAnsi="IRNazanin" w:eastAsia="IRNazanin"/>
          <w:color w:val="111111"/>
          <w:sz w:val="28"/>
          <w:sz w:val="28"/>
          <w:szCs w:val="28"/>
          <w:rtl w:val="true"/>
          <w:lang w:bidi="fa-IR"/>
        </w:rPr>
        <w:t xml:space="preserve">و قد ألّفت فی سنة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بمناسبة المؤتمر للبحث عن آراء الفقهی للإمام الخمینی قدّس سرّه</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کانت هذه الرسالة باللغة الفارسیّة بقلم المؤلّف حفظه اللّه و قد نقلت إلی اللغة العربیّة</w:t>
      </w:r>
      <w:bookmarkStart w:id="427" w:name="pg5439_46877"/>
    </w:p>
    <w:p>
      <w:pPr>
        <w:pStyle w:val="BookText"/>
        <w:rPr/>
      </w:pPr>
      <w:bookmarkEnd w:id="427"/>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و فی هذه الرسالة یقع البحث فی فصول</w:t>
      </w:r>
      <w:r>
        <w:rPr>
          <w:rFonts w:eastAsia="IRNazanin" w:cs="IRNazanin"/>
          <w:color w:val="111111"/>
          <w:sz w:val="28"/>
          <w:szCs w:val="28"/>
          <w:rtl w:val="true"/>
          <w:lang w:bidi="fa-IR"/>
        </w:rPr>
        <w:t>:</w:t>
      </w:r>
    </w:p>
    <w:p>
      <w:pPr>
        <w:pStyle w:val="Heading3"/>
        <w:numPr>
          <w:ilvl w:val="2"/>
          <w:numId w:val="1"/>
        </w:numPr>
        <w:rPr/>
      </w:pPr>
      <w:bookmarkStart w:id="428" w:name="__RefHeading___Toc1856152_581953129"/>
      <w:bookmarkStart w:id="429" w:name="_Toc161"/>
      <w:bookmarkEnd w:id="428"/>
      <w:r>
        <w:rPr>
          <w:rtl w:val="true"/>
        </w:rPr>
        <w:t>الفصل الأوّل</w:t>
      </w:r>
      <w:r>
        <w:rPr>
          <w:rtl w:val="true"/>
        </w:rPr>
        <w:t>:</w:t>
      </w:r>
      <w:r>
        <w:rPr>
          <w:rtl w:val="true"/>
        </w:rPr>
        <w:t>کلّیات البحث</w:t>
      </w:r>
      <w:bookmarkEnd w:id="429"/>
    </w:p>
    <w:p>
      <w:pPr>
        <w:pStyle w:val="Heading4"/>
        <w:numPr>
          <w:ilvl w:val="3"/>
          <w:numId w:val="1"/>
        </w:numPr>
        <w:rPr/>
      </w:pPr>
      <w:bookmarkStart w:id="430" w:name="__RefHeading___Toc1856154_581953129"/>
      <w:bookmarkStart w:id="431" w:name="_Toc162"/>
      <w:bookmarkEnd w:id="430"/>
      <w:r>
        <w:rPr>
          <w:rtl w:val="true"/>
        </w:rPr>
        <w:t>اشارة</w:t>
      </w:r>
      <w:bookmarkEnd w:id="431"/>
    </w:p>
    <w:p>
      <w:pPr>
        <w:pStyle w:val="BookText"/>
        <w:rPr/>
      </w:pPr>
      <w:r>
        <w:rPr>
          <w:rFonts w:ascii="IRNazanin" w:hAnsi="IRNazanin" w:eastAsia="IRNazanin"/>
          <w:color w:val="111111"/>
          <w:sz w:val="28"/>
          <w:sz w:val="28"/>
          <w:szCs w:val="28"/>
          <w:rtl w:val="true"/>
          <w:lang w:bidi="fa-IR"/>
        </w:rPr>
        <w:t>لیس من العسیر العثور علی جوهرة ثمینة تسمّی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الزمان و المکان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رصد تأثیرها علی فروع فقهیّة عدیدة فی البحر الواسع و المترامی الأطراف لعلم الفقه، الجوهرة التی تمنح علم الفقه حیاة و حرکة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بکلمة جامعة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تمنحه الخلود و الامتداد الفاعل فی أبعاد هامّة للمجتمع البشری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القول بأنّه لو لم تبذل عنایة خاصّة فی دراسة و استکشاف هذا العنصر المؤثّر فسوف یصاب الفقه بالجمود و الرکود، و یصل الاجتهاد إلی طریق مسدود،و بالتالی یتمّ تحنیط الفقه فی زاویة معیّنة من العالم و المجتمع البشری</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بالرغم من أنّ تبیین هذا الأمر المهمّ،و تسلیط الضوء علی جوانبه المتنوّعة و أبعاده المختلفة؛هی من شأن کبار الفقهاء و الاصولیّین من ذوی المبانی، و المتمرّسین و المتضلّعین فی الفقه و الاصول،بحیث یستطیعون حلّ العقد المستصعبة فی هذین العلمین،نتیجة الممارسة الطویلة فی عملیّة البحث الفقهی و الاصولی، و لیس الأشخاص مثلی القدرة علی التوسّع و التعمّق فی دراسة هذا الموضوع</w:t>
      </w:r>
      <w:bookmarkStart w:id="432" w:name="pg5439_46878"/>
    </w:p>
    <w:p>
      <w:pPr>
        <w:pStyle w:val="BookText"/>
        <w:rPr/>
      </w:pPr>
      <w:bookmarkEnd w:id="432"/>
      <w:r>
        <w:rPr>
          <w:rFonts w:ascii="IRNazanin" w:hAnsi="IRNazanin" w:eastAsia="IRNazanin"/>
          <w:color w:val="111111"/>
          <w:sz w:val="28"/>
          <w:sz w:val="28"/>
          <w:szCs w:val="28"/>
          <w:rtl w:val="true"/>
          <w:lang w:bidi="fa-IR"/>
        </w:rPr>
        <w:t>بصورة وافیة،إلاّ أنّنا بحسب الضرورة سنشیر إجمالا إلی هذا الموضوع المهمّ فی هذه المقالة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لعلّنا نستطیع بذلک تسلیط الأضواء علی زاویة من أفکار الإمام الخمینی قدّس سرّه الواسعة،و بالتالی نتمکّن من تحقیق مقصوده الأصلی فی هذا المجال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نأمل أن یکون هذا البحث وسیلة للمحقّقین فی دائرة الفقه و الفقهاء العاملین الذین یحملون علی عاتقهم أمانة الأنبیاء و الأولیاء علیهم السّلام إن شاء اللّه</w:t>
      </w:r>
      <w:r>
        <w:rPr>
          <w:rFonts w:eastAsia="IRNazanin" w:cs="IRNazanin"/>
          <w:color w:val="111111"/>
          <w:sz w:val="28"/>
          <w:szCs w:val="28"/>
          <w:rtl w:val="true"/>
          <w:lang w:bidi="fa-IR"/>
        </w:rPr>
        <w:t>.</w:t>
      </w:r>
    </w:p>
    <w:p>
      <w:pPr>
        <w:pStyle w:val="Heading4"/>
        <w:numPr>
          <w:ilvl w:val="3"/>
          <w:numId w:val="1"/>
        </w:numPr>
        <w:rPr/>
      </w:pPr>
      <w:bookmarkStart w:id="433" w:name="__RefHeading___Toc1856156_581953129"/>
      <w:bookmarkStart w:id="434" w:name="_Toc163"/>
      <w:bookmarkEnd w:id="433"/>
      <w:r>
        <w:rPr>
          <w:rtl w:val="true"/>
        </w:rPr>
        <w:t>أ</w:t>
      </w:r>
      <w:r>
        <w:rPr>
          <w:rtl w:val="true"/>
        </w:rPr>
        <w:t>)</w:t>
      </w:r>
      <w:r>
        <w:rPr>
          <w:rtl w:val="true"/>
        </w:rPr>
        <w:t>مفهوم الزمان و المکان،و تأثیرهما فی الفقه</w:t>
      </w:r>
      <w:bookmarkEnd w:id="434"/>
    </w:p>
    <w:p>
      <w:pPr>
        <w:pStyle w:val="BookText"/>
        <w:rPr/>
      </w:pPr>
      <w:r>
        <w:rPr>
          <w:rFonts w:ascii="IRNazanin" w:hAnsi="IRNazanin" w:eastAsia="IRNazanin"/>
          <w:color w:val="111111"/>
          <w:sz w:val="28"/>
          <w:sz w:val="28"/>
          <w:szCs w:val="28"/>
          <w:rtl w:val="true"/>
          <w:lang w:bidi="fa-IR"/>
        </w:rPr>
        <w:t>قبل الدخول فی أصل الموضوع لا بدّ من توضیح إجمالیّ لهذا العنوان،رغم أنّه سیتّضح أکثر ضمن المطالب اللاّحقة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المعلوم أنّ المراد بالزمان و المکان لیس هو معناهما اللغوی،و کذلک لیس المراد معناهما الفلسفی الذی یختلف الفلاسفة فی تحقّقه اختلافا شدیدا،بل المراد هی الظروف،و الخصوصیّات،و العلاقات الجدیدة الحاکمة علی الأفراد و المجتمع، و المتغیّرة بتغیّر الزمان و المکان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الاستنباطات المختلفة التی یستخرجها الفقیه من الأدلّة و المنابع الفقهیّة،نتیجة ارتباطه بالعلوم البشریّة الجدیدة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الأصل المقوّم لهذا 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بمثابة الفصل الممیّز له عن سائر المواضیع المتعلّقة بعلم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تغییر الظروف و الشرائط الموجودة فی المجتمع،أو فئة من الناس بما من شأنه خلق مناسبات جدیدة فی علاقات الأفراد،و بالتالی اختلافهم فی الفهم للحکم الشرعیّ بالاستناد علی المبانی الفقهیّة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بما أنّ هذا الأمر یتحقّق غالبا بمرور الزمان،و تغیّر الأمکنة و الظروف الجغرافیّة المختلفة،تمّ التعبیر عنه بتأثیر الزمان و المکان فی الاجتهاد،و إلاّ فمن الممکن تحقّق هذا المعنی فی زمان واحد؛کأن یکون لشیء معیّن حکم خاصّ بسبب اختلاف الروابط،و تغیّر الظروف ممّا یستدعی طروّ عناوین جدیدة علیه</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نفس الوقت یکون له حکم آخر مع قطع النظر عن تلک الروابط</w:t>
      </w:r>
    </w:p>
    <w:p>
      <w:pPr>
        <w:pStyle w:val="BookText"/>
        <w:rPr/>
      </w:pPr>
      <w:r>
        <w:rPr>
          <w:rFonts w:ascii="IRNazanin" w:hAnsi="IRNazanin" w:eastAsia="IRNazanin"/>
          <w:color w:val="111111"/>
          <w:sz w:val="28"/>
          <w:sz w:val="28"/>
          <w:szCs w:val="28"/>
          <w:rtl w:val="true"/>
          <w:lang w:bidi="fa-IR"/>
        </w:rPr>
        <w:t>و الظروف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عنوان الزمان و المکان بنفسه لیس له دور فی هذا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له دور فی هذا البحث عبارة عن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الشرائط و طروّ خصوصیّات جدیدة تستدعی عناوین جدیدة، و بالتالی تستلزم أحکاما جدیدة،و هذا التغییر یرتبط بأحد عنوانین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الموضوع نفسه،أو تغییر أحد قیوده بنحو یصلح لتبدیل الحکم؛من قبیل أنّ الشطرنج کان یستخدم فی الماضی کأداة من أدوات القمار،و لکن فیما لو استعمل کلعبة فکریّة فی هذا الزمان،من دون تدخّل عنصر المراهنة،خرج عن دائرة التحریم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حدوث حاجات و ضرورات جدیدة لم تکن محلّ ابتلاء فی السابق،و لکنّ المجتمع البشری فی هذا العصر،أو الأعصار القادمة یعتبرها أمرا ضروریّا؛من قبیل المسائل المستحدثة فی الطب،کالتشریح و وصل أعضاء المیّت ببدن الحیّ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الضرورات الاقتصادیّة؛من قبیل التأمین،و البنوک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غضّ النظر عن تغیّر و تبدّل الموضوعات،أو الحاجات و الضرورات الجدیدة،فقد یحدث للفقیه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 مرور الزمان وسعة العلوم البشریّة و الارتباط الثقافی مع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فهما جدیدا من الأدلّة و المنابع الفقهیّة یقوم علی أساس نفس المبانی الاجتهادیّة،مثلا یفهم من الأدلّة التی تشترط إذن المعصوم علیه السّلام أو نائبه الخاصّ فی الجهاد،أنّ الجهاد الابتدائی یفتقد للمشروعیّة بدون إذن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الحال أنّ بعض الفقهاء فی هذا العصر یرون أنّه یجب معرفة الملاک لهذا الشرط أوّلا</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المعلوم أنّ المقصود من شرطیّة هذا الشرط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الجهاد الابتدائی لیس من قبیل الصلاة و الصوم،بل یحتاج إلی إمام و قائد یدرس جوانب الموضوع بنحو دقیق،و یتمّ الجهاد علی أساس هذا النظر الدقیق له،و لسنا فی صدد المناقشة</w:t>
      </w:r>
      <w:bookmarkStart w:id="435" w:name="pg5439_46880"/>
    </w:p>
    <w:p>
      <w:pPr>
        <w:pStyle w:val="BookText"/>
        <w:rPr/>
      </w:pPr>
      <w:bookmarkEnd w:id="435"/>
      <w:r>
        <w:rPr>
          <w:rFonts w:ascii="IRNazanin" w:hAnsi="IRNazanin" w:eastAsia="IRNazanin"/>
          <w:color w:val="111111"/>
          <w:sz w:val="28"/>
          <w:sz w:val="28"/>
          <w:szCs w:val="28"/>
          <w:rtl w:val="true"/>
          <w:lang w:bidi="fa-IR"/>
        </w:rPr>
        <w:t>فی صحّة أو سقم هذه النظریّة،و لکن ذکرنا هذا المورد بعنوانه شاهدا علی اختلاف الفهم بالنسبة للأدلّة الفقهیّة علی أثر مرور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یتوهّم أنّ هذا الفهم نفسه کان فی السابق لدی بعض الفقهاء أیضا،و لیس له أیّ ارتباط بمسألة الزمان و المکان،و لکنّنا فی مقام الجواب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رغم أنّ هذا التوهّم قد یکون له نصیب من الواقع،و لکنّ الفقیه یمکنه إمضاء هذا الفهم بمشاهدته للحروب و أشکال الدفاع</w:t>
      </w:r>
      <w:r>
        <w:rPr>
          <w:rFonts w:eastAsia="IRNazanin" w:cs="IRNazanin"/>
          <w:color w:val="111111"/>
          <w:sz w:val="28"/>
          <w:szCs w:val="28"/>
          <w:rtl w:val="true"/>
          <w:lang w:bidi="fa-IR"/>
        </w:rPr>
        <w:t>.</w:t>
      </w:r>
    </w:p>
    <w:p>
      <w:pPr>
        <w:pStyle w:val="Heading4"/>
        <w:numPr>
          <w:ilvl w:val="3"/>
          <w:numId w:val="1"/>
        </w:numPr>
        <w:rPr/>
      </w:pPr>
      <w:bookmarkStart w:id="436" w:name="__RefHeading___Toc1856158_581953129"/>
      <w:bookmarkStart w:id="437" w:name="_Toc164"/>
      <w:bookmarkEnd w:id="436"/>
      <w:r>
        <w:rPr>
          <w:rtl w:val="true"/>
        </w:rPr>
        <w:t>ب</w:t>
      </w:r>
      <w:r>
        <w:rPr>
          <w:rtl w:val="true"/>
        </w:rPr>
        <w:t>)</w:t>
      </w:r>
      <w:r>
        <w:rPr>
          <w:rtl w:val="true"/>
        </w:rPr>
        <w:t>تأثیر الزمان و المکان فی العلوم الاعتباریّة</w:t>
      </w:r>
      <w:bookmarkEnd w:id="437"/>
    </w:p>
    <w:p>
      <w:pPr>
        <w:pStyle w:val="BookText"/>
        <w:rPr/>
      </w:pPr>
      <w:r>
        <w:rPr>
          <w:rFonts w:ascii="IRNazanin" w:hAnsi="IRNazanin" w:eastAsia="IRNazanin"/>
          <w:color w:val="111111"/>
          <w:sz w:val="28"/>
          <w:sz w:val="28"/>
          <w:szCs w:val="28"/>
          <w:rtl w:val="true"/>
          <w:lang w:bidi="fa-IR"/>
        </w:rPr>
        <w:t>إنّ تأثیر الزمان و المکان فی الکثیر من العلوم یکاد یکون مشهودا و ملموسا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المعنی واضح فی العلوم التجربیّة و الإنسانیّة إلی درجة لا یحتاج معها إلی بیان و تمثیل،مضافا إلی ذلک فإنّ هذه المسألة لها دور هامّ فی بعض العلوم الإلهیّة غیر النظریّة أیضا کالعرفان،یقول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صائن الدّین علی بن محمد الترکة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کتابه المعروف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شکّ أنّ المناسبة الزمانیّة من أتمّ المناسبات</w:t>
      </w:r>
      <w:r>
        <w:rPr>
          <w:rFonts w:eastAsia="IRNazanin" w:cs="IRNazanin"/>
          <w:color w:val="111111"/>
          <w:sz w:val="28"/>
          <w:szCs w:val="28"/>
          <w:rtl w:val="true"/>
          <w:lang w:bidi="fa-IR"/>
        </w:rPr>
        <w:t xml:space="preserve">»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الواضح أنّ المناسبات الزمانیّة و الشرائط الخاصّة بالزمان و المکان لها أثر مهمّ فی المسائل العرفانیّة و الواردات القلبیّة،و المکاشفات المعنویّة للعارف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الغرض من نقل هذا المطلب بیان سعة دائرة تأثیر الزمان و المکان،و إلاّ فإنّ ما جاء فی باب العرفان یتفاوت کلّیا مع ما سیأتی من تأثیر هذه المسألة فی علم الفقه</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هو جدیر بالذکر أنّ هذا العنصر الهامّ لا یتدخّل أبدا فی المسائل النظریّة الحقیقیّة،فالعلوم المبتنیة علی القواعد العقلیّة من قبیل الفلسفة و الریاضیات</w:t>
      </w:r>
    </w:p>
    <w:p>
      <w:pPr>
        <w:pStyle w:val="BookText"/>
        <w:rPr/>
      </w:pPr>
      <w:r>
        <w:rPr>
          <w:rFonts w:ascii="IRNazanin" w:hAnsi="IRNazanin" w:eastAsia="IRNazanin"/>
          <w:color w:val="111111"/>
          <w:sz w:val="28"/>
          <w:sz w:val="28"/>
          <w:szCs w:val="28"/>
          <w:rtl w:val="true"/>
          <w:lang w:bidi="fa-IR"/>
        </w:rPr>
        <w:t>لا تتأثّر بتغیّر الشرائط و الخصوصیّات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نعم،لا یمکن إنکار تأثیر تغیّر الزمان و المکان فی ظهور معادلات علمیّة جدیدة أفضل من السابق،من قبیل تغییر بعض القواعد الهندسیّة المبتنیة علی الامور الخارجیّة،مثل کرویّة الأرض،و لکن لا یمکن تغییر القواعد الریاضیّة و الهندسیّة المبتنیة علی المبانی العقلیّة و المنطقیّة، و علیه یکون بإمکاننا بیان قاعدة کلّیة فی هذا المجال،و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جمیع العلوم الاعتباریّة کالفقه تقع تحت تأثیر هذا العنصر الهامّ،إلاّ أنّ تأثیره فی العلوم الحقیقیّة محدود جدّا،بل فی حیّز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بالرغم من أنّ علم الفقه کالعلوم الاعتباریّة الاخری له ملاکات مشخّصة من الناحیة العلمیّة،و له موضوع و مبادئ و مسائل مشخّصة کسائر العلوم الاخری،فلماذا یستنکر و یستوحش الفقهاء فی البدایة من مسألة تأثیر هذا العنصر فی الأحکام الشرعیّة،و الحال أنّنا لا نری أیّ لون من ألوان الاستنکار و الاستیحاش فی دائرة العلوم التجربیّة؟</w:t>
      </w:r>
    </w:p>
    <w:p>
      <w:pPr>
        <w:pStyle w:val="BookText"/>
        <w:rPr/>
      </w:pPr>
      <w:r>
        <w:rPr>
          <w:rFonts w:ascii="IRNazanin" w:hAnsi="IRNazanin" w:eastAsia="IRNazanin"/>
          <w:color w:val="111111"/>
          <w:sz w:val="28"/>
          <w:sz w:val="28"/>
          <w:szCs w:val="28"/>
          <w:rtl w:val="true"/>
          <w:lang w:bidi="fa-IR"/>
        </w:rPr>
        <w:t>هل أنّ وجود منبع استدلالیّ ثابت و متقن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کالقرآن الکریم،و معه الثقل الآخر و هی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یمثّل نقطة الفرق بین علم الفقه و سائر العلوم؟</w:t>
      </w:r>
    </w:p>
    <w:p>
      <w:pPr>
        <w:pStyle w:val="BookText"/>
        <w:rPr/>
      </w:pPr>
      <w:r>
        <w:rPr>
          <w:rFonts w:ascii="IRNazanin" w:hAnsi="IRNazanin" w:eastAsia="IRNazanin"/>
          <w:color w:val="111111"/>
          <w:sz w:val="28"/>
          <w:sz w:val="28"/>
          <w:szCs w:val="28"/>
          <w:rtl w:val="true"/>
          <w:lang w:bidi="fa-IR"/>
        </w:rPr>
        <w:t>هل أنّ وجود بعض القواعد و الأحکام التعبّدیة هو السبب الذی یقف وراء ذلک؟</w:t>
      </w:r>
    </w:p>
    <w:p>
      <w:pPr>
        <w:pStyle w:val="BookText"/>
        <w:rPr/>
      </w:pPr>
      <w:r>
        <w:rPr>
          <w:rFonts w:ascii="IRNazanin" w:hAnsi="IRNazanin" w:eastAsia="IRNazanin"/>
          <w:color w:val="111111"/>
          <w:sz w:val="28"/>
          <w:sz w:val="28"/>
          <w:szCs w:val="28"/>
          <w:rtl w:val="true"/>
          <w:lang w:bidi="fa-IR"/>
        </w:rPr>
        <w:t>هل أنّ عدم الإحاطة بملاکات الأحکام الشرعیّة استوجب هذا الافتراق؟ لا بدّ لمعرفة الجواب عن هذه الأسئلة و نظائرها من بیان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هذه المسألة من أیّ مسائل العلوم؟و بأدوات و وسائل أیّ علم یمکننا توضیح و بیان هذه المسألة؟</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من بیان الفرق الأساسی بین هذه المسألة،و المسائل الاخر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bookmarkStart w:id="438" w:name="pg5439_46882"/>
    </w:p>
    <w:p>
      <w:pPr>
        <w:pStyle w:val="BookText"/>
        <w:rPr/>
      </w:pPr>
      <w:bookmarkEnd w:id="438"/>
      <w:r>
        <w:rPr>
          <w:rFonts w:ascii="IRNazanin" w:hAnsi="IRNazanin" w:eastAsia="IRNazanin"/>
          <w:color w:val="111111"/>
          <w:sz w:val="28"/>
          <w:sz w:val="28"/>
          <w:szCs w:val="28"/>
          <w:rtl w:val="true"/>
          <w:lang w:bidi="fa-IR"/>
        </w:rPr>
        <w:t xml:space="preserve">قبیل العرف،و بناء العقلاء،و حتّی المسائل المستحدثة؛لأنّ البعض </w:t>
      </w:r>
      <w:r>
        <w:rPr>
          <w:rStyle w:val="FootnoteAnchor"/>
          <w:rtl w:val="true"/>
        </w:rPr>
        <w:footnoteReference w:id="579"/>
      </w:r>
      <w:r>
        <w:rPr>
          <w:rFonts w:ascii="IRNazanin" w:hAnsi="IRNazanin" w:eastAsia="IRNazanin"/>
          <w:color w:val="111111"/>
          <w:sz w:val="28"/>
          <w:sz w:val="28"/>
          <w:szCs w:val="28"/>
          <w:rtl w:val="true"/>
          <w:lang w:bidi="fa-IR"/>
        </w:rPr>
        <w:t>تصوّر عدم وجود فرق بین هذه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تغیّر الزمان و المکان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مسألة العرف و بناء العقلاء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تعبیرات مختلفة لمعنی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من دراسة الأبعاد الموجودة فی علم الفقه من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الملاکات و الموضوعات،و المتعلّقات،و کذلک أنواع و أقسام الحکم الشرعیّ</w:t>
      </w:r>
      <w:r>
        <w:rPr>
          <w:rFonts w:eastAsia="IRNazanin" w:cs="IRNazanin"/>
          <w:color w:val="111111"/>
          <w:sz w:val="28"/>
          <w:szCs w:val="28"/>
          <w:rtl w:val="true"/>
          <w:lang w:bidi="fa-IR"/>
        </w:rPr>
        <w:t>.</w:t>
      </w:r>
    </w:p>
    <w:p>
      <w:pPr>
        <w:pStyle w:val="Heading4"/>
        <w:numPr>
          <w:ilvl w:val="3"/>
          <w:numId w:val="1"/>
        </w:numPr>
        <w:rPr/>
      </w:pPr>
      <w:bookmarkStart w:id="439" w:name="__RefHeading___Toc1856160_581953129"/>
      <w:bookmarkStart w:id="440" w:name="_Toc165"/>
      <w:bookmarkEnd w:id="439"/>
      <w:r>
        <w:rPr>
          <w:rtl w:val="true"/>
        </w:rPr>
        <w:t>ج</w:t>
      </w:r>
      <w:r>
        <w:rPr>
          <w:rtl w:val="true"/>
        </w:rPr>
        <w:t>)</w:t>
      </w:r>
      <w:r>
        <w:rPr>
          <w:rtl w:val="true"/>
        </w:rPr>
        <w:t>موقع مسألة الزمان و المکان</w:t>
      </w:r>
      <w:bookmarkEnd w:id="440"/>
    </w:p>
    <w:p>
      <w:pPr>
        <w:pStyle w:val="BookText"/>
        <w:rPr/>
      </w:pPr>
      <w:r>
        <w:rPr>
          <w:rFonts w:ascii="IRNazanin" w:hAnsi="IRNazanin" w:eastAsia="IRNazanin"/>
          <w:color w:val="111111"/>
          <w:sz w:val="28"/>
          <w:sz w:val="28"/>
          <w:szCs w:val="28"/>
          <w:rtl w:val="true"/>
          <w:lang w:bidi="fa-IR"/>
        </w:rPr>
        <w:t>لم تبحث مسألة تأثیر الزمان و المکان فی الاجتهاد فی أیّ من العلوم المدوّنة الحالیّة،کالفقه و الاصول و الکلام،و لهذا یجب البحث فی أنّ الموقع العلمی لهذه المسألة فی ضمن مسائل أیّ علم ستکون؟</w:t>
      </w:r>
    </w:p>
    <w:p>
      <w:pPr>
        <w:pStyle w:val="BookText"/>
        <w:rPr/>
      </w:pPr>
      <w:r>
        <w:rPr>
          <w:rFonts w:ascii="IRNazanin" w:hAnsi="IRNazanin" w:eastAsia="IRNazanin"/>
          <w:color w:val="111111"/>
          <w:sz w:val="28"/>
          <w:sz w:val="28"/>
          <w:szCs w:val="28"/>
          <w:rtl w:val="true"/>
          <w:lang w:bidi="fa-IR"/>
        </w:rPr>
        <w:t>من الواضح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علم الفقه لا یتکفّل تبیین هذه المسألة المهمّة؛لأنّ الضابطة فی المسألة الفقهیّة هی بیانها لحکم جزئیّ فی موضوع معیّن،فی حین أنّ مسألة الزمان و المکان لیست کذلک،و لا ترتبط مباشرة بفعل المکلّف،الذی یشکّل الموضوع لعلم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کذلک الحال بالنسبة لعلم الاصول،حیث لا یتکفّل هذا الأمر؛لأنّ معیار المسألة الاصولیّة هو وقوعها فی طریق استنباط الحکم الشرعیّ،أو بتعبیر البعض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تقع فی کبری القیاس،و الحال أنّ مسألة الزمان و المکان لیس لها هذه الصلاحیّة</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یخطر علی الذهن فی البدایة أنّ هذا البحث مربوط بمبادئ الأحکام،و هذه المبادئ عبارة عن اللوازم و الحالات المترتّبة علی الأحکام الشرعیّة؛من قبیل مسألة التضادّ و عدمه بین الأحکام الشرعیّة،و بما أنّ فی هذا البحث تبحث مسألة</w:t>
      </w:r>
    </w:p>
    <w:p>
      <w:pPr>
        <w:pStyle w:val="BookText"/>
        <w:rPr/>
      </w:pPr>
      <w:r>
        <w:rPr>
          <w:rFonts w:ascii="IRNazanin" w:hAnsi="IRNazanin" w:eastAsia="IRNazanin"/>
          <w:color w:val="111111"/>
          <w:sz w:val="28"/>
          <w:sz w:val="28"/>
          <w:szCs w:val="28"/>
          <w:rtl w:val="true"/>
          <w:lang w:bidi="fa-IR"/>
        </w:rPr>
        <w:t>تأثیر الزمان و المکان فی الأحکام الشرعیّة،یکون البحث عن عوارض و حالات الحکم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یدخل فی مبادئ الأحکام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سوف یتّضح لا حقا أنّ هذا البحث لیس له تأثیر مباشر فی الأحکام الشرعیّة نفسها،بل یؤثّر غالبا فی إیجاد تغییرات فی دائرة الموضوعات و المتعلّقات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یمکن اعتباره من مبادئ الأحکام،و التحقیق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البحث لا ینبغی أن یبحث بعنوان مسألة من المسائل حتّی نبحث عن العلم الذی تبحث فیه هذه المسألة،بل هو عنوان کلّی عامّ یعبّر عنه بنظریّة دور الزمان و المکان فی الاجتهاد،و یرتبط بالنظریّات الفقهیّة العامّة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بیّنا فی محلّه </w:t>
      </w:r>
      <w:r>
        <w:rPr>
          <w:rStyle w:val="FootnoteAnchor"/>
          <w:rtl w:val="true"/>
        </w:rPr>
        <w:footnoteReference w:id="581"/>
      </w:r>
      <w:r>
        <w:rPr>
          <w:rFonts w:ascii="IRNazanin" w:hAnsi="IRNazanin" w:eastAsia="IRNazanin"/>
          <w:color w:val="111111"/>
          <w:sz w:val="28"/>
          <w:sz w:val="28"/>
          <w:szCs w:val="28"/>
          <w:rtl w:val="true"/>
          <w:lang w:bidi="fa-IR"/>
        </w:rPr>
        <w:t>أنّ بین المسألة الاصولیّة و المسألة الفقهیّة و القواعد الفقهیّة من جهة،و النظریّة الفقهیّة العامّة من جهة اخری،بون شاسع و تفاوت أساسیّ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النظریّة الفقهیّة العامّة عبارة عن المباحث المتعلّقة ببعض الموضوعات السائدة فی أبواب مختلفة من علم الفقه،و لها دور فی کثیر من الفروعات المتفرّقة، و کذلک تکون أساسا و مبنی لموضوعات أخر؛من قبیل البحث عن العرف و حقیقته و حدوده و تأثیره فی المسائل الفقهیّة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النظریّة الفقهیّة العامّة لا تتضمّن حکما شرعیّا،بل تتضمّن بیان شرائط و أرکان أمر معیّن،و کذلک تحوی قضایا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مسألة تأثیر الزمان و المکان فی الأبواب المختلفة لعلم الفقه هی نظریّة فقهیّة عامّة،یجب أن تبحث فی مکان آخر علی مستوی تعریفها،و ماهیّتها،و مقدار تأثیرها،و حدودها،و سائر الخصوصیّات الأخر،فعلی هذا لا یمکن اعتبارها من مسائل أیّ علم من العلوم</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یتبیّن من هذا المطلب</w:t>
      </w:r>
      <w:r>
        <w:rPr>
          <w:rFonts w:eastAsia="IRNazanin" w:cs="IRNazanin"/>
          <w:color w:val="111111"/>
          <w:sz w:val="28"/>
          <w:szCs w:val="28"/>
          <w:rtl w:val="true"/>
          <w:lang w:bidi="fa-IR"/>
        </w:rPr>
        <w:t>:</w:t>
      </w:r>
      <w:bookmarkStart w:id="441" w:name="pg5439_46884"/>
    </w:p>
    <w:p>
      <w:pPr>
        <w:pStyle w:val="BookText"/>
        <w:rPr/>
      </w:pPr>
      <w:bookmarkEnd w:id="441"/>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مسألة الزمان و المکان لا تدخل فی أیّ علم من العلوم المتعارفة، کالفقه أو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هذه المسألة لیست قضیّة واحدة متشخّصة،بل تتضمّن عدّة قضایا متنوّعة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هذه المسألة لیس لها أیّ ارتباط مباشر بالأحکام الشرعیّة، و لا تستتبع حکما شرعیّا،و کذلک لا تعتبر دلیلا للحکم الشرعیّ،کما هو الحال فی سائر أدلّة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الخطأ أن نتصوّر أنّ بإمکاننا استخراج الحکم الشرعیّ،أو إقامة الدلیل علیه من خلال الزمان و المکان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هذه المسألة لیس لها دور فی عملیّة الاستدلال،بل لها دور فی تبیین الموضوعات،أو إحدی الطرق الممهّدة لفهم الخصوصیّات و الشرائط الجدیدة لموضوع معیّن،أو فی مقام تبیین ظاهر أحد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أنّ هذه المسألة لا تؤخذ بعنوان دلیل مستقلّ،فلا یمکنها أن تکون بمثابة مخصّص لدلیل،أو حاکم علی دلیل،و لکن لها صلاحیّة أن تکون فعلیّة من جهة الحکومة علی دلیل آخر؛یعنی أنّ من الممکن أن لا یکون بین دلیلین أیّ ارتباط فی بعض الموارد و الظروف،و لکن فی ظروف اخر یکون أحدهما ناظرا إلی الآخر،و یرتدی عنوان الدلیل الحاکم علی الآخر،و سیتّضح هذا المعنی أکثر فی المباحث اللاحقة</w:t>
      </w:r>
      <w:r>
        <w:rPr>
          <w:rFonts w:eastAsia="IRNazanin" w:cs="IRNazanin"/>
          <w:color w:val="111111"/>
          <w:sz w:val="28"/>
          <w:szCs w:val="28"/>
          <w:rtl w:val="true"/>
          <w:lang w:bidi="fa-IR"/>
        </w:rPr>
        <w:t>.</w:t>
      </w:r>
    </w:p>
    <w:p>
      <w:pPr>
        <w:pStyle w:val="Heading4"/>
        <w:numPr>
          <w:ilvl w:val="3"/>
          <w:numId w:val="1"/>
        </w:numPr>
        <w:rPr/>
      </w:pPr>
      <w:bookmarkStart w:id="442" w:name="__RefHeading___Toc1856162_581953129"/>
      <w:bookmarkStart w:id="443" w:name="_Toc166"/>
      <w:bookmarkEnd w:id="442"/>
      <w:r>
        <w:rPr>
          <w:rtl w:val="true"/>
        </w:rPr>
        <w:t>د</w:t>
      </w:r>
      <w:r>
        <w:rPr>
          <w:rtl w:val="true"/>
        </w:rPr>
        <w:t>)</w:t>
      </w:r>
      <w:r>
        <w:rPr>
          <w:rtl w:val="true"/>
        </w:rPr>
        <w:t>تفاوت الزمان و المکان مع بعض الامور المشابهة</w:t>
      </w:r>
      <w:bookmarkEnd w:id="443"/>
    </w:p>
    <w:p>
      <w:pPr>
        <w:pStyle w:val="Heading5"/>
        <w:numPr>
          <w:ilvl w:val="4"/>
          <w:numId w:val="1"/>
        </w:numPr>
        <w:rPr/>
      </w:pPr>
      <w:bookmarkStart w:id="444" w:name="__RefHeading___Toc1856164_581953129"/>
      <w:bookmarkStart w:id="445" w:name="_Toc167"/>
      <w:bookmarkEnd w:id="444"/>
      <w:r>
        <w:rPr/>
        <w:t>1</w:t>
      </w:r>
      <w:r>
        <w:rPr>
          <w:rtl w:val="true"/>
        </w:rPr>
        <w:t>-</w:t>
      </w:r>
      <w:r>
        <w:rPr>
          <w:rtl w:val="true"/>
        </w:rPr>
        <w:t>الزمان و المکان و مسألة العرف</w:t>
      </w:r>
      <w:bookmarkEnd w:id="445"/>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یری بعض المحقّقین </w:t>
      </w:r>
      <w:r>
        <w:rPr>
          <w:rStyle w:val="FootnoteAnchor"/>
          <w:rtl w:val="true"/>
        </w:rPr>
        <w:footnoteReference w:id="582"/>
      </w:r>
      <w:r>
        <w:rPr>
          <w:rFonts w:ascii="IRNazanin" w:hAnsi="IRNazanin" w:eastAsia="IRNazanin"/>
          <w:color w:val="111111"/>
          <w:sz w:val="28"/>
          <w:sz w:val="28"/>
          <w:szCs w:val="28"/>
          <w:rtl w:val="true"/>
          <w:lang w:bidi="fa-IR"/>
        </w:rPr>
        <w:t>أنّه لا فرق بین هاتین المسألتین،فکلّ واحدة منهما تعبیر</w:t>
      </w:r>
    </w:p>
    <w:p>
      <w:pPr>
        <w:pStyle w:val="BookText"/>
        <w:rPr/>
      </w:pPr>
      <w:r>
        <w:rPr>
          <w:rFonts w:ascii="IRNazanin" w:hAnsi="IRNazanin" w:eastAsia="IRNazanin"/>
          <w:color w:val="111111"/>
          <w:sz w:val="28"/>
          <w:sz w:val="28"/>
          <w:szCs w:val="28"/>
          <w:rtl w:val="true"/>
          <w:lang w:bidi="fa-IR"/>
        </w:rPr>
        <w:t>عن عنوان آخر لمسألة واحدة،فی حین یتّضح مع التأمّل و الدقّة فی المطلب أنّ بینهما فرقا أساسیّا و واضحا،و من أجل تبیین هذا المطلب لا بدّ من ذکر بعض الامور حول مفهوم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الشهید آیة اللّه الصدر قدّس سرّه فی تعریف العرف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هناک نوع آخر من السیرة یطلق علیه فی علم الاصول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السیرة العقلائیّة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السیرة العقلائیّة عبارة عن میل عامّ عند العقلاء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المتدیّنین و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سلوک معیّن دون أن یکون للشرع دور إیجابیّ فی تکوین هذا المیل،و مثال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المیل العامّ لدی العقلاء نحو الأخذ بظهور کلام المتکلّم</w:t>
      </w:r>
      <w:r>
        <w:rPr>
          <w:rFonts w:eastAsia="IRNazanin" w:cs="IRNazanin"/>
          <w:color w:val="111111"/>
          <w:sz w:val="28"/>
          <w:szCs w:val="28"/>
          <w:rtl w:val="true"/>
          <w:lang w:bidi="fa-IR"/>
        </w:rPr>
        <w:t xml:space="preserve">»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بالرغم من وجود نقاط مشترکة بین هاتین المسألتین،و لکنّهما یفترقان فی خمس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یتضمّن عنوان العرف اتّجاها و میلا لدی عموم الأفراد،و هو السبب وراء وجود منهج عملیّ لدی الناس کافّة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حین أنّ مسألة الزمان و المکان لا تکون بهذه الصورة دائما،بل قد تحدث وقائع اجتماعیّة غیر متوقّعة أحیانا،و لا تتضمّن أیّ نحو من المیل العامّ للناس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ترتبط مسألة العرف بعامّة الناس و أغلبیّة الأفراد الذین یعیشون فی مجتمع واحد،و الحال أنّ مسألة الزمان و المکان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دورها الأساسیّ فی صیاغة المجتمع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لها تأثیر واضح علی الفرد المعیّن أیضا،مثلا الشیخ الأنصاری قدّس سرّه </w:t>
      </w:r>
      <w:r>
        <w:rPr>
          <w:rStyle w:val="FootnoteAnchor"/>
          <w:rtl w:val="true"/>
        </w:rPr>
        <w:footnoteReference w:id="584"/>
      </w:r>
      <w:r>
        <w:rPr>
          <w:rFonts w:ascii="IRNazanin" w:hAnsi="IRNazanin" w:eastAsia="IRNazanin"/>
          <w:color w:val="111111"/>
          <w:sz w:val="28"/>
          <w:sz w:val="28"/>
          <w:szCs w:val="28"/>
          <w:rtl w:val="true"/>
          <w:lang w:bidi="fa-IR"/>
        </w:rPr>
        <w:t>یری فی مسألة منجّزیة العلم الإجمالی أنّ ابتلاء المکلّف هو أحد شرائط التکلیف</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الواضح أنّ الشیء الواحد یمکنه أن یکون محلّ ابتلاء المکلّف فی زمان معیّن، و یخرج ذلک الشیء نفسه عن محلّ الابتلاء فی زمن آخر</w:t>
      </w:r>
      <w:r>
        <w:rPr>
          <w:rFonts w:eastAsia="IRNazanin" w:cs="IRNazanin"/>
          <w:color w:val="111111"/>
          <w:sz w:val="28"/>
          <w:szCs w:val="28"/>
          <w:rtl w:val="true"/>
          <w:lang w:bidi="fa-IR"/>
        </w:rPr>
        <w:t>.</w:t>
      </w:r>
      <w:bookmarkStart w:id="446" w:name="pg5439_46886"/>
    </w:p>
    <w:p>
      <w:pPr>
        <w:pStyle w:val="BookText"/>
        <w:rPr/>
      </w:pPr>
      <w:bookmarkEnd w:id="446"/>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ترتبط مسألة الزمان و المکان فی بعض مواردها و مصادیقها بحفظ الدّین و صیانته من الزوال،و لیس لهذه المسألة ارتباط بالعرف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زمان حیاة الإمام الخمینی قدّس سرّه حصلت ظروف معیّنة أوجبت تعطیل الحجّ لمدّة ثلاث سنوات </w:t>
      </w:r>
      <w:r>
        <w:rPr>
          <w:rStyle w:val="FootnoteAnchor"/>
          <w:rtl w:val="true"/>
        </w:rPr>
        <w:footnoteReference w:id="585"/>
      </w:r>
      <w:r>
        <w:rPr>
          <w:rFonts w:ascii="IRNazanin" w:hAnsi="IRNazanin" w:eastAsia="IRNazanin"/>
          <w:color w:val="111111"/>
          <w:sz w:val="28"/>
          <w:sz w:val="28"/>
          <w:szCs w:val="28"/>
          <w:rtl w:val="true"/>
          <w:lang w:bidi="fa-IR"/>
        </w:rPr>
        <w:t>،بل یمکن القول بأنّ وجوب الحجّ غیر ثابت فی تلک الظروف،و الاستطاعة غیر متحقّقة؛لأنّ جمیع الفروعات و الأحکام الشرعیّة محکومة فی مقابل مسألة حفظ أساس الدّین،فهذه المسألة حاکمة علی جمیع تلک الموارد،و مقتضیات الزمان و المکان هی التی تقرّر فعلیّة هذه الحکومة،رغم أنّنا قلنا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المسألة لا ترتبط مباشرة بمسألة تخصیص دلیل بالنسبة إلی دلیل آخر،أو حکومة دلیل علی دلیل آخر،و لکنّها قد تکون سببا لفعلیّة حکومة الدلیل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بعض الموارد یمکن أن یحدث لموضوع یرتبط بالعلاقات الاجتماعیّة السائدة فی المجتمع حکما آخر،و لیس لذلک أیّ ارتباط بالعرف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بعض الموارد یکون للعرف دور هامّ،لیس لمسألة الزمان و المکان أیّ تأثیر فیها،مثلا للعرف دور أساسیّ فی فهم ظواهر الألفاظ و المفردات فی اللغة،و الحال أنّ مسألة الزمان و المکان أجنبیّة عن هذا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الأساس؛فالنسبة بین مسألة العرف،و مسألة الزمان و المکان هی العموم و الخصوص من وجه</w:t>
      </w:r>
      <w:r>
        <w:rPr>
          <w:rFonts w:eastAsia="IRNazanin" w:cs="IRNazanin"/>
          <w:color w:val="111111"/>
          <w:sz w:val="28"/>
          <w:szCs w:val="28"/>
          <w:rtl w:val="true"/>
          <w:lang w:bidi="fa-IR"/>
        </w:rPr>
        <w:t>.</w:t>
      </w:r>
    </w:p>
    <w:p>
      <w:pPr>
        <w:pStyle w:val="Heading5"/>
        <w:numPr>
          <w:ilvl w:val="4"/>
          <w:numId w:val="1"/>
        </w:numPr>
        <w:rPr/>
      </w:pPr>
      <w:bookmarkStart w:id="447" w:name="__RefHeading___Toc1856166_581953129"/>
      <w:bookmarkStart w:id="448" w:name="_Toc168"/>
      <w:bookmarkEnd w:id="447"/>
      <w:r>
        <w:rPr/>
        <w:t>2</w:t>
      </w:r>
      <w:r>
        <w:rPr>
          <w:rtl w:val="true"/>
        </w:rPr>
        <w:t>-</w:t>
      </w:r>
      <w:r>
        <w:rPr>
          <w:rtl w:val="true"/>
        </w:rPr>
        <w:t>الزمان و المکان،و بناء العقلاء</w:t>
      </w:r>
      <w:bookmarkEnd w:id="448"/>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ورد بناء العقلاء فی علم الاصول باعتباره أحد الأدلّة التی تبحث ضمن</w:t>
      </w:r>
    </w:p>
    <w:p>
      <w:pPr>
        <w:pStyle w:val="BookText"/>
        <w:rPr/>
      </w:pPr>
      <w:r>
        <w:rPr>
          <w:rFonts w:ascii="IRNazanin" w:hAnsi="IRNazanin" w:eastAsia="IRNazanin"/>
          <w:color w:val="111111"/>
          <w:sz w:val="28"/>
          <w:sz w:val="28"/>
          <w:szCs w:val="28"/>
          <w:rtl w:val="true"/>
          <w:lang w:bidi="fa-IR"/>
        </w:rPr>
        <w:t>موضوع السنّة،فلو أنّ العقلاء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هم عقلاء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اتّفقوا علی أمر من الامور فی دائرة جلب المصلحة أو دفع المفسدة،و قد تمّ إمضاء هذا الاتّفاق من قبل المعصوم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فحینئذ یعتبر دلیلا شرعیّا یمکن الاستفادة منه فی إثبات الحکم الشرعیّ،و الحال أنّه قد تقدّم </w:t>
      </w:r>
      <w:r>
        <w:rPr>
          <w:rStyle w:val="FootnoteAnchor"/>
          <w:rtl w:val="true"/>
        </w:rPr>
        <w:footnoteReference w:id="586"/>
      </w:r>
      <w:r>
        <w:rPr>
          <w:rFonts w:ascii="IRNazanin" w:hAnsi="IRNazanin" w:eastAsia="IRNazanin"/>
          <w:color w:val="111111"/>
          <w:sz w:val="28"/>
          <w:sz w:val="28"/>
          <w:szCs w:val="28"/>
          <w:rtl w:val="true"/>
          <w:lang w:bidi="fa-IR"/>
        </w:rPr>
        <w:t>أنّ مسألة الزمان و المکان لیس لها أیّ ارتباط مباشر مع الأحکام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تعتبر دلیلا من الأدلّة الشرعیّة،و لتوضیح هذا المطلب لا بدّ من بیان معنی بناء العقلاء باختصار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المحقّق الشهید السیّد محمّد باقر الصدر قدّس سرّه یقول فی تحقیقاته فی البحوث الاصولیّة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السیرة العقلائیّة لا تحتاج حجّیتها إلی إمضاء الشارع فی موردین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تکون السیرة العقلائیّة بنفسها منقّحة ثبوتا لفرد حقیقیّ،من الموضوع،کما إذا لاحظنا دلیل وجوب إمساک الزوجة بمعروف،أو تسریحها بإحسان </w:t>
      </w:r>
      <w:r>
        <w:rPr>
          <w:rStyle w:val="FootnoteAnchor"/>
          <w:rtl w:val="true"/>
        </w:rPr>
        <w:footnoteReference w:id="587"/>
      </w:r>
      <w:r>
        <w:rPr>
          <w:rFonts w:ascii="IRNazanin" w:hAnsi="IRNazanin" w:eastAsia="IRNazanin"/>
          <w:color w:val="111111"/>
          <w:sz w:val="28"/>
          <w:sz w:val="28"/>
          <w:szCs w:val="28"/>
          <w:rtl w:val="true"/>
          <w:lang w:bidi="fa-IR"/>
        </w:rPr>
        <w:t>،الذی دلّ علی وجوب النفقة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الإمساک بمعروف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المعروف من العرف،و هو الشایع و المستساغ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تتدخّل السیرة فی تنقیح الموضوع إثباتا و کشفا،لا ثبوتا،کما کان فی النحو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إذا دلّ دلیل علی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المؤمنین عند شروطهم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اکتشفنا من تبانی العقلاء،و سیرتهم علی خیار الغبن،أنّهم لا یرضون فی البیع و المعاوضة بفوات المالیّة، و إنّما یرفعون الید عن الخصوصیّة مع الحفاظ علی المالیّة بما یساویها عرفا فی العوض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تحتاج فی إثبات حجّیتها إلی إمضاء الشارع ففی موردین آخرین</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السیرة التی تنقّح ظهور الدلیل،و هذا یدخل تحته أعمال المناسبات العرفیّة،و المرتکزات الاجتماعیّة المرتبطة بفهم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السیرة المتشرّعیّة؛و هی التی یراد الاستدلال بها علی کبری الحکم الشرعی،کالسیرة العقلائیّة القائمة علی أنّ من حاز شیئا من الأموال المنقولة المباحة ملکها،و کذلک السیرة القائمة علی خیار الغبن فی المعاملة إذا ارید الاستدلال بها علی إثبات الخیار ابتداء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یستفاد من کلمات الإمام الخمینی قدّس سرّه بأنّه لو فرض عدم العمل ببناء العقلاء فی المورد الثانی؛فإنّه یلزم منه اختلال النظام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فلیس فقط نستغنی عن إمضاء الشارع،بل إنّ الشارع المقدّس لا یتمکّن من المخالفة فی مثل هذا المورد،بل لا بدّ له من العمل به بما أنّه أحد العقلاء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بالرغم من أنّ مرور الزمان،و اکتشاف العلوم البشریّة الجدیدة یؤثّر فی ظهور سلوکیّات،و سیر عقلائیّة جدیدة،و یهیّئ الأرضیّة لتحقّقها علی أرض الواقع الاجتماعی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یتجلّی الارتباط الوثیق بین هاتین المسألتین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فی الوقت نفسه فإنّ موارد کثیرة فی مسألة الزمان و المکان لا ترتبط بمسألة بناء العقلاء و توافقهم،علی سبیل المثال ظهور موضوعات و ضرورات جدیدة من قبیل تشریح بدن المسلم</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لو وصل الفقیه إلی حکم شرعیّ نتیجة سعة إطّلاعه،و الوثوق بملاکه، و عمل علی إجرائه فی سائر الموارد،أو تعیین المصادیق فی باب الاحتکار،حیث یکون بعهدة الولیّ المتصدّی للحکومة فی کلّ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فیختار المصادیق لهذا الأمر طبقا لمقتضیات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ما نجده فی باب الحجّ فی مورد رمی الجمرات،حیث تمّ إضافة بناء جدید لها،فهل أنّ رمی الأحجار الإضافیّة مجز،أم لا؟و أمثال هذه الموارد التی لا یکون لبناء العقلاء أیّ دور فیها</w:t>
      </w:r>
      <w:r>
        <w:rPr>
          <w:rFonts w:eastAsia="IRNazanin" w:cs="IRNazanin"/>
          <w:color w:val="111111"/>
          <w:sz w:val="28"/>
          <w:szCs w:val="28"/>
          <w:rtl w:val="true"/>
          <w:lang w:bidi="fa-IR"/>
        </w:rPr>
        <w:t>.</w:t>
      </w:r>
      <w:bookmarkStart w:id="449" w:name="pg5439_46889"/>
    </w:p>
    <w:p>
      <w:pPr>
        <w:pStyle w:val="Heading5"/>
        <w:numPr>
          <w:ilvl w:val="4"/>
          <w:numId w:val="1"/>
        </w:numPr>
        <w:rPr/>
      </w:pPr>
      <w:bookmarkStart w:id="450" w:name="__RefHeading___Toc1856168_581953129"/>
      <w:bookmarkStart w:id="451" w:name="_Toc169"/>
      <w:bookmarkEnd w:id="449"/>
      <w:bookmarkEnd w:id="450"/>
      <w:r>
        <w:rPr/>
        <w:t>3</w:t>
      </w:r>
      <w:r>
        <w:rPr>
          <w:rtl w:val="true"/>
        </w:rPr>
        <w:t>-</w:t>
      </w:r>
      <w:r>
        <w:rPr>
          <w:rtl w:val="true"/>
        </w:rPr>
        <w:t>الزمان و المکان،و المسائل المستحدثة</w:t>
      </w:r>
      <w:bookmarkEnd w:id="451"/>
    </w:p>
    <w:p>
      <w:pPr>
        <w:pStyle w:val="BookText"/>
        <w:rPr/>
      </w:pPr>
      <w:r>
        <w:rPr>
          <w:rFonts w:ascii="IRNazanin" w:hAnsi="IRNazanin" w:eastAsia="IRNazanin"/>
          <w:color w:val="111111"/>
          <w:sz w:val="28"/>
          <w:sz w:val="28"/>
          <w:szCs w:val="28"/>
          <w:rtl w:val="true"/>
          <w:lang w:bidi="fa-IR"/>
        </w:rPr>
        <w:t>توجد مسائل فی الفقه المعاصر لم تذکر فی کتب فقهاء السلف،و لهذا ذکرت بعنوان المسائل المستحدثة؛أی المسائل الجدیدة؛من قبیل تشریح بدن المیّت المسلم،هل یجوز ذلک،أم لا؟أو هل یجوز وصل الأعضاء من بدن الحیّ لحیّ آخر، أو من میّت إلی بدن حیّ،أم لا؟</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 المستحدثة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بعکس المسألتین السابقتین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ارتباط وثیق بمسألة الزمان و المکان،و لکن فی نفس الوقت هناک فرق بین هذین العنوانین فی جهة من الجهات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بعض المسائل یکون للمکان دور أساسیّ فی تغییر الموضوع،فی حین أنّه لا یعتبر من المسائل المستحدثة،و قد ذکر فی کتب القوم؛من قبیل مسألة بیع الماء فی البیداء،حیث یتمتّع بمالیّة و قیمة شرائیّة،و لکنّه فی غیر البیداء لا مالیّة له،و غیر قابل للبیع و الشراء،أو مسألة بیع و شراء الدم،حیث منع منه الفقهاء الماضون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الفقهاء المعاصرین أجازوا هذه المعاملة لترتّب المنفعة العقلائیّة علیها،فهذه المسألة مذکورة فی کتب القدماء،و لیست من المسائل المستحدثة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النتیجة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المسائل المستحدثة تدور نوعا حول الموضوعات الجدیدة التی لم تبحث فی السابق،أو لم تحقّق قبل ذلک،کالصلاة فی المناطق القطبیّة،فی حین أنّ مسألة الزمان و المکان أعمّ من هذه المسألة،و تدور حول تغییر خصوصیّات الموضوع الذی تمّ بیان حکمه سابقا</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نستنتج ممّا تقدّم أنّ مسألة الزمان و المکان بحث واسع یستوعب مسألة العرف،و بناء العقلاء،و المسائل المستحدثة،و هذه المسائل تعدّ فی کثیر من الموارد من صغریات هذه المسألة</w:t>
      </w:r>
      <w:r>
        <w:rPr>
          <w:rFonts w:eastAsia="IRNazanin" w:cs="IRNazanin"/>
          <w:color w:val="111111"/>
          <w:sz w:val="28"/>
          <w:szCs w:val="28"/>
          <w:rtl w:val="true"/>
          <w:lang w:bidi="fa-IR"/>
        </w:rPr>
        <w:t>.</w:t>
      </w:r>
      <w:bookmarkStart w:id="452" w:name="pg5439_46890"/>
    </w:p>
    <w:p>
      <w:pPr>
        <w:pStyle w:val="Heading5"/>
        <w:numPr>
          <w:ilvl w:val="4"/>
          <w:numId w:val="1"/>
        </w:numPr>
        <w:rPr/>
      </w:pPr>
      <w:bookmarkStart w:id="453" w:name="__RefHeading___Toc1856170_581953129"/>
      <w:bookmarkStart w:id="454" w:name="_Toc170"/>
      <w:bookmarkEnd w:id="452"/>
      <w:bookmarkEnd w:id="453"/>
      <w:r>
        <w:rPr/>
        <w:t>4</w:t>
      </w:r>
      <w:r>
        <w:rPr>
          <w:rtl w:val="true"/>
        </w:rPr>
        <w:t>-</w:t>
      </w:r>
      <w:r>
        <w:rPr>
          <w:rtl w:val="true"/>
        </w:rPr>
        <w:t>الزمان و المکان،و مسألة النسخ</w:t>
      </w:r>
      <w:bookmarkEnd w:id="454"/>
    </w:p>
    <w:p>
      <w:pPr>
        <w:pStyle w:val="BookText"/>
        <w:rPr/>
      </w:pPr>
      <w:r>
        <w:rPr>
          <w:rFonts w:ascii="IRNazanin" w:hAnsi="IRNazanin" w:eastAsia="IRNazanin"/>
          <w:color w:val="111111"/>
          <w:sz w:val="28"/>
          <w:sz w:val="28"/>
          <w:szCs w:val="28"/>
          <w:rtl w:val="true"/>
          <w:lang w:bidi="fa-IR"/>
        </w:rPr>
        <w:t>لا شکّ فی وقوع النسخ فی الشرائع السابقة،و کذلک فی بعض أحکام الشریعة الإسلامیّة،و المقصود من النسخ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الشارع المقدّس یرفع حکما کان قد قرّره فی مدّة معیّنة من الزمان لمصلحة فیه بعد انقضاء تلک المدّة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النسخ فی الاصطلاح یختصّ بالأحکام الشرعیّة،و کذلک من اللازم فی النسخ أن یتمّ رفع الحکم السابق بواسطة نصّ شرعیّ آخر یدلّ علی حکم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علماء أهل السنّة لا یرون فرقا بین النسخ و تأثیر الزمان و المکان فی الأحکام الشرعیّة،و یقولون بأنّ النسخ عبارة عن إبطال نصّ شرعیّ سابق بوسیلة نصّ لاحق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مسألة تغییر الأحکام بسبب شرائط الزمان،فهی عبارة عن عمل بنصّ سابق،و لکن یستفاد منه حکم جدید مبتن علی دلیل مستفاد من ظروف النصّ تبعا للمصلحة الزمانیّة؛یعنی أنّ العمل بحکم النصّ تابع للمصلحة الوقتیّة،فلو تغیّرت المصلحة تغیّر الحکم تبعا لها،دون أن یکون هناک حاجة لتغییر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جهة یکون المبطل للعمل بالنصّ فی المسألة هو الشارع،و لکن من یغیّر العمل بالحکم فی مسألة تغییر المصلحة هو المجتهد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سوف نذکر لا حقا </w:t>
      </w:r>
      <w:r>
        <w:rPr>
          <w:rStyle w:val="FootnoteAnchor"/>
          <w:rtl w:val="true"/>
        </w:rPr>
        <w:footnoteReference w:id="591"/>
      </w:r>
      <w:r>
        <w:rPr>
          <w:rFonts w:ascii="IRNazanin" w:hAnsi="IRNazanin" w:eastAsia="IRNazanin"/>
          <w:color w:val="111111"/>
          <w:sz w:val="28"/>
          <w:sz w:val="28"/>
          <w:szCs w:val="28"/>
          <w:rtl w:val="true"/>
          <w:lang w:bidi="fa-IR"/>
        </w:rPr>
        <w:t>أنّ الإمامیّة تری عدم وجود مرجع لإبطال الحکم أو تغییره سوی الشارع المقدّس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الوقت نفسه هناک تفاوت واضح بین هاتین المسألتین؛لأنّ مسألة الزمان و المکان لا ترتبط مباشرة بالأحکام،بل تبحث عن تغیّر و تبدّل الموضوعات و حدوث خصوصیّات جدیدة فی موضوع معیّن، أو اختلاف الفهم من ظاهر الدلیل</w:t>
      </w:r>
      <w:r>
        <w:rPr>
          <w:rFonts w:eastAsia="IRNazanin" w:cs="IRNazanin"/>
          <w:color w:val="111111"/>
          <w:sz w:val="28"/>
          <w:szCs w:val="28"/>
          <w:rtl w:val="true"/>
          <w:lang w:bidi="fa-IR"/>
        </w:rPr>
        <w:t>.</w:t>
      </w:r>
      <w:bookmarkStart w:id="455" w:name="pg5439_46891"/>
    </w:p>
    <w:p>
      <w:pPr>
        <w:pStyle w:val="BookText"/>
        <w:rPr/>
      </w:pPr>
      <w:bookmarkEnd w:id="455"/>
      <w:r>
        <w:rPr>
          <w:rFonts w:ascii="IRNazanin" w:hAnsi="IRNazanin" w:eastAsia="IRNazanin"/>
          <w:color w:val="111111"/>
          <w:sz w:val="28"/>
          <w:sz w:val="28"/>
          <w:szCs w:val="28"/>
          <w:rtl w:val="true"/>
          <w:lang w:bidi="fa-IR"/>
        </w:rPr>
        <w:t>و أمّا مسألة النسخ،فترد مع حفظ الموضوع و من دون طروّ أیّ تغییر فی خصوصیّاته</w:t>
      </w:r>
      <w:r>
        <w:rPr>
          <w:rFonts w:eastAsia="IRNazanin" w:cs="IRNazanin"/>
          <w:color w:val="111111"/>
          <w:sz w:val="28"/>
          <w:szCs w:val="28"/>
          <w:rtl w:val="true"/>
          <w:lang w:bidi="fa-IR"/>
        </w:rPr>
        <w:t>.</w:t>
      </w:r>
    </w:p>
    <w:p>
      <w:pPr>
        <w:pStyle w:val="Heading5"/>
        <w:numPr>
          <w:ilvl w:val="4"/>
          <w:numId w:val="1"/>
        </w:numPr>
        <w:rPr/>
      </w:pPr>
      <w:bookmarkStart w:id="456" w:name="__RefHeading___Toc1856172_581953129"/>
      <w:bookmarkStart w:id="457" w:name="_Toc171"/>
      <w:bookmarkEnd w:id="456"/>
      <w:r>
        <w:rPr/>
        <w:t>5</w:t>
      </w:r>
      <w:r>
        <w:rPr>
          <w:rtl w:val="true"/>
        </w:rPr>
        <w:t>-</w:t>
      </w:r>
      <w:r>
        <w:rPr>
          <w:rtl w:val="true"/>
        </w:rPr>
        <w:t>الزمان و المکان،و قاعدة الأهمّ فالأهمّ</w:t>
      </w:r>
      <w:bookmarkEnd w:id="457"/>
    </w:p>
    <w:p>
      <w:pPr>
        <w:pStyle w:val="BookText"/>
        <w:rPr/>
      </w:pPr>
      <w:r>
        <w:rPr>
          <w:rFonts w:ascii="IRNazanin" w:hAnsi="IRNazanin" w:eastAsia="IRNazanin"/>
          <w:color w:val="111111"/>
          <w:sz w:val="28"/>
          <w:sz w:val="28"/>
          <w:szCs w:val="28"/>
          <w:rtl w:val="true"/>
          <w:lang w:bidi="fa-IR"/>
        </w:rPr>
        <w:t>أحیانا یتصوّر الشخص أنّه مع وجود القواعد العقلیّة و العقلائیّة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قبیل 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تقدیم الفعل الأهمّ علی الفعل المهمّ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تبقی حاجة للبحث فی مسألة تأثیر الزمان و المکان،و لعلّ هذا المعنی یخطر علی الذهن فی البدایة،و هو أنّ التمسّک بهذه القاعدة یمکنه أن یفی بالإجابة علی جمیع فروعات مسألة الزمان و المکان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لرفع و دفع هذا التصوّر لا بدّ من بیان الفرق بین هاتین المسألتین،فرغم وجود الارتباط الوثیق و العمیق بینهما،أنّ هناک موارد فی مسألة الزمان و المکان تکون هذه القاعدة أجنبیّة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فی مسألة بیع و شراء الدم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یتمّ تجویزها لدی العقلاء،هذه الأیّام، لوجود المنفعة المعتبرة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یوجد أیّ ارتباط بینها،و بین قاعدة تقدیم الأهمّ علی المهمّ،و لکن من جهة اخری تجری هذه القاعدة فی موارد لا ترتبط بمسألة تأثیر الزمان و المکان،کالمثال المعروف حین الورود إلی المسجد،فلو التفت المکلّف إلی وجود نجاسة فی المسجد،وجب علیه فورا تطهیر المسجد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الفعل یکون أهمّ من الصلاة فی الوقت الموسّع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الملاحظة الجدیرة بالاعتبار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اختلاف الأزمنة و حدوث شرائط زمانیّة و مکانیّة معیّنة،بإمکانها إعطاء الأهمیّة لفعل من الأفعال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الموضوع الذی کان عدیم الأهمّیة فی السابق،یضحی مهمّا فی اللاحق</w:t>
      </w:r>
      <w:r>
        <w:rPr>
          <w:rFonts w:eastAsia="IRNazanin" w:cs="IRNazanin"/>
          <w:color w:val="111111"/>
          <w:sz w:val="28"/>
          <w:szCs w:val="28"/>
          <w:rtl w:val="true"/>
          <w:lang w:bidi="fa-IR"/>
        </w:rPr>
        <w:t>.</w:t>
      </w:r>
    </w:p>
    <w:p>
      <w:pPr>
        <w:pStyle w:val="Heading5"/>
        <w:numPr>
          <w:ilvl w:val="4"/>
          <w:numId w:val="1"/>
        </w:numPr>
        <w:rPr/>
      </w:pPr>
      <w:bookmarkStart w:id="458" w:name="__RefHeading___Toc1856174_581953129"/>
      <w:bookmarkStart w:id="459" w:name="_Toc172"/>
      <w:bookmarkEnd w:id="458"/>
      <w:r>
        <w:rPr/>
        <w:t>6</w:t>
      </w:r>
      <w:r>
        <w:rPr>
          <w:rtl w:val="true"/>
        </w:rPr>
        <w:t>-</w:t>
      </w:r>
      <w:r>
        <w:rPr>
          <w:rtl w:val="true"/>
        </w:rPr>
        <w:t>الزمان و المکان،و قاعدة</w:t>
      </w:r>
      <w:r>
        <w:rPr>
          <w:rtl w:val="true"/>
        </w:rPr>
        <w:t>«</w:t>
      </w:r>
      <w:r>
        <w:rPr>
          <w:rtl w:val="true"/>
        </w:rPr>
        <w:t>الضرورات تبیح المحظورات</w:t>
      </w:r>
      <w:r>
        <w:rPr>
          <w:rtl w:val="true"/>
        </w:rPr>
        <w:t>»</w:t>
      </w:r>
      <w:bookmarkEnd w:id="459"/>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القواعد المهمّة فی الفقه الإسلامی قاعدة مفادّها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فی حال وجود</w:t>
      </w:r>
    </w:p>
    <w:p>
      <w:pPr>
        <w:pStyle w:val="BookText"/>
        <w:rPr/>
      </w:pPr>
      <w:r>
        <w:rPr>
          <w:rFonts w:ascii="IRNazanin" w:hAnsi="IRNazanin" w:eastAsia="IRNazanin"/>
          <w:color w:val="111111"/>
          <w:sz w:val="28"/>
          <w:sz w:val="28"/>
          <w:szCs w:val="28"/>
          <w:rtl w:val="true"/>
          <w:lang w:bidi="fa-IR"/>
        </w:rPr>
        <w:t xml:space="preserve">ضرورة،أو اضطرار لشیء ممنوع شرعا أو عقلا،یرتفع المنع أو النهی،و یرتدی الفعل لباس الجواز؛من قبیل حرمة التصرّف فی مال الغیر بدون إذنه،ففی صورة الضرورة أو الاضطرار،کالعبور من ملک الغیر بدون إذنه لغرض إنقاذ نفس محترمة،یخرج هذا الفعل من دائرة المنع،و علی أساس هذه القاعدة،فالضرورات تبیح المحظورات،أو الممنوعات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رغم وجود خلاف و نزاع فی تفسیر هذه القاعدة،و مدرکها،و حدودها، و مواردها،إلاّ أنّها بنحو الإجمال إحدی القواعد المسلّمة التی أجراها الشارع المقدّس فی شریعته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مورد جریان هذه القاعدة،فمقیّد بأمرین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المنع أو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المکلّف مضطرّا إلی ارتکابه</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هذا،و الحال أنّ مسألة الزمان و المکان لا تتحدّد بهذین القیدین،فالکثیر من الموارد یکون للموضوع حکم جدید مع تغیّر خصوصیّات ذلک الموضوع بمرور الزمان،من دون أن یکون هناک ضرورة و اضطرار فی البین</w:t>
      </w:r>
      <w:r>
        <w:rPr>
          <w:rFonts w:eastAsia="IRNazanin" w:cs="IRNazanin"/>
          <w:color w:val="111111"/>
          <w:sz w:val="28"/>
          <w:szCs w:val="28"/>
          <w:rtl w:val="true"/>
          <w:lang w:bidi="fa-IR"/>
        </w:rPr>
        <w:t>.</w:t>
      </w:r>
      <w:bookmarkStart w:id="460" w:name="pg5439_46893"/>
    </w:p>
    <w:p>
      <w:pPr>
        <w:pStyle w:val="Heading3"/>
        <w:numPr>
          <w:ilvl w:val="2"/>
          <w:numId w:val="1"/>
        </w:numPr>
        <w:rPr/>
      </w:pPr>
      <w:bookmarkStart w:id="461" w:name="__RefHeading___Toc1856176_581953129"/>
      <w:bookmarkStart w:id="462" w:name="_Toc173"/>
      <w:bookmarkEnd w:id="460"/>
      <w:bookmarkEnd w:id="461"/>
      <w:r>
        <w:rPr>
          <w:rtl w:val="true"/>
        </w:rPr>
        <w:t>الفصل الثانی</w:t>
      </w:r>
      <w:r>
        <w:rPr>
          <w:rtl w:val="true"/>
        </w:rPr>
        <w:t>:</w:t>
      </w:r>
      <w:r>
        <w:rPr>
          <w:rtl w:val="true"/>
        </w:rPr>
        <w:t>کیفیّة تأثیر الزمان و المکان،و دائرتهما</w:t>
      </w:r>
      <w:bookmarkEnd w:id="462"/>
    </w:p>
    <w:p>
      <w:pPr>
        <w:pStyle w:val="Heading4"/>
        <w:numPr>
          <w:ilvl w:val="3"/>
          <w:numId w:val="1"/>
        </w:numPr>
        <w:rPr/>
      </w:pPr>
      <w:bookmarkStart w:id="463" w:name="__RefHeading___Toc1856178_581953129"/>
      <w:bookmarkStart w:id="464" w:name="_Toc174"/>
      <w:bookmarkEnd w:id="463"/>
      <w:r>
        <w:rPr>
          <w:rtl w:val="true"/>
        </w:rPr>
        <w:t>أ</w:t>
      </w:r>
      <w:r>
        <w:rPr>
          <w:rtl w:val="true"/>
        </w:rPr>
        <w:t>)</w:t>
      </w:r>
      <w:r>
        <w:rPr>
          <w:rtl w:val="true"/>
        </w:rPr>
        <w:t>تأثیر الزمان و المکان فی ملاکات الأحکام</w:t>
      </w:r>
      <w:bookmarkEnd w:id="464"/>
    </w:p>
    <w:p>
      <w:pPr>
        <w:pStyle w:val="Heading5"/>
        <w:numPr>
          <w:ilvl w:val="4"/>
          <w:numId w:val="1"/>
        </w:numPr>
        <w:rPr/>
      </w:pPr>
      <w:bookmarkStart w:id="465" w:name="__RefHeading___Toc1856180_581953129"/>
      <w:bookmarkStart w:id="466" w:name="_Toc175"/>
      <w:bookmarkEnd w:id="465"/>
      <w:r>
        <w:rPr>
          <w:rtl w:val="true"/>
        </w:rPr>
        <w:t>اشارة</w:t>
      </w:r>
      <w:bookmarkEnd w:id="466"/>
    </w:p>
    <w:p>
      <w:pPr>
        <w:pStyle w:val="BookText"/>
        <w:rPr/>
      </w:pPr>
      <w:r>
        <w:rPr>
          <w:rFonts w:ascii="IRNazanin" w:hAnsi="IRNazanin" w:eastAsia="IRNazanin"/>
          <w:color w:val="111111"/>
          <w:sz w:val="28"/>
          <w:sz w:val="28"/>
          <w:szCs w:val="28"/>
          <w:rtl w:val="true"/>
          <w:lang w:bidi="fa-IR"/>
        </w:rPr>
        <w:t>طبقا لمبنی المعتزلة و الإمامیّة بأنّ جمیع الأحکام مترتّبة علی وجود ملاکات؛ أی المصالح و المفاسد،و لا یوجد حکم من دون الأخذ بنظر الاعتبار ملاک إنشائه، ففی هذا القسم نبحث فی تأثیر الزمان و المکان بملاکات الأحکام،و ارتباطهما بهذه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قلیل من التأمّل یمکننا أن ندرک جیّدا أنّ الزمان و المکان مؤثّران قطعا فی إیجاد ملاک معیّن أو رفعه،و کذلک فی تضعیفه أو تشدیده،و من الممکن أن لا یکون لفعل مصلحة فی زمان معیّن،و لکن نفس ذلک الفعل تترتّب علیه منفعة و مصلحة فی زمن آخر،من قبیل بیع و شراء الدم،حیث لم تکن فیه منفعة فی السابق،و لکنّه ذو منفعة فی العصر الحاضر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أجل توضیح هذا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من وضع ملاکات الأحکام فی أقسام و أنواع مختلفة و دراستها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تقسیم ابتدائی و سطحی تنقسم الأحکام الشرعیّة إلی أربعة أقسام</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أحکام عبادیّة</w:t>
      </w:r>
      <w:r>
        <w:rPr>
          <w:rFonts w:eastAsia="IRNazanin" w:cs="IRNazanin"/>
          <w:color w:val="111111"/>
          <w:sz w:val="28"/>
          <w:szCs w:val="28"/>
          <w:rtl w:val="true"/>
          <w:lang w:bidi="fa-IR"/>
        </w:rPr>
        <w:t>.</w:t>
      </w:r>
      <w:bookmarkStart w:id="467" w:name="pg5439_46894"/>
    </w:p>
    <w:p>
      <w:pPr>
        <w:pStyle w:val="BookText"/>
        <w:rPr/>
      </w:pPr>
      <w:bookmarkEnd w:id="467"/>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أحکام معاملاتیّة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أحکام شخصیّة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أحکام تتعلّق بالنظام السیاسیّ،و المجتمع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أحکام اجتماعیّة</w:t>
      </w:r>
      <w:r>
        <w:rPr>
          <w:rFonts w:eastAsia="IRNazanin" w:cs="IRNazanin"/>
          <w:color w:val="111111"/>
          <w:sz w:val="28"/>
          <w:szCs w:val="28"/>
          <w:rtl w:val="true"/>
          <w:lang w:bidi="fa-IR"/>
        </w:rPr>
        <w:t>).</w:t>
      </w:r>
    </w:p>
    <w:p>
      <w:pPr>
        <w:pStyle w:val="Heading5"/>
        <w:numPr>
          <w:ilvl w:val="4"/>
          <w:numId w:val="1"/>
        </w:numPr>
        <w:rPr/>
      </w:pPr>
      <w:bookmarkStart w:id="468" w:name="__RefHeading___Toc1856182_581953129"/>
      <w:bookmarkStart w:id="469" w:name="_Toc176"/>
      <w:bookmarkEnd w:id="468"/>
      <w:r>
        <w:rPr/>
        <w:t>1</w:t>
      </w:r>
      <w:r>
        <w:rPr>
          <w:rtl w:val="true"/>
        </w:rPr>
        <w:t>-</w:t>
      </w:r>
      <w:r>
        <w:rPr>
          <w:rtl w:val="true"/>
        </w:rPr>
        <w:t>ملاکات الأحکام العبادیّة</w:t>
      </w:r>
      <w:bookmarkEnd w:id="469"/>
    </w:p>
    <w:p>
      <w:pPr>
        <w:pStyle w:val="BookText"/>
        <w:rPr/>
      </w:pPr>
      <w:r>
        <w:rPr>
          <w:rFonts w:ascii="IRNazanin" w:hAnsi="IRNazanin" w:eastAsia="IRNazanin"/>
          <w:color w:val="111111"/>
          <w:sz w:val="28"/>
          <w:sz w:val="28"/>
          <w:szCs w:val="28"/>
          <w:rtl w:val="true"/>
          <w:lang w:bidi="fa-IR"/>
        </w:rPr>
        <w:t>المراد من الأحکام العبادیّة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التعلیمات و الأوامر التی یحتاج المکلّف لامتثالها و الإتیان بها إلی قصد القربة،و قد جعلها الشارع المقدّس لغرض تهذیب النفوس و تقویة جانب العبودیّة فی الإنسان،و رغم أنّ بعض العبادات مجهولة الملاک و هویّته فی أنظار المحقّقین،و لکن لا یمکن إنکار هذه الحقیقة،و هی أنّه فی بعض الموارد یمکننا استخراج ملاکات الأحکام العبادیّة من باطن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طبقا لفتوی بعض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لو اقیمت صلاة الجمعة وجب علی المؤمنین حضورها و الاشتراک فیها علی الأحوط،و لکن فی حالة عدم إقامتها فی زمن معیّن فسوف لا تکون مجزئة عن صلاة الظهر أیضا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یستفاد من هذه الفتوی جیّدا أنّ الفعل العبادی یمکنه أن یکون ذا مصلحة فی ظروف زمانیّة خاصّة،و فاقدا لها فی ظروف و شرائط اخر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یمکننا اکتشاف ملاک هذه العبادة فی بعض الأزمنة من هذه الفتوی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ما هو المسلّم هنا أنّ من بین المسائل العبادیّة ما یکون مقدّما فی نظر الشارع المقدّس علی الآخر،و ما أکثر ما یکون لمسألة الزمان و مقتضیاته و خصوصیّاته دورا واضحا فی هذا التقدّم</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ما تصوّره بعض الکتّاب </w:t>
      </w:r>
      <w:r>
        <w:rPr>
          <w:rStyle w:val="FootnoteAnchor"/>
          <w:rtl w:val="true"/>
        </w:rPr>
        <w:footnoteReference w:id="594"/>
      </w:r>
      <w:r>
        <w:rPr>
          <w:rFonts w:ascii="IRNazanin" w:hAnsi="IRNazanin" w:eastAsia="IRNazanin"/>
          <w:color w:val="111111"/>
          <w:sz w:val="28"/>
          <w:sz w:val="28"/>
          <w:szCs w:val="28"/>
          <w:rtl w:val="true"/>
          <w:lang w:bidi="fa-IR"/>
        </w:rPr>
        <w:t>من أنّ بحث العبادات خارج عن</w:t>
      </w:r>
      <w:bookmarkStart w:id="470" w:name="pg5439_46895"/>
    </w:p>
    <w:p>
      <w:pPr>
        <w:pStyle w:val="BookText"/>
        <w:rPr/>
      </w:pPr>
      <w:bookmarkEnd w:id="470"/>
      <w:r>
        <w:rPr>
          <w:rFonts w:ascii="IRNazanin" w:hAnsi="IRNazanin" w:eastAsia="IRNazanin"/>
          <w:color w:val="111111"/>
          <w:sz w:val="28"/>
          <w:sz w:val="28"/>
          <w:szCs w:val="28"/>
          <w:rtl w:val="true"/>
          <w:lang w:bidi="fa-IR"/>
        </w:rPr>
        <w:t xml:space="preserve">دائرة مسألة تأثیر الزمان و المکان،هو توهّم لا أساس له من الصحّة،و یستفاد جیّدا من کلمات الإمام الراحل قدّس سرّه أنّ هذا البحث یشمل مسألة العبادات أیضا، و الشاهد علی ذلک مسألة الحجّ و تعطیله لمدّة ثلاث سنوات </w:t>
      </w:r>
      <w:r>
        <w:rPr>
          <w:rStyle w:val="FootnoteAnchor"/>
          <w:rtl w:val="true"/>
        </w:rPr>
        <w:footnoteReference w:id="595"/>
      </w:r>
      <w:r>
        <w:rPr>
          <w:rFonts w:ascii="IRNazanin" w:hAnsi="IRNazanin" w:eastAsia="IRNazanin"/>
          <w:color w:val="111111"/>
          <w:sz w:val="28"/>
          <w:sz w:val="28"/>
          <w:szCs w:val="28"/>
          <w:rtl w:val="true"/>
          <w:lang w:bidi="fa-IR"/>
        </w:rPr>
        <w:t>،و کذلک یمکن القول بأنّ إقامة صلاة الجمعة فی عصر الحکومة الإسلامیّة،بإمکانه أن ینفی علی الأقلّ استحباب صلاة الظهر جماعة،فتأمّل</w:t>
      </w:r>
      <w:r>
        <w:rPr>
          <w:rFonts w:eastAsia="IRNazanin" w:cs="IRNazanin"/>
          <w:color w:val="111111"/>
          <w:sz w:val="28"/>
          <w:szCs w:val="28"/>
          <w:rtl w:val="true"/>
          <w:lang w:bidi="fa-IR"/>
        </w:rPr>
        <w:t>.</w:t>
      </w:r>
    </w:p>
    <w:p>
      <w:pPr>
        <w:pStyle w:val="Heading5"/>
        <w:numPr>
          <w:ilvl w:val="4"/>
          <w:numId w:val="1"/>
        </w:numPr>
        <w:rPr/>
      </w:pPr>
      <w:bookmarkStart w:id="471" w:name="__RefHeading___Toc1856184_581953129"/>
      <w:bookmarkStart w:id="472" w:name="_Toc177"/>
      <w:bookmarkEnd w:id="471"/>
      <w:r>
        <w:rPr/>
        <w:t>2</w:t>
      </w:r>
      <w:r>
        <w:rPr>
          <w:rtl w:val="true"/>
        </w:rPr>
        <w:t>-</w:t>
      </w:r>
      <w:r>
        <w:rPr>
          <w:rtl w:val="true"/>
        </w:rPr>
        <w:t>ملاکات الأحکام المعاملاتیّة</w:t>
      </w:r>
      <w:bookmarkEnd w:id="472"/>
    </w:p>
    <w:p>
      <w:pPr>
        <w:pStyle w:val="BookText"/>
        <w:rPr/>
      </w:pPr>
      <w:r>
        <w:rPr>
          <w:rFonts w:ascii="IRNazanin" w:hAnsi="IRNazanin" w:eastAsia="IRNazanin"/>
          <w:color w:val="111111"/>
          <w:sz w:val="28"/>
          <w:sz w:val="28"/>
          <w:szCs w:val="28"/>
          <w:rtl w:val="true"/>
          <w:lang w:bidi="fa-IR"/>
        </w:rPr>
        <w:t>أمّا فی دائرة المعاملات،فالمسألة أوضح بکثیر من العبادات؛لأنّ المعاملات فی حقیقتها أمور عقلائیة تمّ إمضاء الشارع المقدّس للکثیر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ملاکات المعاملات واضحة لدی العقلاء غالبا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جهة الرجوع إلی العقلاء نری أنّهم یرون أهمّیة فائقة للزمان و المکان فی هذه الدائرة،فیمکن أن لا یکون لشیء معیّن مالیّة و قیمة لدی العقلاء فی زمان خاصّ،و لکن ذلک الشیء نفسه یتمتّع بقیمة فی زمن آخر،و تتمّ المعاملة علیه، أو أنّ نوعا من المعاملة یعتبر فی زمان و مکان معیّنین من أنواع المعاملة الغبنیّة،و فی زمان آخر أو مکان آخر لا یکون کذلک،فعلی هذا فإنّ مسألة الزمان و المکان لها دور أساسیّ فی جمیع العناوین و الشرائط التی یعتبرها العقلاء فی المعاملات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الشرائط و الخصوصیّات التی اعتبرها الشارع المقدّس بصورة مستقلّة و بعنوان کونه شارعا،من قبیل جعل الخیار لمشتری الحیوان ثلاثة أیّام،أو مسألة التنجیز فی العقود،أو بعض موارد الضمان،فلا أثر للزمان و المکان فی هذه الموارد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هذا البین نواجه بعض الخصوصیّات الموجودة فی بعض العقود و الإیقاعات،الذی یورث الشکّ لدی الفقیه ابتداء فی أنّ الشارع هل اشترط ذلک</w:t>
      </w:r>
    </w:p>
    <w:p>
      <w:pPr>
        <w:pStyle w:val="BookText"/>
        <w:rPr/>
      </w:pPr>
      <w:r>
        <w:rPr>
          <w:rFonts w:ascii="IRNazanin" w:hAnsi="IRNazanin" w:eastAsia="IRNazanin"/>
          <w:color w:val="111111"/>
          <w:sz w:val="28"/>
          <w:sz w:val="28"/>
          <w:szCs w:val="28"/>
          <w:rtl w:val="true"/>
          <w:lang w:bidi="fa-IR"/>
        </w:rPr>
        <w:t>بعنوان ملاک تعبّدی،أو علی أنّه ملاک عقلائیّ،مثلا فی عقد النکاح الذی یعدّ من المعاملات بالمعنی الأعمّ،قد قرّر الشارع بعض العلل لفسخ النکاح من قبیل القرن أو البرص،ففی مثل هذا المورد یحصل لدینا شکّ فی البدایة بأنّ مجرّد وجود هذا العیب هل یسوّغ فسخ النکاح،و الشارع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بعنوان کونه شارعا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أنشأ هذا الأمر، أو أنّ مثل هذه العیوب،و بسبب کونها صعبة العلاج فی الماضی أوجبت جواز الفسخ؟و فی هذا العصر حیث تطوّر علم الطبّ،و بإمکانه علاج مثل هذه الأمراض بسهولة من خلال عملیّة جراحیّة بسیطة،هل یزول بسببیّتها فسخ النکاح؟</w:t>
      </w:r>
    </w:p>
    <w:p>
      <w:pPr>
        <w:pStyle w:val="BookText"/>
        <w:rPr/>
      </w:pPr>
      <w:r>
        <w:rPr>
          <w:rFonts w:ascii="IRNazanin" w:hAnsi="IRNazanin" w:eastAsia="IRNazanin"/>
          <w:color w:val="111111"/>
          <w:sz w:val="28"/>
          <w:sz w:val="28"/>
          <w:szCs w:val="28"/>
          <w:rtl w:val="true"/>
          <w:lang w:bidi="fa-IR"/>
        </w:rPr>
        <w:t>و من جهة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أنّ أسباب فسخ النکاح منحصرة فی هذه العیوب الخمسة الواردة فی الروایات </w:t>
      </w:r>
      <w:r>
        <w:rPr>
          <w:rStyle w:val="FootnoteAnchor"/>
          <w:rtl w:val="true"/>
        </w:rPr>
        <w:footnoteReference w:id="596"/>
      </w:r>
      <w:r>
        <w:rPr>
          <w:rFonts w:ascii="IRNazanin" w:hAnsi="IRNazanin" w:eastAsia="IRNazanin"/>
          <w:color w:val="111111"/>
          <w:sz w:val="28"/>
          <w:sz w:val="28"/>
          <w:szCs w:val="28"/>
          <w:rtl w:val="true"/>
          <w:lang w:bidi="fa-IR"/>
        </w:rPr>
        <w:t>،أو أنّ الأمراض العسیرة العلاج فی هذا الزمان، مثل السرطان و الإیدز یمکن أن تکون من موجبات فسخ النکاح؟</w:t>
      </w:r>
    </w:p>
    <w:p>
      <w:pPr>
        <w:pStyle w:val="BookText"/>
        <w:rPr/>
      </w:pPr>
      <w:r>
        <w:rPr>
          <w:rFonts w:ascii="IRNazanin" w:hAnsi="IRNazanin" w:eastAsia="IRNazanin"/>
          <w:color w:val="111111"/>
          <w:sz w:val="28"/>
          <w:sz w:val="28"/>
          <w:szCs w:val="28"/>
          <w:rtl w:val="true"/>
          <w:lang w:bidi="fa-IR"/>
        </w:rPr>
        <w:t>و من أجل حلّ هذه الإشکالات و علامات الاستفهام یمکننا القول بأنّ الشارع إذا قصد إعمال التعبّد فی الحکم،فلا بدّ من نصب قرینة و إضافة بیان خاصّ بذلک،و بدون إقامة القرینة یجب حمل ذلک الحکم علی وفق الارتکازات العقلائیّة و تفسیره علی هذا النحو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مورد العبادات یکون وجود ملاک تعبّدیّ لا یتمکّن العقلاء من درکه و فهمه محتمل جدّا</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وجود مثل هذا الملاک فی الموارد غیر العبادیّة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یعجز العقلاء عن درک مغزاه و فحواه،و یکون الشارع قد جعل الحکم بلحاظ ذلک الملاک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بعید جدّا،و علی فرض تحقّق هذا الأمر من الشارع و لو فی صورة نادرة،فلا بدّ للشارع من نصب قرینة لبیان قصده فی إعمال التعبّد لکیلا یحمل علی الملاک الارتکازی للعقلاء</w:t>
      </w:r>
      <w:r>
        <w:rPr>
          <w:rFonts w:eastAsia="IRNazanin" w:cs="IRNazanin"/>
          <w:color w:val="111111"/>
          <w:sz w:val="28"/>
          <w:szCs w:val="28"/>
          <w:rtl w:val="true"/>
          <w:lang w:bidi="fa-IR"/>
        </w:rPr>
        <w:t>.</w:t>
      </w:r>
      <w:bookmarkStart w:id="473" w:name="pg5439_46897"/>
    </w:p>
    <w:p>
      <w:pPr>
        <w:pStyle w:val="Heading5"/>
        <w:numPr>
          <w:ilvl w:val="4"/>
          <w:numId w:val="1"/>
        </w:numPr>
        <w:rPr/>
      </w:pPr>
      <w:bookmarkStart w:id="474" w:name="__RefHeading___Toc1856186_581953129"/>
      <w:bookmarkStart w:id="475" w:name="_Toc178"/>
      <w:bookmarkEnd w:id="473"/>
      <w:bookmarkEnd w:id="474"/>
      <w:r>
        <w:rPr/>
        <w:t>3</w:t>
      </w:r>
      <w:r>
        <w:rPr>
          <w:rtl w:val="true"/>
        </w:rPr>
        <w:t>-</w:t>
      </w:r>
      <w:r>
        <w:rPr>
          <w:rtl w:val="true"/>
        </w:rPr>
        <w:t>ملاکات الأحکام الشخصیّة</w:t>
      </w:r>
      <w:bookmarkEnd w:id="475"/>
    </w:p>
    <w:p>
      <w:pPr>
        <w:pStyle w:val="BookText"/>
        <w:rPr/>
      </w:pPr>
      <w:r>
        <w:rPr>
          <w:rFonts w:ascii="IRNazanin" w:hAnsi="IRNazanin" w:eastAsia="IRNazanin"/>
          <w:color w:val="111111"/>
          <w:sz w:val="28"/>
          <w:sz w:val="28"/>
          <w:szCs w:val="28"/>
          <w:rtl w:val="true"/>
          <w:lang w:bidi="fa-IR"/>
        </w:rPr>
        <w:t>توجد فی علم الفقه بعض الأحکام یطلق علیها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الأحکام الشخصیّة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الأحکام التی یکون موضوعها،أو متعلّقها غیر مرتبط بالمجتمع و نظام الحکم فیه،بل یؤخذ الشخص بما هو شخص فی موضوعها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ملاک هذا النمط من الأحکام وجود المصلحة أو المفسدة المتعلّقة بالشخص فحسب،دون المجتمع،من قبیل المعاملات الشخصیّة التی تعقد بین شخصین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فمثل هذه المعاملة تقع صحیحة شرعا،و یؤخذ فی هذا الحکم الملاک الشخصی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الحال فی وجوب الصلاة،و کثیر من الأحکام العبادیّة،فالشارع المقدّس قد وضع الصلاة علی الشخص المکلّف بعنوان تکلیف فردیّ،فیجب علیه امتثاله و الإتیان به فی جمیع الظروف،و فی کلّ زمان و مکان،و هذا الحکم و إن کان لا یخلو من فوائد اجتماعیّة،و لکنّ الملاک الأساسی فیه هی المصلحة المتعلّقة بالأفراد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لا بدّ من ذکر هذا الأمر؛و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بعض العناوین و الموضوعات،کالبیع مثلا،تارة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شخصیّة،مثل کثیر من المعاملات المنعقدة بین الناس،و تارة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تخرج عن الإطار الشخصی،مثل شراء بضاعة من شرکة صهیونیّة،فمع الأخذ بنظر الاعتبار أنّ ربح هذه المعاملة سیصبّ فی جیب الصهاینة،و یؤدّی إلی تقویة هذه الدولة الغاصبة،ففی هذه الصورة لا یمکن القول بجواز هذه المعاملة</w:t>
      </w:r>
      <w:r>
        <w:rPr>
          <w:rFonts w:eastAsia="IRNazanin" w:cs="IRNazanin"/>
          <w:color w:val="111111"/>
          <w:sz w:val="28"/>
          <w:szCs w:val="28"/>
          <w:rtl w:val="true"/>
          <w:lang w:bidi="fa-IR"/>
        </w:rPr>
        <w:t>.</w:t>
      </w:r>
    </w:p>
    <w:p>
      <w:pPr>
        <w:pStyle w:val="Heading5"/>
        <w:numPr>
          <w:ilvl w:val="4"/>
          <w:numId w:val="1"/>
        </w:numPr>
        <w:rPr/>
      </w:pPr>
      <w:bookmarkStart w:id="476" w:name="__RefHeading___Toc1856188_581953129"/>
      <w:bookmarkStart w:id="477" w:name="_Toc179"/>
      <w:bookmarkEnd w:id="476"/>
      <w:r>
        <w:rPr/>
        <w:t>4</w:t>
      </w:r>
      <w:r>
        <w:rPr>
          <w:rtl w:val="true"/>
        </w:rPr>
        <w:t>-</w:t>
      </w:r>
      <w:r>
        <w:rPr>
          <w:rtl w:val="true"/>
        </w:rPr>
        <w:t>ملاکات الأحکام الاجتماعیّة</w:t>
      </w:r>
      <w:bookmarkEnd w:id="477"/>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الأحکام التی یلحظ فیها جهة حفظ مصالح المجتمع،و نظامه السیاسیّ،لها خصوصیّة متمیّزة فی علم الفقه،و رغم أنّ هذه الأحکام لم تبحث بشکل مستقلّ فی الفقه،و لکن یمکن العثور علی مثل هذه الأحکام ضمن أبواب الفقه و أحکامه</w:t>
      </w:r>
      <w:r>
        <w:rPr>
          <w:rFonts w:eastAsia="IRNazanin" w:cs="IRNazanin"/>
          <w:color w:val="111111"/>
          <w:sz w:val="28"/>
          <w:szCs w:val="28"/>
          <w:rtl w:val="true"/>
          <w:lang w:bidi="fa-IR"/>
        </w:rPr>
        <w:t>.</w:t>
      </w:r>
      <w:bookmarkStart w:id="478" w:name="pg5439_46898"/>
    </w:p>
    <w:p>
      <w:pPr>
        <w:pStyle w:val="BookText"/>
        <w:rPr/>
      </w:pPr>
      <w:bookmarkEnd w:id="478"/>
      <w:r>
        <w:rPr>
          <w:rFonts w:ascii="IRNazanin" w:hAnsi="IRNazanin" w:eastAsia="IRNazanin"/>
          <w:color w:val="111111"/>
          <w:sz w:val="28"/>
          <w:sz w:val="28"/>
          <w:szCs w:val="28"/>
          <w:rtl w:val="true"/>
          <w:lang w:bidi="fa-IR"/>
        </w:rPr>
        <w:t>و هذا النوع من الأحکام له ارتباط وثیق بالأحکام الحکومیّة،و قد ذهب البعض إلی أنّ هذه الأحکام من حیث الکمّیة و المقدار أکثر بکثیر من الأحکام الشخصیّة فی الشریعة المقدّسة،و أنّ الأحکام الجزائیّة و القضائیّة فی الفقه هی من هذا النوع من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بدیهیّ أنّ الملاک الأساسی فی مثل هذه الأحکام هو حفظ الدّین و المجتمع و النظام الاجتماعی،و من جهة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البدیهی أنّ المصالح تختلف باختلاف الظروف و الأزمنة،و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الأحکام المتعلّقة بالنظام الاجتماعی سوف تتغیّر تبعا لتغیّر الزمان و اختلاف المکان،و أحد الأرکان و المراجع المهمّة فی الفقه الإسلامی،الذی یمکنه تشخیص المصلحة فی الأزمنة المختلفة،و إعطاء الحکم وفقا لتلک المصلحة هو الولیّ 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الزمان و المکان بالمعنی الاصطلاحی له صلاحیّة التأثیر فی ملاکات الأحکام الشرعیّة،و لکن هذا التأثیر یکون محدودا جدّا فی دائرة الأحکام العبادیّة،و الشخصیة،و واسع جدّا فی دائرة الأحکام المعاملاتیّة و الاجتماعیّة</w:t>
      </w:r>
      <w:r>
        <w:rPr>
          <w:rFonts w:eastAsia="IRNazanin" w:cs="IRNazanin"/>
          <w:color w:val="111111"/>
          <w:sz w:val="28"/>
          <w:szCs w:val="28"/>
          <w:rtl w:val="true"/>
          <w:lang w:bidi="fa-IR"/>
        </w:rPr>
        <w:t>.</w:t>
      </w:r>
    </w:p>
    <w:p>
      <w:pPr>
        <w:pStyle w:val="Heading4"/>
        <w:numPr>
          <w:ilvl w:val="3"/>
          <w:numId w:val="1"/>
        </w:numPr>
        <w:rPr/>
      </w:pPr>
      <w:bookmarkStart w:id="479" w:name="__RefHeading___Toc1856190_581953129"/>
      <w:bookmarkStart w:id="480" w:name="_Toc180"/>
      <w:bookmarkEnd w:id="479"/>
      <w:r>
        <w:rPr>
          <w:rtl w:val="true"/>
        </w:rPr>
        <w:t>ب</w:t>
      </w:r>
      <w:r>
        <w:rPr>
          <w:rtl w:val="true"/>
        </w:rPr>
        <w:t>)</w:t>
      </w:r>
      <w:r>
        <w:rPr>
          <w:rtl w:val="true"/>
        </w:rPr>
        <w:t>تأثیر الزمان و المکان فی موضوعات و متعلّقات الأحکام</w:t>
      </w:r>
      <w:bookmarkEnd w:id="480"/>
    </w:p>
    <w:p>
      <w:pPr>
        <w:pStyle w:val="Heading5"/>
        <w:numPr>
          <w:ilvl w:val="4"/>
          <w:numId w:val="1"/>
        </w:numPr>
        <w:rPr/>
      </w:pPr>
      <w:bookmarkStart w:id="481" w:name="__RefHeading___Toc1856192_581953129"/>
      <w:bookmarkStart w:id="482" w:name="_Toc181"/>
      <w:bookmarkEnd w:id="481"/>
      <w:r>
        <w:rPr/>
        <w:t>1</w:t>
      </w:r>
      <w:r>
        <w:rPr>
          <w:rtl w:val="true"/>
        </w:rPr>
        <w:t>-</w:t>
      </w:r>
      <w:r>
        <w:rPr>
          <w:rtl w:val="true"/>
        </w:rPr>
        <w:t>تعریف الموضوع و المتعلّق</w:t>
      </w:r>
      <w:bookmarkEnd w:id="482"/>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کلّ قضیّة تتضمّن حکما شرعیّا لا بدّ أن یکون لها موضوع یترتّب علیه الحکم،و کذلک لا بدّ أن یکون لها متعلّق یتعلّق به الحکم،و لهذین الأمرین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الموضوع،و المتعلّق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اصطلاحات مختلفة لدی الاصولیّین،فالمحقّق النائینی قدّس سرّه </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یقول فی مثال حرمة شرب 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الحکم عبارة عن الحرمة،و المتعلّق هو الشرب،و الموضوع هو الخمر،و فی مثال وجوب الزکاة یکون الوجوب هو الحکم، و الأشیاء متعلّق الحکم،و الزکاة موضوعه أو متعلّق المتعلّق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الموضوع عبارة عن شیء مفروض الوجود فی مرتبة سابقة علی الحکم، بخلاف المتعلّق؛فإنّه لیس کذلک،بل هو فی مرتبة الأمر و الحکم،و من خلال الأمر یکون المکلّف مأمورا بالإتیان به،و کذلک بالنهی یکون مأمورا بترکه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البعض الآخر </w:t>
      </w:r>
      <w:r>
        <w:rPr>
          <w:rStyle w:val="FootnoteAnchor"/>
          <w:rtl w:val="true"/>
        </w:rPr>
        <w:footnoteReference w:id="598"/>
      </w:r>
      <w:r>
        <w:rPr>
          <w:rFonts w:ascii="IRNazanin" w:hAnsi="IRNazanin" w:eastAsia="IRNazanin"/>
          <w:color w:val="111111"/>
          <w:sz w:val="28"/>
          <w:sz w:val="28"/>
          <w:szCs w:val="28"/>
          <w:rtl w:val="true"/>
          <w:lang w:bidi="fa-IR"/>
        </w:rPr>
        <w:t>یری أنّ الموضوع فی المثالین المذکورین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حرمة شرب الخمر،و وجوب 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الإنسان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الحکم غیر قابل للتغیّر من دون تغیّر الموضوع،أو قیوده،أو المتعلّق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یکون المراد من تغییر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نظر الفقیه علی أثر مرور الزمان،وسعة إحاطته العلمیّة یکون أقوی من السابق فی دائرة الاستنباط من الأدلّة الشرعیّة،و یأخذ بنظر الاعتبار مبانی جدیدة فی حرکة الاجتهاد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البحث هنا یدور حول کیفیّة تأثیر الزمان و المکان فی الموضوعات أو المتعلّقات،فالزمان و المکان لا تأثیر لهما فی نفس عناوین الموضوعات و المتعلّقات؛بمعنی أنّ الموضوع أو المتعلّق لا یخرج عن إطار عنوانه مع تغیّر الظروف و الخصوصیّات الزمانیّة و المکانیّة؛أی أنّ شرب الخمر مثلا یبقی دائما متعلّقا للحرمة،و التأثیر الوحید الذی یمکن تحقیقه فی هذا المجال،هو أن یقوم بتغییر الشرائط و الخصوصیّات التی تمّ جعل الحکم بالنظر لها،و الإتیان بشرائط و خصوصیّات جدیدة ممّا یستتبع تبدّل الحکم</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الملاحظة المهمّة التی لا بدّ أن تؤخذ بنظر الاعتبار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الفقیه یجب علیه أن یدرک جیّدا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خلال التأمّل و التدبّر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هذه الخصوصیّة و الحیثیّة</w:t>
      </w:r>
      <w:bookmarkStart w:id="483" w:name="pg5439_46900"/>
    </w:p>
    <w:p>
      <w:pPr>
        <w:pStyle w:val="BookText"/>
        <w:rPr/>
      </w:pPr>
      <w:bookmarkEnd w:id="483"/>
      <w:r>
        <w:rPr>
          <w:rFonts w:ascii="IRNazanin" w:hAnsi="IRNazanin" w:eastAsia="IRNazanin"/>
          <w:color w:val="111111"/>
          <w:sz w:val="28"/>
          <w:sz w:val="28"/>
          <w:szCs w:val="28"/>
          <w:rtl w:val="true"/>
          <w:lang w:bidi="fa-IR"/>
        </w:rPr>
        <w:t>الملازمة للموضوع،هل یمکنها أن تکون مؤثّرة فی تغییر و تبدّل الموضوع إلی موضوع آخر،أم لا؟</w:t>
      </w:r>
    </w:p>
    <w:p>
      <w:pPr>
        <w:pStyle w:val="BookText"/>
        <w:rPr/>
      </w:pPr>
      <w:r>
        <w:rPr>
          <w:rFonts w:ascii="IRNazanin" w:hAnsi="IRNazanin" w:eastAsia="IRNazanin"/>
          <w:color w:val="111111"/>
          <w:sz w:val="28"/>
          <w:sz w:val="28"/>
          <w:szCs w:val="28"/>
          <w:rtl w:val="true"/>
          <w:lang w:bidi="fa-IR"/>
        </w:rPr>
        <w:t>و ببیان أوضح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الممکن أن یحمل حکم علی موضوع معیّن بنحو الإطلاق؛ أی أنّ الظاهر هو أنّ الدلیل یترتّب الحکم علی ذلک الموضوع بجمیع شرائطه و خصوصیّاته،و لکن یجب الانتباه إلی أنّ الواقع هل هو کذلک؟</w:t>
      </w:r>
    </w:p>
    <w:p>
      <w:pPr>
        <w:pStyle w:val="BookText"/>
        <w:rPr/>
      </w:pPr>
      <w:r>
        <w:rPr>
          <w:rFonts w:ascii="IRNazanin" w:hAnsi="IRNazanin" w:eastAsia="IRNazanin"/>
          <w:color w:val="111111"/>
          <w:sz w:val="28"/>
          <w:sz w:val="28"/>
          <w:szCs w:val="28"/>
          <w:rtl w:val="true"/>
          <w:lang w:bidi="fa-IR"/>
        </w:rPr>
        <w:t>مثلا یمکن أن یدّعی أحد الأشخاص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أساس روایة واردة فی هذا 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الشطرنج الذی کان حسب الظاهر من أدوات القمار فی مرحلة الحدوث،قد حرّمه الشارع علی الدوام،و حرّم جمیع أنحاء استعمالاته،حتّی فی الزمن الذی خرجت فیه هذه اللعبة عن عنوان القماریّة،فالذی هو المهمّ فی هذا المورد،و محلّ تأکید الإمام الراحل قدّس سرّه أیضا أنّ الفقیه یجب أن یعلم أنّ الأحکام الصادرة من الشرع لم تطرح یوما من دون اعتبار الخصوصیّات،و الظروف المحیطة بالموضوع فی ذلک الزمان،بل تمّ جعل ذلک الحکم علی ذلک الموضوع مع الأخذ بنظر الاعتبار تلک الخصوصیّات و الظروف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أجل توضیح و تکمیل هذا المطلب لا بدّ من بیان أنواع الموضوع و أقسام التغییر علی سبیل الإجمال</w:t>
      </w:r>
      <w:r>
        <w:rPr>
          <w:rFonts w:eastAsia="IRNazanin" w:cs="IRNazanin"/>
          <w:color w:val="111111"/>
          <w:sz w:val="28"/>
          <w:szCs w:val="28"/>
          <w:rtl w:val="true"/>
          <w:lang w:bidi="fa-IR"/>
        </w:rPr>
        <w:t>.</w:t>
      </w:r>
    </w:p>
    <w:p>
      <w:pPr>
        <w:pStyle w:val="Heading5"/>
        <w:numPr>
          <w:ilvl w:val="4"/>
          <w:numId w:val="1"/>
        </w:numPr>
        <w:rPr/>
      </w:pPr>
      <w:bookmarkStart w:id="484" w:name="__RefHeading___Toc1856194_581953129"/>
      <w:bookmarkStart w:id="485" w:name="_Toc182"/>
      <w:bookmarkEnd w:id="484"/>
      <w:r>
        <w:rPr/>
        <w:t>2</w:t>
      </w:r>
      <w:r>
        <w:rPr>
          <w:rtl w:val="true"/>
        </w:rPr>
        <w:t>-</w:t>
      </w:r>
      <w:r>
        <w:rPr>
          <w:rtl w:val="true"/>
        </w:rPr>
        <w:t>أقسام التغییر فی خصوصیّات و شرائط الموضوع</w:t>
      </w:r>
      <w:bookmarkEnd w:id="485"/>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أحیانا تحدث تغیّرات علی أثر مرور الزمان فی بعض الموضوعات، بحیث یخرج ذلک الموضوع من العلّة التی أوجبت طروّ الحکم علیه،و یدخل فی علّة جدیدة توجب حکما جدیدا له،مثلا فی مسألة بیع و شراء الدم،حیث لم یحدث تغیّر فی ذات الموضوع؛أی الدم،بل إنّ الدم لم تکن فیه منفعة محلّلة مقصودة لدی العقلاء،و هذا هو السبب فی بطلان المعاملة،و لکن فی هذا الزمان خرج الموضوع من دائرة تلک العلّة و دخل فی علّة أخری؛و هی عبارة عن المنفعة المقصودة لدی</w:t>
      </w:r>
    </w:p>
    <w:p>
      <w:pPr>
        <w:pStyle w:val="BookText"/>
        <w:rPr/>
      </w:pPr>
      <w:r>
        <w:rPr>
          <w:rFonts w:ascii="IRNazanin" w:hAnsi="IRNazanin" w:eastAsia="IRNazanin"/>
          <w:color w:val="111111"/>
          <w:sz w:val="28"/>
          <w:sz w:val="28"/>
          <w:szCs w:val="28"/>
          <w:rtl w:val="true"/>
          <w:lang w:bidi="fa-IR"/>
        </w:rPr>
        <w:t>العقلاء،و من هنا یدخل فی دائرة الحکم بالصحّة و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الأساس یمکن القول بأنّه مع أثر مرور الزمان و حدوث تغییرات جدیدة فی الموضوع،إذا خرج الموضوع من دائرة التعلیل لذلک الحکم،و دخل فی تعلیل آخر،استوجب حکما جدیدا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ینحصر هذا الأمر بالموضوعات التی تمّ التصریح بعلّة حکمها،أو علمنا بالعلّة بشکل قطعیّ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بعض الموضوعات للقضیّة المتضمّنة للحکم لا یوجد تعلیل خاصّ للحکم،بل ذکر الحکم للموضوع بنحو مطلق،ففی مثل هذه الموارد إذا کان الموضوع أمرا عبادیّا،و لا طریق لنا للوصول إلی العلّة بشکل قطعیّ،فمرور الزمان، و تغیّر الظروف لا یستوجب أیّ تغییر فی الحکم،بل تجری حینئذ قاعدة الأهمّ فالأهمّ،بحیث یقدّم الأمر الآخر الذی له ملاک أقوی و أهمّ،علی هذا الموضوع العبادی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طبعا؛فإنّ بعض الموضوعات العبادیّة رغم عدم وجود علّة الحکم فی ظاهر الدلیل،إلاّ أنّنا بإمکاننا الوثوق بعلّة الحکم فی نظر الشارع،مثلا فی رمی الجمرات حیث نستفید من مناسبات الحکم و الموضوع أنّ طول و عرض الجمرة لا دخل له فی ترتّب الحکم،بل نحن علی ثقة بأنّ رمی الجمار إنّما یحکی عن تذکیر الناس بعمل إبراهیم و آدم علیهما السّلام،و لغرض امتثال أمر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یمکننا الفتوی بجواز رمی المقدار الزائد،بخلاف ما ذهب إلیه بعض الفقهاء العظام من الإشکال فی هذا المورد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لو کان الموضوع غیر عبادیّ؛أی لم یؤخذ فی الإتیان به قصد القربة،فعلی الفقیه أن یسعی للعثور علی العلّة الأساسیّة للحکم،مثلا فی تحریم الموسیقی لم تذکر علّة خاصّة فی لسان الشریعة،فیکون هذا الأمر بعهدة الفقیه لیتحقّق و یری أنّ هذا</w:t>
      </w:r>
    </w:p>
    <w:p>
      <w:pPr>
        <w:pStyle w:val="BookText"/>
        <w:rPr/>
      </w:pPr>
      <w:r>
        <w:rPr>
          <w:rFonts w:ascii="IRNazanin" w:hAnsi="IRNazanin" w:eastAsia="IRNazanin"/>
          <w:color w:val="111111"/>
          <w:sz w:val="28"/>
          <w:sz w:val="28"/>
          <w:szCs w:val="28"/>
          <w:rtl w:val="true"/>
          <w:lang w:bidi="fa-IR"/>
        </w:rPr>
        <w:t>العنوان واقع ضمن أیّ من العناوین المحرّمة فی الشریعة،هل هو محکوم بالحرمة من باب اللهو،أو من باب شمول عنوان الباطل له،أو لعلل أخر؟</w:t>
      </w:r>
    </w:p>
    <w:p>
      <w:pPr>
        <w:pStyle w:val="BookText"/>
        <w:rPr/>
      </w:pPr>
      <w:r>
        <w:rPr>
          <w:rFonts w:ascii="IRNazanin" w:hAnsi="IRNazanin" w:eastAsia="IRNazanin"/>
          <w:color w:val="111111"/>
          <w:sz w:val="28"/>
          <w:sz w:val="28"/>
          <w:szCs w:val="28"/>
          <w:rtl w:val="true"/>
          <w:lang w:bidi="fa-IR"/>
        </w:rPr>
        <w:t>ما هو الجدیر بالذکر أنّ القطع بالعلّة فی مثل هذه الموارد غیر ضروریّ،بل یکفی الوثوق بها،و یری المحقّق البروجردی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بحث أسانید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لو کان الحدیث غیر متواتر،و لکنّ الفقیه یثق بصدوره بسبب تعدّد النقل،کفی هذا المقدار للعمل بذلک الحدیث </w:t>
      </w:r>
      <w:r>
        <w:rPr>
          <w:rStyle w:val="FootnoteAnchor"/>
          <w:rtl w:val="true"/>
        </w:rPr>
        <w:footnoteReference w:id="600"/>
      </w:r>
      <w:r>
        <w:rPr>
          <w:rFonts w:ascii="IRNazanin" w:hAnsi="IRNazanin" w:eastAsia="IRNazanin"/>
          <w:color w:val="111111"/>
          <w:sz w:val="28"/>
          <w:sz w:val="28"/>
          <w:szCs w:val="28"/>
          <w:rtl w:val="true"/>
          <w:lang w:bidi="fa-IR"/>
        </w:rPr>
        <w:t>،فهذه النظریّة یمکنها أن تکون حلاّ مناسبا لما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نظرنا أنّ العلّة الأساسیّة للاختلاف فی تأثیر الزمان و المکان فی الفتوی الاجتهادیّة هو هذا الأمر،حیث یذهب المنکرون للتأثیر أنّ الموارد التی لم یرد فیها بیان علّة الحکم بصورة قطعیّة،لا یمکننا تغییر الحکم بسبب اختلاف الأزمنة و تغیّر الأمکنة،فی حین أنّنا لو ذهبنا إلی أنّ الفقیه یمکنه من خلال التتبّع فی الموارد المماثلة الوثوق بالعلّة،فیکون هذا المورد بحکم مقطوع العلّیة،و یجب أن یترتّب علیه حکم جدید بسبب خروج موضوعه من العلّة الاولی،و دخوله فی علّة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مسألة الشطرنج من هذا القبیل،رغم أنّ الروایات </w:t>
      </w:r>
      <w:r>
        <w:rPr>
          <w:rStyle w:val="FootnoteAnchor"/>
          <w:rtl w:val="true"/>
        </w:rPr>
        <w:footnoteReference w:id="601"/>
      </w:r>
      <w:r>
        <w:rPr>
          <w:rFonts w:ascii="IRNazanin" w:hAnsi="IRNazanin" w:eastAsia="IRNazanin"/>
          <w:color w:val="111111"/>
          <w:sz w:val="28"/>
          <w:sz w:val="28"/>
          <w:szCs w:val="28"/>
          <w:rtl w:val="true"/>
          <w:lang w:bidi="fa-IR"/>
        </w:rPr>
        <w:t>ذکرت تحریمه بصورة مطلقة،و لکن بالتأمّل و التدقیق یتّضح لنا بأنّ هذه الآلة بسبب أنّها کانت من آلات القمار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بضمیمة وجود المراهنة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ورد تحریمها فی الشرع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 الأساس المهمّ جدّا هو أن یقوم الفقیه بالتحقیق فی الموضوعات غیر العبادیّة،و التی لها علّة غیر تعبّدیّة طبعا،بل تعتمد علی نکتة ارتکازیّة عقلائیّة،و تکون مورد درک العقلاء أیضا،و یری ما هی النکتة الأساسیّة لذلک الحکم،و طبعا بعد الوثوق من العلّة یتحرّک لتطبیقها علی صغریات مسألة تأثیر</w:t>
      </w:r>
    </w:p>
    <w:p>
      <w:pPr>
        <w:pStyle w:val="BookText"/>
        <w:rPr/>
      </w:pPr>
      <w:r>
        <w:rPr>
          <w:rFonts w:ascii="IRNazanin" w:hAnsi="IRNazanin" w:eastAsia="IRNazanin"/>
          <w:color w:val="111111"/>
          <w:sz w:val="28"/>
          <w:sz w:val="28"/>
          <w:szCs w:val="28"/>
          <w:rtl w:val="true"/>
          <w:lang w:bidi="fa-IR"/>
        </w:rPr>
        <w:t>الزمان و المکان مع اختلاف الشرائط و الظروف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لأجل توضیح المطلب نستعین بذکر مثال آخر فی هذا الباب،فقد ورد فی الروایات الصحیحة أنّ المرأة الزانیة غیر المحصنة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عقوبة الجلد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یجب أن یحکم بتبعیدها عن موطنها </w:t>
      </w:r>
      <w:r>
        <w:rPr>
          <w:rStyle w:val="FootnoteAnchor"/>
          <w:rtl w:val="true"/>
        </w:rPr>
        <w:footnoteReference w:id="602"/>
      </w:r>
      <w:r>
        <w:rPr>
          <w:rFonts w:ascii="IRNazanin" w:hAnsi="IRNazanin" w:eastAsia="IRNazanin"/>
          <w:color w:val="111111"/>
          <w:sz w:val="28"/>
          <w:sz w:val="28"/>
          <w:szCs w:val="28"/>
          <w:rtl w:val="true"/>
          <w:lang w:bidi="fa-IR"/>
        </w:rPr>
        <w:t xml:space="preserve">،و جملة من الفقهاء أفتوا بلزوم التبعید استنادا إلی هذه الروایات </w:t>
      </w:r>
      <w:r>
        <w:rPr>
          <w:rStyle w:val="FootnoteAnchor"/>
          <w:rtl w:val="true"/>
        </w:rPr>
        <w:footnoteReference w:id="603"/>
      </w:r>
      <w:r>
        <w:rPr>
          <w:rFonts w:ascii="IRNazanin" w:hAnsi="IRNazanin" w:eastAsia="IRNazanin"/>
          <w:color w:val="111111"/>
          <w:sz w:val="28"/>
          <w:sz w:val="28"/>
          <w:szCs w:val="28"/>
          <w:rtl w:val="true"/>
          <w:lang w:bidi="fa-IR"/>
        </w:rPr>
        <w:t xml:space="preserve">،فی حین أنّ جماعة الاخر بعد التأمّل و التدقیق أفتوا بعدم جواز التبعید،و علّلوا ذلک بأنّ تلک المرأة رغم وجودها فی إطار الاسرة ارتکبت ما ینافی العفّة،فکیف لو خرجت من ذلک الإطار؟فإنّ احتمال البغی و الفساد سیشتدّ فی شأنها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الفتوی صدرت فی زمان لم یکن فیه سجن خاصّ بالنساء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فی الحال الحاضر حیث توجد مثل هذه السجون الخاصّة بالنساء المجرمات،فمن الطبیعی أن یکون التبعید جائزا،و یجب الانتباه إلی أنّ السجن هو غیر التبعید،فالمراد من التبعید هو أن یعیش الشخص فی محلّ بعید عن المحلّ الذی یعرفه الناس فیه،و طبعا نفس معرفة الناس هذه تسبّب فی وجود روابط و علاقات خاصّة،و لکن فی مسألة السجن لا یختلف الحال بین سجن مدینته،أو سجن مدینة أخری</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نستنتج بأنّ الأمر بالتبعید فی هذه الروایات أمر إرشادیّ، و الشارع قد ذکر هذه العقوبة من أجل إبعاد المجرم عمّن یعرفه فی عملیّة علاج هذه الواقعة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الجدیر بالذکر أنّ علاج و حلّ بعض المشاکل الاجتماعیّة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لا ینسجم مع ما ورد فی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یدور فی هذا الإطار،فیجب علی الفقیه المتبحّر التحقیق ابتداء فی التکالیف الواردة فی الروایات لیری هل أنّ ذلک التکلیف هو تکلیف مولویّ لا یقبل التغییر و التبدیل،أو أنّه تکلیف إرشادیّ قابل للتغییر مع تغیّر خصوصیّات الموضوع المشار إلیه؟و هذه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کونها تفید هذه الفائدة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تمثّل إحدی طرق حلّ التعارض الظاهری بین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هناک أمثلة کثیرة لهذا المطلب فی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بعض الموارد تتغیّر خصوصیّات الموضوع،بعد تغیّر الظروف بمرور الزمان،دون أن یکون هناک بحث فی العلّة،مثلا فی صحّة البیع لا یوجد هناک فرق بین بیع المسلم و الکافر،فالمعاملة فی کلا الحالین صحیحة،و لکن فی الظروف الحالیّة قد یستوجب البیع و الشراء من الکفّار تقویة موقعهم السیاسی،و حینئذ قد یستشکل فی جواز البیع فی هذا المورد،ففی هذا المثال حدث تغییرات فی الموضوع؛ أی فی خصوصیّات البیع علی مستوی البائع و المشتری،فدخل تحت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السبیل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فالتغییرات التی حصلت للموضوع،و أدّت إلی نشوء خصوصیّات جدیدة له؛فمن الطبیعی أن یکون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هذه الخصوصیّات الجدیدة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جدید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یتّضح من خلال ما تقدّم أنّ إحدی المهامّ و الوظائف المهمّة للفقیه هی الالتفات إلی أنّ الموضوع فی حال تغییر الشرائط،و حدوث خصوصیّات جدیدة،سوف یدخل فی أیّ دائرة من الأدلّة و الموضوعات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فالفقیه مع تسلّطه فی جمیع الأبواب الفقهیّة،و إحاطته الکاملة بجمیع المبانی الاصولیّة،و جمیع الأدلّة یمکنه فی حال تغیّر الشرائط إدراک أنّ هذا الموضوع مصداق لأیّ عنوان من العناوین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تتّضح حرکة و فاعلیّة الفقه المتداول و الموروث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الأساس فالفقیه قادر علی حفظ حرکة الفقه،و رشده بذلک المنهج المتداول الذی یصطلح علیه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الجواهری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یمکنه وضع کلّ موضوع فی دائرة دلیله الخاصّ مع مرور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أکثر المعاملات الجاریة فی زماننا الحاضر،و السائدة بین العقلاء؛هی فی الموضوعات التی أصبح لها حکم جدید مع تغیّر الظروف و حدوث خصائص جدیدة لذلک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الموضوعات لم یکن لها وجود فی السابق،بل وجدت مع مرور الزمان،و حدوث احتیاجات و ارتباطات جدیدة للبشر،و التی یعبّر عنها بالمسائل المستحدثة،و من وظائف الفقیه المهمّة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 هذه الموضوعات و استنباط حکمها الشرعیّ،من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التلقیح الصناعی،و حقّ التألیف،و زرع الأعضاء من الحیّ إلی الحیّ،أو من المیّت إلی الحیّ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فهذه الموضوعات و إن لم یکن لها وجود فی السابق،و لکن یمکننا اکتشاف حکمها من خلال الملاکات المشترکة بینها،و بین نظائرها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کذلک من خلال العمومات و الإطلاقات الواردة،مثلا فی مسألة التلقیح الصناعی لا بدّ من البحث أنّه هل هذا العمل یتنافی مع وجوب حفظ الفرج الوارد فی الشرع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لِلْمُؤْمِناتِ یَغْضُضْنَ مِنْ أَبْصارِهِنَّ وَ یَحْفَظْنَ فُرُوجَهُنَّ </w:t>
      </w:r>
      <w:r>
        <w:rPr>
          <w:rStyle w:val="FootnoteAnchor"/>
          <w:rtl w:val="true"/>
        </w:rPr>
        <w:footnoteReference w:id="605"/>
      </w:r>
      <w:r>
        <w:rPr>
          <w:rFonts w:ascii="IRNazanin" w:hAnsi="IRNazanin" w:eastAsia="IRNazanin"/>
          <w:color w:val="111111"/>
          <w:sz w:val="28"/>
          <w:sz w:val="28"/>
          <w:szCs w:val="28"/>
          <w:rtl w:val="true"/>
          <w:lang w:bidi="fa-IR"/>
        </w:rPr>
        <w:t>،أم لا؟</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یمکن القول بأنّ حذف المتعلّق یدلّ علی العموم؟أی أنّ حفظ الفرج واجب عن کلّ شیء لم یقم الدلیل علی عدم لزوم حفظه تجاهه،و بما أنّه لم یقم دلیل علی عدم لزوم حفظ الفرج من إدخال منیّ الأجنبی،فهو داخل تحت</w:t>
      </w:r>
      <w:bookmarkStart w:id="486" w:name="pg5439_46906"/>
    </w:p>
    <w:p>
      <w:pPr>
        <w:pStyle w:val="BookText"/>
        <w:rPr/>
      </w:pPr>
      <w:bookmarkEnd w:id="486"/>
      <w:r>
        <w:rPr>
          <w:rFonts w:ascii="IRNazanin" w:hAnsi="IRNazanin" w:eastAsia="IRNazanin"/>
          <w:color w:val="111111"/>
          <w:sz w:val="28"/>
          <w:sz w:val="28"/>
          <w:szCs w:val="28"/>
          <w:rtl w:val="true"/>
          <w:lang w:bidi="fa-IR"/>
        </w:rPr>
        <w:t>ذلک العموم،أو لا بدّ یقال بأنّ الکبری الکلّیة لهذا الدلیل مخدوشة؛و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حذف المتعلّق یدلّ علی العموم،بل یجب الأخذ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بنظر الاعتبار فی تحقّق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بالمناسبات العرفیّة و القرائن المحفوفة بالکلام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أجل تحصیل حکم شرعیّ فی بعض موارد هذا النوع من الموضوعات، لا یمکن الدخول من خلال الإطلاق،أو العموم،أو الملاک المشترک،بل من خلال المبنی الاصولیّ للفقیه،فمثلا فی حقّ التألیف یجب البحث فی أنّ السیرة العقلائیّة القائمة الآن هل تکون حجّة فی الشرع،أو أنّ السیرة العقلائیّة لا تکون حجّة معتبرة إلاّ إذا کانت موجودة فی زمن الشارع،و تمّ إمضاؤها من قبله،أو علی الأقلّ لم تقع مورد ردع الشارع و نهیه؟</w:t>
      </w:r>
    </w:p>
    <w:p>
      <w:pPr>
        <w:pStyle w:val="BookText"/>
        <w:rPr/>
      </w:pPr>
      <w:r>
        <w:rPr>
          <w:rFonts w:ascii="IRNazanin" w:hAnsi="IRNazanin" w:eastAsia="IRNazanin"/>
          <w:color w:val="111111"/>
          <w:sz w:val="28"/>
          <w:sz w:val="28"/>
          <w:szCs w:val="28"/>
          <w:rtl w:val="true"/>
          <w:lang w:bidi="fa-IR"/>
        </w:rPr>
        <w:t>النتیجة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یمکننا من أجل تحصیل الحکم الشرعیّ سلوک أحد هذه الطرق الأربعة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طریق الإطلاقات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طریق العمومات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طریق الملاک المشترک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طریق المبانی الاصولیّة</w:t>
      </w:r>
      <w:r>
        <w:rPr>
          <w:rFonts w:eastAsia="IRNazanin" w:cs="IRNazanin"/>
          <w:color w:val="111111"/>
          <w:sz w:val="28"/>
          <w:szCs w:val="28"/>
          <w:rtl w:val="true"/>
          <w:lang w:bidi="fa-IR"/>
        </w:rPr>
        <w:t>.</w:t>
      </w:r>
    </w:p>
    <w:p>
      <w:pPr>
        <w:pStyle w:val="Heading4"/>
        <w:numPr>
          <w:ilvl w:val="3"/>
          <w:numId w:val="1"/>
        </w:numPr>
        <w:rPr/>
      </w:pPr>
      <w:bookmarkStart w:id="487" w:name="__RefHeading___Toc1856196_581953129"/>
      <w:bookmarkStart w:id="488" w:name="_Toc183"/>
      <w:bookmarkEnd w:id="487"/>
      <w:r>
        <w:rPr>
          <w:rtl w:val="true"/>
        </w:rPr>
        <w:t>ج</w:t>
      </w:r>
      <w:r>
        <w:rPr>
          <w:rtl w:val="true"/>
        </w:rPr>
        <w:t>)</w:t>
      </w:r>
      <w:r>
        <w:rPr>
          <w:rtl w:val="true"/>
        </w:rPr>
        <w:t>تأثیر الزمان و المکان فی مفاد الأدلّة،و مبانی الاجتهاد</w:t>
      </w:r>
      <w:bookmarkEnd w:id="488"/>
    </w:p>
    <w:p>
      <w:pPr>
        <w:pStyle w:val="Heading5"/>
        <w:numPr>
          <w:ilvl w:val="4"/>
          <w:numId w:val="1"/>
        </w:numPr>
        <w:rPr/>
      </w:pPr>
      <w:bookmarkStart w:id="489" w:name="__RefHeading___Toc1856198_581953129"/>
      <w:bookmarkStart w:id="490" w:name="_Toc184"/>
      <w:bookmarkEnd w:id="489"/>
      <w:r>
        <w:rPr/>
        <w:t>1</w:t>
      </w:r>
      <w:r>
        <w:rPr>
          <w:rtl w:val="true"/>
        </w:rPr>
        <w:t>-</w:t>
      </w:r>
      <w:r>
        <w:rPr>
          <w:rtl w:val="true"/>
        </w:rPr>
        <w:t>الزمان و المکان،و مفاد الأدلّة</w:t>
      </w:r>
      <w:bookmarkEnd w:id="490"/>
    </w:p>
    <w:p>
      <w:pPr>
        <w:pStyle w:val="BookText"/>
        <w:rPr/>
      </w:pPr>
      <w:r>
        <w:rPr>
          <w:rFonts w:ascii="IRNazanin" w:hAnsi="IRNazanin" w:eastAsia="IRNazanin"/>
          <w:color w:val="111111"/>
          <w:sz w:val="28"/>
          <w:sz w:val="28"/>
          <w:szCs w:val="28"/>
          <w:rtl w:val="true"/>
          <w:lang w:bidi="fa-IR"/>
        </w:rPr>
        <w:t>إنّ من جملة المطالب الضروریّة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للزمان و المکان،و التغیّرات الحالّة فیهما تأثیر فی مفاد الأدلّة،أم لا؟</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هناک عدّة صور لبیان کیفیّة تأثیر الزمان و المکان فی مفاد الأدلّة،حیث یجب دراستها کلاّ علی 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المقصود من التأثیر هو أنّ المفهوم من الأدلّة،نظیر القرآن الکریم،و السنّة یتغیّر بسبب مرور الزمان و الظروف؛أی أنّ الدلیل الذی کان له معنی معیّنا فی زمان،یفقد ذلک المعنی فی زمان آخر،و هذا النحو من التأثیر باطل بلا شکّ،فالأدلّة اللفظیّة تبتنی فی دلالتها علی المعانی و المفاهیم علی قواعد أدبیّة خاصّة فی تلک اللغة،و هذه القواعد و اللغة لا تتغیّر بمرور الزمان،مثلا لا یمکن القول بأنّ صیغة الأمر أو النهی فی السابق کانت تدلّ علی معنی خاصّ فی اللغة، و لکنّها الآن و بسبب مرور الزمان فقدت دلالتها علی ذلک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طبعا،فالمعانی العرفیّة قابلة للتغییر،و بإمکان المتکلّم أیضا استعمال الألفاظ فی غیر معانیها اللغویّة مع ضمّ القرینة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المقصود هی الشرائط الموجودة فی الأدلّة حین صدورها؛أی أنّ الحکم الصادر ضمن شرائط و خصوصیّات معیّنة یزول بزوال تلک الخصوصیّات،و تغیّر تلک الشرائط،و هذا النحو من التأثیر لا یتصوّر إلاّ فی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بالنسبة للقرآن الکریم،فلا وجود لهذا النحو من التأثیر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النحو من التأثیر فی دائرة الروایات نظائر کثیرة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ورد فی عدم خضاب أمیر المؤمنین علیه السّلام بعد رحلة النبیّ صلّی اللّه علیه و اله،فاعترض علیه البعض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لا تخضب؛فإنّ رسول اللّه صلّی اللّه علیه و اله قد خضب؟فقال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ذلک و الإسلام قلّ،فأمّا الآن فقد اتّسع نطاق الإسلام،فامرؤ،و ما اختار </w:t>
      </w:r>
      <w:r>
        <w:rPr>
          <w:rStyle w:val="FootnoteAnchor"/>
          <w:rtl w:val="true"/>
        </w:rPr>
        <w:footnoteReference w:id="6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فإنّ ذلک الحکم قد فقد شرائطه و خصوصیّاته</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 لما ورد فی بعض الروایات یستحبّ حلق الشارب و إعفاء اللّحی؛ لأنّ الیهود فی ذلک الزمان کانوا یحلقون لحاهم و یعفون شاربهم،فأمر رسول اللّه صلّی اللّه علیه و اله</w:t>
      </w:r>
    </w:p>
    <w:p>
      <w:pPr>
        <w:pStyle w:val="BookText"/>
        <w:rPr/>
      </w:pPr>
      <w:r>
        <w:rPr>
          <w:rFonts w:ascii="IRNazanin" w:hAnsi="IRNazanin" w:eastAsia="IRNazanin"/>
          <w:color w:val="111111"/>
          <w:sz w:val="28"/>
          <w:sz w:val="28"/>
          <w:szCs w:val="28"/>
          <w:rtl w:val="true"/>
          <w:lang w:bidi="fa-IR"/>
        </w:rPr>
        <w:t xml:space="preserve">بالعمل بخلاف ذلک </w:t>
      </w:r>
      <w:r>
        <w:rPr>
          <w:rStyle w:val="FootnoteAnchor"/>
          <w:rtl w:val="true"/>
        </w:rPr>
        <w:footnoteReference w:id="607"/>
      </w:r>
      <w:r>
        <w:rPr>
          <w:rFonts w:ascii="IRNazanin" w:hAnsi="IRNazanin" w:eastAsia="IRNazanin"/>
          <w:color w:val="111111"/>
          <w:sz w:val="28"/>
          <w:sz w:val="28"/>
          <w:szCs w:val="28"/>
          <w:rtl w:val="true"/>
          <w:lang w:bidi="fa-IR"/>
        </w:rPr>
        <w:t>،فکان ذلک لإظهار المخالفة العملیّة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الیهود فی هذه الأیّام لیسوا کأسلافهم،أو علی الأقلّ لا یلتزمون بتلک الکیفیّة بصورة شاخصة،فمن البدیهی أن لا یکون لاستحباب حلق الشارب وجه معقول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عصر الإمام الباقر و الصادق علیهما السّلام کان نشر الأحکام الإسلامیّة مهمّا جدّا،و من جهة أخری کان الاختلاف بین المذاهب الإسلامیّة علی أشدّه،و لکنّ الإمامین الباقر و الصادق علیهما السّلام واجها تلک المسألة بحکمة بالغة،ففی ظاهر الأمر کانا علیهما السّلام یبیّنان الفقه السائد،و الذی کان یقوم علیه نظام الحکم فی ذلک الزمان إنّما هو لأجل تجنّب إثارة الخلاف فی الامّة الإسلامیّة،و لکن فی حال الخفاء مع الأصحاب المخلصین یبیّنان الحکم الواقعیّ للمسألة،و یأمران أصحابهما بالتقیّة، فعلی هذا کانت التقیّة فی ذلک المناخ،و تلک الظروف الزمانیّة،ضروریّا جدّا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المقصود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مع مرور الزمان،و تطوّر العلوم و المعارف البشریّة،سیحصل الفقیه علی أصحّ فهم و أکثر جامع من الأدلّة الشرعیّة،و هذا النحو من التأثیر صحیح،و له واقعیّة فی دائرة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الروایات التی تدلّ علی أنّ للقرآن بطن،و للبطن بطن </w:t>
      </w:r>
      <w:r>
        <w:rPr>
          <w:rStyle w:val="FootnoteAnchor"/>
          <w:rtl w:val="true"/>
        </w:rPr>
        <w:footnoteReference w:id="609"/>
      </w:r>
      <w:r>
        <w:rPr>
          <w:rFonts w:ascii="IRNazanin" w:hAnsi="IRNazanin" w:eastAsia="IRNazanin"/>
          <w:color w:val="111111"/>
          <w:sz w:val="28"/>
          <w:sz w:val="28"/>
          <w:szCs w:val="28"/>
          <w:rtl w:val="true"/>
          <w:lang w:bidi="fa-IR"/>
        </w:rPr>
        <w:t>،یمکن حملها علی هذا المعنی أیضا،أو الروایات التی تدلّ علی أنّ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أنزل سورة التوحید؛لأنّه سوف یکون هناک قوم فی آخر الزمان یمکنهم فهم المعانی العمیقة و السامیة للقرآن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الروایة الواردة عن أمیر المؤمنین علیه السّلام،التی تقرّر کراهة التبوّل فی الماء؛لأنّ</w:t>
      </w:r>
    </w:p>
    <w:p>
      <w:pPr>
        <w:pStyle w:val="BookText"/>
        <w:rPr/>
      </w:pPr>
      <w:r>
        <w:rPr>
          <w:rFonts w:ascii="IRNazanin" w:hAnsi="IRNazanin" w:eastAsia="IRNazanin"/>
          <w:color w:val="111111"/>
          <w:sz w:val="28"/>
          <w:sz w:val="28"/>
          <w:szCs w:val="28"/>
          <w:rtl w:val="true"/>
          <w:lang w:bidi="fa-IR"/>
        </w:rPr>
        <w:t xml:space="preserve">للماء أهلا </w:t>
      </w:r>
      <w:r>
        <w:rPr>
          <w:rStyle w:val="FootnoteAnchor"/>
          <w:rtl w:val="true"/>
        </w:rPr>
        <w:footnoteReference w:id="611"/>
      </w:r>
      <w:r>
        <w:rPr>
          <w:rFonts w:ascii="IRNazanin" w:hAnsi="IRNazanin" w:eastAsia="IRNazanin"/>
          <w:color w:val="111111"/>
          <w:sz w:val="28"/>
          <w:sz w:val="28"/>
          <w:szCs w:val="28"/>
          <w:rtl w:val="true"/>
          <w:lang w:bidi="fa-IR"/>
        </w:rPr>
        <w:t>،و قد أثبتت العلوم الحدیثة أنّ الماء یحوی علی أحیاء مجهریّة قد تموت بذلک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کلمة الأهل الواردة فی هذه الروایة کانت تفسّر فی الأزمنة القدیمة بمعنی الناس،أی بما أنّ الناس سوف ینتفعون بهذا الماء،فلذاکره التبوّل فیه،و لکنّه قد اتّضح فی هذا الزمان أنّ المراد من الأهل هی تلک الأحیاء المجهریّة فی الماء التی لا تری إلاّ بالمجهر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الأساس،فتأثیر الزمان و الممکان بمعنی الفهم الدقیق و الجامع للأدلّة أمر صحیح و لا شکّ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لا بدّ من ذکر نکتة،و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البعض فی هذا العصر توهّم بأنّ ألفاظ الکتاب و السنّة تتعلّق بالزمان الماضی فقط طبقا للقاعدة المقرّرة فی علم الألسنة و اللغات؛و أنّ اللغة أمر تاریخیّ،و کلّ لغة من اللغات فی أیّ مجتمع،و فی أیّ حضارة و عصر،تتعلّق بذلک العصر و المجتمع و تلک الحضارة،و السیاق اللغوی لحضارة بشریّة معیّنة لا یمکن أن یکون ناظرا إلی حضارة أخری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استنتج البعض من هذا البیان بأنّ الألفاظ من قبیل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اللّهُ الْبَیْعَ </w:t>
      </w:r>
      <w:r>
        <w:rPr>
          <w:rStyle w:val="FootnoteAnchor"/>
          <w:rtl w:val="true"/>
        </w:rPr>
        <w:footnoteReference w:id="612"/>
      </w:r>
      <w:r>
        <w:rPr>
          <w:rFonts w:ascii="IRNazanin" w:hAnsi="IRNazanin" w:eastAsia="IRNazanin"/>
          <w:color w:val="111111"/>
          <w:sz w:val="28"/>
          <w:sz w:val="28"/>
          <w:szCs w:val="28"/>
          <w:rtl w:val="true"/>
          <w:lang w:bidi="fa-IR"/>
        </w:rPr>
        <w:t>تشمل البیع الذی کان سائدا فی زمان نزول القرآن فقط،و لا یمتدّ لیستوعب فی دلالته جمیع الأعصار و المجتمعات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بطلان هذا التوهّم واضح جدّا؛لأنّ الألفاظ الواردة فی القرآن الکریم وردت بعنوانها تکلیفا مشترکا،و قانونا عامّا،و بشارة،و إنذارا لجمیع البشر فی جمیع الأعصار،و الخلاف إنّما هو فی دائرة الخطابات الشفاهیّة،و أنّها هل تشمل الغائبین</w:t>
      </w:r>
    </w:p>
    <w:p>
      <w:pPr>
        <w:pStyle w:val="BookText"/>
        <w:rPr/>
      </w:pPr>
      <w:r>
        <w:rPr>
          <w:rFonts w:ascii="IRNazanin" w:hAnsi="IRNazanin" w:eastAsia="IRNazanin"/>
          <w:color w:val="111111"/>
          <w:sz w:val="28"/>
          <w:sz w:val="28"/>
          <w:szCs w:val="28"/>
          <w:rtl w:val="true"/>
          <w:lang w:bidi="fa-IR"/>
        </w:rPr>
        <w:t>و المعدومین أم لا؟</w:t>
      </w:r>
    </w:p>
    <w:p>
      <w:pPr>
        <w:pStyle w:val="BookText"/>
        <w:rPr/>
      </w:pPr>
      <w:r>
        <w:rPr>
          <w:rFonts w:ascii="IRNazanin" w:hAnsi="IRNazanin" w:eastAsia="IRNazanin"/>
          <w:color w:val="111111"/>
          <w:sz w:val="28"/>
          <w:sz w:val="28"/>
          <w:szCs w:val="28"/>
          <w:rtl w:val="true"/>
          <w:lang w:bidi="fa-IR"/>
        </w:rPr>
        <w:t>و هذا الاختلاف من حیث شمول الألفاظ فقط،و إلاّ لا شکّ فی الاشتراک من ناحیة الملاک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الإمام الراحل قدّس سرّه فی 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ضمن استعراضه للإشکالات التی یحتمل ورودها علی القول بصحّة التأمین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أشکل شخص بأنّ العمومات من قبیل أَوْفُوا بِالْعُقُودِ </w:t>
      </w:r>
      <w:r>
        <w:rPr>
          <w:rStyle w:val="FootnoteAnchor"/>
          <w:rtl w:val="true"/>
        </w:rPr>
        <w:footnoteReference w:id="613"/>
      </w:r>
      <w:r>
        <w:rPr>
          <w:rFonts w:ascii="IRNazanin" w:hAnsi="IRNazanin" w:eastAsia="IRNazanin"/>
          <w:color w:val="111111"/>
          <w:sz w:val="28"/>
          <w:sz w:val="28"/>
          <w:szCs w:val="28"/>
          <w:rtl w:val="true"/>
          <w:lang w:bidi="fa-IR"/>
        </w:rPr>
        <w:t>إنّما تتناول العقود و الشروط المعهودة المتعارفة بین الناس فی زمن صدورها،و من المتسالم علیه أنّ مثل هذا العهد لم یکن متعارفا بینهم حتّی یدخل فی نطاقها،و لیس لنا غیر العمومات دلیل آخر نرکن إلیه فی تصحیحه، فیکون مثل هذا العهد داخلا فی الباطل المنهیّ عنه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تَأْکُلُوا أَمْوالَکُمْ بَیْنَکُمْ بِالْباطِلِ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ما لا یخفی من التعسّف؛فإنّ دعوی قصر العمومات علی العهود المتداولة فی زمن الوحی و التشریع خلاف المفهوم منها و تضییق لدائرتها،حیث إنّ تلک القضایا العامّة تأبی عن مثل هذا الجمود و التحجّر المخالف للشریعة السمحة السهلة،و لا أظنّ أنّه یختلج ببال أحد من العرف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العارف باللسان العاری الذهن عن الوساوس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أَوْفُوا بِالْعُقُودِ </w:t>
      </w:r>
      <w:r>
        <w:rPr>
          <w:rStyle w:val="FootnoteAnchor"/>
          <w:rtl w:val="true"/>
        </w:rPr>
        <w:footnoteReference w:id="615"/>
      </w:r>
      <w:r>
        <w:rPr>
          <w:rFonts w:ascii="IRNazanin" w:hAnsi="IRNazanin" w:eastAsia="IRNazanin"/>
          <w:color w:val="111111"/>
          <w:sz w:val="28"/>
          <w:sz w:val="28"/>
          <w:szCs w:val="28"/>
          <w:rtl w:val="true"/>
          <w:lang w:bidi="fa-IR"/>
        </w:rPr>
        <w:t>الوارد فی مقام التقنین المستمرّ إلی یوم القیامة منحصر فی العهود المعمول بها فی ذلک الزمان؛فإنّ مثل هذا الجمود مستلزم للخروج عن دائرة الفقه،بل عن ربقة الدّین نعوذ باللّه من ذلک</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لعمرک إنّ هذا الجمود لیس بأقلّ من جمود بعض المذاهب الإسلامیّة علی کثیر من الظواهر،الذی هو أبرد من الزمهریر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bookmarkStart w:id="491" w:name="pg5439_46911"/>
    </w:p>
    <w:p>
      <w:pPr>
        <w:pStyle w:val="BookText"/>
        <w:rPr/>
      </w:pPr>
      <w:bookmarkEnd w:id="491"/>
      <w:r>
        <w:rPr>
          <w:rFonts w:ascii="IRNazanin" w:hAnsi="IRNazanin" w:eastAsia="IRNazanin"/>
          <w:color w:val="111111"/>
          <w:sz w:val="28"/>
          <w:sz w:val="28"/>
          <w:szCs w:val="28"/>
          <w:rtl w:val="true"/>
          <w:lang w:bidi="fa-IR"/>
        </w:rPr>
        <w:t>و هنا نجد من الضروری تذکیر أرباب الفقه و الفقاهة و المحقّقین فی بحر الفقه الواسع بأنّ تحدید مدلول ألفاظ الکتاب و السنّة فی دائرة المصادیق السائدة فی زمان الصدور،مضافا إلی منافاته الواضحة و البدیهیّة لشمولیّة الدّین،و خلود معجزته،و هی القرآن؛فإنّه لا ینسجم،و تفسیر الأئمّة المعصومین علیهم السّلام للآیة الشریفة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فمثلا ورد فی الروایات فی تفسیر الآیة الشریفة 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من العقود؛العهود </w:t>
      </w:r>
      <w:r>
        <w:rPr>
          <w:rStyle w:val="FootnoteAnchor"/>
          <w:rtl w:val="true"/>
        </w:rPr>
        <w:footnoteReference w:id="617"/>
      </w:r>
      <w:r>
        <w:rPr>
          <w:rFonts w:ascii="Amiri" w:hAnsi="Amiri" w:eastAsia="Amiri" w:cs="Amiri"/>
          <w:color w:val="111111"/>
          <w:sz w:val="28"/>
          <w:sz w:val="28"/>
          <w:szCs w:val="28"/>
          <w:rtl w:val="true"/>
          <w:lang w:bidi="ar-SA"/>
        </w:rPr>
        <w:t>،و قد تمّ توسعة دائرتها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قلنا بتحدید هذه العمومات،فلماذا لم یذکر الأئمّة المعصومین علیهم السّلام هذه الملاحظة،بل حکموا بخلافها؟</w:t>
      </w:r>
    </w:p>
    <w:p>
      <w:pPr>
        <w:pStyle w:val="BookText"/>
        <w:rPr/>
      </w:pPr>
      <w:r>
        <w:rPr>
          <w:rFonts w:ascii="IRNazanin" w:hAnsi="IRNazanin" w:eastAsia="IRNazanin"/>
          <w:color w:val="111111"/>
          <w:sz w:val="28"/>
          <w:sz w:val="28"/>
          <w:szCs w:val="28"/>
          <w:rtl w:val="true"/>
          <w:lang w:bidi="fa-IR"/>
        </w:rPr>
        <w:t>من هنا نأسف جدّا کیف ذهب بعض المعاصرین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رغم تضلّعهم فی الفقه و التفسیر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أکثر عمومات الکتاب و السنّة محدودة بالمصادیق السائدة فی زمن النزول؟</w:t>
      </w:r>
    </w:p>
    <w:p>
      <w:pPr>
        <w:pStyle w:val="BookText"/>
        <w:rPr/>
      </w:pPr>
      <w:r>
        <w:rPr>
          <w:rFonts w:ascii="IRNazanin" w:hAnsi="IRNazanin" w:eastAsia="IRNazanin"/>
          <w:color w:val="111111"/>
          <w:sz w:val="28"/>
          <w:sz w:val="28"/>
          <w:szCs w:val="28"/>
          <w:rtl w:val="true"/>
          <w:lang w:bidi="fa-IR"/>
        </w:rPr>
        <w:t>فقد ذکر فی کلماته أنّ تسعین فی المائة من عمومات القرآن تتعلّق بالمصادیق المعهودة فی ذلک الزمان،و کذلک الکلام فی العمومات الواردة فی أحادیث النبیّ صلّی اللّه علیه و اله و أئمّة الدّین علیهم السّلام</w:t>
      </w:r>
      <w:r>
        <w:rPr>
          <w:rFonts w:eastAsia="IRNazanin" w:cs="IRNazanin"/>
          <w:color w:val="111111"/>
          <w:sz w:val="28"/>
          <w:szCs w:val="28"/>
          <w:rtl w:val="true"/>
          <w:lang w:bidi="fa-IR"/>
        </w:rPr>
        <w:t xml:space="preserve">!!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هذا،فمن الواضح جدّا أنّ الأدلّة التی تتضمّن بیان أحکام الشریعة لها إطلاق زمانیّ،و جاریة فی الفقه الحالی،إلاّ فی الموارد التی قام الدلیل القطعی علی نسخها</w:t>
      </w:r>
      <w:r>
        <w:rPr>
          <w:rFonts w:eastAsia="IRNazanin" w:cs="IRNazanin"/>
          <w:color w:val="111111"/>
          <w:sz w:val="28"/>
          <w:szCs w:val="28"/>
          <w:rtl w:val="true"/>
          <w:lang w:bidi="fa-IR"/>
        </w:rPr>
        <w:t>.</w:t>
      </w:r>
    </w:p>
    <w:p>
      <w:pPr>
        <w:pStyle w:val="Heading5"/>
        <w:numPr>
          <w:ilvl w:val="4"/>
          <w:numId w:val="1"/>
        </w:numPr>
        <w:rPr/>
      </w:pPr>
      <w:bookmarkStart w:id="492" w:name="__RefHeading___Toc1856200_581953129"/>
      <w:bookmarkStart w:id="493" w:name="_Toc185"/>
      <w:bookmarkEnd w:id="492"/>
      <w:r>
        <w:rPr/>
        <w:t>2</w:t>
      </w:r>
      <w:r>
        <w:rPr>
          <w:rtl w:val="true"/>
        </w:rPr>
        <w:t>-</w:t>
      </w:r>
      <w:r>
        <w:rPr>
          <w:rtl w:val="true"/>
        </w:rPr>
        <w:t>الزمان و المکان،و مبانی الاجتهاد</w:t>
      </w:r>
      <w:bookmarkEnd w:id="493"/>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من مبانی الاجتهاد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 و الضوابط الاصولیّة و الرجالیّة،و سائر</w:t>
      </w:r>
    </w:p>
    <w:p>
      <w:pPr>
        <w:pStyle w:val="BookText"/>
        <w:rPr/>
      </w:pPr>
      <w:r>
        <w:rPr>
          <w:rFonts w:ascii="IRNazanin" w:hAnsi="IRNazanin" w:eastAsia="IRNazanin"/>
          <w:color w:val="111111"/>
          <w:sz w:val="28"/>
          <w:sz w:val="28"/>
          <w:szCs w:val="28"/>
          <w:rtl w:val="true"/>
          <w:lang w:bidi="fa-IR"/>
        </w:rPr>
        <w:t>القواعد التی یحتاجها الفقیه فی عملیّة استنباط الأحکام لتکون کبری فی دلیله؛من قبیل حجّیة خبر الثقة،و أمثال ذلک،فهل تغییر الشرائط و الظروف و حدوث خصوصیّات جدیدة یؤثّر فی مبانی الاجتهاد هذه،أم لا؟</w:t>
      </w:r>
    </w:p>
    <w:p>
      <w:pPr>
        <w:pStyle w:val="BookText"/>
        <w:rPr/>
      </w:pPr>
      <w:r>
        <w:rPr>
          <w:rFonts w:ascii="IRNazanin" w:hAnsi="IRNazanin" w:eastAsia="IRNazanin"/>
          <w:color w:val="111111"/>
          <w:sz w:val="28"/>
          <w:sz w:val="28"/>
          <w:szCs w:val="28"/>
          <w:rtl w:val="true"/>
          <w:lang w:bidi="fa-IR"/>
        </w:rPr>
        <w:t>الظاهر أنّ هذه المسألة لا تؤثّر إطلاقا فی مبانی الاجتهاد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یمکن أن تتعرّض القواعد بسبب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کحجّیة خبر الثقة و أمثالها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للتغییر،و لکن هذه المسألة ترتبط من بعض الجهات بمبانی الاجتهاد،و نشیر هنا إلی ثلاث جهات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 مرور الزمان و حدوث فروع جدیدة،قد یکون الفقیه بحاجة إلی قواعد أصولیّة جدیدة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فالکثیر من الفقهاء العظام استخرجوا القواعد الاصولیّة المهمّة من متن الفقه و فروعه،و هذا المنهج هو المشهور و المشهود من مباحث الشیخ الأعظم قدّس سرّه فی الاصول،فعلی هذا قد یستکشف الفقیه بمرور الزمان قواعد جدیدة أصولیّة،أو غیر أصولیّة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لتوضیح هذا المطلب نذکر هذا المثال،و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فقهاء العصور القریبة من عصر المعصومین علیهم السّلام أمثال السیّد المرتضی رحمه اللّه،التفتوا إلی أنّ جمیع ما لدیهم من أخبار الآحاد،محفوفة بالقرائن القطعیّة،و أساسا فإنّ خبر الواحد المجرّد من القرینة إمّا أن لا یکون لدیهم منه شیء،أو إذا وجد فهو نادر جدّا،و لکن عندما ازدادت الفاصلة تدریجیّا مع عصر المعصومین علیهم السّلام تلاشت هذه القرائن،فاضطرّ الاصولیّون إلی العمل بالخبر الواحد المجرّد عن القرینة،و اعتباره أحد الأدلّة الشرعیّة</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یمکننا ذکر تقسیم الخبر إلی الأقسام الأربعة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الصحیح،الموثّق، الحسن،الضعیف،فلدی المتقدّمین ینقسم الخبر إلی قسمین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الصحیح و الضعیف،و لکن منذ زمان أحمد بن موسی بن طاووس کما ذهب إلیه صاحب المعالم فی منتقی الجمان </w:t>
      </w:r>
      <w:r>
        <w:rPr>
          <w:rStyle w:val="FootnoteAnchor"/>
          <w:rtl w:val="true"/>
        </w:rPr>
        <w:footnoteReference w:id="619"/>
      </w:r>
      <w:r>
        <w:rPr>
          <w:rFonts w:ascii="IRNazanin" w:hAnsi="IRNazanin" w:eastAsia="IRNazanin"/>
          <w:color w:val="111111"/>
          <w:sz w:val="28"/>
          <w:sz w:val="28"/>
          <w:szCs w:val="28"/>
          <w:rtl w:val="true"/>
          <w:lang w:bidi="fa-IR"/>
        </w:rPr>
        <w:t>،أو منذ زمان العلاّمة الحلّی کما ذهب إلیه الشیخ البهائی فی</w:t>
      </w:r>
      <w:bookmarkStart w:id="494" w:name="pg5439_46913"/>
    </w:p>
    <w:p>
      <w:pPr>
        <w:pStyle w:val="BookText"/>
        <w:rPr/>
      </w:pPr>
      <w:bookmarkEnd w:id="494"/>
      <w:r>
        <w:rPr>
          <w:rFonts w:ascii="IRNazanin" w:hAnsi="IRNazanin" w:eastAsia="IRNazanin"/>
          <w:color w:val="111111"/>
          <w:sz w:val="28"/>
          <w:sz w:val="28"/>
          <w:szCs w:val="28"/>
          <w:rtl w:val="true"/>
          <w:lang w:bidi="fa-IR"/>
        </w:rPr>
        <w:t xml:space="preserve">مشرق الشمسین </w:t>
      </w:r>
      <w:r>
        <w:rPr>
          <w:rStyle w:val="FootnoteAnchor"/>
          <w:rtl w:val="true"/>
        </w:rPr>
        <w:footnoteReference w:id="620"/>
      </w:r>
      <w:r>
        <w:rPr>
          <w:rFonts w:ascii="IRNazanin" w:hAnsi="IRNazanin" w:eastAsia="IRNazanin"/>
          <w:color w:val="111111"/>
          <w:sz w:val="28"/>
          <w:sz w:val="28"/>
          <w:szCs w:val="28"/>
          <w:rtl w:val="true"/>
          <w:lang w:bidi="fa-IR"/>
        </w:rPr>
        <w:t>،تمّ تقسیم الخبر إلی أربعة أقسام،و أصبح للصحیح فی مصطلح المتأخّرین معنی جدیدا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لهذه المسألة دور هامّ فی الشروط المذکورة لفعلیّة التکلیف، مثل شرطیّة القدرة فی نظر المشهور </w:t>
      </w:r>
      <w:r>
        <w:rPr>
          <w:rStyle w:val="FootnoteAnchor"/>
          <w:rtl w:val="true"/>
        </w:rPr>
        <w:footnoteReference w:id="621"/>
      </w:r>
      <w:r>
        <w:rPr>
          <w:rFonts w:ascii="IRNazanin" w:hAnsi="IRNazanin" w:eastAsia="IRNazanin"/>
          <w:color w:val="111111"/>
          <w:sz w:val="28"/>
          <w:sz w:val="28"/>
          <w:szCs w:val="28"/>
          <w:rtl w:val="true"/>
          <w:lang w:bidi="fa-IR"/>
        </w:rPr>
        <w:t xml:space="preserve">،و الابتلاء فی نظر الشیخ الأنصاری قدّس سرّه </w:t>
      </w:r>
      <w:r>
        <w:rPr>
          <w:rStyle w:val="FootnoteAnchor"/>
          <w:rtl w:val="true"/>
        </w:rPr>
        <w:footnoteReference w:id="622"/>
      </w:r>
      <w:r>
        <w:rPr>
          <w:rFonts w:ascii="IRNazanin" w:hAnsi="IRNazanin" w:eastAsia="IRNazanin"/>
          <w:color w:val="111111"/>
          <w:sz w:val="28"/>
          <w:sz w:val="28"/>
          <w:szCs w:val="28"/>
          <w:rtl w:val="true"/>
          <w:lang w:bidi="fa-IR"/>
        </w:rPr>
        <w:t>، و بدیهیّ أنّ الشیء یمکن أن یکون مقدورا للشخص فی زمان معیّن،و غیر مقدور له فی زمان آخر،و هکذا فی مسألة الابتلاء بشیء یختلف باختلاف الأزمنة و الأمکنة؛ أی یمکن أن یقع الشیء فی زمان خاصّ و ظروف معیّنة موردا للابتلاء،و لکنّه لا یکون کذلک فی ظروف أخر،فعلی هذا الأساس فإنّ شروط التکلیف المبحوثة فی البحوث الاجتهادیّة الاصولیّة متأثّرة بالزمان و المکان علی مستوی المصداق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یخصّ ارتباط الزمان و المکان مع بناء العقلاء،فواضح أنّ أحد الأدلّة المهمّة للأحکام الشرعیّة،و التی یستدلّ بها الفقهاء و الاصولیّون،هو بناء العقلاء و سیرتهم،فرغم أنّ الزمان و المکان لیس لهما دور فی أصل حجّیة السیرة العقلائیّة،و لکن لهما تأثیر فی تحقّق مصادیق متعدّدة و جدیدة</w:t>
      </w:r>
      <w:r>
        <w:rPr>
          <w:rFonts w:eastAsia="IRNazanin" w:cs="IRNazanin"/>
          <w:color w:val="111111"/>
          <w:sz w:val="28"/>
          <w:szCs w:val="28"/>
          <w:rtl w:val="true"/>
          <w:lang w:bidi="fa-IR"/>
        </w:rPr>
        <w:t>.</w:t>
      </w:r>
    </w:p>
    <w:p>
      <w:pPr>
        <w:pStyle w:val="Heading4"/>
        <w:numPr>
          <w:ilvl w:val="3"/>
          <w:numId w:val="1"/>
        </w:numPr>
        <w:rPr/>
      </w:pPr>
      <w:bookmarkStart w:id="495" w:name="__RefHeading___Toc1856202_581953129"/>
      <w:bookmarkStart w:id="496" w:name="_Toc186"/>
      <w:bookmarkEnd w:id="495"/>
      <w:r>
        <w:rPr>
          <w:rtl w:val="true"/>
        </w:rPr>
        <w:t>د</w:t>
      </w:r>
      <w:r>
        <w:rPr>
          <w:rtl w:val="true"/>
        </w:rPr>
        <w:t>)</w:t>
      </w:r>
      <w:r>
        <w:rPr>
          <w:rtl w:val="true"/>
        </w:rPr>
        <w:t>حدود تأثیر الزمان و المکان</w:t>
      </w:r>
      <w:bookmarkEnd w:id="496"/>
    </w:p>
    <w:p>
      <w:pPr>
        <w:pStyle w:val="Heading5"/>
        <w:numPr>
          <w:ilvl w:val="4"/>
          <w:numId w:val="1"/>
        </w:numPr>
        <w:rPr/>
      </w:pPr>
      <w:bookmarkStart w:id="497" w:name="__RefHeading___Toc1856204_581953129"/>
      <w:bookmarkStart w:id="498" w:name="_Toc187"/>
      <w:bookmarkEnd w:id="497"/>
      <w:r>
        <w:rPr/>
        <w:t>1</w:t>
      </w:r>
      <w:r>
        <w:rPr>
          <w:rtl w:val="true"/>
        </w:rPr>
        <w:t>-</w:t>
      </w:r>
      <w:r>
        <w:rPr>
          <w:rtl w:val="true"/>
        </w:rPr>
        <w:t>الزمان و المکان،و الحکم الأوّلی و الثانوی</w:t>
      </w:r>
      <w:bookmarkEnd w:id="498"/>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 التقسیمات المذکورة للأحکام فی الفقه هو تقسیم الحکم إلی الأوّلی و الثانوی،فالحکم المترتّب علی موضوع معیّن بما هو موضوع،و بدون أیّ قید</w:t>
      </w:r>
    </w:p>
    <w:p>
      <w:pPr>
        <w:pStyle w:val="BookText"/>
        <w:rPr/>
      </w:pP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یسمّی بالحکم الأوّلی،مثل الحکم بالوجوب المترتّب علی موضوع الصلاة بما هی صلاة،و لهذا أطلق علیه الحکم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ترتّب الحکم علی موضوع بعنوان آخر،مثل عنوان الضرر أو الحرج،فیسمّی بالحکم الثانوی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رغم أنّ الزمان و المکان لا یرتبطان بالأحکام،و الأدلّة الشرعیّة بصورة مباشرة،و لکنّه قد یطرح هذا السؤال،و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فیما لو حدث تغیّر فی موضوعات أو متعلّقات الأحکام،و تبعه حدوث تغیّر فی الحکم،فهل الحکم الجدید یکون من قبیل الحکم الأوّلی،أو الثانوی؟</w:t>
      </w:r>
    </w:p>
    <w:p>
      <w:pPr>
        <w:pStyle w:val="BookText"/>
        <w:rPr/>
      </w:pPr>
      <w:r>
        <w:rPr>
          <w:rFonts w:ascii="IRNazanin" w:hAnsi="IRNazanin" w:eastAsia="IRNazanin"/>
          <w:color w:val="111111"/>
          <w:sz w:val="28"/>
          <w:sz w:val="28"/>
          <w:szCs w:val="28"/>
          <w:rtl w:val="true"/>
          <w:lang w:bidi="fa-IR"/>
        </w:rPr>
        <w:t>ذهب البعض فی تفسیره للحکم الأوّلی علی خلاف الاصطلاح السائد،و قال فی تعریفه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ذلک النوع من الأحکام الإسلامیّة الموضوعة علی أساس الحاجات الثابتة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أنّ الحکم أو الأحکام المقرّرة علی أساس المادّی و المعنوی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أساس هذین التعریفین،و خاصّة التعریف الأوّل،فالأحکام المتغیّرة تبعا لتغیّر الحاجات و الضرورات،أو تبعا لتبدّل الموضوعات،هی من الأحکام الثانویّة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فبما أنّ مسألة الزمان و المکان ترتبط بالحاجات غیر الثابتة للإنسان،فهی دائما تمهّد الأرضیّة للأحکام الثانویّة</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علی أساس التعریف الاصولی السائد و الشائع للحکم الأوّلی و الثانوی، فالمسألة تختلف عمّا سبق؛لأنّ فی مسألة تأثیر الزمان و المکان،إذا حصل تغیّر فی الموضوعات أو فی متعلّقاتها،فالحکم الجدید الحاصل بتبع ذلک هو من نوع الحکم الأوّلی</w:t>
      </w:r>
      <w:r>
        <w:rPr>
          <w:rFonts w:eastAsia="IRNazanin" w:cs="IRNazanin"/>
          <w:color w:val="111111"/>
          <w:sz w:val="28"/>
          <w:szCs w:val="28"/>
          <w:rtl w:val="true"/>
          <w:lang w:bidi="fa-IR"/>
        </w:rPr>
        <w:t>.</w:t>
      </w:r>
      <w:bookmarkStart w:id="499" w:name="pg5439_46915"/>
    </w:p>
    <w:p>
      <w:pPr>
        <w:pStyle w:val="BookText"/>
        <w:rPr/>
      </w:pPr>
      <w:bookmarkEnd w:id="499"/>
      <w:r>
        <w:rPr>
          <w:rFonts w:ascii="IRNazanin" w:hAnsi="IRNazanin" w:eastAsia="IRNazanin"/>
          <w:color w:val="111111"/>
          <w:sz w:val="28"/>
          <w:sz w:val="28"/>
          <w:szCs w:val="28"/>
          <w:rtl w:val="true"/>
          <w:lang w:bidi="fa-IR"/>
        </w:rPr>
        <w:t>و لکن فی موارد ما إذا أوجب مرور الزمان،و تبدّل المکان حصول عناوین ثانویّة من قبیل الحرج و الضرر،فحینذاک فقد تدخل الأحکام الحاصلة فی باب الحکم الثانوی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یتّضح من هذا المطلب أنّ التفکیک بین مذهب أهل السنّة،و مبنی الإمام الراحل قدّس سرّه فی هذا القسم من البحث،هو أمر غیر 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طبعا فقد ادّعی البعض </w:t>
      </w:r>
      <w:r>
        <w:rPr>
          <w:rStyle w:val="FootnoteAnchor"/>
          <w:rtl w:val="true"/>
        </w:rPr>
        <w:footnoteReference w:id="625"/>
      </w:r>
      <w:r>
        <w:rPr>
          <w:rFonts w:ascii="IRNazanin" w:hAnsi="IRNazanin" w:eastAsia="IRNazanin"/>
          <w:color w:val="111111"/>
          <w:sz w:val="28"/>
          <w:sz w:val="28"/>
          <w:szCs w:val="28"/>
          <w:rtl w:val="true"/>
          <w:lang w:bidi="fa-IR"/>
        </w:rPr>
        <w:t>طبقا لمبنی العامّة أنّ التغییر الذی احدث فی الأحکام بحسب الزمان و المکان کان عنوان ثانوی،و لکن طبقا لمبنی الإمام الخمینی قدّس سرّه یکون من الحکم الأوّلی،و هذا الادّعاء غیر صحیح أیضا؛لأنّه علی أساس ما تقدّم أنّ الحکم یکون من الحکم الأوّلی علی کلا المذهبین</w:t>
      </w:r>
      <w:r>
        <w:rPr>
          <w:rFonts w:eastAsia="IRNazanin" w:cs="IRNazanin"/>
          <w:color w:val="111111"/>
          <w:sz w:val="28"/>
          <w:szCs w:val="28"/>
          <w:rtl w:val="true"/>
          <w:lang w:bidi="fa-IR"/>
        </w:rPr>
        <w:t>.</w:t>
      </w:r>
    </w:p>
    <w:p>
      <w:pPr>
        <w:pStyle w:val="Heading5"/>
        <w:numPr>
          <w:ilvl w:val="4"/>
          <w:numId w:val="1"/>
        </w:numPr>
        <w:rPr/>
      </w:pPr>
      <w:bookmarkStart w:id="500" w:name="__RefHeading___Toc1856206_581953129"/>
      <w:bookmarkStart w:id="501" w:name="_Toc188"/>
      <w:bookmarkEnd w:id="500"/>
      <w:r>
        <w:rPr/>
        <w:t>2</w:t>
      </w:r>
      <w:r>
        <w:rPr>
          <w:rtl w:val="true"/>
        </w:rPr>
        <w:t>-</w:t>
      </w:r>
      <w:r>
        <w:rPr>
          <w:rtl w:val="true"/>
        </w:rPr>
        <w:t>الزمان و المکان،و الأحکام الضروریّة</w:t>
      </w:r>
      <w:bookmarkEnd w:id="501"/>
    </w:p>
    <w:p>
      <w:pPr>
        <w:pStyle w:val="BookText"/>
        <w:rPr/>
      </w:pPr>
      <w:r>
        <w:rPr>
          <w:rFonts w:ascii="IRNazanin" w:hAnsi="IRNazanin" w:eastAsia="IRNazanin"/>
          <w:color w:val="111111"/>
          <w:sz w:val="28"/>
          <w:sz w:val="28"/>
          <w:szCs w:val="28"/>
          <w:rtl w:val="true"/>
          <w:lang w:bidi="fa-IR"/>
        </w:rPr>
        <w:t>تنقسم الأحکام و الاعتبارات الشرعیّة إلی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ضروریّ و غیر ضروریّ،و السؤال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تأثیر الزمان و المکان یقتصر علی الأحکام غیر الضروریّة،أو یمتدّ إلی دائرة أوسع؟</w:t>
      </w:r>
    </w:p>
    <w:p>
      <w:pPr>
        <w:pStyle w:val="BookText"/>
        <w:rPr/>
      </w:pPr>
      <w:r>
        <w:rPr>
          <w:rFonts w:ascii="IRNazanin" w:hAnsi="IRNazanin" w:eastAsia="IRNazanin"/>
          <w:color w:val="111111"/>
          <w:sz w:val="28"/>
          <w:sz w:val="28"/>
          <w:szCs w:val="28"/>
          <w:rtl w:val="true"/>
          <w:lang w:bidi="fa-IR"/>
        </w:rPr>
        <w:t>و یتأکّد هذا السؤال إذا علمنا بأنّ المقرّر فی علم الاصول أنّ الاجتهاد لا یرد فی المسائل الضروریّة،و عنوان بحثنا هو تأثیر الزمان و المکان فی الاجتهاد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الأشخاص الذین أنکروا تأثیر الزمان و المکان فی العبادات،لو ذهبوا إلی أنّ دائرة الامور الضروریّة منحصرة فی العبادات،فمن الطبیعی أن ینکر أصحاب هذا الرأی تأثیر هذا العامل فی الامور الضروریّة،و لکن من الواضح أنّ الامور الضروریّة لا تنحصر فی إطار الأمور العبادیّة،بل أنّ بعض الأحکام غیر العبادیّة ضروریّة أیضا</w:t>
      </w:r>
      <w:r>
        <w:rPr>
          <w:rFonts w:eastAsia="IRNazanin" w:cs="IRNazanin"/>
          <w:color w:val="111111"/>
          <w:sz w:val="28"/>
          <w:szCs w:val="28"/>
          <w:rtl w:val="true"/>
          <w:lang w:bidi="fa-IR"/>
        </w:rPr>
        <w:t>.</w:t>
      </w:r>
      <w:bookmarkStart w:id="502" w:name="pg5439_46916"/>
    </w:p>
    <w:p>
      <w:pPr>
        <w:pStyle w:val="BookText"/>
        <w:rPr/>
      </w:pPr>
      <w:bookmarkEnd w:id="502"/>
      <w:r>
        <w:rPr>
          <w:rFonts w:ascii="IRNazanin" w:hAnsi="IRNazanin" w:eastAsia="IRNazanin"/>
          <w:color w:val="111111"/>
          <w:sz w:val="28"/>
          <w:sz w:val="28"/>
          <w:szCs w:val="28"/>
          <w:rtl w:val="true"/>
          <w:lang w:bidi="fa-IR"/>
        </w:rPr>
        <w:t xml:space="preserve">الإمام الراحل قدّس سرّه فی مسألة الحجّ </w:t>
      </w:r>
      <w:r>
        <w:rPr>
          <w:rStyle w:val="FootnoteAnchor"/>
          <w:rtl w:val="true"/>
        </w:rPr>
        <w:footnoteReference w:id="6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إنّ وجوبه من الضروریّات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أنّ هذا العنصر المهمّ یتدخّل حتی فی الامور العبادیّة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تأثیر الزمان و المکان لا یقتصر علی المسائل المبحوثة فی دائرة الاجتهاد،و من هنا ندرک جیّدا التأثیر العمیق لهذا العنصر فی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الوحید علی تأثیر هذا العامل فی الامور الضروریّة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بما أنّ هذا العامل له دور فی تغییر الموضوعات و المتعلّقات،فمع تغییرها یترتّب حکم آخر علیها،و الحکم الضروری إنّما یکون ضروریّا فیما لو لم یحدث أیّ تغییر،لا فی الموضوع،و لا فی المتعلّق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لا بدّ من الانتباه إلی أنّ عنصر الزمان و المکان لا یمکنه الخدشة فی کون الحکم ضروریّا مع حفظ الموضوع و المتعلّق،بل فیما لو کان الحکم ضروریّا، فسوف یبقی تحت هذا العنوان دائما،و تترتّب علیه آثار الأحکام الضروریّة</w:t>
      </w:r>
      <w:r>
        <w:rPr>
          <w:rFonts w:eastAsia="IRNazanin" w:cs="IRNazanin"/>
          <w:color w:val="111111"/>
          <w:sz w:val="28"/>
          <w:szCs w:val="28"/>
          <w:rtl w:val="true"/>
          <w:lang w:bidi="fa-IR"/>
        </w:rPr>
        <w:t>.</w:t>
      </w:r>
    </w:p>
    <w:p>
      <w:pPr>
        <w:pStyle w:val="Heading5"/>
        <w:numPr>
          <w:ilvl w:val="4"/>
          <w:numId w:val="1"/>
        </w:numPr>
        <w:rPr/>
      </w:pPr>
      <w:bookmarkStart w:id="503" w:name="__RefHeading___Toc1856208_581953129"/>
      <w:bookmarkStart w:id="504" w:name="_Toc189"/>
      <w:bookmarkEnd w:id="503"/>
      <w:r>
        <w:rPr/>
        <w:t>3</w:t>
      </w:r>
      <w:r>
        <w:rPr>
          <w:rtl w:val="true"/>
        </w:rPr>
        <w:t>-</w:t>
      </w:r>
      <w:r>
        <w:rPr>
          <w:rtl w:val="true"/>
        </w:rPr>
        <w:t>تأثیر الزمان و المکان مع وجود النصّ الخاصّ</w:t>
      </w:r>
      <w:bookmarkEnd w:id="504"/>
    </w:p>
    <w:p>
      <w:pPr>
        <w:pStyle w:val="BookText"/>
        <w:rPr/>
      </w:pPr>
      <w:r>
        <w:rPr>
          <w:rFonts w:ascii="IRNazanin" w:hAnsi="IRNazanin" w:eastAsia="IRNazanin"/>
          <w:color w:val="111111"/>
          <w:sz w:val="28"/>
          <w:sz w:val="28"/>
          <w:szCs w:val="28"/>
          <w:rtl w:val="true"/>
          <w:lang w:bidi="fa-IR"/>
        </w:rPr>
        <w:t>من الامور التی تشغل ذهن الفقیه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تأثیر الزمان و المکان،و تغیّر الشرائط و الظروف،هل یختصّ فی الموارد التی لم یرد فیها نصّ خاصّ أو یشمل ما ورد فیه نصّ خاصّ أیضا؟</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أغلب فقهاء أهل السنّة یرون أنّ تغیّر الشرائط و الظروف الزمانیّة و المکانیّة و الأعراف و العادات و التقالید الاجتماعیّة یؤثّر فی تغییر و تبدّل الأحکام،و هذا الأمر ضروریّ فی تغییر التقالید الاجتماعیّة،و نظام الحکم،و من علمائهم أمثال الظاهریّة،و سفیان بن سعید الثوری،و الأوزاعی یرون أنّ عنصر الزمان و المکان لا یتدخّل حتّی فی هذا النوع من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فی الموارد التی ورد فیها نصّ خاصّ،ینقسم علماء أهل السنّة إلی فریقین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فمنهم کأبی حنیفة،و محمّد بن الحسن الشیبانی،و محمّد بن إدریس الشافعی، و داود بن علی الظاهری الأصبهانی،لا یجیزون مخالفة النصّ الخاصّ و الحکم علی خلافه </w:t>
      </w:r>
      <w:r>
        <w:rPr>
          <w:rStyle w:val="FootnoteAnchor"/>
          <w:rtl w:val="true"/>
        </w:rPr>
        <w:footnoteReference w:id="627"/>
      </w:r>
      <w:r>
        <w:rPr>
          <w:rFonts w:ascii="IRNazanin" w:hAnsi="IRNazanin" w:eastAsia="IRNazanin"/>
          <w:color w:val="111111"/>
          <w:sz w:val="28"/>
          <w:sz w:val="28"/>
          <w:szCs w:val="28"/>
          <w:rtl w:val="true"/>
          <w:lang w:bidi="fa-IR"/>
        </w:rPr>
        <w:t>،و بدیهیّ أنّ هذه النظریّة تتحقّق فی فرض أنّ الموضوع یبقی بعیدا عن أیّ تغیّر و تبدّل،و لذلک یبقی الحکم علی حاله</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 أنّه لا فرق فی تأثیر الزمان و المکان بمعناه الواقعی بین الموضوعات التی ورد فیها نصّ خاصّ،و بین غیرها،و الدلیل علی ذلک هو دور الزمان و المکان و ارتباطهما بالموضوعات و المتعلّقات،فلو حدث تغیّر بسبب مرور الزمان فی دائرة الموضوع،و الشرائط،و الخصوصیّات،فمن الطبیعی سیکون لذلک الموضوع حکم آخر؛سواء کان لذلک الموضوع نصّ خاصّ،أو لم یکن</w:t>
      </w:r>
      <w:r>
        <w:rPr>
          <w:rFonts w:eastAsia="IRNazanin" w:cs="IRNazanin"/>
          <w:color w:val="111111"/>
          <w:sz w:val="28"/>
          <w:szCs w:val="28"/>
          <w:rtl w:val="true"/>
          <w:lang w:bidi="fa-IR"/>
        </w:rPr>
        <w:t>.</w:t>
      </w:r>
      <w:bookmarkStart w:id="505" w:name="pg5439_46919"/>
    </w:p>
    <w:p>
      <w:pPr>
        <w:pStyle w:val="Heading3"/>
        <w:numPr>
          <w:ilvl w:val="2"/>
          <w:numId w:val="1"/>
        </w:numPr>
        <w:rPr/>
      </w:pPr>
      <w:bookmarkStart w:id="506" w:name="__RefHeading___Toc1856210_581953129"/>
      <w:bookmarkStart w:id="507" w:name="_Toc190"/>
      <w:bookmarkEnd w:id="505"/>
      <w:bookmarkEnd w:id="506"/>
      <w:r>
        <w:rPr>
          <w:rtl w:val="true"/>
        </w:rPr>
        <w:t>الفصل الثالث</w:t>
      </w:r>
      <w:r>
        <w:rPr>
          <w:rtl w:val="true"/>
        </w:rPr>
        <w:t>:</w:t>
      </w:r>
      <w:r>
        <w:rPr>
          <w:rtl w:val="true"/>
        </w:rPr>
        <w:t>دور الزمان و المکان،و بعض الشبهات،و الإجابة عنها</w:t>
      </w:r>
      <w:bookmarkEnd w:id="507"/>
    </w:p>
    <w:p>
      <w:pPr>
        <w:pStyle w:val="Heading4"/>
        <w:numPr>
          <w:ilvl w:val="3"/>
          <w:numId w:val="1"/>
        </w:numPr>
        <w:rPr/>
      </w:pPr>
      <w:bookmarkStart w:id="508" w:name="__RefHeading___Toc1856212_581953129"/>
      <w:bookmarkStart w:id="509" w:name="_Toc191"/>
      <w:bookmarkEnd w:id="508"/>
      <w:r>
        <w:rPr>
          <w:rtl w:val="true"/>
        </w:rPr>
        <w:t>اشارة</w:t>
      </w:r>
      <w:bookmarkEnd w:id="509"/>
    </w:p>
    <w:p>
      <w:pPr>
        <w:pStyle w:val="Heading4"/>
        <w:numPr>
          <w:ilvl w:val="3"/>
          <w:numId w:val="1"/>
        </w:numPr>
        <w:rPr/>
      </w:pPr>
      <w:bookmarkStart w:id="510" w:name="__RefHeading___Toc1856214_581953129"/>
      <w:bookmarkStart w:id="511" w:name="_Toc192"/>
      <w:bookmarkEnd w:id="510"/>
      <w:r>
        <w:rPr>
          <w:rtl w:val="true"/>
        </w:rPr>
        <w:t>أ</w:t>
      </w:r>
      <w:r>
        <w:rPr>
          <w:rtl w:val="true"/>
        </w:rPr>
        <w:t>)</w:t>
      </w:r>
      <w:r>
        <w:rPr>
          <w:rtl w:val="true"/>
        </w:rPr>
        <w:t>منافاتهما لبعض الروایات</w:t>
      </w:r>
      <w:bookmarkEnd w:id="511"/>
    </w:p>
    <w:p>
      <w:pPr>
        <w:pStyle w:val="Heading5"/>
        <w:numPr>
          <w:ilvl w:val="4"/>
          <w:numId w:val="1"/>
        </w:numPr>
        <w:rPr/>
      </w:pPr>
      <w:bookmarkStart w:id="512" w:name="__RefHeading___Toc1856216_581953129"/>
      <w:bookmarkStart w:id="513" w:name="_Toc193"/>
      <w:bookmarkEnd w:id="512"/>
      <w:r>
        <w:rPr/>
        <w:t>1</w:t>
      </w:r>
      <w:r>
        <w:rPr>
          <w:rtl w:val="true"/>
        </w:rPr>
        <w:t>-«</w:t>
      </w:r>
      <w:r>
        <w:rPr>
          <w:rtl w:val="true"/>
        </w:rPr>
        <w:t>حلال محمّد صلّی اللّه علیه و اله حلال أبدا إلی یوم القیامة</w:t>
      </w:r>
      <w:r>
        <w:rPr>
          <w:rtl w:val="true"/>
        </w:rPr>
        <w:t>».</w:t>
      </w:r>
      <w:bookmarkEnd w:id="513"/>
    </w:p>
    <w:p>
      <w:pPr>
        <w:pStyle w:val="BookText"/>
        <w:rPr/>
      </w:pPr>
      <w:r>
        <w:rPr>
          <w:rFonts w:ascii="IRNazanin" w:hAnsi="IRNazanin" w:eastAsia="IRNazanin"/>
          <w:color w:val="111111"/>
          <w:sz w:val="28"/>
          <w:sz w:val="28"/>
          <w:szCs w:val="28"/>
          <w:rtl w:val="true"/>
          <w:lang w:bidi="fa-IR"/>
        </w:rPr>
        <w:t>من الروایات المشهورة و المتداولة علی ألسنة الفقهاء،علی أساس أنّها روایة معتبرة ینبغی العمل بها،هی 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حلال محمّد صلّی اللّه علیه و اله حلال أبدا إلی یوم القیامة، و حرامه حرام أبدا إلی یوم القیامة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فقد توهّم البعض أنّ القول بتأثیر الزمان و المکان فی الأحکام ینافی مدلول هذه الروایة الشریفة،و لذا أنکر تأثیر هذا العامل فی الأحکام الشرعیّة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بدّ فی مقام الجواب علی هذا التوهّم من التحقیق فی الروایة من جهة الدلالة،فرغم أنّ دلالة هذه الروایة لیست مجملة،أو متشابهة،إلاّ أنّه ذکرت عدّة احتمالات فی المراد منها</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المراد أنّ ما حکم به الرسول صلّی اللّه علیه و اله فی کلّ أمر و موضوع،فهو</w:t>
      </w:r>
    </w:p>
    <w:p>
      <w:pPr>
        <w:pStyle w:val="BookText"/>
        <w:rPr/>
      </w:pPr>
      <w:r>
        <w:rPr>
          <w:rFonts w:ascii="IRNazanin" w:hAnsi="IRNazanin" w:eastAsia="IRNazanin"/>
          <w:color w:val="111111"/>
          <w:sz w:val="28"/>
          <w:sz w:val="28"/>
          <w:szCs w:val="28"/>
          <w:rtl w:val="true"/>
          <w:lang w:bidi="fa-IR"/>
        </w:rPr>
        <w:t>باق علی الدوام،و لا یتغیّر فی أیّ زمان،و فی جمیع الظروف حتّی لو تغیّر الموضوع أیضا،و علی هذا الاحتمال فتأثیر الزمان و المکان یتنافی بوضوح مع مدلول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هذا الاحتمال یواجه إشکالا من 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یوجد ثمّة إطلاق فی الروایة علی أنّ کلّ موضوع یبقی مع حکمه الأوّلی فی جمیع الشرائط،و مع جمیع التغیّرات التی تحدث للموضوع، 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لا نشاهد أیّ إطلاق بالنسبة إلی الموضوع علی مستوی التغیّرات الزمانیّة و المکانیّة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هذا الاحتمال لا ینسجم مع سیرة المعصومین علیهم السّلام؛لأنّهم قد عملوا علی تغییر الأحکام الصادرة من النبیّ الأکرم صلّی اللّه علیه و اله،مع تغیّر الشرائط و الظروف،کما هو الحال فی عمل أمیر المؤمنین علیه السّلام فی مسألة الزکاة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الاحتمال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البعض فی تفسیر الروایة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المفاهیم الکلّیة و العامّة مثل البیع و التجارة فی معناهما الواسع،سوف تبقی دائما و لا تمسّها ید التغییر،فما کان حلالا فی عصر النبیّ صلّی اللّه علیه و اله سوف یبقی حلالا إلی یوم القیامة،رغم أنّ مصادیقها قد تتغیّر بفعل تقدّم المجتمع و تطوّر الحضارة البشریة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التفسیر بدوره لا ینسجم مع ظاهر الروایة؛لأنّه</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أخذ بعین الاعتبار فی الروایة هی مسألة بقاء الحکم الشرعیّ،</w:t>
      </w:r>
      <w:bookmarkStart w:id="514" w:name="pg5439_46921"/>
    </w:p>
    <w:p>
      <w:pPr>
        <w:pStyle w:val="BookText"/>
        <w:rPr/>
      </w:pPr>
      <w:bookmarkEnd w:id="514"/>
      <w:r>
        <w:rPr>
          <w:rFonts w:ascii="IRNazanin" w:hAnsi="IRNazanin" w:eastAsia="IRNazanin"/>
          <w:color w:val="111111"/>
          <w:sz w:val="28"/>
          <w:sz w:val="28"/>
          <w:szCs w:val="28"/>
          <w:rtl w:val="true"/>
          <w:lang w:bidi="fa-IR"/>
        </w:rPr>
        <w:t>و لا دلالة مطابقیّة للروایة علی المفاهیم و الموضوعات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تغییر المفاهیم الکلّیة و عدم تغییرها لا یرتبط بالشارع و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 البعض أنّ کلّ مفهوم یدلّ علی معنی خاصّ فی زمان دون زمان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یکون تغییر المفاهیم،و تبدیلها إلی معان أخر مع مرور الزمان من الامور الواضحة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الاحتمال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المراد من هذه الروایة أنّ کلّ حکم صدر بیانه من الشارع المقدّس کان له فی زمن الورود متعلّق و موضوع خاصّ،کما أنّه یتمتّع بقیود و شرائط خاصّة،فذلک الحکم یبقی علی قوّته ما دامت قیود الموضوع و شرائطه باقیة لم تتغیّر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الشارع المقدّس لا یتمکّن بما هو شارع أن یتصدّی لمنع حدوث التغیّر و التبدّل فی الموضوعات،أو المتعلّقات،أو قیودهما، و لکنّه فی صورة عدم التغییر،فالحکم الصادر من الشارع یبقی علی قوّته و فاعلیّته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الاحتمال یتطابق مع ظاهر الروایة،و لا یتنافی إطلاقا مع مسألة تأثیر الزمان و المکان؛لأنّ هذه المسألة داخلة نوعا فی دائرة الموضوعات و المتعلّقات،فمع تغیّرها یتغیّر الحکم،و ما تذکره الروایة هو بقاء الأحکام مع حفظ الموضوعات و المتعلّقات و قیودهما</w:t>
      </w:r>
      <w:r>
        <w:rPr>
          <w:rFonts w:eastAsia="IRNazanin" w:cs="IRNazanin"/>
          <w:color w:val="111111"/>
          <w:sz w:val="28"/>
          <w:szCs w:val="28"/>
          <w:rtl w:val="true"/>
          <w:lang w:bidi="fa-IR"/>
        </w:rPr>
        <w:t>.</w:t>
      </w:r>
    </w:p>
    <w:p>
      <w:pPr>
        <w:pStyle w:val="Heading5"/>
        <w:numPr>
          <w:ilvl w:val="4"/>
          <w:numId w:val="1"/>
        </w:numPr>
        <w:rPr/>
      </w:pPr>
      <w:bookmarkStart w:id="515" w:name="__RefHeading___Toc1856218_581953129"/>
      <w:bookmarkStart w:id="516" w:name="_Toc194"/>
      <w:bookmarkEnd w:id="515"/>
      <w:r>
        <w:rPr/>
        <w:t>2</w:t>
      </w:r>
      <w:r>
        <w:rPr>
          <w:rtl w:val="true"/>
        </w:rPr>
        <w:t>-«</w:t>
      </w:r>
      <w:r>
        <w:rPr>
          <w:rtl w:val="true"/>
        </w:rPr>
        <w:t>إنّ للّه فی کلّ واقعة حکما</w:t>
      </w:r>
      <w:r>
        <w:rPr>
          <w:rtl w:val="true"/>
        </w:rPr>
        <w:t>»</w:t>
      </w:r>
      <w:bookmarkEnd w:id="516"/>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ورد فی روایات الأئمّة المعصومین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واقعة حکما</w:t>
      </w:r>
      <w:r>
        <w:rPr>
          <w:rFonts w:eastAsia="IRNazanin" w:cs="IRNazanin"/>
          <w:color w:val="111111"/>
          <w:sz w:val="28"/>
          <w:szCs w:val="28"/>
          <w:rtl w:val="true"/>
          <w:lang w:bidi="fa-IR"/>
        </w:rPr>
        <w:t xml:space="preserve">... </w:t>
      </w:r>
      <w:r>
        <w:rPr>
          <w:rStyle w:val="FootnoteAnchor"/>
          <w:rtl w:val="true"/>
        </w:rPr>
        <w:footnoteReference w:id="633"/>
      </w:r>
      <w:r>
        <w:rPr>
          <w:rFonts w:ascii="IRNazanin" w:hAnsi="IRNazanin" w:eastAsia="IRNazanin"/>
          <w:color w:val="111111"/>
          <w:sz w:val="28"/>
          <w:sz w:val="28"/>
          <w:szCs w:val="28"/>
          <w:rtl w:val="true"/>
          <w:lang w:bidi="fa-IR"/>
        </w:rPr>
        <w:t xml:space="preserve">،بل تواترت عنهم علیهم السّلام أنّ عندهم صحیفة بإملاء رسول اللّه صلّی اللّه علیه و اله و خطّ علیّ علیه السّلام،فیها أحکام جمیع الأشیاء حتّی أرش الخدش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ألیس لمثل هذه الروایات ظهور فی لغویّة تأثیر الزمان و المکان،و بطلانه؟</w:t>
      </w:r>
    </w:p>
    <w:p>
      <w:pPr>
        <w:pStyle w:val="BookText"/>
        <w:rPr/>
      </w:pPr>
      <w:r>
        <w:rPr>
          <w:rFonts w:ascii="IRNazanin" w:hAnsi="IRNazanin" w:eastAsia="IRNazanin"/>
          <w:color w:val="111111"/>
          <w:sz w:val="28"/>
          <w:sz w:val="28"/>
          <w:szCs w:val="28"/>
          <w:rtl w:val="true"/>
          <w:lang w:bidi="fa-IR"/>
        </w:rPr>
        <w:t>و نحن بصدد بیان ارتباط تأثیر الزمان و المکان مع هذا النوع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دقّقنا النظر فی عنوان الموضوع،فسیتبیّن لنا أنّ وجود مثل هذه الروایات لا یستتبع لغویّة تأثیر الزمان و المکان؛لأنّ هذا العامل یؤدّی إلی إیجاد موضوعات جدیدة،أو تغییر الموضوعات السابقة،أو اختلاف الفهم و الدرک الأعمق للمفاهیم الشرعیّة،و من وظائف الفقیه العالم بأمور زمانه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یدرک أنّ هذا الموضوع الجدید تحت أیّ عنوان و حکم شرعیّ یدخل،و مصداق أیّ واحد من الموضوعات التی تمّ بیان حکمها من قبل الشارع بنحو عامّ،أو بنحو خاصّ؟</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الفقیه یعلم إجمالا أنّه لا یوجد موضوع لیس له فی الشریعة حکم فعلیّ و لو بنحو ظاهریّ،و حتّی فی الموارد التی ادّعی عدم وجود حکم لها فی الشریعة،فهو ناشئ من عدم الفحص الکامل فی المتون الدینیّة،أو عدم التدبّر فیها،و إلاّ یمکن القول بأنّه مع وجود کلّ هذه الروایات،و ما ورد فی القرآن الکریم،و الأدلّة الأخری قد ذکرت أحکام جمیع الموضوعات و لو علی مستوی الحکم الظاهری؛و بیان هذا الحکم إمّا من خلال بیان العامّ،أو بطریق خاصّ،أو من خلال بیان الملاکات و العلل و المصالح و المفاسد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هذا فالمهمّ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یقوم الفقیه بتشخیص الموضوع الحادث و الجدید لیری أنّه یدخل تحت أیّ عنوان من العناوین التی لها حکم شرعی،و علی فرض صلاحیّة دخوله تحت عدّة عناوین،علیه أن یتحرّک علی مستوی البحث فی تعارض الأدلّة،و ترجیح أحدها علی الآخر،و من هنا تتّضح ضرورة هذه الملاحظة،و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الفقهاء العظام ینبغی علیهم التدبّر،و التدقیق أکثر فی عناوین موضوعات الأحکام،و فی سعتها،و ضیقها،و شرائطها،و قیودها</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مقابل هذا النوع من الروایات،تدلّ بعض الروایات علی أنّ الشارع</w:t>
      </w:r>
    </w:p>
    <w:p>
      <w:pPr>
        <w:pStyle w:val="BookText"/>
        <w:rPr/>
      </w:pPr>
      <w:r>
        <w:rPr>
          <w:rFonts w:ascii="IRNazanin" w:hAnsi="IRNazanin" w:eastAsia="IRNazanin"/>
          <w:color w:val="111111"/>
          <w:sz w:val="28"/>
          <w:sz w:val="28"/>
          <w:szCs w:val="28"/>
          <w:rtl w:val="true"/>
          <w:lang w:bidi="fa-IR"/>
        </w:rPr>
        <w:t>المقدّس لم یبیّن الحکم الشرعیّ لبعض الموضوعات عمدا،من قبیل ما ورد أنّه 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سکت عن أشیاء لم یسکت عنها نسیانا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الجدیر بالذکر أنّ المراد من سکوت الشارع،هو السکوت من الحکم الواقعی الفعلی،و إلاّ فالحکم الظاهری موجود فی کلّ 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یمکن القول بأنّ من خصائص الفقه الشیعی وجود نوعین من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واقعیّ،و ظاهریّ،و یتمّ حلّ الکثیر من المشاکل الفقهیّة علی ضوء القواعد التی تنتج حکما ظاهریّا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الکثیر من القواعد الاصولیّة یمکن استفادة الحکم الظاهری منها،و قد ثبت فی محلّه أنّه لیس من اللازم للفقیه إدراک الحکم الواقعی لکلّ مورد،بل لو أنّه توصّل إلی أیّ حکم شرعیّ بهذه الأدوات و الأدلّة،فذلک الحکم یکون هو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أجل تکمیل هذا المطلب ینبغی التنبیه علی أمر،و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یستفاد من روایات الأئمّة المعصومین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تمّت الإشارة إلی بعضها آنفا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جامعیّة الدّین الإسلامی و کونه دینا کاملا أمر مسلّم و لا یقبل الإنکار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أنّنا بإمکاننا القول بتلازم هذه المسألة مع الخاتمیّة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هناک ملازمة بدیهیّة و واضحة بین خاتمیّة الدّین و جامعیّته، و من الواضح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من الجامعیّة لیس ما کان محدودا فی إطار أصول الدّین و الشریعة،بل یستفاد من الروایات شمولیّة الدّین لجمیع الأبعاد؛سواء فی الاصول أو فی الفروع،فی الأحکام،أو فی الأخلاق</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أورد الشیخ الکلینی قدّس سرّه فی أصول الکافی،باب الردّ إلی کتاب اللّه و سنّته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شیء فی کتاب اللّه و سنّة نبیّه صلّی اللّه علیه و اله </w:t>
      </w:r>
      <w:r>
        <w:rPr>
          <w:rStyle w:val="FootnoteAnchor"/>
          <w:rtl w:val="true"/>
        </w:rPr>
        <w:footnoteReference w:id="636"/>
      </w:r>
      <w:r>
        <w:rPr>
          <w:rFonts w:ascii="Amiri" w:hAnsi="Amiri" w:eastAsia="Amiri" w:cs="Amiri"/>
          <w:color w:val="111111"/>
          <w:sz w:val="28"/>
          <w:sz w:val="28"/>
          <w:szCs w:val="28"/>
          <w:rtl w:val="true"/>
          <w:lang w:bidi="ar-SA"/>
        </w:rPr>
        <w:t>أی أنّ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نبیّه</w:t>
      </w:r>
      <w:bookmarkStart w:id="517" w:name="pg5439_46924"/>
    </w:p>
    <w:p>
      <w:pPr>
        <w:pStyle w:val="BookText"/>
        <w:rPr/>
      </w:pPr>
      <w:bookmarkEnd w:id="517"/>
      <w:r>
        <w:rPr>
          <w:rFonts w:ascii="IRNazanin" w:hAnsi="IRNazanin" w:eastAsia="IRNazanin"/>
          <w:color w:val="111111"/>
          <w:sz w:val="28"/>
          <w:sz w:val="28"/>
          <w:szCs w:val="28"/>
          <w:rtl w:val="true"/>
          <w:lang w:bidi="fa-IR"/>
        </w:rPr>
        <w:t>الکریم صلّی اللّه علیه و اله ذکرا أحکاما لجمیع الامور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أخری ینقل حمّاد،عن الإمام الصادق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من شیء إلاّ و فیه کتاب أو سنّة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8" w:name="__RefHeading___Toc1856220_581953129"/>
      <w:bookmarkStart w:id="519" w:name="_Toc195"/>
      <w:bookmarkEnd w:id="518"/>
      <w:r>
        <w:rPr>
          <w:rtl w:val="true"/>
        </w:rPr>
        <w:t>ب</w:t>
      </w:r>
      <w:r>
        <w:rPr>
          <w:rtl w:val="true"/>
        </w:rPr>
        <w:t>)</w:t>
      </w:r>
      <w:r>
        <w:rPr>
          <w:rtl w:val="true"/>
        </w:rPr>
        <w:t>شبهات حول الفقه</w:t>
      </w:r>
      <w:bookmarkEnd w:id="519"/>
    </w:p>
    <w:p>
      <w:pPr>
        <w:pStyle w:val="Heading5"/>
        <w:numPr>
          <w:ilvl w:val="4"/>
          <w:numId w:val="1"/>
        </w:numPr>
        <w:rPr/>
      </w:pPr>
      <w:bookmarkStart w:id="520" w:name="__RefHeading___Toc1856222_581953129"/>
      <w:bookmarkStart w:id="521" w:name="_Toc196"/>
      <w:bookmarkEnd w:id="520"/>
      <w:r>
        <w:rPr/>
        <w:t>1</w:t>
      </w:r>
      <w:r>
        <w:rPr>
          <w:rtl w:val="true"/>
        </w:rPr>
        <w:t>-</w:t>
      </w:r>
      <w:r>
        <w:rPr>
          <w:rtl w:val="true"/>
        </w:rPr>
        <w:t>الزمان و المکان،و استلزام فقه جدید</w:t>
      </w:r>
      <w:bookmarkEnd w:id="521"/>
    </w:p>
    <w:p>
      <w:pPr>
        <w:pStyle w:val="BookText"/>
        <w:rPr/>
      </w:pPr>
      <w:r>
        <w:rPr>
          <w:rFonts w:ascii="IRNazanin" w:hAnsi="IRNazanin" w:eastAsia="IRNazanin"/>
          <w:color w:val="111111"/>
          <w:sz w:val="28"/>
          <w:sz w:val="28"/>
          <w:szCs w:val="28"/>
          <w:rtl w:val="true"/>
          <w:lang w:bidi="fa-IR"/>
        </w:rPr>
        <w:t>یتّضح ممّا تقدّم أنّ مسألة تأثیر الزمان و المکان لا تستلزم فقها جدیدا إطلاقا، فما توهّم البعض من أنّ مسألة الزمان و المکان تستلزم تأسیس فقه جدید،بعید عن الدقّة و التأمّل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أن نری ما المقصود بالفقه الجدید؟</w:t>
      </w:r>
    </w:p>
    <w:p>
      <w:pPr>
        <w:pStyle w:val="BookText"/>
        <w:rPr/>
      </w:pPr>
      <w:r>
        <w:rPr>
          <w:rFonts w:ascii="IRNazanin" w:hAnsi="IRNazanin" w:eastAsia="IRNazanin"/>
          <w:color w:val="111111"/>
          <w:sz w:val="28"/>
          <w:sz w:val="28"/>
          <w:szCs w:val="28"/>
          <w:rtl w:val="true"/>
          <w:lang w:bidi="fa-IR"/>
        </w:rPr>
        <w:t>فإذا کان المراد من الفقه الجدید،الإتیان بأدلّة جدیدة إلی جانب الأدلّة الأربعة،و استنباط الأحکام الشرعیّة وفقا لها،فرغم أنّ هذا المطلب باطل فی نفسه،و لکن تأثیر الزمان و المکان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حیث کونه مؤثّرا فی تغیّر الموضوعات، و إیجاد موضوعات جدیدة،أو کونه مؤثّرا فی اختلاف الفهم و الاستنباط من الأدلّة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بمعنی أنّه بنفسه دلیل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المراد من الفقه الجدید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هناک موضوعات و فروعات جدیدة لا بدّ من بیان الحکم الشرعیّ لها،فهو مطلب صحیح جدّا و لا غبار علیه،و أساسا فإنّ تکامل الفقه الشیعی یکمن فی قدرته علی الإجابة علی هذه المسائل و الفروعات الجدیدة</w:t>
      </w:r>
      <w:r>
        <w:rPr>
          <w:rFonts w:eastAsia="IRNazanin" w:cs="IRNazanin"/>
          <w:color w:val="111111"/>
          <w:sz w:val="28"/>
          <w:szCs w:val="28"/>
          <w:rtl w:val="true"/>
          <w:lang w:bidi="fa-IR"/>
        </w:rPr>
        <w:t>.</w:t>
      </w:r>
    </w:p>
    <w:p>
      <w:pPr>
        <w:pStyle w:val="Heading5"/>
        <w:numPr>
          <w:ilvl w:val="4"/>
          <w:numId w:val="1"/>
        </w:numPr>
        <w:rPr/>
      </w:pPr>
      <w:bookmarkStart w:id="522" w:name="__RefHeading___Toc1856224_581953129"/>
      <w:bookmarkStart w:id="523" w:name="_Toc197"/>
      <w:bookmarkEnd w:id="522"/>
      <w:r>
        <w:rPr/>
        <w:t>2</w:t>
      </w:r>
      <w:r>
        <w:rPr>
          <w:rtl w:val="true"/>
        </w:rPr>
        <w:t>-</w:t>
      </w:r>
      <w:r>
        <w:rPr>
          <w:rtl w:val="true"/>
        </w:rPr>
        <w:t>الزمان و المکان هما السبیل الوحید لحلّ مشکلات الفقه</w:t>
      </w:r>
      <w:bookmarkEnd w:id="523"/>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تصوّر البعض بأنّ تأثیر الزمان و المکان هو السبیل الوحید لعلاج المشاکل الفقهیّة و ملأ الفراغات فی الشریعة،فقالوا فی هذا الصدد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هذا الزمان تغیّرت</w:t>
      </w:r>
      <w:bookmarkStart w:id="524" w:name="pg5439_46925"/>
    </w:p>
    <w:p>
      <w:pPr>
        <w:pStyle w:val="BookText"/>
        <w:rPr/>
      </w:pPr>
      <w:bookmarkEnd w:id="524"/>
      <w:r>
        <w:rPr>
          <w:rFonts w:ascii="IRNazanin" w:hAnsi="IRNazanin" w:eastAsia="IRNazanin"/>
          <w:color w:val="111111"/>
          <w:sz w:val="28"/>
          <w:sz w:val="28"/>
          <w:szCs w:val="28"/>
          <w:rtl w:val="true"/>
          <w:lang w:bidi="fa-IR"/>
        </w:rPr>
        <w:t xml:space="preserve">و تطوّرت الظواهر فی جمیع الأبعاد و الصعد،یمکن القول بأنّها الوسیلة الوحیدة لحلّ المشکلات،و ملأ الفراغات،و إزالة العوائق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المطلب و إن کان فی الوهلة الأولی صحیحا ظاهرا،و لکن عدم الإحاطة العلمیّة،و عدم القدرة علی حلّ المشکلات الفقهیّة هو الذی دعی لبیان ذلک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نظرنا أنّ هناک الکثیر من المطالب الفقهیّة فی بطون کتب القدماء،و فی المنابع الفقهیّة لم تتّضح أبعادها لحدّ الآن،فلو تمّ استخراجها و الإحاطة الکاملة بجمیع حقائق و معارف الفقه أمکن حلّ بعض المشکلات التی لا ترتبط بتغیّر الزمان و المکان من قریب أو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یجدر بنا ذکر هذه النقطة؛و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الکثیر من القواعد الفقهیّة کامنة فی طیّات المسائل الفقهیّة،بحیث لم تنقّح من حیث دلالتها و حدودها لحدّ الآن،و من الممکن حلّ مشکلات عدّة من خلال تنقیحها و تبیینها</w:t>
      </w:r>
      <w:r>
        <w:rPr>
          <w:rFonts w:eastAsia="IRNazanin" w:cs="IRNazanin"/>
          <w:color w:val="111111"/>
          <w:sz w:val="28"/>
          <w:szCs w:val="28"/>
          <w:rtl w:val="true"/>
          <w:lang w:bidi="fa-IR"/>
        </w:rPr>
        <w:t>.</w:t>
      </w:r>
    </w:p>
    <w:p>
      <w:pPr>
        <w:pStyle w:val="Heading5"/>
        <w:numPr>
          <w:ilvl w:val="4"/>
          <w:numId w:val="1"/>
        </w:numPr>
        <w:rPr/>
      </w:pPr>
      <w:bookmarkStart w:id="525" w:name="__RefHeading___Toc1856226_581953129"/>
      <w:bookmarkStart w:id="526" w:name="_Toc198"/>
      <w:bookmarkEnd w:id="525"/>
      <w:r>
        <w:rPr/>
        <w:t>3</w:t>
      </w:r>
      <w:r>
        <w:rPr>
          <w:rtl w:val="true"/>
        </w:rPr>
        <w:t>-</w:t>
      </w:r>
      <w:r>
        <w:rPr>
          <w:rtl w:val="true"/>
        </w:rPr>
        <w:t>الزمان و المکان،و استلزام قبول فقه أهل السنّة</w:t>
      </w:r>
      <w:bookmarkEnd w:id="526"/>
    </w:p>
    <w:p>
      <w:pPr>
        <w:pStyle w:val="BookText"/>
        <w:rPr/>
      </w:pPr>
      <w:r>
        <w:rPr>
          <w:rFonts w:ascii="IRNazanin" w:hAnsi="IRNazanin" w:eastAsia="IRNazanin"/>
          <w:color w:val="111111"/>
          <w:sz w:val="28"/>
          <w:sz w:val="28"/>
          <w:szCs w:val="28"/>
          <w:rtl w:val="true"/>
          <w:lang w:bidi="fa-IR"/>
        </w:rPr>
        <w:t>بعد أن تبیّن أنّ تأثیر الزمان و المکان هو أمر مسلّم فی الفقه الشیعی،لا بدّ من الانتباه إلی هذه النقطة؛و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هناک تفاوت کبیر و بون شاسع بین هذا المنهج، و ما علیه أهل السنّة فی مسألة تأثیر الزمان و المکان فی تغییر الأحکام و الفتاوی</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فقهاء أهل السنّة،و طبقا لاجتهادهم القیاسی و الاستصلاحی </w:t>
      </w:r>
      <w:r>
        <w:rPr>
          <w:rStyle w:val="FootnoteAnchor"/>
          <w:rtl w:val="true"/>
        </w:rPr>
        <w:footnoteReference w:id="6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من طریق القیاس،أو الرأی الشخصی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یبیّنون حکما شرعیّا مطابقا لمقتضیات الزمان و المکان،و بالطبع فإنّ هذا الحکم،و هذا الاجتهاد سیتغیّر وفق تغیّر الظروف الزمانیّة و المکانیّة،و أمّا فی نظر علماء الشیعة،فالاجتهاد أساسا هو استنباط</w:t>
      </w:r>
    </w:p>
    <w:p>
      <w:pPr>
        <w:pStyle w:val="BookText"/>
        <w:rPr/>
      </w:pPr>
      <w:r>
        <w:rPr>
          <w:rFonts w:ascii="IRNazanin" w:hAnsi="IRNazanin" w:eastAsia="IRNazanin"/>
          <w:color w:val="111111"/>
          <w:sz w:val="28"/>
          <w:sz w:val="28"/>
          <w:szCs w:val="28"/>
          <w:rtl w:val="true"/>
          <w:lang w:bidi="fa-IR"/>
        </w:rPr>
        <w:t>الأحکام الشرعیّة من أدلّتها،و لیس هناک قیاس و رأی شخصی فی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فیمکن القول بأنّ فقهاء أهل السنّة یرون أنّ عامل الزمان و المکان مؤثّر فی الاجتهاد نفسه،و فی الأحکام الشرعیّة 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فقهاء الشیعة،فیرونه مؤثّرا فی موضوعات و متعلّقات الأحکام،و لم یرون له تأثیرا فی أدلّة الأحکام،أو الأحکام 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الأساس یخطیء کثیرا من یری و یتحرّک فی عملیّة التقریب بین هذین المذهبین،و بناء علی هذا فإنّ الزمان و المکان و إن کانا من الامور المهمّة جدّا فی الفقه الشیعی،و لکن لا توجد أیّة نقطة اشتراک بینه،و بین فقه أهل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ینبغی تحذیر الفقهاء الحقیقیّین،الحارقین الأکباد،و الخائفین من مغبّة الإفراط فی فهم تأثیر الزمان و المکان،و إلاّ سینزل ذلک البلاء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حلّ بالفقه السنّی و أدّی إلی تلاشیه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بالفقه الشیعی أیضا؛بحیث یصل الأمر بهم إلی ترجیح المصلحة حتّی علی النصّ؛من قبیل ما ذکره نجم الدّین أبی الربیع الطوفی فی شرحه 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ضرر و لا ضرار </w:t>
      </w:r>
      <w:r>
        <w:rPr>
          <w:rStyle w:val="FootnoteAnchor"/>
          <w:rtl w:val="true"/>
        </w:rPr>
        <w:footnoteReference w:id="640"/>
      </w:r>
      <w:r>
        <w:rPr>
          <w:rFonts w:ascii="IRNazanin" w:hAnsi="IRNazanin" w:eastAsia="IRNazanin"/>
          <w:color w:val="111111"/>
          <w:sz w:val="28"/>
          <w:sz w:val="28"/>
          <w:szCs w:val="28"/>
          <w:rtl w:val="true"/>
          <w:lang w:bidi="fa-IR"/>
        </w:rPr>
        <w:t>فی رسالة المصالح المرسلة عند تعارض المصلحة مع النصّ،قال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یجب تقدیم المصلحة علی ما فیه نصّ من باب التخصیص،أو تبیین الواجب؛ یعنی أنّ الحکم المنصوص واجب الاتباع،إلاّ فی وقت تقوم المصلحة علی خلافه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فهم البعض </w:t>
      </w:r>
      <w:r>
        <w:rPr>
          <w:rStyle w:val="FootnoteAnchor"/>
          <w:rtl w:val="true"/>
        </w:rPr>
        <w:footnoteReference w:id="642"/>
      </w:r>
      <w:r>
        <w:rPr>
          <w:rFonts w:ascii="IRNazanin" w:hAnsi="IRNazanin" w:eastAsia="IRNazanin"/>
          <w:color w:val="111111"/>
          <w:sz w:val="28"/>
          <w:sz w:val="28"/>
          <w:szCs w:val="28"/>
          <w:rtl w:val="true"/>
          <w:lang w:bidi="fa-IR"/>
        </w:rPr>
        <w:t>هذا المعنی من عبارة الشهید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القواعد و الفوائد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قاعدة العرف و العادة،حیث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یجوز تغییر الأحکام بتغیّر العادات،کما فی النقود المتعاورة،و الأوزان المتداولة،و نفقات الزوجات و الأقارب،و الاختلاف بعد الدخول فی قبض الصداق،فالمرویّ تقدیم قول الزوج </w:t>
      </w:r>
      <w:r>
        <w:rPr>
          <w:rStyle w:val="FootnoteAnchor"/>
          <w:rtl w:val="true"/>
        </w:rPr>
        <w:footnoteReference w:id="643"/>
      </w:r>
      <w:r>
        <w:rPr>
          <w:rFonts w:ascii="IRNazanin" w:hAnsi="IRNazanin" w:eastAsia="IRNazanin"/>
          <w:color w:val="111111"/>
          <w:sz w:val="28"/>
          <w:sz w:val="28"/>
          <w:szCs w:val="28"/>
          <w:rtl w:val="true"/>
          <w:lang w:bidi="fa-IR"/>
        </w:rPr>
        <w:t xml:space="preserve">،عملا بما کان علیه السلف من تقدیم المهر علی الدخول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فهموا من ذلک أنّ الشهید قدّس سرّه یری تقدّم العرف علی الروایة المنقولة أحیانا،ففی الأزمنة السالفة کان المتداول فی عرف الناس أنّ الصداق یدفع للزوجة قبل الدخول،و مقام الاختلاف فی دفع الصداق،و عدمه إنّما یتمّ وفق ذلک العرف، فیکون قول الزوج هو المقدّم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فی هذا الزمان حیث لا توجد مثل هذه العادة فی العرف،فیکون قول المرأة هو المقدّم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فی نظرنا أنّ هذا الفهم غیر صحیح؛لأنّه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مسألة تغیّر العرف، و العمل علی وفقه لیس بمعنی تقدیم العرف علی الروایة المنقولة؛لأنّ التقدیم إنّما یکون علی فرض أنّ الروایة المنقولة ذکرت الحکم بالنسبة إلی جمیع الأعصار و الأزمنة،و لکن إذا استفاد أحد الفقهاء من خلال القرائن أنّ الروایة حکمت وفق العرف الموجود فی ذلک الزمان،و لکن یجب العمل فی عرف آخر بما یطابق ذلک العرف،فلا یدخل هذا المعنی فی باب تقدیم العرف علی الروایة</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بالرغم من أنّ هذا الرسم العرفی قد زال فی هذا العصر؛و هو أن یقوم الزوج بدفع الصداق قبل الدخول،و لکن لما ذا صار هذا الأمر العدمی سببا لتقدیم قول المرأة؟</w:t>
      </w:r>
      <w:bookmarkStart w:id="527" w:name="pg5439_46928"/>
    </w:p>
    <w:p>
      <w:pPr>
        <w:pStyle w:val="BookText"/>
        <w:rPr/>
      </w:pPr>
      <w:bookmarkEnd w:id="527"/>
      <w:r>
        <w:rPr>
          <w:rFonts w:ascii="IRNazanin" w:hAnsi="IRNazanin" w:eastAsia="IRNazanin"/>
          <w:color w:val="111111"/>
          <w:sz w:val="28"/>
          <w:sz w:val="28"/>
          <w:szCs w:val="28"/>
          <w:rtl w:val="true"/>
          <w:lang w:bidi="fa-IR"/>
        </w:rPr>
        <w:t>و بعبارة أدقّ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العرف الموجود فی زمن المعصوم علیه السّلام قائما علی أساس أمر إثباتیّ؛و هو تقدیم قول الزوج،و لکنّ الأمر العدمی کیف یمکنه أن یکون شاهدا علی قول المرأة؟</w:t>
      </w:r>
    </w:p>
    <w:p>
      <w:pPr>
        <w:pStyle w:val="BookText"/>
        <w:rPr/>
      </w:pPr>
      <w:r>
        <w:rPr>
          <w:rFonts w:ascii="IRNazanin" w:hAnsi="IRNazanin" w:eastAsia="IRNazanin"/>
          <w:color w:val="111111"/>
          <w:sz w:val="28"/>
          <w:sz w:val="28"/>
          <w:szCs w:val="28"/>
          <w:rtl w:val="true"/>
          <w:lang w:bidi="fa-IR"/>
        </w:rPr>
        <w:t>و ممّا تقدّم یتّضح أنّ هذه المسألة لا تختصّ بالولیّ الفقیه المتصدّی للحکومة، بل مؤثّرة فی اجتهاد کلّ مجتهد و إن کان ابتلاء الولیّ المتصدّی بهذه المسألة أکثر بکثیر من ابتلاء المجتهد غیر المتصدّی</w:t>
      </w:r>
      <w:r>
        <w:rPr>
          <w:rFonts w:eastAsia="IRNazanin" w:cs="IRNazanin"/>
          <w:color w:val="111111"/>
          <w:sz w:val="28"/>
          <w:szCs w:val="28"/>
          <w:rtl w:val="true"/>
          <w:lang w:bidi="fa-IR"/>
        </w:rPr>
        <w:t>.</w:t>
      </w:r>
    </w:p>
    <w:p>
      <w:pPr>
        <w:pStyle w:val="Heading4"/>
        <w:numPr>
          <w:ilvl w:val="3"/>
          <w:numId w:val="1"/>
        </w:numPr>
        <w:rPr/>
      </w:pPr>
      <w:bookmarkStart w:id="528" w:name="__RefHeading___Toc1856228_581953129"/>
      <w:bookmarkStart w:id="529" w:name="_Toc199"/>
      <w:bookmarkEnd w:id="528"/>
      <w:r>
        <w:rPr>
          <w:rtl w:val="true"/>
        </w:rPr>
        <w:t>ج</w:t>
      </w:r>
      <w:r>
        <w:rPr>
          <w:rtl w:val="true"/>
        </w:rPr>
        <w:t>)</w:t>
      </w:r>
      <w:r>
        <w:rPr>
          <w:rtl w:val="true"/>
        </w:rPr>
        <w:t>الزمان و المکان،و البدعة</w:t>
      </w:r>
      <w:bookmarkEnd w:id="529"/>
    </w:p>
    <w:p>
      <w:pPr>
        <w:pStyle w:val="BookText"/>
        <w:rPr/>
      </w:pPr>
      <w:r>
        <w:rPr>
          <w:rFonts w:ascii="IRNazanin" w:hAnsi="IRNazanin" w:eastAsia="IRNazanin"/>
          <w:color w:val="111111"/>
          <w:sz w:val="28"/>
          <w:sz w:val="28"/>
          <w:szCs w:val="28"/>
          <w:rtl w:val="true"/>
          <w:lang w:bidi="fa-IR"/>
        </w:rPr>
        <w:t>ارتباط تأثیر الزمان و المکان،و مسألة البدعة و التشریع</w:t>
      </w:r>
    </w:p>
    <w:p>
      <w:pPr>
        <w:pStyle w:val="BookText"/>
        <w:rPr/>
      </w:pPr>
      <w:r>
        <w:rPr>
          <w:rFonts w:ascii="IRNazanin" w:hAnsi="IRNazanin" w:eastAsia="IRNazanin"/>
          <w:color w:val="111111"/>
          <w:sz w:val="28"/>
          <w:sz w:val="28"/>
          <w:szCs w:val="28"/>
          <w:rtl w:val="true"/>
          <w:lang w:bidi="fa-IR"/>
        </w:rPr>
        <w:t>فی مسألة البدعة و التشریع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رغم وجود اختلاف فی أنّه هل هناک فرق بین هاتین الکلمتین،کما ذهب إلیه المحقّق النائینی قدّس سرّه </w:t>
      </w:r>
      <w:r>
        <w:rPr>
          <w:rStyle w:val="FootnoteAnchor"/>
          <w:rtl w:val="true"/>
        </w:rPr>
        <w:footnoteReference w:id="645"/>
      </w:r>
      <w:r>
        <w:rPr>
          <w:rFonts w:ascii="IRNazanin" w:hAnsi="IRNazanin" w:eastAsia="IRNazanin"/>
          <w:color w:val="111111"/>
          <w:sz w:val="28"/>
          <w:sz w:val="28"/>
          <w:szCs w:val="28"/>
          <w:rtl w:val="true"/>
          <w:lang w:bidi="fa-IR"/>
        </w:rPr>
        <w:t xml:space="preserve">،أو لا یوجد فرق بینهما،کما هو المشهور </w:t>
      </w:r>
      <w:r>
        <w:rPr>
          <w:rStyle w:val="FootnoteAnchor"/>
          <w:rtl w:val="true"/>
        </w:rPr>
        <w:footnoteReference w:id="6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مبنیّان مهمّان بین فقهاء العظام،لا دخل لمسألة تأثیر الزمان و المکان فی کلّ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المبنی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البدعة و التشریع بمعنی إدخال ما لیس من الدّین فی الدّین، کما ذکرنا سابقا </w:t>
      </w:r>
      <w:r>
        <w:rPr>
          <w:rStyle w:val="FootnoteAnchor"/>
          <w:rtl w:val="true"/>
        </w:rPr>
        <w:footnoteReference w:id="647"/>
      </w:r>
      <w:r>
        <w:rPr>
          <w:rFonts w:ascii="IRNazanin" w:hAnsi="IRNazanin" w:eastAsia="IRNazanin"/>
          <w:color w:val="111111"/>
          <w:sz w:val="28"/>
          <w:sz w:val="28"/>
          <w:szCs w:val="28"/>
          <w:rtl w:val="true"/>
          <w:lang w:bidi="fa-IR"/>
        </w:rPr>
        <w:t>،و مسألة الزمان و المکان لا ترتبط بهذا المبنی إطلاقا؛سواء من جهة تغیّر الموضوعات و المتعلّقات و قیودهما،أو من جهة اختلاف الاستنباط و فهم الأدلّة الواردة لبیان الأحکام،أو من جهة تحصیل ملاکات و علل الأحکام؛ لأنّه</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الفرض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تأثیر الزمان و المکان فی تغییر الموضوع،أو المتعلّق</w:t>
      </w:r>
      <w:bookmarkStart w:id="530" w:name="pg5439_46929"/>
    </w:p>
    <w:p>
      <w:pPr>
        <w:pStyle w:val="BookText"/>
        <w:rPr/>
      </w:pPr>
      <w:bookmarkEnd w:id="530"/>
      <w:r>
        <w:rPr>
          <w:rFonts w:ascii="IRNazanin" w:hAnsi="IRNazanin" w:eastAsia="IRNazanin"/>
          <w:color w:val="111111"/>
          <w:sz w:val="28"/>
          <w:sz w:val="28"/>
          <w:szCs w:val="28"/>
          <w:rtl w:val="true"/>
          <w:lang w:bidi="fa-IR"/>
        </w:rPr>
        <w:t>أو أحد قیودهما،فمن الواضح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هذه التغیّرات لا ترتبط بالشارع المقدّس،بل إنّ الشارع بما هو شارع لا یتمکّن من التصرّف فی عناوین الموضوعات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الفرض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الفقیه سیکون لدیه فهما أدقّ للأدلّة الشرعیّة بفعل تطوّر العلوم البشریّة،و التأمّل و التدقیق فی الأدلّة الشرعیّة،و معلوم أنّ الفقیه لا یطرح فتواه بعنوان أنّها رأیه الشخصی،بل بعنوان ما فهمه من الدلیل،و کونه مرادا للشارع من خلال ما یستنبطه من المبانی و المبادئ الفقهیّة و الاصولیّة الدقیقة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 القول فی هذه الصورة بأنّه أدخل فی الدّین ما لیس من الدّین، بل ما کان فی الدّین بصورة مبهمة،قام الفقیه بالکشف عنه و بیانه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الفرض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ذکرنا سابقا </w:t>
      </w:r>
      <w:r>
        <w:rPr>
          <w:rStyle w:val="FootnoteAnchor"/>
          <w:rtl w:val="true"/>
        </w:rPr>
        <w:footnoteReference w:id="648"/>
      </w:r>
      <w:r>
        <w:rPr>
          <w:rFonts w:ascii="IRNazanin" w:hAnsi="IRNazanin" w:eastAsia="IRNazanin"/>
          <w:color w:val="111111"/>
          <w:sz w:val="28"/>
          <w:sz w:val="28"/>
          <w:szCs w:val="28"/>
          <w:rtl w:val="true"/>
          <w:lang w:bidi="fa-IR"/>
        </w:rPr>
        <w:t>أنّ فی بعض الأدلّة لم تذکر علّة و ملاک الحکم بصورة صریحة،و لکنّ الفقیه بإمکانه العثور علی العلّة و الملاک من خلال بحثه،و تحقیقه،و تدبّره فی الأدلّة،و الفروعات الفقهیّة،و بهذا یستطیع بیان حکم المسائل الجدیدة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الفقیه فی هذه الصورة یفتی علی أساس ذلک الملاک الموجود فی الشریعة،لا أنّه یدخل فی الدّین ما لیس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المبنی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البدعة و التشریع بمعنی أن یعلم الإنسان بأنّ المفهوم الفلانی لیس من الدّین،و مع ذلک یجعله فی الدّین،و علی هذا أیضا یتّضح مبنی الفروض الثلاثة المذکورة آنفا،فلا یکون أیّ منها مصداقا لهذا المبنی</w:t>
      </w:r>
      <w:r>
        <w:rPr>
          <w:rFonts w:eastAsia="IRNazanin" w:cs="IRNazanin"/>
          <w:color w:val="111111"/>
          <w:sz w:val="28"/>
          <w:szCs w:val="28"/>
          <w:rtl w:val="true"/>
          <w:lang w:bidi="fa-IR"/>
        </w:rPr>
        <w:t>.</w:t>
      </w:r>
    </w:p>
    <w:p>
      <w:pPr>
        <w:pStyle w:val="Heading4"/>
        <w:numPr>
          <w:ilvl w:val="3"/>
          <w:numId w:val="1"/>
        </w:numPr>
        <w:rPr/>
      </w:pPr>
      <w:bookmarkStart w:id="531" w:name="__RefHeading___Toc1856230_581953129"/>
      <w:bookmarkStart w:id="532" w:name="_Toc200"/>
      <w:bookmarkEnd w:id="531"/>
      <w:r>
        <w:rPr>
          <w:rtl w:val="true"/>
        </w:rPr>
        <w:t>د</w:t>
      </w:r>
      <w:r>
        <w:rPr>
          <w:rtl w:val="true"/>
        </w:rPr>
        <w:t>)</w:t>
      </w:r>
      <w:r>
        <w:rPr>
          <w:rtl w:val="true"/>
        </w:rPr>
        <w:t>الزمان و المکان،و المعارضة مع دعوی الإطلاق،أو إجماع فقهاء السلف</w:t>
      </w:r>
      <w:bookmarkEnd w:id="532"/>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الامور المانعة من حرکة الاجتهاد،و عدم فاعلیّته فی حلّ مشکلات</w:t>
      </w:r>
    </w:p>
    <w:p>
      <w:pPr>
        <w:pStyle w:val="BookText"/>
        <w:rPr/>
      </w:pPr>
      <w:r>
        <w:rPr>
          <w:rFonts w:ascii="IRNazanin" w:hAnsi="IRNazanin" w:eastAsia="IRNazanin"/>
          <w:color w:val="111111"/>
          <w:sz w:val="28"/>
          <w:sz w:val="28"/>
          <w:szCs w:val="28"/>
          <w:rtl w:val="true"/>
          <w:lang w:bidi="fa-IR"/>
        </w:rPr>
        <w:t>المجتمع،هو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الفقهاء یتحرّکون فی دراساتهم الفقهیّة من موقع التسلیم المحض، و الانقیاد الکامل لما کان علیه فقهاء السلف من المبانی الاجتهادیّة،مثلا إذا ادّعی الفقهاء الأقدمون الإطلاق بالنسبة إلی أحد الأدلّة،أو أجمعوا علی مسألة معیّنة، فالفقهاء المتأخّرون لا یجدون فی أنفسهم المیل إلی مخالفتهم،و هذه الحالة تمنعهم من استنباط فتوی جدیدة،و فهم جدید من الأدلّة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قبلنا أنّ الشارع المقدّس قد بیّن أحکامه و تعالیمه إلی الناس فی إطار عبارات و ألفاظ تقوم علی أساس المرتکزات العقلائیّة،و ذکرها طبقا لتلک المرتکزات؛فإنّ الکثیر من الفروعات الفقهیّة سوف ترتدی ثوبا جدیدا علی مستوی الحکم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مثلا فی الآیة الشریفة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اللّهُ الْبَیْعَ </w:t>
      </w:r>
      <w:r>
        <w:rPr>
          <w:rStyle w:val="FootnoteAnchor"/>
          <w:rtl w:val="true"/>
        </w:rPr>
        <w:footnoteReference w:id="649"/>
      </w:r>
      <w:r>
        <w:rPr>
          <w:rFonts w:ascii="IRNazanin" w:hAnsi="IRNazanin" w:eastAsia="IRNazanin"/>
          <w:color w:val="111111"/>
          <w:sz w:val="28"/>
          <w:sz w:val="28"/>
          <w:szCs w:val="28"/>
          <w:rtl w:val="true"/>
          <w:lang w:bidi="fa-IR"/>
        </w:rPr>
        <w:t>نری أنّ ارتکاز العقلاء یقوم علی أساس أنّ بیع المکره لغو،و أساسا لا یرونه بیعا،فیمکننا أن ندّعی حینئذ أنّ الآیة الشریفة غیر شاملة لهذا النوع من البیع،و من الخطأ أن نتصوّر أنّ الآیة الشریفة شاملة بإطلاقها بیع المکره،و نتصوّر بأنّ هذا البیع یقع صحیحا،و بذلک تتعارض هذه الآیة مع الروایات الدالّة علی عدم صحّة بیع المکره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ما ورد فی الروایة الشریفة عن عبد اللّه بن مسکان،عن الإمام الصادق علیه السّلام فی رجل قطع رأس المیّت،قال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الدیة؛لأنّ حرمته میّتا کحرمته و هو حیّ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استفاد البعض </w:t>
      </w:r>
      <w:r>
        <w:rPr>
          <w:rStyle w:val="FootnoteAnchor"/>
          <w:rtl w:val="true"/>
        </w:rPr>
        <w:footnoteReference w:id="651"/>
      </w:r>
      <w:r>
        <w:rPr>
          <w:rFonts w:ascii="IRNazanin" w:hAnsi="IRNazanin" w:eastAsia="IRNazanin"/>
          <w:color w:val="111111"/>
          <w:sz w:val="28"/>
          <w:sz w:val="28"/>
          <w:szCs w:val="28"/>
          <w:rtl w:val="true"/>
          <w:lang w:bidi="fa-IR"/>
        </w:rPr>
        <w:t>من التعلیل الوارد فی الروایة الإطلاق و العموم،بحیث</w:t>
      </w:r>
      <w:bookmarkStart w:id="533" w:name="pg5439_46931"/>
    </w:p>
    <w:p>
      <w:pPr>
        <w:pStyle w:val="BookText"/>
        <w:rPr/>
      </w:pPr>
      <w:bookmarkEnd w:id="533"/>
      <w:r>
        <w:rPr>
          <w:rFonts w:ascii="IRNazanin" w:hAnsi="IRNazanin" w:eastAsia="IRNazanin"/>
          <w:color w:val="111111"/>
          <w:sz w:val="28"/>
          <w:sz w:val="28"/>
          <w:szCs w:val="28"/>
          <w:rtl w:val="true"/>
          <w:lang w:bidi="fa-IR"/>
        </w:rPr>
        <w:t>یستوعب فی شموله القبور المندرسة و العظام الرمیمة،فلا یمکن الاستفادة منها فی الطبّ و العلوم البشریّة،و إذا کان تشریح جسد المیّت لغرض أهمّ من الاحترام و الحرمة،من قبیل توقّف حفظ الإنسان الحیّ علیه،أجروا قواعد باب التزاحم فی هذه المسألة؛لأنّ الروایة مطلقة فی مورد احترام المیّت،فی حین أنّ هذا النوع من الإطلاقات علی خلاف المرتکزات العقلائیّة،ففی موارد یکون فیها حفظ بدن الحیّ متوقّفا علی تشریح جسد المیّت،لا یقبل العقلاء بإطلاق دلیل الاحترام، فلا تصل المسألة إلی باب التزاحم حینئذ</w:t>
      </w:r>
      <w:r>
        <w:rPr>
          <w:rFonts w:eastAsia="IRNazanin" w:cs="IRNazanin"/>
          <w:color w:val="111111"/>
          <w:sz w:val="28"/>
          <w:szCs w:val="28"/>
          <w:rtl w:val="true"/>
          <w:lang w:bidi="fa-IR"/>
        </w:rPr>
        <w:t>.</w:t>
      </w:r>
    </w:p>
    <w:p>
      <w:pPr>
        <w:pStyle w:val="Heading4"/>
        <w:numPr>
          <w:ilvl w:val="3"/>
          <w:numId w:val="1"/>
        </w:numPr>
        <w:rPr/>
      </w:pPr>
      <w:bookmarkStart w:id="534" w:name="__RefHeading___Toc1856232_581953129"/>
      <w:bookmarkStart w:id="535" w:name="_Toc201"/>
      <w:bookmarkEnd w:id="534"/>
      <w:r>
        <w:rPr>
          <w:rtl w:val="true"/>
        </w:rPr>
        <w:t>النتیجة</w:t>
      </w:r>
      <w:bookmarkEnd w:id="535"/>
    </w:p>
    <w:p>
      <w:pPr>
        <w:pStyle w:val="BookText"/>
        <w:rPr/>
      </w:pPr>
      <w:r>
        <w:rPr>
          <w:rFonts w:ascii="IRNazanin" w:hAnsi="IRNazanin" w:eastAsia="IRNazanin"/>
          <w:color w:val="111111"/>
          <w:sz w:val="28"/>
          <w:sz w:val="28"/>
          <w:szCs w:val="28"/>
          <w:rtl w:val="true"/>
          <w:lang w:bidi="fa-IR"/>
        </w:rPr>
        <w:t>فی قلیل من التأمّل فی أحکام الشریعة یمکن القول بأنّ الأحکام الشرعیّة تنقسم فی اللحاظ الأوّل إلی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ثابتة،و متغیّرة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 علماء أهل السنّة ذکروا فی هذا المجال أنّ الدّین الإسلامی یقوم علی نوعین من الأحکام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أحکام ثابتة لا یرد فیها الاختلاف،و لا تتغیّر بتغیّر الزمان و المکان، و لا تخضع لبحث الباحثین و اجتهاد المجتهدین؛لأنّها ثابتة من قبل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یقینا،فلا إبهام و لا غموض فی معانیها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أحکام اجتهادیّة نظریّة تتعلّق بالمصالح المتغیّرة بتغیّر الظروف و الأحوال، و ترتبط بفهم الفقیه و استنباطه،فهی متغیّرة بتغیّر الأفهام و العقول،و لا تصل إلی مرتبة الیقین،بل لا تتعدّی الظنّ و الاحتمال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العلاّمة الطباطبائی قدّس سرّه یقول فی هذا المجال</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هناک سلسلة من القوانین تتغیّر بمرور الزمان،و تطوّر الحضارة،و هی القوانین المتعلّقة بالأوضاع و الأحوال الخاصّة،و لکن هناک سلسلة أخری من القوانین</w:t>
      </w:r>
    </w:p>
    <w:p>
      <w:pPr>
        <w:pStyle w:val="BookText"/>
        <w:rPr/>
      </w:pPr>
      <w:r>
        <w:rPr>
          <w:rFonts w:ascii="IRNazanin" w:hAnsi="IRNazanin" w:eastAsia="IRNazanin"/>
          <w:color w:val="111111"/>
          <w:sz w:val="28"/>
          <w:sz w:val="28"/>
          <w:szCs w:val="28"/>
          <w:rtl w:val="true"/>
          <w:lang w:bidi="fa-IR"/>
        </w:rPr>
        <w:t xml:space="preserve">تتعلّق بأصل الإنسانیّة،و تعتبر من المشترکات بین جمیع أفراد البشر،فهی ثابتة لا تتغیّر فی جمیع الأدوار و الظروف،و المحیط الاجتماعی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یقول قدّس سرّه فی مکان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المقرّرات المتغیّرة من اختیارات الحاکم هی فی ظلّ المقرّرات الثابتة، و الأحکام الإلهیّة الواردة فی متن الشریعة هی ثابتة و خالدة،و لا یحقّ حتّی لولیّ الأمر تغییرها حسب المصلحة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هنا یمکننا أن نصل إلی القول بأنّ فی الشریعة الإسلامیّة أحکام ثابتة و غیر قابلة للتغییر إطلاقا؛من قبیل کون نجاسة الدم بعنوانه حکما کلّیا لا یقبل التغییر،فلا یمکننا تحت أیّ ظروف،و فی أیّ زمان إخراجه من دائرة النجاسة، و لکن نفس هذا الحکم الثابت،له فروعات تتغیّر بتغیّر الزمان،و اختلاف الظروف و الأحوال؛من قبیل بیعه و شرائه،أو فی مسألة الزکاة،حیث إنّ وجوب الزکاة هو حکم کلّی و أصل ثابت فی الشریعة،و لکن خصوصیّاته و شرائطه قابلة للتغییر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مسألة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المطلب فی باب العبادات غیر قابل للتفکیک غالبا،أی أنّ هناک أحکام کلّیة فی باب العبادات،مثل وجوب الصلاة،و کذلک جزئیّاتها و خصوصیّاتها غیر قابلة للتغییر،فهی ثابتة فی جمیع الأزمنة و الأمکنة</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بالطبع هناک بعض العبادات قابلة للتغییر بمرور الزمان،مثلا الوارد من الشارع المقدّس فی باب السعی بین الصفا و المروة أصل لزوم السعی بین الصفا و المروة،و وجوب الشروع من الصفا،و لکن من أیّ موضع الصفا تکون البدایة؟ و إلی أیّ موضع من المروة یکون الاختتام؟هل أنّ جبل الصفا فی زمن</w:t>
      </w:r>
    </w:p>
    <w:p>
      <w:pPr>
        <w:pStyle w:val="BookText"/>
        <w:rPr/>
      </w:pPr>
      <w:r>
        <w:rPr>
          <w:rFonts w:ascii="IRNazanin" w:hAnsi="IRNazanin" w:eastAsia="IRNazanin"/>
          <w:color w:val="111111"/>
          <w:sz w:val="28"/>
          <w:sz w:val="28"/>
          <w:szCs w:val="28"/>
          <w:rtl w:val="true"/>
          <w:lang w:bidi="fa-IR"/>
        </w:rPr>
        <w:t>رسول اللّه صلّی اللّه علیه و اله کانت له درجات؟و عند ما کان رسول اللّه صلّی اللّه علیه و اله یسعی ماشیا هل کان یرتقی الدرجة الرابعة؟</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الیوم حیث زالت تلک الدرجات فکیف یکون العمل؟هل یکون کما تصوّر بعض الفقهاء من وجوب الابتداء من الصفا،علی أن یکون عقب قدمه متّصلا بالصفا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 وصوله إلی المروة أن تلمس أصابع قدمه ذلک المکان،أو أنّ ذلک الأصل الکلّی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لزوم السعی من الصفا إلی المروة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قابل للتغییر فی مختلف الظروف و الأزمنة،و لکن من أیّ أقسام الصفا تکون البدایة،و کیف تکون؟فذلک یعود إلی العرف،و لیس للشریعة دخل فی ذلک</w:t>
      </w:r>
      <w:r>
        <w:rPr>
          <w:rFonts w:eastAsia="IRNazanin" w:cs="IRNazanin"/>
          <w:color w:val="111111"/>
          <w:sz w:val="28"/>
          <w:szCs w:val="28"/>
          <w:rtl w:val="true"/>
          <w:lang w:bidi="fa-IR"/>
        </w:rPr>
        <w:t>.</w:t>
      </w:r>
      <w:bookmarkStart w:id="536" w:name="pg5439_46935"/>
    </w:p>
    <w:p>
      <w:pPr>
        <w:pStyle w:val="Heading2"/>
        <w:numPr>
          <w:ilvl w:val="1"/>
          <w:numId w:val="1"/>
        </w:numPr>
        <w:rPr/>
      </w:pPr>
      <w:bookmarkStart w:id="537" w:name="__RefHeading___Toc1856234_581953129"/>
      <w:bookmarkStart w:id="538" w:name="_Toc202"/>
      <w:bookmarkEnd w:id="536"/>
      <w:bookmarkEnd w:id="537"/>
      <w:r>
        <w:rPr>
          <w:rtl w:val="true"/>
        </w:rPr>
        <w:t>رسالة مختصرة لمنهج الملاّ أحمد النراقی فی الاستنباط فی مستند الشیعة</w:t>
      </w:r>
      <w:bookmarkEnd w:id="538"/>
    </w:p>
    <w:p>
      <w:pPr>
        <w:pStyle w:val="Heading3"/>
        <w:numPr>
          <w:ilvl w:val="2"/>
          <w:numId w:val="1"/>
        </w:numPr>
        <w:rPr/>
      </w:pPr>
      <w:bookmarkStart w:id="539" w:name="__RefHeading___Toc1856236_581953129"/>
      <w:bookmarkStart w:id="540" w:name="_Toc203"/>
      <w:bookmarkEnd w:id="539"/>
      <w:r>
        <w:rPr>
          <w:rtl w:val="true"/>
        </w:rPr>
        <w:t>اشارة</w:t>
      </w:r>
      <w:bookmarkEnd w:id="540"/>
    </w:p>
    <w:p>
      <w:pPr>
        <w:pStyle w:val="BookText"/>
        <w:rPr/>
      </w:pPr>
      <w:r>
        <w:rPr>
          <w:rFonts w:ascii="IRNazanin" w:hAnsi="IRNazanin" w:eastAsia="IRNazanin"/>
          <w:color w:val="111111"/>
          <w:sz w:val="28"/>
          <w:sz w:val="28"/>
          <w:szCs w:val="28"/>
          <w:rtl w:val="true"/>
          <w:lang w:bidi="fa-IR"/>
        </w:rPr>
        <w:t xml:space="preserve">و قد ألّفت فی سنة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بمناسبة مؤتمر الفاضلین النراقیین</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کانت هذه الرسالة باللّغة الفارسیّة بقلم المؤلّف حفظه اللّه و قد نقلت إلی اللغة العربیّة</w:t>
      </w:r>
      <w:bookmarkStart w:id="541" w:name="pg5439_46937"/>
    </w:p>
    <w:p>
      <w:pPr>
        <w:pStyle w:val="BookText"/>
        <w:rPr/>
      </w:pPr>
      <w:bookmarkEnd w:id="541"/>
      <w:r>
        <w:rPr>
          <w:rFonts w:ascii="IRNazanin" w:hAnsi="IRNazanin" w:eastAsia="IRNazanin"/>
          <w:color w:val="111111"/>
          <w:sz w:val="28"/>
          <w:sz w:val="28"/>
          <w:szCs w:val="28"/>
          <w:rtl w:val="true"/>
          <w:lang w:bidi="fa-IR"/>
        </w:rPr>
        <w:t>بسم اللّه الرحمن الرحیم</w:t>
      </w:r>
    </w:p>
    <w:p>
      <w:pPr>
        <w:pStyle w:val="Heading3"/>
        <w:numPr>
          <w:ilvl w:val="2"/>
          <w:numId w:val="1"/>
        </w:numPr>
        <w:rPr/>
      </w:pPr>
      <w:bookmarkStart w:id="542" w:name="__RefHeading___Toc1856238_581953129"/>
      <w:bookmarkStart w:id="543" w:name="_Toc204"/>
      <w:bookmarkEnd w:id="542"/>
      <w:r>
        <w:rPr>
          <w:rtl w:val="true"/>
        </w:rPr>
        <w:t>تمهید</w:t>
      </w:r>
      <w:bookmarkEnd w:id="543"/>
    </w:p>
    <w:p>
      <w:pPr>
        <w:pStyle w:val="BookText"/>
        <w:rPr/>
      </w:pPr>
      <w:r>
        <w:rPr>
          <w:rFonts w:ascii="IRNazanin" w:hAnsi="IRNazanin" w:eastAsia="IRNazanin"/>
          <w:color w:val="111111"/>
          <w:sz w:val="28"/>
          <w:sz w:val="28"/>
          <w:szCs w:val="28"/>
          <w:rtl w:val="true"/>
          <w:lang w:bidi="fa-IR"/>
        </w:rPr>
        <w:t>إنّ من ضروریّات علم الفقه فی العصر الحاضر،دراسة المناهج الاجتهادیّة و الاستنباطیّة للفقهاء و المحقّقین فی هذا المضمار،و من اللازم فی دائرة الفقه الاجتهادی الشیعی الاهتمام بکیفیّة استنباط المجتهدین،فرغم أنّ منابع الاجتهاد محدودة بالکتاب و السنّة و الإجماع و العقل،و جمیع الفقهاء یعتمدون فی دراساتهم الفقهیّة علی هذه الامور الأربعة بعناوینها منابع الاجتهاد و مصادر الأحکام،إلاّ أنّه من الواضح لدی أهل العلم و أرباب المعرفة أنّ لکلّ واحد من الفقهاء منهج اجتهادیّ خاصّ فی سلوکه الفقهی و العلمی،بحیث أدّی هذا الأمر أحیانا إلی أن تقع مسألة فقهیّة ضروریّة محلّ خلاف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فهناک بعض الموارد التی ذهب إلیها الشهید قدّس سرّه فی فتواه،و یراها صاحب الجواهر أنّها علی خلاف الضرورة الفقهیّة،و لیس هذا إلاّ أنّ الأصل المهمّ و الأساس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الضرورة الفقهیّة،و تفسیرها و تبیینها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 فیه فی نظر الفقهاء و أرباب النظر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اللازم التحقیق حول منهج الاستنباط</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نحن فی هذه المقالة المختصرة التی کتبناها بمناسبة إقامة مؤتمر الفاضلین</w:t>
      </w:r>
      <w:bookmarkStart w:id="544" w:name="pg5439_46938"/>
    </w:p>
    <w:p>
      <w:pPr>
        <w:pStyle w:val="BookText"/>
        <w:rPr/>
      </w:pPr>
      <w:bookmarkEnd w:id="544"/>
      <w:r>
        <w:rPr>
          <w:rFonts w:ascii="IRNazanin" w:hAnsi="IRNazanin" w:eastAsia="IRNazanin"/>
          <w:color w:val="111111"/>
          <w:sz w:val="28"/>
          <w:sz w:val="28"/>
          <w:szCs w:val="28"/>
          <w:rtl w:val="true"/>
          <w:lang w:bidi="fa-IR"/>
        </w:rPr>
        <w:t>النراقیّین قدّس سرّهما،بصدد بیان هذا الأمر بصورة إجمالیّة،و بدیهیّ أنّ التحقیق المفصّل حول هذا الموضوع بحاجة إلی وقت أوسع و تتبّع 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سوف نقوم بدراسة موسّعة لهذا الموضوع بنحو کامل فی وقت مناسب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شکّ فی أنّ کلّ فقیه إنّما یروم العثور علی الحکم الإلهی،و استنباط ما یراه نظر الشارع المقدّس،و منذ قدیم الزمان و علم أصول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بمثابة منطق علم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یمثّل أداة و وسیلة فی ید المجتهد یعینه فی عملیّة الاجتهاد،و له تأثیر بالغ فیها،و لکن من الواضح أنّه مضافا إلی علم الاصول و علم الفقه،هناک شیء آخر نعبّر عنه بمنهج الاستنباط،و رغم أنّ هذا العنوان له مفهوم عامّ قد یستوعب فی دائرته علم أصول الفقه أیضا،و الاختلاف فی المبانی الاصولیّة یوجب قطعا الاختلاف فی کیفیّة منهج الاستنباط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لا بدّ أن نعلم أنّ هناک امورا مهمّة أخری فی منهج الاستنباط لها دور أساسیّ أیضا،و لکنّها لم ترد ضمن مسائل اصول الفقه،و مع الأسف فهذا الموضوع لم یبحث بصورة مستقلّة و مدوّنة لحدّ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فی هذه المقالة المختصرة سنشیر بشکل إجمالیّ إلی بعض العناوین الدخیلة فی هذا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طبیعیّ أنّه مع تحقیق و تدبّر أکثر فی هذه المسألة سنعثر علی عناوین اخر أیضا دخیلة فی هذا الأمر</w:t>
      </w:r>
      <w:r>
        <w:rPr>
          <w:rFonts w:eastAsia="IRNazanin" w:cs="IRNazanin"/>
          <w:color w:val="111111"/>
          <w:sz w:val="28"/>
          <w:szCs w:val="28"/>
          <w:rtl w:val="true"/>
          <w:lang w:bidi="fa-IR"/>
        </w:rPr>
        <w:t>.</w:t>
      </w:r>
    </w:p>
    <w:p>
      <w:pPr>
        <w:pStyle w:val="Heading3"/>
        <w:numPr>
          <w:ilvl w:val="2"/>
          <w:numId w:val="1"/>
        </w:numPr>
        <w:rPr/>
      </w:pPr>
      <w:bookmarkStart w:id="545" w:name="__RefHeading___Toc1856240_581953129"/>
      <w:bookmarkStart w:id="546" w:name="_Toc205"/>
      <w:bookmarkEnd w:id="545"/>
      <w:r>
        <w:rPr/>
        <w:t>1</w:t>
      </w:r>
      <w:r>
        <w:rPr>
          <w:rtl w:val="true"/>
        </w:rPr>
        <w:t>-</w:t>
      </w:r>
      <w:r>
        <w:rPr>
          <w:rtl w:val="true"/>
        </w:rPr>
        <w:t>الاستفادة من المسائل،و القواعد الاصولیّة فی الفقه</w:t>
      </w:r>
      <w:bookmarkEnd w:id="546"/>
    </w:p>
    <w:p>
      <w:pPr>
        <w:pStyle w:val="BookText"/>
        <w:rPr/>
      </w:pPr>
      <w:r>
        <w:rPr>
          <w:rFonts w:ascii="IRNazanin" w:hAnsi="IRNazanin" w:eastAsia="IRNazanin"/>
          <w:color w:val="111111"/>
          <w:sz w:val="28"/>
          <w:sz w:val="28"/>
          <w:szCs w:val="28"/>
          <w:rtl w:val="true"/>
          <w:lang w:bidi="fa-IR"/>
        </w:rPr>
        <w:t>إنّ أحد الأسئلة التی تدور فی أذهان الفضلاء و المجتهدین،هو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مقدار تأثیر علم الاصول فی الفقه؟و أساسا هل یمکن أن تتحقّق عملیّة الاستنباط فی الفقه من دون الاستفادة من علم الاصول،أم لا؟</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مقام الجواب یمکن القول بأنّ تأثیر علم الاصول فی الفقه غیر قابل</w:t>
      </w:r>
    </w:p>
    <w:p>
      <w:pPr>
        <w:pStyle w:val="BookText"/>
        <w:rPr/>
      </w:pPr>
      <w:r>
        <w:rPr>
          <w:rFonts w:ascii="IRNazanin" w:hAnsi="IRNazanin" w:eastAsia="IRNazanin"/>
          <w:color w:val="111111"/>
          <w:sz w:val="28"/>
          <w:sz w:val="28"/>
          <w:szCs w:val="28"/>
          <w:rtl w:val="true"/>
          <w:lang w:bidi="fa-IR"/>
        </w:rPr>
        <w:t>للإنکار،و بدون علم الاصول یعجز الفقیه من الاستنباط و الاجتهاد فی الکثیر من الموارد،مثلا لو لم نتمکّن من إثبات حجّیة الظواهر فی علم الاصول،فکیف یمکننا التوصّل إلی نتیجة مقبولة من کلّ هذه الآیات و الروایات؟</w:t>
      </w:r>
    </w:p>
    <w:p>
      <w:pPr>
        <w:pStyle w:val="BookText"/>
        <w:rPr/>
      </w:pP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فأصل تأثیر علم الاصول فی علم الفقه غیر قابل للإنکار،و لکنّ البحث فی أنّه هل جمیع القواعد المذکورة الآن فی علم الاصول ضروریّة و نافعة فی علم الفقه،أو یمکن القول بأنّ الفقیه یمکنه الاستنباط فی الفقه من دون الاستعانة ببعض القواعد الاصولیّة؟</w:t>
      </w:r>
    </w:p>
    <w:p>
      <w:pPr>
        <w:pStyle w:val="BookText"/>
        <w:rPr/>
      </w:pPr>
      <w:r>
        <w:rPr>
          <w:rFonts w:ascii="IRNazanin" w:hAnsi="IRNazanin" w:eastAsia="IRNazanin"/>
          <w:color w:val="111111"/>
          <w:sz w:val="28"/>
          <w:sz w:val="28"/>
          <w:szCs w:val="28"/>
          <w:rtl w:val="true"/>
          <w:lang w:bidi="fa-IR"/>
        </w:rPr>
        <w:t>و ما یجدر ذکره هنا أنّه مع أنّ بعض الفقهاء من له الید الطولی فی الاصول،إلاّ أنّه رغم ذلک یتجنّب حدّ الإمکان من الاستعانة بها فی الفقه،و من هؤلاء المرحوم المحقّق الحائری،و المرحوم المحقّق البروجردی قدّس سرّهما،و المقصود هنا لیس أصل تأثیر علم الاصول،بل إعماله و استخدام القواعد الاصولیّة فی عملیّة الاستنباط،مثلا فی الموارد التی یفتی بها الفقهاء طبقا لقاعدة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الواجب واجبة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بالوجوب الشرعی و المولوی للمقدّمة،فهل یمکن إثبات وجوبها و لوازمها من طریق آخر، بدون الاستعانة بتلک القاعدة؟</w:t>
      </w:r>
    </w:p>
    <w:p>
      <w:pPr>
        <w:pStyle w:val="BookText"/>
        <w:rPr/>
      </w:pPr>
      <w:r>
        <w:rPr>
          <w:rFonts w:ascii="IRNazanin" w:hAnsi="IRNazanin" w:eastAsia="IRNazanin"/>
          <w:color w:val="111111"/>
          <w:sz w:val="28"/>
          <w:sz w:val="28"/>
          <w:szCs w:val="28"/>
          <w:rtl w:val="true"/>
          <w:lang w:bidi="fa-IR"/>
        </w:rPr>
        <w:t>هل هناک إمکانیّة للتوصّل إلی نتائج صحیحة و واقعیّة من دون الاستعانة بمسألة اجتماع الأمر و النهی؟</w:t>
      </w:r>
    </w:p>
    <w:p>
      <w:pPr>
        <w:pStyle w:val="BookText"/>
        <w:rPr/>
      </w:pPr>
      <w:r>
        <w:rPr>
          <w:rFonts w:ascii="IRNazanin" w:hAnsi="IRNazanin" w:eastAsia="IRNazanin"/>
          <w:color w:val="111111"/>
          <w:sz w:val="28"/>
          <w:sz w:val="28"/>
          <w:szCs w:val="28"/>
          <w:rtl w:val="true"/>
          <w:lang w:bidi="fa-IR"/>
        </w:rPr>
        <w:t>هل هناک إمکانیّة علی الاستنباط الصحیح من دون الاستعانة بقواعد باب العامّ و الخاصّ،أو الإطلاق و التقیید؟</w:t>
      </w:r>
    </w:p>
    <w:p>
      <w:pPr>
        <w:pStyle w:val="BookText"/>
        <w:rPr/>
      </w:pPr>
      <w:r>
        <w:rPr>
          <w:rFonts w:ascii="IRNazanin" w:hAnsi="IRNazanin" w:eastAsia="IRNazanin"/>
          <w:color w:val="111111"/>
          <w:sz w:val="28"/>
          <w:sz w:val="28"/>
          <w:szCs w:val="28"/>
          <w:rtl w:val="true"/>
          <w:lang w:bidi="fa-IR"/>
        </w:rPr>
        <w:t>هل یمکننا التوصّل إلی نتائج فقهیّة صحیحة بدون الاستفادة الدقیقة لقواعد باب التعارض و التزاحم؟</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أنّنا لا یمکننا أن نحصل علی جواب واحد و کامل لهذه الأسئلة، بل لا بدّ من التحقیق و التتبّع بدقّة،و فی کلّ مورد علی حدة کیما نحصل علی نتیجة</w:t>
      </w:r>
    </w:p>
    <w:p>
      <w:pPr>
        <w:pStyle w:val="BookText"/>
        <w:rPr/>
      </w:pPr>
      <w:r>
        <w:rPr>
          <w:rFonts w:ascii="IRNazanin" w:hAnsi="IRNazanin" w:eastAsia="IRNazanin"/>
          <w:color w:val="111111"/>
          <w:sz w:val="28"/>
          <w:sz w:val="28"/>
          <w:szCs w:val="28"/>
          <w:rtl w:val="true"/>
          <w:lang w:bidi="fa-IR"/>
        </w:rPr>
        <w:t>واضحة و معتبرة،إلاّ أنّ ما یمکننا إظهاره بشکل عامّ هو أنّه بالرغم من أنّ الضرورات الفقهیّة و المشکلات الموجودة فی حقل الاجتهاد تعین الفقیه فی الکشف عن الکثیر من القواعد الاصولیّة،و لکن هذا لا یعنی أنّه لا یوجد أیّ طریق آخر للاستنباط بدون تلک القواعد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نری أنّ القدماء و المتقدّمین فی الفقه یلجؤون غالبا إلی العمل بظواهر الآیات و الروایات المعتبرة،و فی بعض الموارد یتمسّکون بالإجماع،و قلّما نجد فی کتبهم الاستفادة من القواعد المهمّة فی الاصول؛من قبیل اجتماع الأمر و النهی، أو مسألة الترتّب،أو مباحث المفاهیم،و الحال أنّ الفقیه المعاصر یستخدم فی مسائله و فروعاته قواعد أصولیّة مهمّة جدّا،و حتّی ما نراه من التمسّک فی الکثیر من الإطلاقات بصورة شائعة فی الکتب الفقهیّة فی هذا الزمان،لم یکن موجودا فی کتب قدماء الفقهاء و إن کان هذا الأمر معلولا لعدم وجود الموضوع فی الأزمنة الماضیة،و لکن إلی أیّ مقدار کان الفقهاء الأقدمون منّا ملتزمین بهذه القواعد؟</w:t>
      </w:r>
    </w:p>
    <w:p>
      <w:pPr>
        <w:pStyle w:val="BookText"/>
        <w:rPr/>
      </w:pPr>
      <w:r>
        <w:rPr>
          <w:rFonts w:ascii="IRNazanin" w:hAnsi="IRNazanin" w:eastAsia="IRNazanin"/>
          <w:color w:val="111111"/>
          <w:sz w:val="28"/>
          <w:sz w:val="28"/>
          <w:szCs w:val="28"/>
          <w:rtl w:val="true"/>
          <w:lang w:bidi="fa-IR"/>
        </w:rPr>
        <w:t>یمکن تقسیم الفقهاء إلی ثلاث طوائف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لا یستعین فی الفقه بالقواعد الاصولیّة إلاّ نادرا،و من هذه الطائفة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المفید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الفقهاء الذین سبقوا الشیخ المفید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یستعین فی الفقه بالقواعد الاصولیّة بالمقدار المتعارف و الطبیعی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الکثیر من المتأخّرین؛هم الذین استخدموا القواعد الاصولیّة فی عملیّة الاستنباط الفقهی أکثر من مورد الحاجة</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نعدّ الملاّ أحمد النراقی قدّس سرّه من الطائفة الثانیة،فهو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الأخذ بنظر الاعتبار بتبحّره و مهارته الکاملة فی علم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 حدّ الإمکان إلی تجنّب الاستعانة بالقواعد الاصولیّة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فمع مراجعة إجمالیّة لکتاب المستند،یحصل التصدیق بهذه الحقیقة،ففی المثال المعروف فیما لو کان للشخص مال،فإمّا یجب علیه صرفه فی قضاء الدّین و إبراء ذمّته،أو فی حجّة الإسلام،و لیس له مال یفی بکلا الأمرین،فقد اختلف الفقهاء هنا علی أقوال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جماعة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کالمحقّق،و العلاّمة،و الشهید قدّس سرّهم </w:t>
      </w:r>
      <w:r>
        <w:rPr>
          <w:rStyle w:val="FootnoteAnchor"/>
          <w:rtl w:val="true"/>
        </w:rPr>
        <w:footnoteReference w:id="655"/>
      </w:r>
      <w:r>
        <w:rPr>
          <w:rFonts w:ascii="IRNazanin" w:hAnsi="IRNazanin" w:eastAsia="IRNazanin"/>
          <w:color w:val="111111"/>
          <w:sz w:val="28"/>
          <w:sz w:val="28"/>
          <w:szCs w:val="28"/>
          <w:rtl w:val="true"/>
          <w:lang w:bidi="fa-IR"/>
        </w:rPr>
        <w:t xml:space="preserve">یرون أنّ الدّین بصورة عامّة مانع من وجوب الحجّ؛سواء کان الدّین حالاّ،أو مؤجّلا،و سواء کان الدّین الحالّ یطالب به صاحبه،أم لا،و سواء کان المؤجّل موثوق الأداء،أم لا،فهذه الفئة من الفقهاء استدلّوا بظاهر بعض الروایات الواردة فی الحجّ </w:t>
      </w:r>
      <w:r>
        <w:rPr>
          <w:rStyle w:val="FootnoteAnchor"/>
          <w:rtl w:val="true"/>
        </w:rPr>
        <w:footnoteReference w:id="656"/>
      </w:r>
      <w:r>
        <w:rPr>
          <w:rFonts w:ascii="IRNazanin" w:hAnsi="IRNazanin" w:eastAsia="IRNazanin"/>
          <w:color w:val="111111"/>
          <w:sz w:val="28"/>
          <w:sz w:val="28"/>
          <w:szCs w:val="28"/>
          <w:rtl w:val="true"/>
          <w:lang w:bidi="fa-IR"/>
        </w:rPr>
        <w:t>التی توجب الحجّ علی الموسر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ذهبوا إلی أنّ المدین لا ینطبق علیه عنوان الموسر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ذهب جماعة اخری کالسیّد قدّس سرّه فی المدارک </w:t>
      </w:r>
      <w:r>
        <w:rPr>
          <w:rStyle w:val="FootnoteAnchor"/>
          <w:rtl w:val="true"/>
        </w:rPr>
        <w:footnoteReference w:id="657"/>
      </w:r>
      <w:r>
        <w:rPr>
          <w:rFonts w:ascii="IRNazanin" w:hAnsi="IRNazanin" w:eastAsia="IRNazanin"/>
          <w:color w:val="111111"/>
          <w:sz w:val="28"/>
          <w:sz w:val="28"/>
          <w:szCs w:val="28"/>
          <w:rtl w:val="true"/>
          <w:lang w:bidi="fa-IR"/>
        </w:rPr>
        <w:t>إلی أنّ الدّین الحالّ الذی یطالب به صاحبه هو المانع من وجوب الحجّ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غیر الحالّ،أو غیر المطالب به فلا یمنع من تحقّق الاستطاعة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فریق 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کالفاضل الهندی فی کشف اللثام </w:t>
      </w:r>
      <w:r>
        <w:rPr>
          <w:rStyle w:val="FootnoteAnchor"/>
          <w:rtl w:val="true"/>
        </w:rPr>
        <w:footnoteReference w:id="658"/>
      </w:r>
      <w:r>
        <w:rPr>
          <w:rFonts w:ascii="IRNazanin" w:hAnsi="IRNazanin" w:eastAsia="IRNazanin"/>
          <w:color w:val="111111"/>
          <w:sz w:val="28"/>
          <w:sz w:val="28"/>
          <w:szCs w:val="28"/>
          <w:rtl w:val="true"/>
          <w:lang w:bidi="fa-IR"/>
        </w:rPr>
        <w:t>یرون أنّ الدّین مانع إلاّ فی صورة أن یکون الدّین موسّعا،بحیث یکون وقته أوسع من الحجّ</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المرحوم النراقی فی المستند </w:t>
      </w:r>
      <w:r>
        <w:rPr>
          <w:rStyle w:val="FootnoteAnchor"/>
          <w:rtl w:val="true"/>
        </w:rPr>
        <w:footnoteReference w:id="659"/>
      </w:r>
      <w:r>
        <w:rPr>
          <w:rFonts w:ascii="IRNazanin" w:hAnsi="IRNazanin" w:eastAsia="IRNazanin"/>
          <w:color w:val="111111"/>
          <w:sz w:val="28"/>
          <w:sz w:val="28"/>
          <w:szCs w:val="28"/>
          <w:rtl w:val="true"/>
          <w:lang w:bidi="fa-IR"/>
        </w:rPr>
        <w:t>یقول بالتخییر فی بعض الصور،و ذلک فی المورد الذی یکون الدّین فیه حالاّ،أو له مدّة،و لکنّه غیر موسّع،ففی هذه الصورة لا فرق بین المطالبة و عدم المطالبة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دلیله علی هذا الفرق ما ذکره فی المستند من أنّ المدیون الذی له مال یسع أحد الأمرین من الحجّ و الدّین،داخل فی الخطابین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خطاب الحجّ،و خطاب أداء الدّین،و إذ لا مرجّح فی البین،فیکون مخیّرا بین الأمرین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فی صورة أن یکون له مدّة،و یکون موسّعا،فیذهب النراقی قدّس سرّه إلی تقدیم الحجّ،و دلیله علی ذلک صدق الاستطاعة،و الروایات </w:t>
      </w:r>
      <w:r>
        <w:rPr>
          <w:rStyle w:val="FootnoteAnchor"/>
          <w:rtl w:val="true"/>
        </w:rPr>
        <w:footnoteReference w:id="661"/>
      </w:r>
      <w:r>
        <w:rPr>
          <w:rFonts w:ascii="IRNazanin" w:hAnsi="IRNazanin" w:eastAsia="IRNazanin"/>
          <w:color w:val="111111"/>
          <w:sz w:val="28"/>
          <w:sz w:val="28"/>
          <w:szCs w:val="28"/>
          <w:rtl w:val="true"/>
          <w:lang w:bidi="fa-IR"/>
        </w:rPr>
        <w:t>التی تدلّ بالصراحة علی أنّ الحجّ واجب علی الإنسان،حتّی فی صورة أن یکون علیه دین فی الذمّة،ثمّ یورد دلیل من یری فی هذا الفرض عدم وجوب الحجّ،و استندوا فی ذلک بعدم صدق الاستطاعة،أو ببعض الروایات،و یناقشها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هذه الطوائف الأربعة من الفقهاء لم یخرجوا فی منهجهم الاستدلالی عن هذا الأمر؛أی صدق الاستطاعة و عدمه،و کذلک دلالة الروایات أو عدمها،فی حین أنّ بعض الأعاظم مثل السیّد الخوئی قدّس سرّه فی المعتمد </w:t>
      </w:r>
      <w:r>
        <w:rPr>
          <w:rStyle w:val="FootnoteAnchor"/>
          <w:rtl w:val="true"/>
        </w:rPr>
        <w:footnoteReference w:id="662"/>
      </w:r>
      <w:r>
        <w:rPr>
          <w:rFonts w:ascii="IRNazanin" w:hAnsi="IRNazanin" w:eastAsia="IRNazanin"/>
          <w:color w:val="111111"/>
          <w:sz w:val="28"/>
          <w:sz w:val="28"/>
          <w:szCs w:val="28"/>
          <w:rtl w:val="true"/>
          <w:lang w:bidi="fa-IR"/>
        </w:rPr>
        <w:t>أدرج هذه المسألة بشکل عامّ فی باب التزاحم و قواعدها،و طرح مسألة متعیّن الأهمّیة أو محتمل الأهمّیة،ثمّ ذهب إلی أنّ الدّین حقّ الناس،و من الثابت أنّه أهمّ من حقّ اللّه،فلذا یقدّم الدّین</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نسب إلی النراقی أنّه یقول بالتزاحم فی بعض الصور،فی حین أنّه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توجد أیّة عبارة فی کلمات النراقی قدّس سرّه بعنوان التزاحم،و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مبنی النراقی قدّس سرّه </w:t>
      </w:r>
      <w:r>
        <w:rPr>
          <w:rStyle w:val="FootnoteAnchor"/>
          <w:rtl w:val="true"/>
        </w:rPr>
        <w:footnoteReference w:id="663"/>
      </w:r>
      <w:r>
        <w:rPr>
          <w:rFonts w:ascii="IRNazanin" w:hAnsi="IRNazanin" w:eastAsia="IRNazanin"/>
          <w:color w:val="111111"/>
          <w:sz w:val="28"/>
          <w:sz w:val="28"/>
          <w:szCs w:val="28"/>
          <w:rtl w:val="true"/>
          <w:lang w:bidi="fa-IR"/>
        </w:rPr>
        <w:t>القول بالتخییر فی صورة التعارض،و عدم الترجیح،و یحتمل أن یکون کذلک فی هذا المورد،فلا یکون ملتفتا أصلا إلی مرجّحات باب التزاحم،و هی</w:t>
      </w:r>
    </w:p>
    <w:p>
      <w:pPr>
        <w:pStyle w:val="BookText"/>
        <w:rPr/>
      </w:pPr>
      <w:r>
        <w:rPr>
          <w:rFonts w:ascii="Amiri" w:hAnsi="Amiri" w:eastAsia="Amiri" w:cs="Amiri"/>
          <w:color w:val="111111"/>
          <w:sz w:val="28"/>
          <w:sz w:val="28"/>
          <w:szCs w:val="28"/>
          <w:rtl w:val="true"/>
          <w:lang w:bidi="ar-SA"/>
        </w:rPr>
        <w:t>المستقلّة عن مرجّحات باب التعارض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نعم،طبقا لنظریّة المتأخّرین یمکن حمل کلماته علی باب التزاحم،و لکن لا یوجد هناک شاهد واحد علی أنّه أراد هذا المطلب،بل إذا کان یقصد ذلک، فینبغی أن یشیر إلی مرجّحات باب التزاحم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الغرض من نقل هذا المثال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الفقهاء الماضین منهم المرحوم النراقی لم یهتمّوا إطلاقا فی هذه المسألة بإعمال قواعد التزاحم،بل تحرّکوا فی حلّ المسألة من طریق آخر لا یرتبط بهذه المسألة الاصولیّة،و الحال أنّ بعض الأعاظم من المتأخّرین عالجوا المسألة من الزاویة الاصولیّة،و بإعمال القواعد الاصولیّة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أجل،بعض الأعاظم و المحقّقین فی الفقه،کالوالد المعظّم قدّس سرّه بعد إثبات عدم تمامیّة جمیع الأدلّة،ذکر المسألة فی باب التزاحم،فقال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انقدح من جمیع ما ذکرنا فی الروایات الظاهرة فی تقدّم الحجّ علی الدّین، أنّها بین ما یکون معرضا عنها،و ما یکون مشتملا علی ضعف فی السند،و ما یکون غیر ظاهرة فی التقدّم مع المزاحمة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 یثبت إلی هنا تقدّم الدّین علی الحجّ و لا تقدّم الحجّ علی الدّین،و اللازم بعد ذلک ملاحظة المسألة من باب التزاحم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نری من اللازم هنا،و بمناسبة هذا البحث أن نشیر إلی بعض القواعد الاصولیّة الواردة فی مستند الشیعة</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 النراقی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مقدّمة الواجب واجبة،و قد استدلّ بها فی کثیر من المسائل؛مثلا فی مسألة وجوب تحصیل مقدّمات الحجّ قبل حلول موسم الحجّ، استعان بمقدّمة الواجب فی الاستدلال </w:t>
      </w:r>
      <w:r>
        <w:rPr>
          <w:rStyle w:val="FootnoteAnchor"/>
          <w:rtl w:val="true"/>
        </w:rPr>
        <w:footnoteReference w:id="665"/>
      </w:r>
      <w:r>
        <w:rPr>
          <w:rFonts w:ascii="IRNazanin" w:hAnsi="IRNazanin" w:eastAsia="IRNazanin"/>
          <w:color w:val="111111"/>
          <w:sz w:val="28"/>
          <w:sz w:val="28"/>
          <w:szCs w:val="28"/>
          <w:rtl w:val="true"/>
          <w:lang w:bidi="fa-IR"/>
        </w:rPr>
        <w:t>،و حتّی أنّه یری فی بعض الموارد إبقاء المقدّمة واجبا،فقال فی کتاب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عنوان أنّه هل یجوز صرف المال الذی</w:t>
      </w:r>
    </w:p>
    <w:p>
      <w:pPr>
        <w:pStyle w:val="BookText"/>
        <w:rPr/>
      </w:pPr>
      <w:r>
        <w:rPr>
          <w:rFonts w:ascii="IRNazanin" w:hAnsi="IRNazanin" w:eastAsia="IRNazanin"/>
          <w:color w:val="111111"/>
          <w:sz w:val="28"/>
          <w:sz w:val="28"/>
          <w:szCs w:val="28"/>
          <w:rtl w:val="true"/>
          <w:lang w:bidi="fa-IR"/>
        </w:rPr>
        <w:t>صار الشخص علی أساسه مستطیعا فی النکاح؟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ما ذکروه من عدم جواز صرف المال فی النکاح مبنیّ علی ما نقول به من وجوب إبقاء مقدّمة الواجب کما یجب تحصیلها،و لذا نقول بعدم جواز إهراق الماء المحتاج إلیه للطهارة،و الأکثر لم یذکروه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هکذا فی مسألة التفقّه فی المعاملات،و معرفة المعاملة الصحیحة من الفاسدة،یری النراقی قدّس سرّه وجوب ذلک من باب المقدّمة،و یری استحباب التفقّه فی کیفیّة التکسّب قبل الدخول فی المعاملة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النظریّات الاصولیّة للنراقی،المخالفة لکثیر من المتأخّرین من الاصولیّین </w:t>
      </w:r>
      <w:r>
        <w:rPr>
          <w:rStyle w:val="FootnoteAnchor"/>
          <w:rtl w:val="true"/>
        </w:rPr>
        <w:footnoteReference w:id="668"/>
      </w:r>
      <w:r>
        <w:rPr>
          <w:rFonts w:ascii="IRNazanin" w:hAnsi="IRNazanin" w:eastAsia="IRNazanin"/>
          <w:color w:val="111111"/>
          <w:sz w:val="28"/>
          <w:sz w:val="28"/>
          <w:szCs w:val="28"/>
          <w:rtl w:val="true"/>
          <w:lang w:bidi="fa-IR"/>
        </w:rPr>
        <w:t>،أنّ الجملة الخبریّة لا تدلّ علی الوجوب،و قد کان لهذه النظریّة تأثیر کبیر فی مجمل فتاواه،و من ذلک فی لزوم،أو عدم لزوم الترتیب فی الأعمال الثلاثة فی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فأکثر الروایات التی تدلّ علی التقدیم،لها صیغة الجملة الخبریّة؛من قبیل ما ورد فی روایة جمیل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تبدأ بمنی بالذبح قبل الحلق</w:t>
      </w:r>
      <w:r>
        <w:rPr>
          <w:rFonts w:eastAsia="IRNazanin" w:cs="IRNazanin"/>
          <w:color w:val="111111"/>
          <w:sz w:val="28"/>
          <w:szCs w:val="28"/>
          <w:rtl w:val="true"/>
          <w:lang w:bidi="fa-IR"/>
        </w:rPr>
        <w:t xml:space="preserve">» </w:t>
      </w:r>
      <w:r>
        <w:rPr>
          <w:rStyle w:val="FootnoteAnchor"/>
          <w:rtl w:val="true"/>
        </w:rPr>
        <w:footnoteReference w:id="669"/>
      </w:r>
      <w:r>
        <w:rPr>
          <w:rFonts w:ascii="IRNazanin" w:hAnsi="IRNazanin" w:eastAsia="IRNazanin"/>
          <w:color w:val="111111"/>
          <w:sz w:val="28"/>
          <w:sz w:val="28"/>
          <w:szCs w:val="28"/>
          <w:rtl w:val="true"/>
          <w:lang w:bidi="fa-IR"/>
        </w:rPr>
        <w:t>،ثمّ أضاف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أنّ فی نظرنا أنّ الجملة الخبریّة لا تدلّ علی الوجوب،فلا یمکننا استخراج الوجوب من هذه الروایات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یوافق النراقی قدّس سرّه علی القواعد التی أوردها القدماء فی باب تعارض الأحوال،مثل ما ورد فی ترجیح المجاز فی مسألة دوران الأمر بین التخصیص</w:t>
      </w:r>
    </w:p>
    <w:p>
      <w:pPr>
        <w:pStyle w:val="BookText"/>
        <w:rPr/>
      </w:pPr>
      <w:r>
        <w:rPr>
          <w:rFonts w:ascii="IRNazanin" w:hAnsi="IRNazanin" w:eastAsia="IRNazanin"/>
          <w:color w:val="111111"/>
          <w:sz w:val="28"/>
          <w:sz w:val="28"/>
          <w:szCs w:val="28"/>
          <w:rtl w:val="true"/>
          <w:lang w:bidi="fa-IR"/>
        </w:rPr>
        <w:t xml:space="preserve">و المجاز،أو فی مسألة الدوران بین المجاز و الاشتراک،و ترجیح المجاز فیها، فالنراقی قدّس سرّه فی مثل هذه الموارد لا یری جریان أیّ من القواعد المذکورة،و لعلّ الآخوند الخراسانی قدّس سرّه فی الکفایة </w:t>
      </w:r>
      <w:r>
        <w:rPr>
          <w:rStyle w:val="FootnoteAnchor"/>
          <w:rtl w:val="true"/>
        </w:rPr>
        <w:footnoteReference w:id="671"/>
      </w:r>
      <w:r>
        <w:rPr>
          <w:rFonts w:ascii="IRNazanin" w:hAnsi="IRNazanin" w:eastAsia="IRNazanin"/>
          <w:color w:val="111111"/>
          <w:sz w:val="28"/>
          <w:sz w:val="28"/>
          <w:szCs w:val="28"/>
          <w:rtl w:val="true"/>
          <w:lang w:bidi="fa-IR"/>
        </w:rPr>
        <w:t>یری هذا الرأی أیضا،و تبع فی ذلک النراقی قدّس سرّه، فقد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الحکم بأولویّة التخصیص عن التجوّز فی الأمر مشکل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بالطبع فقد صرّح فی بعض مواضع کتابه المستند أنّ المجاز مرجوح بالنسبة إلی التخصیص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النظریّات الاخر للنراقی؛عدم إمکان التجزّئ فی الاجتهاد،حیث یری أنّه لو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الاجتهاد عبارة عن الملکة و القدرة النفسانیّة،فلا یمکن قبول التجزّئ فی الاجتهاد حینئذ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الامور التی یصرّ علیها الآخوند الخراسانی قدّس سرّه فی الکفایة </w:t>
      </w:r>
      <w:r>
        <w:rPr>
          <w:rStyle w:val="FootnoteAnchor"/>
          <w:rtl w:val="true"/>
        </w:rPr>
        <w:footnoteReference w:id="675"/>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وظیفة العرف تتحدّد فی تشخیص المعانی و المفاهیم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تطبیقها فمرتبط بالعقل و لا یرتبط بالعرف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الإمام الراحل قدّس سرّه </w:t>
      </w:r>
      <w:r>
        <w:rPr>
          <w:rStyle w:val="FootnoteAnchor"/>
          <w:rtl w:val="true"/>
        </w:rPr>
        <w:footnoteReference w:id="676"/>
      </w:r>
      <w:r>
        <w:rPr>
          <w:rFonts w:ascii="IRNazanin" w:hAnsi="IRNazanin" w:eastAsia="IRNazanin"/>
          <w:color w:val="111111"/>
          <w:sz w:val="28"/>
          <w:sz w:val="28"/>
          <w:szCs w:val="28"/>
          <w:rtl w:val="true"/>
          <w:lang w:bidi="fa-IR"/>
        </w:rPr>
        <w:t>خالف الآخوند قدّس سرّه فی هذا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یستفاد من کلمات النراقی قدّس سرّه فی المستند أنّه کما یستفاد من العرف فی مجال تشخیص المعانی و المفاهیم، کذلک یستفاد منه فی تطبیق و بیان المصادیق أیضا،حیث قال</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الألفاظ تحمل علی المصداقات العرفیّة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bookmarkStart w:id="547" w:name="pg5439_46946"/>
    </w:p>
    <w:p>
      <w:pPr>
        <w:pStyle w:val="BookText"/>
        <w:rPr/>
      </w:pPr>
      <w:bookmarkEnd w:id="547"/>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یستفاد من مجموع کلمات النراقی قدّس سرّه أنّه یری حجّیة مفهوم الشرط و الغایة من بین المفاهیم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مفهوم العدد أو الوصف فلا یراه حجّة،و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دلّت بمفهوم الشرط علی حرمة النظر إذا لم یرد تزوّجها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یقول فی مکان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الرابع بأنّ المفهوم إمّا عددیّ،أو وصفیّ،و شیء منهما لیس بحجّة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8" w:name="__RefHeading___Toc1856242_581953129"/>
      <w:bookmarkStart w:id="549" w:name="_Toc206"/>
      <w:bookmarkEnd w:id="548"/>
      <w:r>
        <w:rPr/>
        <w:t>2</w:t>
      </w:r>
      <w:r>
        <w:rPr>
          <w:rtl w:val="true"/>
        </w:rPr>
        <w:t>-</w:t>
      </w:r>
      <w:r>
        <w:rPr>
          <w:rtl w:val="true"/>
        </w:rPr>
        <w:t>الاستفادة من آیات الأحکام فی الفقه</w:t>
      </w:r>
      <w:bookmarkEnd w:id="549"/>
    </w:p>
    <w:p>
      <w:pPr>
        <w:pStyle w:val="BookText"/>
        <w:rPr/>
      </w:pPr>
      <w:r>
        <w:rPr>
          <w:rFonts w:ascii="IRNazanin" w:hAnsi="IRNazanin" w:eastAsia="IRNazanin"/>
          <w:color w:val="111111"/>
          <w:sz w:val="28"/>
          <w:sz w:val="28"/>
          <w:szCs w:val="28"/>
          <w:rtl w:val="true"/>
          <w:lang w:bidi="fa-IR"/>
        </w:rPr>
        <w:t>من الامور الأساسیّة و المهمّة جدّا هو أن یکون الفقیه مسلّطا و محیطا بمفاهیم القرآن الکریم و آیاته الشریفة قبل مراجعة أیّ مرجع و مصدر للأحکام الشرعیّة، حیث إنّ فهم آیات الأحکام تعین الفقیه کثیرا فی التوصّل إلی الواقع،و التعرّف علی الأوامر الإلهیّة،و یلاحظ فی بعض الکتب الفقهیّة؛أنّها قبل الورود فی دائرة الأدلّة و ذکر الأقوال تقوم بالتحقیق فی مدلول الآیات المربوطة بذلک الباب،و من الواضح أنّه کلّما کان الفقیه متبحّرا و متعمّقا فی آیات الأحکام؛فإنّ طریق الاستنباط سیضحی سهلا و میسورا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جهة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کلّما لم یهتمّ الفقیه بهذا المنبع الفقهی و الاجتهادی، تباعد عنه التوصّل إلی الحکم الشرعی،و کان مسیره فی عملیّة الاستنباط أبطأ</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 ملاحظة هذا الأمر؛و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الأخباریّین لا یرون حجّیة ظواهر الآیات القرآنیّة،و یرون کفایة الروایات فی عملیّة الاستنباط؛فإنّهم یعجزون أبدا عن إیجاد الحلول،و الإجابة علی المشکلات الفقهیّة،و بذلک یکون لدیهم فقه جامد و متحجّر،و لکن من خصوصیّات النراقی قدّس سرّه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توجّهه الخاصّ</w:t>
      </w:r>
    </w:p>
    <w:p>
      <w:pPr>
        <w:pStyle w:val="BookText"/>
        <w:rPr/>
      </w:pPr>
      <w:r>
        <w:rPr>
          <w:rFonts w:ascii="IRNazanin" w:hAnsi="IRNazanin" w:eastAsia="IRNazanin"/>
          <w:color w:val="111111"/>
          <w:sz w:val="28"/>
          <w:sz w:val="28"/>
          <w:szCs w:val="28"/>
          <w:rtl w:val="true"/>
          <w:lang w:bidi="fa-IR"/>
        </w:rPr>
        <w:t>و العمیق لآیات الأحکام،و الاستدلال بها فی أبعاد متنوّعة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لا بدّ من الإشارة إلی ثلاثة مطالب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من الخصوصیّات المشاهدة فی منهج استنباط النراقی 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الضروری للفقهاء المحترمین الالتفات إلیها،و لها نتائج و آثار مهمّة فی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هناک عناوین کلّیة مذکورة فی الآیات الشریفة،فلو ورد فی روایة أو روایات مصادیق لتلک المفاهیم،فهذا الأمر لا یستوجب أن یفقد ذلک المفهوم الکلّی کلّیّته،و ینحصر مفاده بالمصداق المذکور فی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ذکر مصداق لمفهوم کلّی لا یستوجب أن یفقد ذلک المفهوم الکلّی معناه اللغویّ و العرفیّ فی مقام الاستنباط،و بالتالی یتحدّد بالمعنی اللغوی للمصداق،مثلا ما ورد فی الآیة الشریفة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النّاسِ مَنْ یَشْتَرِی لَهْوَ الْحَدِیثِ لِیُضِلَّ عَنْ سَبِیلِ اللّهِ بِغَیْرِ عِلْمٍ وَ یَتَّخِذَها هُزُواً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فحسب ما ورد فی بعض الروایات </w:t>
      </w:r>
      <w:r>
        <w:rPr>
          <w:rStyle w:val="FootnoteAnchor"/>
          <w:rtl w:val="true"/>
        </w:rPr>
        <w:footnoteReference w:id="681"/>
      </w:r>
      <w:r>
        <w:rPr>
          <w:rFonts w:ascii="IRNazanin" w:hAnsi="IRNazanin" w:eastAsia="IRNazanin"/>
          <w:color w:val="111111"/>
          <w:sz w:val="28"/>
          <w:sz w:val="28"/>
          <w:szCs w:val="28"/>
          <w:rtl w:val="true"/>
          <w:lang w:bidi="fa-IR"/>
        </w:rPr>
        <w:t>الموجودة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فسّر بالغناء،و لکنّ النراقی یقول فی هذا المجال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بالغناء لا یوجب الاکتفاء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لغة و عرفا من دون توجّه إلی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کذلک،بل اللازم تفسیر الغناء المحرّم مع ملاحظة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أیضا لغة و عرفا؛أی نفتی بحرمة الغناء من حیث إنّه باطل و لهو عرفا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حین أنّ بعض الفقهاء </w:t>
      </w:r>
      <w:r>
        <w:rPr>
          <w:rStyle w:val="FootnoteAnchor"/>
          <w:rtl w:val="true"/>
        </w:rPr>
        <w:footnoteReference w:id="683"/>
      </w:r>
      <w:r>
        <w:rPr>
          <w:rFonts w:ascii="IRNazanin" w:hAnsi="IRNazanin" w:eastAsia="IRNazanin"/>
          <w:color w:val="111111"/>
          <w:sz w:val="28"/>
          <w:sz w:val="28"/>
          <w:szCs w:val="28"/>
          <w:rtl w:val="true"/>
          <w:lang w:bidi="fa-IR"/>
        </w:rPr>
        <w:t>أفتی بحرمة مطلق الغناء فی هذا المورد،و هذا إنّما</w:t>
      </w:r>
    </w:p>
    <w:p>
      <w:pPr>
        <w:pStyle w:val="BookText"/>
        <w:rPr/>
      </w:pPr>
      <w:r>
        <w:rPr>
          <w:rFonts w:ascii="IRNazanin" w:hAnsi="IRNazanin" w:eastAsia="IRNazanin"/>
          <w:color w:val="111111"/>
          <w:sz w:val="28"/>
          <w:sz w:val="28"/>
          <w:szCs w:val="28"/>
          <w:rtl w:val="true"/>
          <w:lang w:bidi="fa-IR"/>
        </w:rPr>
        <w:t>هو من جهة أنّه لم یأخذ بنظر الاعتبار هذه الخصوصیّة فی معنی الغناء،و المفهوم اللغوی و العرفی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 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الملاحظة الاخری فی هذا المجال أنّ النراقی قد أخذها بعین الاعتبار،و 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حرمة الغناء المأخوذة من هذه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إلی صدق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لهو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یجب أن یصدق عنوان لِیُضِلَّ عَنْ سَبِیلِ اللّهِ بِغَیْرِ عِلْمٍ وَ یَتَّخِذَها هُزُواً أیضا،و لا تدلّ الآیة علی حرمة غیر ذلک،یقول النراقی قدّس سرّه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لا تدلّ علی حرمة غیر ذلک ممّا یتّخذ الرقیق القلب لذکر الجنّة،و یهیج الشوق إلی العالم الأعلی،و تأثیر القرآن و الدّعاء فی القلوب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هذا الأساس یستفاد من منهج النراقی فی عملیّة الاستدلال؛بأنّه إذا کان هناک مفهوم فی الآیة الشریفة قد فسّر بمفهوم آخر،فنستنتج أنّ المفهوم الثانی لیس مفهوما مستقلاّ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تمّ تفسیره بالغناء،نفهم بأنّ الغناء لیس حراما مستقلاّ،بل فی ظلّ مفهوم آخر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من التحقیق فی معناه و مفهومه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نظیر هذا المطلب ما ورد فی الآیة الکریمة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فَاجْتَنِبُوا الرِّجْسَ مِنَ الْأَوْثانِ وَ اجْتَنِبُوا قَوْلَ الزُّورِ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فسّرت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الزور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بعض الروایات </w:t>
      </w:r>
      <w:r>
        <w:rPr>
          <w:rStyle w:val="FootnoteAnchor"/>
          <w:rtl w:val="true"/>
        </w:rPr>
        <w:footnoteReference w:id="686"/>
      </w:r>
      <w:r>
        <w:rPr>
          <w:rFonts w:ascii="IRNazanin" w:hAnsi="IRNazanin" w:eastAsia="IRNazanin"/>
          <w:color w:val="111111"/>
          <w:sz w:val="28"/>
          <w:sz w:val="28"/>
          <w:szCs w:val="28"/>
          <w:rtl w:val="true"/>
          <w:lang w:bidi="fa-IR"/>
        </w:rPr>
        <w:t>بالغناء</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یری النراقی قدّس سرّه أنّ هذا الأمر یجب أن یتمّ مع حفظ المعنی اللغوی و العرفی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الزور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الباطل و الکذب و التهمة،و بما أنّ عنوان الباطل و الکذب</w:t>
      </w:r>
      <w:bookmarkStart w:id="550" w:name="pg5439_46949"/>
    </w:p>
    <w:p>
      <w:pPr>
        <w:pStyle w:val="BookText"/>
        <w:rPr/>
      </w:pPr>
      <w:bookmarkEnd w:id="550"/>
      <w:r>
        <w:rPr>
          <w:rFonts w:ascii="IRNazanin" w:hAnsi="IRNazanin" w:eastAsia="IRNazanin"/>
          <w:color w:val="111111"/>
          <w:sz w:val="28"/>
          <w:sz w:val="28"/>
          <w:szCs w:val="28"/>
          <w:rtl w:val="true"/>
          <w:lang w:bidi="fa-IR"/>
        </w:rPr>
        <w:t>لا یصدق علی قراءة القرآن،و الأدعیة،و المواعظ،و المراثی،فلذلک لا یمکن اعتبارها من موارد الغناء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المطلب 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یستند النراقی قدّس سرّه فی بعض المسائل الفقهیّة علی القرآن الکریم،باعتباره الدلیل الوحید،أو العمدة فی فتواه،مثلا فی مسألة هل یجب الترتیب فی أعمال منی الثلاثة،أم لا؟یری النراقی قدّس سرّه عدم الوجوب،و بعد مناقشة دلالة الروایات الموجودة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العمدة فی الدلیل هو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تَحْلِقُوا رُؤُسَکُمْ حَتّی یَبْلُغَ الْهَدْیُ مَحِلَّهُ </w:t>
      </w:r>
      <w:r>
        <w:rPr>
          <w:rStyle w:val="FootnoteAnchor"/>
          <w:rtl w:val="true"/>
        </w:rPr>
        <w:footnoteReference w:id="6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فرغم أنّ الآیة المذکورة و إن دلّت علی وجوب تأخیر الحلق عن بلوغ الهدی محلّه،إلاّ أنّ کون بلوغ الهدی محلّه هو الذبح غیر معلوم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المطلب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رغم أنّ القرآن الکریم یمکن حمله علی معان کثیرة بخلاف بقیّة المتون الاخری،إلاّ أنّ هذا لا یعنی أنّه یمکن الاستدلال بجمیع تلک المعانی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یذکر النراقی قدّس سرّه هذا المعنی فی مستنده فی مقابل صاحب الحدائق </w:t>
      </w:r>
      <w:r>
        <w:rPr>
          <w:rStyle w:val="FootnoteAnchor"/>
          <w:rtl w:val="true"/>
        </w:rPr>
        <w:footnoteReference w:id="689"/>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إمکان تفسیر الآیة بالأمرین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لکون القرآن دلولا ذا وجوه فلا تعارض،کلام خال عن التحصیل؛لأنّ المراد أنّه یمکن حمله علی معان کثیرة لا أن یستدلّ بالجمیع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1" w:name="__RefHeading___Toc1856244_581953129"/>
      <w:bookmarkStart w:id="552" w:name="_Toc207"/>
      <w:bookmarkEnd w:id="551"/>
      <w:r>
        <w:rPr/>
        <w:t>3</w:t>
      </w:r>
      <w:r>
        <w:rPr>
          <w:rtl w:val="true"/>
        </w:rPr>
        <w:t>-</w:t>
      </w:r>
      <w:r>
        <w:rPr>
          <w:rtl w:val="true"/>
        </w:rPr>
        <w:t>فقه الحدیث،و مسألة الجمع بین الروایات</w:t>
      </w:r>
      <w:bookmarkEnd w:id="552"/>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الامور المهمّة فی منهج الاستنباط لدی الفقهاء،هی الدقّة فی مدلول</w:t>
      </w:r>
    </w:p>
    <w:p>
      <w:pPr>
        <w:pStyle w:val="BookText"/>
        <w:rPr/>
      </w:pPr>
      <w:r>
        <w:rPr>
          <w:rFonts w:ascii="IRNazanin" w:hAnsi="IRNazanin" w:eastAsia="IRNazanin"/>
          <w:color w:val="111111"/>
          <w:sz w:val="28"/>
          <w:sz w:val="28"/>
          <w:szCs w:val="28"/>
          <w:rtl w:val="true"/>
          <w:lang w:bidi="fa-IR"/>
        </w:rPr>
        <w:t>الروایات،و فهم المراد و المقصود الواقعی منها،و لا شکّ أنّ الکثیر من الروایات الموجودة فی المصادر الفقهیّة،هی من نوع النقل بالمضمون،و لا توجد الألفاظ التی تکلّم بها الإمام علیه السّلام بعینها،و هذا الأمر هو أحد الأسباب فی التعارض الظاهری بین الروایات،إلاّ أنّ بعض الفقهاء ذهبوا إلی أنّ العبارات الواردة فی الروایات بمثابة النقل بالمعنی و المضمون،فلا ینبغی التدقیق کثیرا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مقابل ذلک،نری أنّ بعض الفقهاء یتحرّکون فی عملیّة الاستنباط،و المنهج الفقاهتی حول هذا المحور،و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یجب التدقیق و التدبّر فی تعبیرات و ألفاظ هذه الروایات بعنوان أنّها حجّة علی الفقیه،ففی بعض الموارد یؤدّی التدقیق فی المدلول إلی أن یزول التعارض الظاهری بین روایتین،و الکثیر من أشکال الجمع العرفی مبتن علی هذا الأساس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فالإتقان فی عملیّة الاجتهاد و الاستنباط یدور مدار الفهم الدقیق للروایات،و التوجّه الصحیح لمدلولها،و لأجل توضیح هذا الأمر أکثر،نشیر إلی عدّة خصائص مهمّة فی هذا المجال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یجب علی الفقیه فی الموارد التی تکون فیها الروایة واضحة الدلالة اجتناب التأویلات الباردة،و الحمل علی المعنی النادر،و المخالف للظاهر،و قد التفت إلی هذا الأمر النراقی فی منهجه الاستنباطی بصورة جیّدة،ففی مسألة هل یجوز للمرأة أن تحتلّ منصب القضاء،أم لا؟روایات لها ظهور واضح فی عدم جواز ذلک،قد استند علیها فی فتواه،و أفتی بأنّ المرأة لا یمکنها أن تکون قاضیة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 الفقیه استعمال الدقّة فی تعامله مع الروایات،و هل أنّ هذه الروایة فی مقام إنشاء الحکم،أو الإخبار به؟فلو کانت فی موقع الإخبار،لا یمکن بأیّ وجه الاستناد علیها فی مقام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 الفقیه التدقیق و التدبّر فی أنّه هل ورد الحدیث الحکمی بعنوان القضیّة الحقیقیّة،أو بعنوان القضیّة الخارجیّة؟</w:t>
      </w:r>
    </w:p>
    <w:p>
      <w:pPr>
        <w:pStyle w:val="BookText"/>
        <w:rPr/>
      </w:pPr>
      <w:r>
        <w:rPr>
          <w:rFonts w:ascii="IRNazanin" w:hAnsi="IRNazanin" w:eastAsia="IRNazanin"/>
          <w:color w:val="111111"/>
          <w:sz w:val="28"/>
          <w:sz w:val="28"/>
          <w:szCs w:val="28"/>
          <w:rtl w:val="true"/>
          <w:lang w:bidi="fa-IR"/>
        </w:rPr>
        <w:t>و فی هذه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هل یجب الذبح فی منی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نری أنّ النراقی قدّس سرّه بعد أن یذکر الإجماع،و الروایات الکثیرة،یشیر إلی روایة تدلّ علی أنّ هدی الإمام علیه السّلام قد کان فی غیر منی،و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الروایة لا یمکن أن تکون معارضة للروایات الاخر؛لأنّها تحمل عنوان القضیّة الخاصّة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القضیّة فی واقعة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أضاف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القضایا فی الوقائع لا تفید عموما و لا إطلاقا </w:t>
      </w:r>
      <w:r>
        <w:rPr>
          <w:rStyle w:val="FootnoteAnchor"/>
          <w:rtl w:val="true"/>
        </w:rPr>
        <w:footnoteReference w:id="692"/>
      </w:r>
      <w:r>
        <w:rPr>
          <w:rFonts w:ascii="IRNazanin" w:hAnsi="IRNazanin" w:eastAsia="IRNazanin"/>
          <w:color w:val="111111"/>
          <w:sz w:val="28"/>
          <w:sz w:val="28"/>
          <w:szCs w:val="28"/>
          <w:rtl w:val="true"/>
          <w:lang w:bidi="fa-IR"/>
        </w:rPr>
        <w:t>أی أنّ القضیّة الخاصّة لا یکون لها عموم و لا إطلاق حتّی یمکن استنباط حکم کلّی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أحد التوجیهات المذکورة للروایة الواردة عن أمیر المؤمنین علیه السّلام فی شأن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النساء نواقص العقول </w:t>
      </w:r>
      <w:r>
        <w:rPr>
          <w:rStyle w:val="FootnoteAnchor"/>
          <w:rtl w:val="true"/>
        </w:rPr>
        <w:footnoteReference w:id="6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هذا المعنی،یعنی لعلّها کانت من قبیل القضیّة الخارجیّة،فمن الطبیعی أن تکون محدودة بنساء فی زمن خاصّ، فلا تشمل جمیع النساء إلی یوم القیامة علی أساس من القضیّة الحقیقیّة،رغم أنّ التعبیر الوارد فی ذیل هذه الروایة مبعّد لهذا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الفقیه فی الوقت الذی یکون ملزما بالتمسّک بالدلیل،لا یتمکّن فی بعض الموارد من الجمود علی ظاهر الروایات،و هذه الخصوصیّة مشاهدة فی منهج النراقی قدّس سرّه فی عدّة موارد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أراد شخص أن یبیع فی عقد واحد شیئا بثمن نقدا،و بثمن آخر نسیئة،فالمشهور قائل بالبطلان،کالشیخ الطوسی قدّس سرّه فی المبسوط </w:t>
      </w:r>
      <w:r>
        <w:rPr>
          <w:rStyle w:val="FootnoteAnchor"/>
          <w:rtl w:val="true"/>
        </w:rPr>
        <w:footnoteReference w:id="69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الحلبی </w:t>
      </w:r>
      <w:r>
        <w:rPr>
          <w:rStyle w:val="FootnoteAnchor"/>
          <w:rtl w:val="true"/>
        </w:rPr>
        <w:footnoteReference w:id="695"/>
      </w:r>
      <w:r>
        <w:rPr>
          <w:rFonts w:ascii="Amiri" w:hAnsi="Amiri" w:eastAsia="Amiri" w:cs="Amiri"/>
          <w:color w:val="111111"/>
          <w:sz w:val="28"/>
          <w:sz w:val="28"/>
          <w:szCs w:val="28"/>
          <w:rtl w:val="true"/>
          <w:lang w:bidi="ar-SA"/>
        </w:rPr>
        <w:t xml:space="preserve">و الحلّی </w:t>
      </w:r>
      <w:r>
        <w:rPr>
          <w:rStyle w:val="FootnoteAnchor"/>
          <w:rtl w:val="true"/>
        </w:rPr>
        <w:footnoteReference w:id="696"/>
      </w:r>
      <w:r>
        <w:rPr>
          <w:rFonts w:ascii="Amiri" w:hAnsi="Amiri" w:eastAsia="Amiri" w:cs="Amiri"/>
          <w:color w:val="111111"/>
          <w:sz w:val="28"/>
          <w:sz w:val="28"/>
          <w:szCs w:val="28"/>
          <w:rtl w:val="true"/>
          <w:lang w:bidi="ar-SA"/>
        </w:rPr>
        <w:t xml:space="preserve">و ابن زهرة </w:t>
      </w:r>
      <w:r>
        <w:rPr>
          <w:rStyle w:val="FootnoteAnchor"/>
          <w:rtl w:val="true"/>
        </w:rPr>
        <w:footnoteReference w:id="697"/>
      </w:r>
      <w:r>
        <w:rPr>
          <w:rFonts w:ascii="IRNazanin" w:hAnsi="IRNazanin" w:eastAsia="IRNazanin"/>
          <w:color w:val="111111"/>
          <w:sz w:val="28"/>
          <w:sz w:val="28"/>
          <w:szCs w:val="28"/>
          <w:rtl w:val="true"/>
          <w:lang w:bidi="fa-IR"/>
        </w:rPr>
        <w:t xml:space="preserve">و الفاضلین </w:t>
      </w:r>
      <w:r>
        <w:rPr>
          <w:rStyle w:val="FootnoteAnchor"/>
          <w:rtl w:val="true"/>
        </w:rPr>
        <w:footnoteReference w:id="698"/>
      </w:r>
      <w:r>
        <w:rPr>
          <w:rFonts w:ascii="Amiri" w:hAnsi="Amiri" w:eastAsia="Amiri" w:cs="Amiri"/>
          <w:color w:val="111111"/>
          <w:sz w:val="28"/>
          <w:sz w:val="28"/>
          <w:szCs w:val="28"/>
          <w:rtl w:val="true"/>
          <w:lang w:bidi="ar-SA"/>
        </w:rPr>
        <w:t xml:space="preserve">و الشهیدین قدّس سرّهم </w:t>
      </w:r>
      <w:r>
        <w:rPr>
          <w:rStyle w:val="FootnoteAnchor"/>
          <w:rtl w:val="true"/>
        </w:rPr>
        <w:footnoteReference w:id="699"/>
      </w:r>
      <w:r>
        <w:rPr>
          <w:rFonts w:ascii="IRNazanin" w:hAnsi="IRNazanin" w:eastAsia="IRNazanin"/>
          <w:color w:val="111111"/>
          <w:sz w:val="28"/>
          <w:sz w:val="28"/>
          <w:szCs w:val="28"/>
          <w:rtl w:val="true"/>
          <w:lang w:bidi="fa-IR"/>
        </w:rPr>
        <w:t xml:space="preserve">،و الدلیل علی ذلک الجهالة الواقعیّة للثمن،و فی هذا المورد ثلاث روایات </w:t>
      </w:r>
      <w:r>
        <w:rPr>
          <w:rStyle w:val="FootnoteAnchor"/>
          <w:rtl w:val="true"/>
        </w:rPr>
        <w:footnoteReference w:id="700"/>
      </w:r>
      <w:r>
        <w:rPr>
          <w:rFonts w:ascii="IRNazanin" w:hAnsi="IRNazanin" w:eastAsia="IRNazanin"/>
          <w:color w:val="111111"/>
          <w:sz w:val="28"/>
          <w:sz w:val="28"/>
          <w:szCs w:val="28"/>
          <w:rtl w:val="true"/>
          <w:lang w:bidi="fa-IR"/>
        </w:rPr>
        <w:t>،و قد جاء التعبیر فی اثنین منها النهی عن بیعین فی بیع،أو شرطین فی بیع،مثلا جاء فی روایة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نهی رسول اللّه صلّی اللّه علیه و اله عن سلف و بیع،و عن بیعین فی بیع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فسّر بعض الفقهاء </w:t>
      </w:r>
      <w:r>
        <w:rPr>
          <w:rStyle w:val="FootnoteAnchor"/>
          <w:rtl w:val="true"/>
        </w:rPr>
        <w:footnoteReference w:id="702"/>
      </w:r>
      <w:r>
        <w:rPr>
          <w:rFonts w:ascii="IRNazanin" w:hAnsi="IRNazanin" w:eastAsia="IRNazanin"/>
          <w:color w:val="111111"/>
          <w:sz w:val="28"/>
          <w:sz w:val="28"/>
          <w:szCs w:val="28"/>
          <w:rtl w:val="true"/>
          <w:lang w:bidi="fa-IR"/>
        </w:rPr>
        <w:t>هذا الکلام بهذا التفسیر،و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البائع عیّن فی عقد واحد ثمن بضاعته للمشتری بثمن نقدا،و ثمن آخر نسیئة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النراقی قدّس سرّه یناقش کلتا هاتین الروایتین،و یجیب عنهما بأنّ هاتین الروایتین لم یرد فیهما عنوانا مطلقا،أو کلّیا،و بالتالی یلزم منه ارتکاب التجوّز فی استعمال النهی أو فی المنهیّ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یستنتج من ذلک أنّ الروایة مجملة،و لا یصحّ الاستدلال بها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الامور التی ینفرد بها النراقی قدّس سرّه،و علی الأقلّ أنّه الوحید الذی صرّح بها،هی أنّه لا یصحّ الاکتفاء فی فهم الروایة بمواد الألفاظ،و التراکیب اللفظیّة المستعملة فیها،بل یستفاد من بعض الامور الخارجة من الروایة کونها قرینة علی المدلول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فی مسألة کون أحد محرّمات الإحرام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لبس المخیط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إلی أنّ هذا العنوان لیس له دلیل من الإجماع علی أنّه بنحو کلّی و مطلق،و الروایات قاصرة من حیث الدلالة،إلاّ أن یستفاد من الإجماع لیکون قرینة علی المراد،فقال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الکلّ قاصرة عن إفادة الحرمة؛لمکان الجملة الخبریّة،أو المحتملة لها، أو ما یحتمل أن یکون المفهوم فیه انتفاء الإباحة بالمعنی الأخصّ،فالمناط فیها الإجماع،إلاّ أن یجعل الإجماع قرینة علی إرادة الحرمة،و هو کذلک،فتکون تلک الأخبار أیضا مثبتة للحرمة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فکما صرّح،جعل الإجماع قرینة علی مدلول الروایة،فی حین أنّ الفقهاء الآخرین یرون أنّ الإجماع دلیل مستقلّ علی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الامور التی تبیّن أنّ الفقیه متبحّر فی الفقه،هی مسألة الجمع بین الروایات المختلفة فی دلالتها،و هذا المعنی یصدق بالنسبة للشیخ النراقی قدّس سرّه،مثلا فی مسألة الفصل بین العمرتین و مقداره،هناک أربع طوائف من الروایات یبحثها النراقی قدّس سرّه،و أخیرا یصل إلی هذه النتیجة،و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بالإمکان الإتیان بعمرة واحدة کلّ عشرة أیّام،و قد ناقش النراقی قدّس سرّه فی بعض روایات الباب،بالرغم من صحّة سندها،و لم یقبلها لکونها شاذّة،و ردّ البعض الآخر لکونها موافقة للعامّة،و أعمل نظره فی دلالة الطائفة الثالثة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هکذا بالنسبة إلی محرّمات الإحرام،فلا یری مطلق لبس المخیط من المحرّمات،بل اکتفی بما ورد فی الروایات من عناوین و مصادیق،من قبیل القمیص، و السروال و القباء و الثوب المزرّر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حین أنّه فی باب صلاة المسافر،و فی شرائط القصر،یتجاوز العناوین العشرة المذکورة فی الروایات </w:t>
      </w:r>
      <w:r>
        <w:rPr>
          <w:rStyle w:val="FootnoteAnchor"/>
          <w:rtl w:val="true"/>
        </w:rPr>
        <w:footnoteReference w:id="707"/>
      </w:r>
      <w:r>
        <w:rPr>
          <w:rFonts w:ascii="IRNazanin" w:hAnsi="IRNazanin" w:eastAsia="IRNazanin"/>
          <w:color w:val="111111"/>
          <w:sz w:val="28"/>
          <w:sz w:val="28"/>
          <w:szCs w:val="28"/>
          <w:rtl w:val="true"/>
          <w:lang w:bidi="fa-IR"/>
        </w:rPr>
        <w:t>لمن یتمّ صلاته،کالمکاری،و الکریّ،و الراعی، و الاشتقاق،و الملاّح،و البرید،و الأعراب،و الجابی،و الأمیر،و التاجر؛لأنّ الوارد فی التعبیر هو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عملهم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بمثابة العلّة المنصوصة،رغم وجود اختلاف فی مرجع الضمیر فیها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 للفقیه التدقیق و التدبّر فی المضامین و التعابیر الموجودة فی الروایات،ففی باب الغناء حول تقبیح و ذمّ هذا العمل وردت عبارات کثیرة فی الروایات،بحیث إنّ کثیرا من الفقهاء استنتج حرمة هذا العمل من عبارة واحدة، أو من مجموعها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العبارة التی تقول بأنّ بیت الغناء لا تؤمن فیه الفجیعة، و لا تجاب فیه الدعوة،و لا یدخله الملک </w:t>
      </w:r>
      <w:r>
        <w:rPr>
          <w:rStyle w:val="FootnoteAnchor"/>
          <w:rtl w:val="true"/>
        </w:rPr>
        <w:footnoteReference w:id="709"/>
      </w:r>
      <w:r>
        <w:rPr>
          <w:rFonts w:ascii="IRNazanin" w:hAnsi="IRNazanin" w:eastAsia="IRNazanin"/>
          <w:color w:val="111111"/>
          <w:sz w:val="28"/>
          <w:sz w:val="28"/>
          <w:szCs w:val="28"/>
          <w:rtl w:val="true"/>
          <w:lang w:bidi="fa-IR"/>
        </w:rPr>
        <w:t xml:space="preserve">،أو أنّه یورث النفاق </w:t>
      </w:r>
      <w:r>
        <w:rPr>
          <w:rStyle w:val="FootnoteAnchor"/>
          <w:rtl w:val="true"/>
        </w:rPr>
        <w:footnoteReference w:id="710"/>
      </w:r>
      <w:r>
        <w:rPr>
          <w:rFonts w:ascii="IRNazanin" w:hAnsi="IRNazanin" w:eastAsia="IRNazanin"/>
          <w:color w:val="111111"/>
          <w:sz w:val="28"/>
          <w:sz w:val="28"/>
          <w:szCs w:val="28"/>
          <w:rtl w:val="true"/>
          <w:lang w:bidi="fa-IR"/>
        </w:rPr>
        <w:t xml:space="preserve">،أو یحشر صاحب الغناء یوم القیامة أعمی و أخرس و أبکم </w:t>
      </w:r>
      <w:r>
        <w:rPr>
          <w:rStyle w:val="FootnoteAnchor"/>
          <w:rtl w:val="true"/>
        </w:rPr>
        <w:footnoteReference w:id="711"/>
      </w:r>
      <w:r>
        <w:rPr>
          <w:rFonts w:ascii="Amiri" w:hAnsi="Amiri" w:eastAsia="Amiri" w:cs="Amiri"/>
          <w:color w:val="111111"/>
          <w:sz w:val="28"/>
          <w:sz w:val="28"/>
          <w:szCs w:val="28"/>
          <w:rtl w:val="true"/>
          <w:lang w:bidi="ar-SA"/>
        </w:rPr>
        <w:t xml:space="preserve">،أو أنّ اللّه یعرض عنه </w:t>
      </w:r>
      <w:r>
        <w:rPr>
          <w:rStyle w:val="FootnoteAnchor"/>
          <w:rtl w:val="true"/>
        </w:rPr>
        <w:footnoteReference w:id="712"/>
      </w:r>
      <w:r>
        <w:rPr>
          <w:rFonts w:ascii="IRNazanin" w:hAnsi="IRNazanin" w:eastAsia="IRNazanin"/>
          <w:color w:val="111111"/>
          <w:sz w:val="28"/>
          <w:sz w:val="28"/>
          <w:szCs w:val="28"/>
          <w:rtl w:val="true"/>
          <w:lang w:bidi="fa-IR"/>
        </w:rPr>
        <w:t xml:space="preserve">،أو أنّه یورث الفقر </w:t>
      </w:r>
      <w:r>
        <w:rPr>
          <w:rStyle w:val="FootnoteAnchor"/>
          <w:rtl w:val="true"/>
        </w:rPr>
        <w:footnoteReference w:id="7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النراقی،فیری أنّ هذه التعابیر لا تدلّ علی الحرمة،بدلیل أنّ مثل هذه العبارات وردت فی المکروهات أیضا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bookmarkStart w:id="553" w:name="pg5439_46955"/>
    </w:p>
    <w:p>
      <w:pPr>
        <w:pStyle w:val="Heading3"/>
        <w:numPr>
          <w:ilvl w:val="2"/>
          <w:numId w:val="1"/>
        </w:numPr>
        <w:rPr/>
      </w:pPr>
      <w:bookmarkStart w:id="554" w:name="__RefHeading___Toc1856246_581953129"/>
      <w:bookmarkStart w:id="555" w:name="_Toc208"/>
      <w:bookmarkEnd w:id="553"/>
      <w:bookmarkEnd w:id="554"/>
      <w:r>
        <w:rPr/>
        <w:t>4</w:t>
      </w:r>
      <w:r>
        <w:rPr>
          <w:rtl w:val="true"/>
        </w:rPr>
        <w:t>-</w:t>
      </w:r>
      <w:r>
        <w:rPr>
          <w:rtl w:val="true"/>
        </w:rPr>
        <w:t>الاهتمام و العنایة بالقواعد الفقهیّة</w:t>
      </w:r>
      <w:bookmarkEnd w:id="555"/>
    </w:p>
    <w:p>
      <w:pPr>
        <w:pStyle w:val="BookText"/>
        <w:rPr/>
      </w:pPr>
      <w:r>
        <w:rPr>
          <w:rFonts w:ascii="IRNazanin" w:hAnsi="IRNazanin" w:eastAsia="IRNazanin"/>
          <w:color w:val="111111"/>
          <w:sz w:val="28"/>
          <w:sz w:val="28"/>
          <w:szCs w:val="28"/>
          <w:rtl w:val="true"/>
          <w:lang w:bidi="fa-IR"/>
        </w:rPr>
        <w:t>من الامور التی لها تأثیر کبیر فی الفقه بدون شکّ؛هی القواعد الفقهیّة،و هی مستقلّة عن علم الاصول تماما،و لا مناقشة فی أنّ جمیع الفقهاء استعانوا فی بحوثهم الفقهیّة ببعض القواعد،و لکنّ المهمّ هنا هو المفهوم الذی یحمله الفقیه عن القاعدة الفقهیّة،و تحلیله عنها،حیث إنّ هذا التحلیل له تأثیر هامّ علی کیفیّة الاستنباط لدی 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النراقی قدّس سرّه علی خلاف مشهور الفقهاء </w:t>
      </w:r>
      <w:r>
        <w:rPr>
          <w:rStyle w:val="FootnoteAnchor"/>
          <w:rtl w:val="true"/>
        </w:rPr>
        <w:footnoteReference w:id="7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یستفیدون من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الوضعیّ فی باب الضمان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 أنّها لا تدلّ علی الحکم الوضعی بأیّ وجه،بل تدلّ علی الحکم التکلیفی فقط،و هو عبارة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هذه القاعدة تدلّ أنّه لو کان لدی الإنسان مال لغیره حصل علیه من طریق غیر مشروع،وجب علیه إرجاعه إلی صاحبه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الواضح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هذه القاعدة تستخدم فی کثیر من الموارد فی الفقه لإثبات الضمان،و مع هذا التحلیل و التفسیر لا یبقی لها صلاحیّة للاستدلال بها علی وجوب 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النکتة الاخری فی هذا الموضوع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بعض الفقهاء لهم رؤیة محدودة بالنسبة لبعض القواعد الفقهیّة،فیجرونها فی بعض الموارد،فی حین أنّ نفس تلک القاعدة فی نظر فقهاء آخرین تتّسع فی دائرة شمولیّتها و استیعابها،مثلا یلاحظ هذا المعنی فی 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فبالنسبة إلی لزوم الاستطاعة السربیّة،یستعین النراقی قدّس سرّه بقاعدة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العسر و الحرج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الإجماع المحصّل و المنقول،و الکثیر</w:t>
      </w:r>
      <w:bookmarkStart w:id="556" w:name="pg5439_46956"/>
    </w:p>
    <w:p>
      <w:pPr>
        <w:pStyle w:val="BookText"/>
        <w:rPr/>
      </w:pPr>
      <w:bookmarkEnd w:id="556"/>
      <w:r>
        <w:rPr>
          <w:rFonts w:ascii="IRNazanin" w:hAnsi="IRNazanin" w:eastAsia="IRNazanin"/>
          <w:color w:val="111111"/>
          <w:sz w:val="28"/>
          <w:sz w:val="28"/>
          <w:szCs w:val="28"/>
          <w:rtl w:val="true"/>
          <w:lang w:bidi="fa-IR"/>
        </w:rPr>
        <w:t>من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یکن الحجّ میسورا علی المکلّف،و کان یحتمل أن یبتلی فی الطریق بالسارق أو العدوّ،فهو غیر مستطیع،طبقا لقاعدة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هکذا فی مسألة الاستطاعة و لزوم اعتبار الزاد فی العودة إلی الوطن یقول النراقی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بالرغم من أنّ ظاهر الکتاب و السنّة یقتضی عدم الاعتبار،و لکن یمکن الحصول علی هذه النتیجة؛و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الأمر معتبر فی الاستطاعة من خلال 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ینقل الاستدلال الذی أورده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یری لزومه،حیث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النفوس تطلب الأوطان</w:t>
      </w:r>
      <w:r>
        <w:rPr>
          <w:rFonts w:eastAsia="IRNazanin" w:cs="IRNazanin"/>
          <w:color w:val="111111"/>
          <w:sz w:val="28"/>
          <w:szCs w:val="28"/>
          <w:rtl w:val="true"/>
          <w:lang w:bidi="fa-IR"/>
        </w:rPr>
        <w:t xml:space="preserve">»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یقول النراقی فی ردّ هذا الاستدلال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الطلب إن کان بحدّ یشقّ معه الترک، فکذلک،و إلاّ فلا یوجب الاشتراط،مع أنّ من الأشخاص من تساوی عنده البلاد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فیلاحظ أنّ هذا الفقیه المرموق کیف یوسّع من دائرة تطبیق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إنّه لو سئل هذا الأمر من فقهاء هذا الزمان،فلا أحد یری تأثیر حبّ الوطن و طلبه فی المسائل الشرعیّة،و حتّی فی الفقه المعاصر نری أنّه من الشائع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یمکنهما إثبات حکم من الأحکام،و إنّما یمکنهما رفع الحکم الموجود،و لکنّنا من خلال ما ذهب إلیه النراقی قدّس سرّه فی موارد مختلفة من الاستعانة بهذه القاعدة،نری أنّه لا یقول بالتفکیک بین هذین الأمرین</w:t>
      </w:r>
      <w:r>
        <w:rPr>
          <w:rFonts w:eastAsia="IRNazanin" w:cs="IRNazanin"/>
          <w:color w:val="111111"/>
          <w:sz w:val="28"/>
          <w:szCs w:val="28"/>
          <w:rtl w:val="true"/>
          <w:lang w:bidi="fa-IR"/>
        </w:rPr>
        <w:t>.</w:t>
      </w:r>
    </w:p>
    <w:p>
      <w:pPr>
        <w:pStyle w:val="Heading3"/>
        <w:numPr>
          <w:ilvl w:val="2"/>
          <w:numId w:val="1"/>
        </w:numPr>
        <w:rPr/>
      </w:pPr>
      <w:bookmarkStart w:id="557" w:name="__RefHeading___Toc1856248_581953129"/>
      <w:bookmarkStart w:id="558" w:name="_Toc209"/>
      <w:bookmarkEnd w:id="557"/>
      <w:r>
        <w:rPr/>
        <w:t>5</w:t>
      </w:r>
      <w:r>
        <w:rPr>
          <w:rtl w:val="true"/>
        </w:rPr>
        <w:t>-</w:t>
      </w:r>
      <w:r>
        <w:rPr>
          <w:rtl w:val="true"/>
        </w:rPr>
        <w:t>الشهرة،و الإجماع،و تأثیرهما فی طریقة الاستنباط</w:t>
      </w:r>
      <w:bookmarkEnd w:id="558"/>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النظریّة المتناغمة مع المشهور أو الإجماع لها أهمّیة خاصّة فی نظر</w:t>
      </w:r>
    </w:p>
    <w:p>
      <w:pPr>
        <w:pStyle w:val="BookText"/>
        <w:rPr/>
      </w:pPr>
      <w:r>
        <w:rPr>
          <w:rFonts w:ascii="IRNazanin" w:hAnsi="IRNazanin" w:eastAsia="IRNazanin"/>
          <w:color w:val="111111"/>
          <w:sz w:val="28"/>
          <w:sz w:val="28"/>
          <w:szCs w:val="28"/>
          <w:rtl w:val="true"/>
          <w:lang w:bidi="fa-IR"/>
        </w:rPr>
        <w:t>المتقدّمین،إلی درجة أنّ الشیخ الطوسی قدّس سرّه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دلیله فی الکثیر من المسائل الإجماع،و رغم وجود الاختلاف فی مبانی الإجماع أنّنا نأخذ بنظر الاعتبار هذه الحقیقة فی هذا البحث،و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کان منهج فقیه معیّن یقوم علی عدم الاعتناء و الاهتمام بالمشهور،أو موارد الإجماع،فمن الطبیعی أن تکون لفتاواه صبغة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النراقی قدّس سرّه کان شدید الاهتمام برأی المشهور،أو المطابق للإجماع،و من المحتمل أنّ الشیخ الأنصاری قدّس سرّه الذی کان یدافع دائما عن الرأی المشهور فی نظریّاته و آرائه الفقهیّة،قد استلهم ذلک من النراقی،و رغم أنّ النراقی قدّس سرّه أفتی فی بعض الموارد علی خلاف رأی المشهور و الإجماع،إلاّ أنّه سعی فی تأیید و دعم المشهور فی الکثیر من الموارد،مثلا فی مسألة عدم صحّة النیابة عن الکافر،نراه یناقش جمیع الأدلّة،رغم أنّها جیّدة حسب الظاهر،ثمّ یتمسّک فی هذه المسألة بالإجماع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هکذا نجده لا یقبل بالرأی المخالف للمشهور،لا سیّما إذا کانت الشهرة عظیمة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إن سلمت دلالته،و خلوّه عن المعارض،یکون مردودا بالشذوذ و مخالفة الشهرة العظیمة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یقول فی موضع آخر</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هذا،مع أنّ الکلّ علی فرض الدلالة مخالفة للشهرة القدیمة و الجدیدة،بل الإجماع،فعن حیّز الحجّیة خارجة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bookmarkStart w:id="559" w:name="pg5439_46958"/>
    </w:p>
    <w:p>
      <w:pPr>
        <w:pStyle w:val="BookText"/>
        <w:rPr/>
      </w:pPr>
      <w:bookmarkEnd w:id="559"/>
      <w:r>
        <w:rPr>
          <w:rFonts w:ascii="IRNazanin" w:hAnsi="IRNazanin" w:eastAsia="IRNazanin"/>
          <w:color w:val="111111"/>
          <w:sz w:val="28"/>
          <w:sz w:val="28"/>
          <w:szCs w:val="28"/>
          <w:rtl w:val="true"/>
          <w:lang w:bidi="fa-IR"/>
        </w:rPr>
        <w:t xml:space="preserve">بینما نجد فی منهج الفقهاء المعاصرین أنّ الکثیر من موارد الإجماع قد وضعت فی قفص المناقشة علی أساس کونها إجماعا مدرکیّا،أو محتملة المدرکیّة،و تدریجا بدأ الإجماع ینسحب من دائرة الدلیلیّة و الحجّیة و یخرج منها، فی حین أنّ النراقی قدّس سرّه لا یقبل بهذا المنهج فی الفقه </w:t>
      </w:r>
      <w:r>
        <w:rPr>
          <w:rStyle w:val="FootnoteAnchor"/>
          <w:rtl w:val="true"/>
        </w:rPr>
        <w:footnoteReference w:id="723"/>
      </w:r>
      <w:r>
        <w:rPr>
          <w:rFonts w:ascii="IRNazanin" w:hAnsi="IRNazanin" w:eastAsia="IRNazanin"/>
          <w:color w:val="111111"/>
          <w:sz w:val="28"/>
          <w:sz w:val="28"/>
          <w:szCs w:val="28"/>
          <w:rtl w:val="true"/>
          <w:lang w:bidi="fa-IR"/>
        </w:rPr>
        <w:t>،فالإجماع یحظی بأهمّیة و مکان رفیع فی نظره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النراقی قدّس سرّه فی بعض الموارد عندما ینقل الإجماع عن عدّة من الفقهاء،لا یلتزم بذلک الإجماع إذا قام الدلیل علی خلافه،و کذلک هناک بعض الموارد تکون فیها الروایة قاصرة الدلالة علی المطلوب،فیکون الإجماع بمثابة القرینة علی ذلک،و قد سبق بیانه</w:t>
      </w:r>
      <w:r>
        <w:rPr>
          <w:rFonts w:eastAsia="IRNazanin" w:cs="IRNazanin"/>
          <w:color w:val="111111"/>
          <w:sz w:val="28"/>
          <w:szCs w:val="28"/>
          <w:rtl w:val="true"/>
          <w:lang w:bidi="fa-IR"/>
        </w:rPr>
        <w:t>.</w:t>
      </w:r>
    </w:p>
    <w:p>
      <w:pPr>
        <w:pStyle w:val="Heading3"/>
        <w:numPr>
          <w:ilvl w:val="2"/>
          <w:numId w:val="1"/>
        </w:numPr>
        <w:rPr/>
      </w:pPr>
      <w:bookmarkStart w:id="560" w:name="__RefHeading___Toc1856250_581953129"/>
      <w:bookmarkStart w:id="561" w:name="_Toc210"/>
      <w:bookmarkEnd w:id="560"/>
      <w:r>
        <w:rPr/>
        <w:t>6</w:t>
      </w:r>
      <w:r>
        <w:rPr>
          <w:rtl w:val="true"/>
        </w:rPr>
        <w:t>-</w:t>
      </w:r>
      <w:r>
        <w:rPr>
          <w:rtl w:val="true"/>
        </w:rPr>
        <w:t>لزوم التحرّک الاجتهادی فی إطار الضوابط الفقهیّة</w:t>
      </w:r>
      <w:bookmarkEnd w:id="561"/>
    </w:p>
    <w:p>
      <w:pPr>
        <w:pStyle w:val="BookText"/>
        <w:rPr/>
      </w:pPr>
      <w:r>
        <w:rPr>
          <w:rFonts w:ascii="IRNazanin" w:hAnsi="IRNazanin" w:eastAsia="IRNazanin"/>
          <w:color w:val="111111"/>
          <w:sz w:val="28"/>
          <w:sz w:val="28"/>
          <w:szCs w:val="28"/>
          <w:rtl w:val="true"/>
          <w:lang w:bidi="fa-IR"/>
        </w:rPr>
        <w:t>من الامور الضروریّة للفقیه لکی یضعها نصب العین هو أن لا یخرج الفقیه فی حرکته الاجتهادیّة و منهجه الاستنباطی عن دائرة الضوابط الفقهیّة،و أن لا یولی أهمّیة للمسائل التی لا ترتبط بالفقه،و فی هذا الصدد لا بدّ من التوجّه إلی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 علی الفقیه أن یبتعد تماما عن علل الأحکام،و لا ینخدع بعناوین مغریة باسم فلسفة الأحکام،أو علل التشریع،فأوّل وظیفة للفقیه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یری فی نفسه التبعیّة للدلیل،و یفتی فی کلّ مسألة بمقتضی ما یقوم علیه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نعم،إذا کان هناک تصریح بالعلّة فی الدلیل،فیجب علی الفقیه العمل بها بمقتضی 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العلّة تعمّم و تخصّص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فرض صحّتها،و هذا یدخل أیضا فی دائرة العمل بمقتضی الدلیل</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ما هو جدیر بالنظر فی هذا القسم من البحث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الفقیه إذا تحرّک من</w:t>
      </w:r>
    </w:p>
    <w:p>
      <w:pPr>
        <w:pStyle w:val="BookText"/>
        <w:rPr/>
      </w:pPr>
      <w:r>
        <w:rPr>
          <w:rFonts w:ascii="IRNazanin" w:hAnsi="IRNazanin" w:eastAsia="IRNazanin"/>
          <w:color w:val="111111"/>
          <w:sz w:val="28"/>
          <w:sz w:val="28"/>
          <w:szCs w:val="28"/>
          <w:rtl w:val="true"/>
          <w:lang w:bidi="fa-IR"/>
        </w:rPr>
        <w:t>البدایة لتحصیل فلسفة الأحکام،و أراد من خلال ذلک التصرّف بالدلیل علی مستوی التوسعة و التضییق،أو التصرّف فی الشرائط و الحدود لذلک الدلیل؛فإنّه قد حظی طریق غیر صحیح فی عملیّة الاستنباط قطعا،حیث ینبغی للفقیه فی استنباط الأحکام أن یضع نفسه قبل کلّ شیء فی معرض الأدلّة،و یطابق نظره مع مقتضیات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الامور مشهودة تماما فی منهج النراقی للاستنباط،فلم یلاحظ علیه أنّه فی مورد من الموارد توصّل إلی حکم من الأحکام عن طریق فلسفة حکم آخر، و مع الأسف فإنّه فی زماننا هذا لا نشاهد هذا المنهج فی الاستنباط،فالبعض یتوجّه قبل مراجعة الأدلّة إلی حکمة و غرض من أغراض التشریع فی أمر من الامور،ثمّ یبحث فی الأدلّة بما یتناسب مع ذلک الغرض،و هذا الأمر سیفضی فی النهایة إلی زوال و تلاشی الفقه،فروح الفقه فی الأساس هی روح التعبّد بالأدلّة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رغم أنّ الکثیر من العلوم لها تأثیر تامّ فی ترشید و تقویة علم الفقه، و علی الفقیه أن یکون محیطا بها،و مسلّما بمسائلها،إلاّ أنّه یجب اجتناب العلوم التی لا دور لها فی عملیّة الاستنباط،أو التی من شأنها أن تحرف الاستنباط عن مساره الصحیح</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 للفقیه أبدا أن یدخل المسائل الأخلاقیّة،و علم الأخلاق، و الروایات الواردة فی مقولة الأخلاق فی الفقه،ففی الفقه یجب ملاحظة و رعایة المعاییر الفقهیّة للأحکام،و التی قد تتطابق مع المعاییر و الضوابط الأخلاقیّة فی کثیر من الأحیان،مثلا إذا أجّر شخص حانوته لآخر فی مدّة معیّنة،فبمقتضی الفقه یجب علی المستأجر تخلیة ذلک المکان مع انتهاء مدّة الإجارة،فبقاؤه فیه یکون بعنوان الغصب،و التصرّف غیر المشروع حینئذ،فی حین من الممکن فی دائرة الأخلاق أنّ إخراج مثل هذا الشخص الذی لیس له مکان آخر،غیر صحیح من</w:t>
      </w:r>
    </w:p>
    <w:p>
      <w:pPr>
        <w:pStyle w:val="BookText"/>
        <w:rPr/>
      </w:pPr>
      <w:r>
        <w:rPr>
          <w:rFonts w:ascii="IRNazanin" w:hAnsi="IRNazanin" w:eastAsia="IRNazanin"/>
          <w:color w:val="111111"/>
          <w:sz w:val="28"/>
          <w:sz w:val="28"/>
          <w:szCs w:val="28"/>
          <w:rtl w:val="true"/>
          <w:lang w:bidi="fa-IR"/>
        </w:rPr>
        <w:t>قبل المالک،و هکذا فی الکثیر من أحکام المعاملات نری انطباق المعاییر الفقهیّة الخاصّة،دون أن یکون للمسائل الأخلاقیّة أیّ تدخّل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بالطبع،فنحن لا نری أنّ الشارع المقدّس لم یأخذ بنظر الاعتبار المسائل الأخلاقیّة فی عملیّة تشریع الأحکام کلاّ،و إنّما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للفقه معاییر خاصّة ینبغی ملاحظتها فی کلّ مسألة من المسائل الفقهیّة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المطلب له تأثیر کبیر علی البحوث المتعلّقة بحقوق الزوجین،و الروابط العائلیّة،و المرحوم النراقی قدّس سرّه رغم تبحّره الواسع فی علم الأخلاق،لم یخلط أبدا المسائل و القواعد الفقهیّة مع الضوابط الأخلاقیّة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الامور التی ینبغی للفقیه الاهتمام بها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الفقیه الجامع للشرائط و الذی له مشروعیّة الإفتاء،بحیث تمرّ فتواه هذه من خلال الاعتقاد بولایة الأئمّة المعصومین علیهم السّلام و إمضائهم،هذا الفقیه إلی أیّ حدّ یمکنه إدخال عنصر الولایة و الإمامة فی المسائل الفقهیّة؟</w:t>
      </w:r>
    </w:p>
    <w:p>
      <w:pPr>
        <w:pStyle w:val="BookText"/>
        <w:rPr/>
      </w:pPr>
      <w:r>
        <w:rPr>
          <w:rFonts w:ascii="IRNazanin" w:hAnsi="IRNazanin" w:eastAsia="IRNazanin"/>
          <w:color w:val="111111"/>
          <w:sz w:val="28"/>
          <w:sz w:val="28"/>
          <w:szCs w:val="28"/>
          <w:rtl w:val="true"/>
          <w:lang w:bidi="fa-IR"/>
        </w:rPr>
        <w:t>و أساسا،هل أنّ هذا الأمر یعتبر أحد المعاییر و الضوابط المتّخذة فی منهج الاستنباط؟</w:t>
      </w:r>
    </w:p>
    <w:p>
      <w:pPr>
        <w:pStyle w:val="BookText"/>
        <w:rPr/>
      </w:pPr>
      <w:r>
        <w:rPr>
          <w:rFonts w:ascii="IRNazanin" w:hAnsi="IRNazanin" w:eastAsia="IRNazanin"/>
          <w:color w:val="111111"/>
          <w:sz w:val="28"/>
          <w:sz w:val="28"/>
          <w:szCs w:val="28"/>
          <w:rtl w:val="true"/>
          <w:lang w:bidi="fa-IR"/>
        </w:rPr>
        <w:t>من الواضح أنّه لا یمکن لأحد إنکار تأثیر هذا العنصر فی عملیّة الاستنباط لدی أغلب فقهاء الإمامیّة،و ینبغی القول أنّ الاعتقاد بالولایة یعتبر فی مستوی أحد الضوابط،و المعاییر الفقهیّة المؤثّرة فی الاستنباط الفقهی،إلاّ أن یکون هناک دلیل خاصّ علی عدم التأثیر</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المطلب یتجلّی بوضوح فی المنهج الاستنباطی للنراقی قدّس سرّه،مثلا فی مسألة هل أنّ الشهادة الثالثة لها عنوان الجزئیة فی الأذان،أو لا؟فبعد أن یذکر هذا الفقیه الکبیر الأقوال علی التحریم و الکراهة،یورد العمومات التی ترغّب و تحثّ علی هذه الشهادة مطلقا،و یستند علیها،و کذلک یورد الروایات التی تؤکّد علی لزوم</w:t>
      </w:r>
    </w:p>
    <w:p>
      <w:pPr>
        <w:pStyle w:val="BookText"/>
        <w:rPr/>
      </w:pPr>
      <w:r>
        <w:rPr>
          <w:rFonts w:ascii="IRNazanin" w:hAnsi="IRNazanin" w:eastAsia="IRNazanin"/>
          <w:color w:val="111111"/>
          <w:sz w:val="28"/>
          <w:sz w:val="28"/>
          <w:szCs w:val="28"/>
          <w:rtl w:val="true"/>
          <w:lang w:bidi="fa-IR"/>
        </w:rPr>
        <w:t>الشهادة الثالثة بعد الإتیان بالشهادتین علی التوحید و النبوّة،و یضیف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فلا بعد فی القول باستحبابها فیه؛للتسامح فی أدلّته،و شذوذ أخبارها لا یمنع عن إثبات السنن بها،کیف؟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تراهم کثیرا یجیبون عن الأخبار بالشذوذ،فیحملونها علی الاستحباب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هذا الکلام یتبیّن أنّه یکتفی للقول بالجزئیّة علی نحو الاستحباب ببعض الأخبار الشاذّة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هکذا فی مسألة دفع الزکاة للمخالفین و العوامّ من الشیعة،یورد کلام صاحب الحدائق </w:t>
      </w:r>
      <w:r>
        <w:rPr>
          <w:rStyle w:val="FootnoteAnchor"/>
          <w:rtl w:val="true"/>
        </w:rPr>
        <w:footnoteReference w:id="725"/>
      </w:r>
      <w:r>
        <w:rPr>
          <w:rFonts w:ascii="IRNazanin" w:hAnsi="IRNazanin" w:eastAsia="IRNazanin"/>
          <w:color w:val="111111"/>
          <w:sz w:val="28"/>
          <w:sz w:val="28"/>
          <w:szCs w:val="28"/>
          <w:rtl w:val="true"/>
          <w:lang w:bidi="fa-IR"/>
        </w:rPr>
        <w:t>،الذی یستشکل فی دفع الزکاة إلی عوامّ الشیعة الذین لا یعرفون اللّه سبحانه إلاّ بهذا اللفظ،ثمّ أجاب عنه 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کذلک؛إذ موضع الزکاة من یعرف صاحب هذا الأمر،و من کان من أهل الولایة،و من لم یعرف الأئمّة علیهم السّلام،أو واحدا منهم،أو النبیّ صلّی اللّه علیه و اله،لا یصدق علیه أنّه یعرف صاحب هذا الأمر،و لا یعلم أنّه من أهل الولایة،و أنّه العارف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کذا من لا یعرف الترتیب فی خلافتهم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کنموذج آخر فی هذا المجال ما ذکره فی باب مکروهات القبر،و وضعه موضع المناقشة،و هو البناء علی القبر،فقد ذهب الشهید فی الدروس </w:t>
      </w:r>
      <w:r>
        <w:rPr>
          <w:rStyle w:val="FootnoteAnchor"/>
          <w:rtl w:val="true"/>
        </w:rPr>
        <w:footnoteReference w:id="727"/>
      </w:r>
      <w:r>
        <w:rPr>
          <w:rFonts w:ascii="IRNazanin" w:hAnsi="IRNazanin" w:eastAsia="IRNazanin"/>
          <w:color w:val="111111"/>
          <w:sz w:val="28"/>
          <w:sz w:val="28"/>
          <w:szCs w:val="28"/>
          <w:rtl w:val="true"/>
          <w:lang w:bidi="fa-IR"/>
        </w:rPr>
        <w:t xml:space="preserve">،و جماعة مثل صاحب الریاض </w:t>
      </w:r>
      <w:r>
        <w:rPr>
          <w:rStyle w:val="FootnoteAnchor"/>
          <w:rtl w:val="true"/>
        </w:rPr>
        <w:footnoteReference w:id="728"/>
      </w:r>
      <w:r>
        <w:rPr>
          <w:rFonts w:ascii="IRNazanin" w:hAnsi="IRNazanin" w:eastAsia="IRNazanin"/>
          <w:color w:val="111111"/>
          <w:sz w:val="28"/>
          <w:sz w:val="28"/>
          <w:szCs w:val="28"/>
          <w:rtl w:val="true"/>
          <w:lang w:bidi="fa-IR"/>
        </w:rPr>
        <w:t>،إلی استثناء الأنبیاء و الأئمّة علیهم السّلام من هذا الحکم،و ذکروا له ثلاث أدلّة</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إجماع الإمامیّة،و هذا یصلح لتخصیص عمومات الکراهة</w:t>
      </w:r>
      <w:r>
        <w:rPr>
          <w:rFonts w:eastAsia="IRNazanin" w:cs="IRNazanin"/>
          <w:color w:val="111111"/>
          <w:sz w:val="28"/>
          <w:szCs w:val="28"/>
          <w:rtl w:val="true"/>
          <w:lang w:bidi="fa-IR"/>
        </w:rPr>
        <w:t>.</w:t>
      </w:r>
      <w:bookmarkStart w:id="562" w:name="pg5439_46962"/>
    </w:p>
    <w:p>
      <w:pPr>
        <w:pStyle w:val="BookText"/>
        <w:rPr/>
      </w:pPr>
      <w:bookmarkEnd w:id="562"/>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یوجد بناء علی قبر النبیّ صلّی اللّه علیه و اله،و لم ینکر الأئمّة علیهم السّلام علی ذلک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الأخبار التی توصی باحترام قبور الأئمّة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النراقی قدّس سرّه یناقش هذه الأدلّة بأجمعها،ثمّ یؤیّد ذلک الحکم من طریق آخر،و ذلک من خلال الروایات التی تذکر فضیلة تعمیر قبور الأئمّة علیهم السّلام؛من قبیل ما ورد عن النبیّ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علیّ من عمّر قبورکم و تعاهدها فکأنّما أعان سلیمان بن داود علی بناء بیت المقدس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کذلک الروایات التی ورد التصریح فیها بالوقوف فی مقابل الروضة </w:t>
      </w:r>
      <w:r>
        <w:rPr>
          <w:rStyle w:val="FootnoteAnchor"/>
          <w:rtl w:val="true"/>
        </w:rPr>
        <w:footnoteReference w:id="730"/>
      </w:r>
      <w:r>
        <w:rPr>
          <w:rFonts w:ascii="Amiri" w:hAnsi="Amiri" w:eastAsia="Amiri" w:cs="Amiri"/>
          <w:color w:val="111111"/>
          <w:sz w:val="28"/>
          <w:sz w:val="28"/>
          <w:szCs w:val="28"/>
          <w:rtl w:val="true"/>
          <w:lang w:bidi="ar-SA"/>
        </w:rPr>
        <w:t xml:space="preserve">، أو القبّة </w:t>
      </w:r>
      <w:r>
        <w:rPr>
          <w:rStyle w:val="FootnoteAnchor"/>
          <w:rtl w:val="true"/>
        </w:rPr>
        <w:footnoteReference w:id="731"/>
      </w:r>
      <w:r>
        <w:rPr>
          <w:rFonts w:ascii="IRNazanin" w:hAnsi="IRNazanin" w:eastAsia="IRNazanin"/>
          <w:color w:val="111111"/>
          <w:sz w:val="28"/>
          <w:sz w:val="28"/>
          <w:szCs w:val="28"/>
          <w:rtl w:val="true"/>
          <w:lang w:bidi="fa-IR"/>
        </w:rPr>
        <w:t xml:space="preserve">،أو تقبیل العتبة </w:t>
      </w:r>
      <w:r>
        <w:rPr>
          <w:rStyle w:val="FootnoteAnchor"/>
          <w:rtl w:val="true"/>
        </w:rPr>
        <w:footnoteReference w:id="732"/>
      </w:r>
      <w:r>
        <w:rPr>
          <w:rFonts w:ascii="IRNazanin" w:hAnsi="IRNazanin" w:eastAsia="IRNazanin"/>
          <w:color w:val="111111"/>
          <w:sz w:val="28"/>
          <w:sz w:val="28"/>
          <w:szCs w:val="28"/>
          <w:rtl w:val="true"/>
          <w:lang w:bidi="fa-IR"/>
        </w:rPr>
        <w:t xml:space="preserve">،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3" w:name="__RefHeading___Toc1856252_581953129"/>
      <w:bookmarkStart w:id="564" w:name="_Toc211"/>
      <w:bookmarkEnd w:id="563"/>
      <w:r>
        <w:rPr/>
        <w:t>7</w:t>
      </w:r>
      <w:r>
        <w:rPr>
          <w:rtl w:val="true"/>
        </w:rPr>
        <w:t>-</w:t>
      </w:r>
      <w:r>
        <w:rPr>
          <w:rtl w:val="true"/>
        </w:rPr>
        <w:t>الفقیه،و الاستقلال فی عملیّة الاستنباط</w:t>
      </w:r>
      <w:bookmarkEnd w:id="564"/>
    </w:p>
    <w:p>
      <w:pPr>
        <w:pStyle w:val="BookText"/>
        <w:rPr/>
      </w:pPr>
      <w:r>
        <w:rPr>
          <w:rFonts w:ascii="IRNazanin" w:hAnsi="IRNazanin" w:eastAsia="IRNazanin"/>
          <w:color w:val="111111"/>
          <w:sz w:val="28"/>
          <w:sz w:val="28"/>
          <w:szCs w:val="28"/>
          <w:rtl w:val="true"/>
          <w:lang w:bidi="fa-IR"/>
        </w:rPr>
        <w:t>الفقیه الجامع لا ینبغی له إطلاقا أن یقع تحت تأثیر استدلال الآخرین،بل یجب أن یکون مستقلاّ فی الاستدلال،و نشیر هنا إلی عدّة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 للفقیه أن یستعرض أدلّة الآخرین،و یبحثها بدقّة و تدبّر کامل، ثمّ یری رأیه مستقلاّ عن کلماتهم،و حتّی لو کان هناک إجماعات منقولة تصلح لتکون مؤیّدة علی المطلب،إلاّ أنّه لا ینبغی له التسلیم لها من دون التحقیق فی دلیل الطرف المقابل</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نقل النراقی قدّس سرّه فی بعض المسائل الفقهیّة عدّة إجماعات منقولة عن الفقهاء الکبار،و لکن رغم ذلک لم یهتمّ بها؛لوجود الدلیل علی الخلاف،مثلا فی مسألة إذا</w:t>
      </w:r>
    </w:p>
    <w:p>
      <w:pPr>
        <w:pStyle w:val="BookText"/>
        <w:rPr/>
      </w:pPr>
      <w:r>
        <w:rPr>
          <w:rFonts w:ascii="IRNazanin" w:hAnsi="IRNazanin" w:eastAsia="IRNazanin"/>
          <w:color w:val="111111"/>
          <w:sz w:val="28"/>
          <w:sz w:val="28"/>
          <w:szCs w:val="28"/>
          <w:rtl w:val="true"/>
          <w:lang w:bidi="fa-IR"/>
        </w:rPr>
        <w:t>تحقّقت منه الاستطاعة المالیّة،و لکنّه لم یتمکّن من الذهاب إلی الحجّ للشیخوخة، أو المرض،أو وجود العدوّ،ففی صورة الیأس و استقرار الحجّ قبل العذر،ذهب جماعة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کصاحب المسالک </w:t>
      </w:r>
      <w:r>
        <w:rPr>
          <w:rStyle w:val="FootnoteAnchor"/>
          <w:rtl w:val="true"/>
        </w:rPr>
        <w:footnoteReference w:id="734"/>
      </w:r>
      <w:r>
        <w:rPr>
          <w:rFonts w:ascii="Amiri" w:hAnsi="Amiri" w:eastAsia="Amiri" w:cs="Amiri"/>
          <w:color w:val="111111"/>
          <w:sz w:val="28"/>
          <w:sz w:val="28"/>
          <w:szCs w:val="28"/>
          <w:rtl w:val="true"/>
          <w:lang w:bidi="ar-SA"/>
        </w:rPr>
        <w:t xml:space="preserve">،و الروضة </w:t>
      </w:r>
      <w:r>
        <w:rPr>
          <w:rStyle w:val="FootnoteAnchor"/>
          <w:rtl w:val="true"/>
        </w:rPr>
        <w:footnoteReference w:id="735"/>
      </w:r>
      <w:r>
        <w:rPr>
          <w:rFonts w:ascii="IRNazanin" w:hAnsi="IRNazanin" w:eastAsia="IRNazanin"/>
          <w:color w:val="111111"/>
          <w:sz w:val="28"/>
          <w:sz w:val="28"/>
          <w:szCs w:val="28"/>
          <w:rtl w:val="true"/>
          <w:lang w:bidi="fa-IR"/>
        </w:rPr>
        <w:t xml:space="preserve">،و المفاتیح </w:t>
      </w:r>
      <w:r>
        <w:rPr>
          <w:rStyle w:val="FootnoteAnchor"/>
          <w:rtl w:val="true"/>
        </w:rPr>
        <w:footnoteReference w:id="736"/>
      </w:r>
      <w:r>
        <w:rPr>
          <w:rFonts w:ascii="IRNazanin" w:hAnsi="IRNazanin" w:eastAsia="IRNazanin"/>
          <w:color w:val="111111"/>
          <w:sz w:val="28"/>
          <w:sz w:val="28"/>
          <w:szCs w:val="28"/>
          <w:rtl w:val="true"/>
          <w:lang w:bidi="fa-IR"/>
        </w:rPr>
        <w:t>إلی لزوم الاستنابة، و ادّعوا علی ذلک الإجماع أیضا،مضافا إلی الاستدلال بالروایات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النراقی قدّس سرّه ناقش فی الإجماعات،و فی الروایات أیضا،و أخیرا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فالأقرب إذن ما یقتضیه الأصل؛و هو عدم الوجوب،و بالتالی یری استحباب النیابة فی هذه الصورة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فیستفاد من هذا المثال بصورة جیّدة أنّ تبحّر النراقی و دقّت نظره تتجلّی فی عدم استسلامه للإجماعات بسهولة،و لا یقبل بالتفسیر الذی یذکره الفقهاء للروایة،بل یدرس الروایة بصورة مستقلّة،و فی هذه المسألة نفسها یری بون شاسع بین استنباط النراقی قدّس سرّه،و استنباط الفاضل الهندی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Style w:val="FootnoteAnchor"/>
          <w:rtl w:val="true"/>
        </w:rPr>
        <w:footnoteReference w:id="738"/>
      </w:r>
      <w:r>
        <w:rPr>
          <w:rFonts w:ascii="IRNazanin" w:hAnsi="IRNazanin" w:eastAsia="IRNazanin"/>
          <w:color w:val="111111"/>
          <w:sz w:val="28"/>
          <w:sz w:val="28"/>
          <w:szCs w:val="28"/>
          <w:rtl w:val="true"/>
          <w:lang w:bidi="fa-IR"/>
        </w:rPr>
        <w:t>الذی کان یعیش قبل النراقی قدّس سرّه بمائة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الامور التی یجب الأخذ بها بنظر الاعتبار فی دائرة الاستقلال فی الاستنباط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الفقیه لا یکتفی باستدلال الأصحاب علی حکم معیّن،بل فی الموارد التی کان فی وسعه إضافة دلیل آخر یقوم بذلک</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ینبغی للفقیه فی مقام الاجتهاد و الاستنباط أن یکتفی بالأدلّة التی ذکرها الآخرون فی إثبات المطلوب،حیث یمکن أن یکون هناک دلیل لم یلتفت إلیه القوم،و أساسا فإنّ فنّ الاجتهاد یتبلور و یتجلّی فی هذا البعد من</w:t>
      </w:r>
    </w:p>
    <w:p>
      <w:pPr>
        <w:pStyle w:val="BookText"/>
        <w:rPr/>
      </w:pPr>
      <w:r>
        <w:rPr>
          <w:rFonts w:ascii="IRNazanin" w:hAnsi="IRNazanin" w:eastAsia="IRNazanin"/>
          <w:color w:val="111111"/>
          <w:sz w:val="28"/>
          <w:sz w:val="28"/>
          <w:szCs w:val="28"/>
          <w:rtl w:val="true"/>
          <w:lang w:bidi="fa-IR"/>
        </w:rPr>
        <w:t>عملیّة الاستنباط الفقهی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نواجه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للنراقی قدّس سرّه هذا المعنی أیضا،فلا نری منه خضوعا فی مقابل استدلالات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مورد نیابة الصبیّ فی الحجّ،ذهب جماعة إلی عدم الصحّة،و تمسّکوا فی ذلک بعدم مشروعیّة عبادات الصبیّ 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عبادات الصبیّ تمرینیّة، فلا یصدق علیها عنوان الواجب و لا المستحبّ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یقول النراقی قدّس سرّه فی ردّه لهذا الدلیل أنّه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خروج عبادات الصبیّ عن الشرعیّة بإطلاقها،و إنّما هی خارجة عن الواجبة علی 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سلّمنا التمرینیّة،لکنّها مخصوصة بأوامر اللّه سبانه لا ما یستأجر للغیر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یلزم من عدم وجوبها أو ندبها علی نفسه،عدم إجزائها عمّن تجب علیه،أو تندب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رغم أنّ المشهور </w:t>
      </w:r>
      <w:r>
        <w:rPr>
          <w:rStyle w:val="FootnoteAnchor"/>
          <w:rtl w:val="true"/>
        </w:rPr>
        <w:footnoteReference w:id="741"/>
      </w:r>
      <w:r>
        <w:rPr>
          <w:rFonts w:ascii="IRNazanin" w:hAnsi="IRNazanin" w:eastAsia="IRNazanin"/>
          <w:color w:val="111111"/>
          <w:sz w:val="28"/>
          <w:sz w:val="28"/>
          <w:szCs w:val="28"/>
          <w:rtl w:val="true"/>
          <w:lang w:bidi="fa-IR"/>
        </w:rPr>
        <w:t xml:space="preserve">یری بطلان نیابة غیر البالغ،و حتّی أنّ صاحب المدارک </w:t>
      </w:r>
      <w:r>
        <w:rPr>
          <w:rStyle w:val="FootnoteAnchor"/>
          <w:rtl w:val="true"/>
        </w:rPr>
        <w:footnoteReference w:id="742"/>
      </w:r>
      <w:r>
        <w:rPr>
          <w:rFonts w:ascii="IRNazanin" w:hAnsi="IRNazanin" w:eastAsia="IRNazanin"/>
          <w:color w:val="111111"/>
          <w:sz w:val="28"/>
          <w:sz w:val="28"/>
          <w:szCs w:val="28"/>
          <w:rtl w:val="true"/>
          <w:lang w:bidi="fa-IR"/>
        </w:rPr>
        <w:t xml:space="preserve">نسب هذا القول إلی معروف الأصحاب،و استدلّ علیه بالأصل، و القاعدة و أدلّة أخر،إلاّ أنّ النراقی قدّس سرّه </w:t>
      </w:r>
      <w:r>
        <w:rPr>
          <w:rStyle w:val="FootnoteAnchor"/>
          <w:rtl w:val="true"/>
        </w:rPr>
        <w:footnoteReference w:id="743"/>
      </w:r>
      <w:r>
        <w:rPr>
          <w:rFonts w:ascii="IRNazanin" w:hAnsi="IRNazanin" w:eastAsia="IRNazanin"/>
          <w:color w:val="111111"/>
          <w:sz w:val="28"/>
          <w:sz w:val="28"/>
          <w:szCs w:val="28"/>
          <w:rtl w:val="true"/>
          <w:lang w:bidi="fa-IR"/>
        </w:rPr>
        <w:t>ناقش فی جمیع تلک الأدلّة،و ردّها الواحدة تلو الاخری،و سلک بنفسه طریقا آخر؛و هو الإجماع المرکّب،و عدم القول بالفصل فی الصوم و الصلاة من جهة،و الحجّ من جهة اخری؛أی کما أنّ</w:t>
      </w:r>
      <w:bookmarkStart w:id="565" w:name="pg5439_46965"/>
    </w:p>
    <w:p>
      <w:pPr>
        <w:pStyle w:val="BookText"/>
        <w:rPr/>
      </w:pPr>
      <w:bookmarkEnd w:id="565"/>
      <w:r>
        <w:rPr>
          <w:rFonts w:ascii="IRNazanin" w:hAnsi="IRNazanin" w:eastAsia="IRNazanin"/>
          <w:color w:val="111111"/>
          <w:sz w:val="28"/>
          <w:sz w:val="28"/>
          <w:szCs w:val="28"/>
          <w:rtl w:val="true"/>
          <w:lang w:bidi="fa-IR"/>
        </w:rPr>
        <w:t>الصوم و الصلاة الاستئجاریّین لغیر المکلّف لا تقعان صحیحة،فکذلک فی الحجّ أیضا</w:t>
      </w:r>
      <w:r>
        <w:rPr>
          <w:rFonts w:eastAsia="IRNazanin" w:cs="IRNazanin"/>
          <w:color w:val="111111"/>
          <w:sz w:val="28"/>
          <w:szCs w:val="28"/>
          <w:rtl w:val="true"/>
          <w:lang w:bidi="fa-IR"/>
        </w:rPr>
        <w:t>.</w:t>
      </w:r>
    </w:p>
    <w:p>
      <w:pPr>
        <w:pStyle w:val="Heading3"/>
        <w:numPr>
          <w:ilvl w:val="2"/>
          <w:numId w:val="1"/>
        </w:numPr>
        <w:rPr/>
      </w:pPr>
      <w:bookmarkStart w:id="566" w:name="__RefHeading___Toc1856254_581953129"/>
      <w:bookmarkStart w:id="567" w:name="_Toc212"/>
      <w:bookmarkEnd w:id="566"/>
      <w:r>
        <w:rPr/>
        <w:t>8</w:t>
      </w:r>
      <w:r>
        <w:rPr>
          <w:rtl w:val="true"/>
        </w:rPr>
        <w:t>-</w:t>
      </w:r>
      <w:r>
        <w:rPr>
          <w:rtl w:val="true"/>
        </w:rPr>
        <w:t>الفقیه،و کیفیّة التعامل مع الاحتیاط</w:t>
      </w:r>
      <w:bookmarkEnd w:id="567"/>
    </w:p>
    <w:p>
      <w:pPr>
        <w:pStyle w:val="BookText"/>
        <w:rPr/>
      </w:pPr>
      <w:r>
        <w:rPr>
          <w:rFonts w:ascii="IRNazanin" w:hAnsi="IRNazanin" w:eastAsia="IRNazanin"/>
          <w:color w:val="111111"/>
          <w:sz w:val="28"/>
          <w:sz w:val="28"/>
          <w:szCs w:val="28"/>
          <w:rtl w:val="true"/>
          <w:lang w:bidi="fa-IR"/>
        </w:rPr>
        <w:t>عندما ندرس آثار و کتابات بعض الفقهاء،نلاحظ أنّ ذلک الفقیه له اهتمام ملحوظ فی مقام الفتوی بمسألة الاحتیاط،و هذا الأمر قد یؤدّی إلی مشاکل عدیدة أحیانا،فقد یلاحظ فی مسألة معیّنة لم یقم علیها دلیل محکم،أنّ فریقا من الفقهاء العظام یسلکون فیها طریق الاحتیاط،مثلا فی باب الحجّ حیث یجب أن یبتدئ فی طوافه من الحجر الأسود و ینتهی إلیه،فقد ذهب بعض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أوّل جزء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 الأسود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یجب أن یکون محاذیا لأوّل جزء من مقادیم البدن </w:t>
      </w:r>
      <w:r>
        <w:rPr>
          <w:rStyle w:val="FootnoteAnchor"/>
          <w:rtl w:val="true"/>
        </w:rPr>
        <w:footnoteReference w:id="744"/>
      </w:r>
      <w:r>
        <w:rPr>
          <w:rFonts w:ascii="IRNazanin" w:hAnsi="IRNazanin" w:eastAsia="IRNazanin"/>
          <w:color w:val="111111"/>
          <w:sz w:val="28"/>
          <w:sz w:val="28"/>
          <w:szCs w:val="28"/>
          <w:rtl w:val="true"/>
          <w:lang w:bidi="fa-IR"/>
        </w:rPr>
        <w:t>،بحیث إنّه بعد النیّة یمرّ جمیع البدن من ذلک المکان،ثمّ اختلفوا فی أنّ أوّل جزء من البدن هل هو الأنف،أو البطن،أو إبهام القدمین؟</w:t>
      </w:r>
    </w:p>
    <w:p>
      <w:pPr>
        <w:pStyle w:val="BookText"/>
        <w:rPr/>
      </w:pPr>
      <w:r>
        <w:rPr>
          <w:rFonts w:ascii="IRNazanin" w:hAnsi="IRNazanin" w:eastAsia="IRNazanin"/>
          <w:color w:val="111111"/>
          <w:sz w:val="28"/>
          <w:sz w:val="28"/>
          <w:szCs w:val="28"/>
          <w:rtl w:val="true"/>
          <w:lang w:bidi="fa-IR"/>
        </w:rPr>
        <w:t>و بعد أن ینقل النراقی قدّس سرّه هذا المطلب یختار رأیا آخر؛لأنّ مثل هذه النظریّات لیس لها دلیل سوی الاحتیاط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یخفی أنّه إلی الوسواس أقرب منه إلی الاحتیاط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یستفاد من هذا البیان أنّ بالاحتیاط قد سلک مسلکا آخر أحیانا فی کلمات الفقهاء أبعده عن حقیقته،و لیس فی ذلک رضا الشارع المقدّس قطعا،و ما أکثر ما تکون هذه الحالة معلولة للوساوس النفسانیّة و الشیطانیّة،حیث ینبغی للفقیه اجتنابها حتما،و فی ذلک یقول النراقی قدّس سرّه بعد ذکره لهذا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 هذا أمر لا دلیل علیه و لا شاهد،لا یناسب تسمیته احتیاطا،بل اعتقاد وجوبه</w:t>
      </w:r>
    </w:p>
    <w:p>
      <w:pPr>
        <w:pStyle w:val="BookText"/>
        <w:rPr/>
      </w:pPr>
      <w:r>
        <w:rPr>
          <w:rFonts w:ascii="IRNazanin" w:hAnsi="IRNazanin" w:eastAsia="IRNazanin"/>
          <w:color w:val="111111"/>
          <w:sz w:val="28"/>
          <w:sz w:val="28"/>
          <w:szCs w:val="28"/>
          <w:rtl w:val="true"/>
          <w:lang w:bidi="fa-IR"/>
        </w:rPr>
        <w:t xml:space="preserve">خلاف الاحتیاط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هنا ینبغی النظر إلی مقام الاحتیاط فی الفقه،و بیّن أنّ نفس الدلیل یقتضی فی بعض الموارد الاحتیاط،و یدفع الفقیه إلی سلوک الاحتیاط،کما فی باب الفروج و الدماء،و الحدود،و أمثال ذلک إذا لم یتمکّن الفقیه من التوصّل إلی نتیجة مقبولة من خلال الأدلّة،ففی بعض الموارد یقول بلزوم الاحتیاط،و فی البعض الآخر یقول بالرجحان،إلاّ أنّ فقهاءنا قلّما توجّهوا إلی هذه الحقیقة،و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ما أکثر ما یؤدّی الاحتیاط إلی الوقوع فی العسر و الحرج و المشقّة لنوع الناس 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الأمر یفضی فی النهایة إلی الابتعاد عن الدّین،أو عدم الاهتمام به، و حینئذ لا یمکن التمسّک بقوله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أخوک دینک فاحتط لدینک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إجمالا یمکن القول بأنّ الاحتیاط أمر مطلوب غالبا بالنسبة إلی الأفراد و الأشخاص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بالنسبة إلی المسائل الکلّیة و القضایا الحکومیّة،فلا یکون کذلک دائما،مثلا فی باب الحجّ یبحث عن مسألة تبعیّة الحاجّ للحاکم من أهل السنّة بالنسبة لتعیین أوّل الشهر،و بالتالی بالنسبة إلی الوقوف فی عرفات، و المشعر،و المبیت بمنی،فهنا لا یمکن القول بأنّ مع احتمال الخلاف یترجّح الاحتیاط</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نری أنّ النراقی قدّس سرّه فی فتاواه الفقهیّة یتجنّب الاحتیاطات التی لیس لها منشأ فقهیّ،بل قد تکون لها نتائج سلبیّة،ففی مسألة اعتبار وجود المحرم فی استطاعة المرأة،یقول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الاستدلال بالأصل و العمومات علی عدم شرطیّة</w:t>
      </w:r>
    </w:p>
    <w:p>
      <w:pPr>
        <w:pStyle w:val="BookText"/>
        <w:rPr/>
      </w:pPr>
      <w:r>
        <w:rPr>
          <w:rFonts w:ascii="IRNazanin" w:hAnsi="IRNazanin" w:eastAsia="IRNazanin"/>
          <w:color w:val="111111"/>
          <w:sz w:val="28"/>
          <w:sz w:val="28"/>
          <w:szCs w:val="28"/>
          <w:rtl w:val="true"/>
          <w:lang w:bidi="fa-IR"/>
        </w:rPr>
        <w:t>وجود المحرم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یحصل ظنّ السلامة إلاّ بالمحرم اعتبر وجوده،و یتوقّف وجوب الحجّ علیها علی سفره معها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أضاف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کذا لو کانت ممّن یشقّ علیها مخاطبة الأجانب،و إرکابهم إیّاها، مع عدم اقتدارها علی الرکوب بنفسها علی احتمال قویّ ذکره بعض الأصحاب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 ذلک یعلم عدم استطاعة أکثر النسوان الشابّة،سیّما من الأشراف و المخدّرات من البلاد البعیدة،مع تلک القوافل التی فیها أصناف الناس بدون محرم، أو قریب ثقة،أو مؤمن متدیّن ثقة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هنا یعلم جیّدا أنّ منهج النراقی فی الاجتهاد یدور حول محور السهولة فی الشریعة،حیث یتجنّب الکثیر من الاحتیاطات الموجبة للمشقّة و الضیق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ینبغی للفقیه فی الوقت الذی یلتزم فیه بالتعبّد،و الالتزام الکاملین فی الاستفادة من المنابع الدینیّة،یلتزم کذلک بالاصول الأساسیّة للاستنباط،و التی منها التسامح و السهولة فی الشریعة،و بالطبع نحن لا نهدف إلی نفی الحکم الشرعی کلّما کان صعبا،کلاّ؛لأنّ لدینا بعض الأحکام التی تستلزم بطبعها المشقّة،و لکنّنا نقول بأنّه فی صورة کون العمل غیر مرتبط بأصل الدّین،بل من الأعمال الفردیّة و الشخصیّة،یجب البناء علی السهولة و الیسر کما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 اللّهُ بِکُمُ الْیُسْرَ وَ لا یُرِیدُ بِکُمُ الْعُسْرَ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الجدیر بالذکر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النراقی قد ذهب إلی رجحان الاحتیاط فی الکثیر من المسائل </w:t>
      </w:r>
      <w:r>
        <w:rPr>
          <w:rStyle w:val="FootnoteAnchor"/>
          <w:rtl w:val="true"/>
        </w:rPr>
        <w:footnoteReference w:id="7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فینبغی للفقیه من جهة أن یتحرّک فی دائرة الفتوی،بحیث</w:t>
      </w:r>
      <w:bookmarkStart w:id="568" w:name="pg5439_46968"/>
    </w:p>
    <w:p>
      <w:pPr>
        <w:pStyle w:val="BookText"/>
        <w:rPr/>
      </w:pPr>
      <w:bookmarkEnd w:id="568"/>
      <w:r>
        <w:rPr>
          <w:rFonts w:ascii="IRNazanin" w:hAnsi="IRNazanin" w:eastAsia="IRNazanin"/>
          <w:color w:val="111111"/>
          <w:sz w:val="28"/>
          <w:sz w:val="28"/>
          <w:szCs w:val="28"/>
          <w:rtl w:val="true"/>
          <w:lang w:bidi="fa-IR"/>
        </w:rPr>
        <w:t>لا توجب فتاواه العسر و الحرج للناس،بل تکون مبتنیة علی أساس التسهیل، و من جهة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یأخذ بنظر الاعتبار أصل رجحان الاحتیاط،و یدفع المؤمنین باتّجاه العمل به فی الموارد التی لا یوجب الاحتیاط العسر و الحرج</w:t>
      </w:r>
      <w:r>
        <w:rPr>
          <w:rFonts w:eastAsia="IRNazanin" w:cs="IRNazanin"/>
          <w:color w:val="111111"/>
          <w:sz w:val="28"/>
          <w:szCs w:val="28"/>
          <w:rtl w:val="true"/>
          <w:lang w:bidi="fa-IR"/>
        </w:rPr>
        <w:t>.</w:t>
      </w:r>
    </w:p>
    <w:p>
      <w:pPr>
        <w:pStyle w:val="Heading3"/>
        <w:numPr>
          <w:ilvl w:val="2"/>
          <w:numId w:val="1"/>
        </w:numPr>
        <w:rPr/>
      </w:pPr>
      <w:bookmarkStart w:id="569" w:name="__RefHeading___Toc1856256_581953129"/>
      <w:bookmarkStart w:id="570" w:name="_Toc213"/>
      <w:bookmarkEnd w:id="569"/>
      <w:r>
        <w:rPr/>
        <w:t>9</w:t>
      </w:r>
      <w:r>
        <w:rPr>
          <w:rtl w:val="true"/>
        </w:rPr>
        <w:t>-</w:t>
      </w:r>
      <w:r>
        <w:rPr>
          <w:rtl w:val="true"/>
        </w:rPr>
        <w:t>مراجعة أقوال الفقهاء،و تأثیر ذلک فی الاستنباط</w:t>
      </w:r>
      <w:bookmarkEnd w:id="570"/>
    </w:p>
    <w:p>
      <w:pPr>
        <w:pStyle w:val="BookText"/>
        <w:rPr/>
      </w:pPr>
      <w:r>
        <w:rPr>
          <w:rFonts w:ascii="IRNazanin" w:hAnsi="IRNazanin" w:eastAsia="IRNazanin"/>
          <w:color w:val="111111"/>
          <w:sz w:val="28"/>
          <w:sz w:val="28"/>
          <w:szCs w:val="28"/>
          <w:rtl w:val="true"/>
          <w:lang w:bidi="fa-IR"/>
        </w:rPr>
        <w:t>إنّ العنایة بأقوال الفقهاء،و خاصّة الأرکان و الأساطین،و بالأخصّ المتقدّمین منهم،تعتبر من الامور المهمّة و المؤثّرة بشکل أساسیّ فی مسارّ الاستنباط للفقیه، فکلّما تتبّعنا و بحثنا فی کتب أولئک الفقهاء،کالعلاّمة،و الشیخ،و الشهیدین،و المحقّق الأوّل،و الثانی،و کذلک النراقی قدّس سرّه یتجلّی هذا المعنی أکثر،و هو أنّه لا بدّ من الاهتمام و العنایة الفائقة بأقوال و آراء الفقهاء،و الأمر المهمّ هنا دراسة مختصرة حول آثار الفقهاء الماضین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العنایة بآراء الفقهاء العظام،یعین الفقیه أکثر من سبیل الوصول إلی الواقع، و بالطبع فنحن لا ندّعی أنّ کلّ قول مشهور،أو مطابق للإجماع یتطابق مع الواقع حتما،بل المراد أنّ الفقیه فی صدد تحصیل الحکم الإلهی الواقعی؛فإنّ ملاحظة أقوال الفقهاء المعروفین بإمکانها توجیه الفقیه غالبا باتّجاه الواقع،و نکرّر القول بأنّنا هنا لسنا فی صدد إثبات حجّیة،أو عدم حجّیة الفتوی المشهورة بین الفقهاء؛لأنّ هذا البحث یجب أن یبحث بشکل مستقلّ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لکنّنا فی صدد القول بأنّ منهج الفقیه فی عملیّة الاستنباط إذا کان مقرونا بالاهتمام بذکر أقوال العلماء،و خاصّة المتقدّمین منهم؛فإنّه سیکون لذلک تأثیر کبیر فی إیصال الفقیه إلی الواقع،أو الاقتراب منه أکثر</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التأمّل و التدقیق فی المنهج الاستنباطی لکلّ فقیه،و أنّ الفقیه الفلانی</w:t>
      </w:r>
      <w:bookmarkStart w:id="571" w:name="pg5439_46969"/>
    </w:p>
    <w:p>
      <w:pPr>
        <w:pStyle w:val="BookText"/>
        <w:rPr/>
      </w:pPr>
      <w:bookmarkEnd w:id="571"/>
      <w:r>
        <w:rPr>
          <w:rFonts w:ascii="Amiri" w:hAnsi="Amiri" w:eastAsia="Amiri" w:cs="Amiri"/>
          <w:color w:val="111111"/>
          <w:sz w:val="28"/>
          <w:sz w:val="28"/>
          <w:szCs w:val="28"/>
          <w:rtl w:val="true"/>
          <w:lang w:bidi="ar-SA"/>
        </w:rPr>
        <w:t>یهتمّ بأیّ من نظریّات الفقهاء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هل یأخذ بنظر الاعتبار الأقوال الشاذّة،أم لا؟و هل یهتمّ بآراء الفقهاء الذین یتمسّکون بظواهر الأخبار فی عملیّة الاستدلال،أو بآراء الفقهاء الذین یستخدمون القواعد الاصولیّة أکثر فی عملیّة الاستنباط؟</w:t>
      </w:r>
    </w:p>
    <w:p>
      <w:pPr>
        <w:pStyle w:val="BookText"/>
        <w:rPr/>
      </w:pPr>
      <w:r>
        <w:rPr>
          <w:rFonts w:ascii="IRNazanin" w:hAnsi="IRNazanin" w:eastAsia="IRNazanin"/>
          <w:color w:val="111111"/>
          <w:sz w:val="28"/>
          <w:sz w:val="28"/>
          <w:szCs w:val="28"/>
          <w:rtl w:val="true"/>
          <w:lang w:bidi="fa-IR"/>
        </w:rPr>
        <w:t>إنّ ما یمکن التوصّل إلیه من دراسة فقه النراقی هو أنّه لم یکن یعیر اهتماما فی المسائل الفقهیّة للأقوال الشاذّة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التوجّه إلی أقوال الآخرین له تأثیر هامّ فی انتخابه للفتوی،بحیث لا یجعله ذلک متفرّدا بالفتوی،و یصدّه عن القول الشاذّ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الموارد التی تستحقّ مراجعة فتاوی الأساطین و الکبار و العنایة بها، باب السنن و المستحبّات،و ذلک من باب أنّ مقولة التسامح فی أدلّة السنن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کونها تفضی علی الدلیل الضعیف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مشروعیّة العمل به من باب الاستحباب؛ فإنّ مجرّد فتوی الأجلّة بإمکانها إثبات الاستحباب لعمل معیّن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مع مراجعة 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للنراقی قدّس سرّه یتّضح لنا أنّ النراقی کان یعطی أهمّیة بالغة للفقهاء المعاصرین له و المتقدّمین،و هذا الأمر له تأثیر کبیر فی صحّة و إتقان عملیّة الاستنباط</w:t>
      </w:r>
      <w:r>
        <w:rPr>
          <w:rFonts w:eastAsia="IRNazanin" w:cs="IRNazanin"/>
          <w:color w:val="111111"/>
          <w:sz w:val="28"/>
          <w:szCs w:val="28"/>
          <w:rtl w:val="true"/>
          <w:lang w:bidi="fa-IR"/>
        </w:rPr>
        <w:t>.</w:t>
      </w:r>
    </w:p>
    <w:p>
      <w:pPr>
        <w:pStyle w:val="Heading3"/>
        <w:numPr>
          <w:ilvl w:val="2"/>
          <w:numId w:val="1"/>
        </w:numPr>
        <w:rPr/>
      </w:pPr>
      <w:bookmarkStart w:id="572" w:name="__RefHeading___Toc1856258_581953129"/>
      <w:bookmarkStart w:id="573" w:name="_Toc214"/>
      <w:bookmarkEnd w:id="572"/>
      <w:r>
        <w:rPr/>
        <w:t>10</w:t>
      </w:r>
      <w:r>
        <w:rPr>
          <w:rtl w:val="true"/>
        </w:rPr>
        <w:t>-</w:t>
      </w:r>
      <w:r>
        <w:rPr>
          <w:rtl w:val="true"/>
        </w:rPr>
        <w:t>آراء العامّة،و تأثیرها فی الاستنباط</w:t>
      </w:r>
      <w:bookmarkEnd w:id="573"/>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یلتفت النراقی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إطلاقا إلی آراء و نظریّات علماء أهل السنّة،رغم أنّه قصد من أوّل الأمر دراسة آراء علماء الشیعة فی المستند،و لکن من الواضح أنّه لا یقیم وزنا إطلاقا لآراء العامّة،بل أنّه لا یأتی بها بعنوان المؤیّد أیضا، کما أنّه بالنسبة إلی الروایات،إذا کانت هناک روایة بطریق أهل السنّة،فلا یراها</w:t>
      </w:r>
    </w:p>
    <w:p>
      <w:pPr>
        <w:pStyle w:val="BookText"/>
        <w:rPr/>
      </w:pPr>
      <w:r>
        <w:rPr>
          <w:rFonts w:ascii="IRNazanin" w:hAnsi="IRNazanin" w:eastAsia="IRNazanin"/>
          <w:color w:val="111111"/>
          <w:sz w:val="28"/>
          <w:sz w:val="28"/>
          <w:szCs w:val="28"/>
          <w:rtl w:val="true"/>
          <w:lang w:bidi="fa-IR"/>
        </w:rPr>
        <w:t>حجّة بأیّ وجه،فقد کتب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 روایتی جامع الأخبار،و روایة المجمع عن طریق العامّة لا حجّیة فیها أصلا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الضروری الالتفات إلی هذا الأمر،و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شکّ فی کون الاطّلاع و التعرّف علی فتاوی العامّة مؤثّرا جدّا فی الفقه و الاستنباط الفقهی،و خاصّة فی موارد ما إذا أردنا معرفة أنّ هذه الروایة صادرة عن تقیّة،أو لا؟أو فیما لو أردنا معرفة أنّ هذا المطلب هل هو مورد إجماع المسلمین،أم لا؟و کذلک فیما لو أردنا معرفة أنّ هذا الحکم هل هو من ضروریّات الدّین،أم لا؟بل إنّ الاطّلاع علی آراء العامّة یؤثّر حتّی فی فهم بعض الروایات؛من قبیل ما ورد فی مسألة الجهر بالبسملة،حیث روی سلیم بن قیس،عن أمیر المؤمنین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ألزمت الناس الجهر ببسم اللّه الرحمن الرحیم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یقول آیة اللّه البروجردی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الظاهر اختصاصها بحال الصلاة،إلاّ أنّه بملاحظة ما ذکرنا یظهر اختصاصها بالصلوات الجهریّة التی کان بناؤهم علی الأسرار فیها </w:t>
      </w:r>
      <w:r>
        <w:rPr>
          <w:rStyle w:val="FootnoteAnchor"/>
          <w:rtl w:val="true"/>
        </w:rPr>
        <w:footnoteReference w:id="755"/>
      </w:r>
      <w:r>
        <w:rPr>
          <w:rFonts w:ascii="IRNazanin" w:hAnsi="IRNazanin" w:eastAsia="IRNazanin"/>
          <w:color w:val="111111"/>
          <w:sz w:val="28"/>
          <w:sz w:val="28"/>
          <w:szCs w:val="28"/>
          <w:rtl w:val="true"/>
          <w:lang w:bidi="fa-IR"/>
        </w:rPr>
        <w:t>،و هذا الموقف من الإمام علیه السّلام هو فی مقابل ذلک البناء للعامّة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المرحوم النراقی </w:t>
      </w:r>
      <w:r>
        <w:rPr>
          <w:rStyle w:val="FootnoteAnchor"/>
          <w:rtl w:val="true"/>
        </w:rPr>
        <w:footnoteReference w:id="756"/>
      </w:r>
      <w:r>
        <w:rPr>
          <w:rFonts w:ascii="IRNazanin" w:hAnsi="IRNazanin" w:eastAsia="IRNazanin"/>
          <w:color w:val="111111"/>
          <w:sz w:val="28"/>
          <w:sz w:val="28"/>
          <w:szCs w:val="28"/>
          <w:rtl w:val="true"/>
          <w:lang w:bidi="fa-IR"/>
        </w:rPr>
        <w:t>،فلم یلتفت إلی هذه الجهة للروایة المذکورة آنفا،بل ناقش فی إطلاقها الظاهری من جهتین</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طریق التقیید و التخصیص بالروایات الاخر،حیث یستنتج استحباب الجهر بالبسملة فی الصلوات الإخفاتیّة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العمل بها لمخالفتها للشهرتین العظیمتین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الوقت نفسه یمکن القول بأنّ التوجّه أکثر من اللازم إلی فقه العامّة بإمکانه أن یخرج الفقیه من دائرة الضوابط المتینة فی الفقه الشیعی،و یقرّبه أکثر إلی فقه أولئک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الأساس نجد أنّ النراقی لم یلتفت فی استنباطاته الفقهیّة فی المستند إلی فقه العامّة إطلاقا،و هذا الأمر یدلّ علی أنّ الاستدلال و الوصول إلی الأحکام الواقعیّة لا یحتاج إلی هذا الأمر فی نظر النراقی،و مع الأسف فإنّ فقه بعض المعاصرین یتواءم مع فقه العامّة،إلی درجة أنّ قسما مهمّا من فتاویهم و فقههم مأخوذ من فقه العامّة</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ینبغی القول بأنّ تأسیس الفقه المقارن إذا کان بقصد تقارب الأفکار و الآراء الفقهیّة،فهو خطأ فاحش،و إذا کان بقصد التعرّف علی المبانی الفقهیّة و الأدلّة الاستنباطیّة لکلّ واحد من المذاهب،و دراستها لبیان أیّها الأقوی و الأسدی فی مقام الاستدلال،فهذا الأمر مطلوب جدّا و لازم</w:t>
      </w:r>
      <w:r>
        <w:rPr>
          <w:rFonts w:eastAsia="IRNazanin" w:cs="IRNazanin"/>
          <w:color w:val="111111"/>
          <w:sz w:val="28"/>
          <w:szCs w:val="28"/>
          <w:rtl w:val="true"/>
          <w:lang w:bidi="fa-IR"/>
        </w:rPr>
        <w:t>.</w:t>
      </w:r>
      <w:bookmarkStart w:id="574" w:name="pg5439_46973"/>
    </w:p>
    <w:p>
      <w:pPr>
        <w:pStyle w:val="Heading2"/>
        <w:numPr>
          <w:ilvl w:val="1"/>
          <w:numId w:val="1"/>
        </w:numPr>
        <w:rPr/>
      </w:pPr>
      <w:bookmarkStart w:id="575" w:name="__RefHeading___Toc1856260_581953129"/>
      <w:bookmarkStart w:id="576" w:name="_Toc215"/>
      <w:bookmarkEnd w:id="574"/>
      <w:bookmarkEnd w:id="575"/>
      <w:r>
        <w:rPr>
          <w:rtl w:val="true"/>
        </w:rPr>
        <w:t>رسالة مختصرة فی الحقّ و الحکم</w:t>
      </w:r>
      <w:bookmarkEnd w:id="576"/>
    </w:p>
    <w:p>
      <w:pPr>
        <w:pStyle w:val="Heading3"/>
        <w:numPr>
          <w:ilvl w:val="2"/>
          <w:numId w:val="1"/>
        </w:numPr>
        <w:rPr/>
      </w:pPr>
      <w:bookmarkStart w:id="577" w:name="__RefHeading___Toc1856262_581953129"/>
      <w:bookmarkStart w:id="578" w:name="_Toc216"/>
      <w:bookmarkEnd w:id="577"/>
      <w:r>
        <w:rPr>
          <w:rtl w:val="true"/>
        </w:rPr>
        <w:t>اشارة</w:t>
      </w:r>
      <w:bookmarkEnd w:id="578"/>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ألّفت فی سنة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bookmarkStart w:id="579" w:name="pg5439_46975"/>
    </w:p>
    <w:p>
      <w:pPr>
        <w:pStyle w:val="BookText"/>
        <w:rPr/>
      </w:pPr>
      <w:bookmarkEnd w:id="579"/>
      <w:r>
        <w:rPr>
          <w:rFonts w:ascii="Amiri" w:hAnsi="Amiri" w:eastAsia="Amiri" w:cs="Amiri"/>
          <w:color w:val="111111"/>
          <w:sz w:val="28"/>
          <w:sz w:val="28"/>
          <w:szCs w:val="28"/>
          <w:rtl w:val="true"/>
          <w:lang w:bidi="ar-SA"/>
        </w:rPr>
        <w:t>بِسْمِ اللّهِ الرَّحْمنِ الرَّحِیمِ و البحث فیه یقع فی امور</w:t>
      </w:r>
      <w:r>
        <w:rPr>
          <w:rFonts w:eastAsia="Amiri" w:cs="Amiri" w:ascii="Amiri" w:hAnsi="Amiri"/>
          <w:color w:val="111111"/>
          <w:sz w:val="28"/>
          <w:szCs w:val="28"/>
          <w:rtl w:val="true"/>
          <w:lang w:bidi="ar-SA"/>
        </w:rPr>
        <w:t>:</w:t>
      </w:r>
    </w:p>
    <w:p>
      <w:pPr>
        <w:pStyle w:val="Heading3"/>
        <w:numPr>
          <w:ilvl w:val="2"/>
          <w:numId w:val="1"/>
        </w:numPr>
        <w:rPr/>
      </w:pPr>
      <w:bookmarkStart w:id="580" w:name="__RefHeading___Toc1856264_581953129"/>
      <w:bookmarkStart w:id="581" w:name="_Toc217"/>
      <w:bookmarkEnd w:id="580"/>
      <w:r>
        <w:rPr>
          <w:rtl w:val="true"/>
        </w:rPr>
        <w:t>الأوّل</w:t>
      </w:r>
      <w:r>
        <w:rPr>
          <w:rtl w:val="true"/>
        </w:rPr>
        <w:t>:</w:t>
      </w:r>
      <w:r>
        <w:rPr>
          <w:rtl w:val="true"/>
        </w:rPr>
        <w:t>فی معنی الحقّ بحسب اللغة</w:t>
      </w:r>
      <w:bookmarkEnd w:id="5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فاعلم أنّه یستفاد من عبارة کثیر من أهل اللغة أنّه بمعنی الثبوت و الشیء الثابت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خلاف الباطل،و هو واحد الحقوق،حقّ الشیء یحقّ بالکسر؛أی وجب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الزمخشری فی أساس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اللّه الأمر 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أثبته و أوجبه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الخلیل فی کتابه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الشیء یحقّ حقّا؛أی وجب وجوبا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ذکر الراغب فی مفرداته وجوها أربعة للحقّ،فقال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 لموجد الشیء بحسب ما تقتضیه الحکمة،و لهذا قیل فی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الحقّ،و قد یقال للموجد بحسب مقتضی الحکمة،و لهذا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کلّه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یطلق علی</w:t>
      </w:r>
      <w:bookmarkStart w:id="582" w:name="pg5439_46976"/>
    </w:p>
    <w:p>
      <w:pPr>
        <w:pStyle w:val="BookText"/>
        <w:rPr/>
      </w:pPr>
      <w:bookmarkEnd w:id="582"/>
      <w:r>
        <w:rPr>
          <w:rFonts w:ascii="IRNazanin" w:hAnsi="IRNazanin" w:eastAsia="IRNazanin"/>
          <w:color w:val="111111"/>
          <w:sz w:val="28"/>
          <w:sz w:val="28"/>
          <w:szCs w:val="28"/>
          <w:rtl w:val="true"/>
          <w:lang w:bidi="fa-IR"/>
        </w:rPr>
        <w:t xml:space="preserve">الاعتقاد للشیء المطابق لما علیه ذلک الشیء فی نفسه،و قد یطلق للفعل و القول الواقع بحسب ما یجب و بقدر ما یجب،و فی الوقت الذی یجب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الظاهر أنّ هذه الموارد کلّها من قبیل المصداق لمفهوم الحقّ،فاللّه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تبارک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أنّه ثابت أکمل الثبوت،فهو حقّ کمال الحقیقیة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الحقّ لیس بمعنی صرف الثبوت،بل الثبوت الوجوبی و اللزومی یسمّی حقّا و إن کان اللزوم بالمعنی اللغوی یرجع إلی الثبوت،و لکنّ التأمّل یقتضی کون اللزوم أیضا هو الثبوت الخاصّ،لا الثبوت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جاء فی بعض الاستعمالات؛من أنّ التحقّق یکون فصلا بمعنی المفعول، فیکون بمعنی الجدیر،ممکن أن یرجع الجدیر إلی الثبوت أیضا،فمعنی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جدیر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هذا الشیء ثابت لک فقط،و لیس بثابت بغیرک،و أنت صالح لثبوت الشیء لک،علی أنّه لیس بمعنی المفعول حتّی یلزم أن یقال بأنّه فی معنی الجدیر،فإنّ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من حقق بضمّ العین،کما أنّ الفقیر من فقر،فلیس بمعنی المفعول، فتدبّر</w:t>
      </w:r>
      <w:r>
        <w:rPr>
          <w:rFonts w:eastAsia="IRNazanin" w:cs="IRNazanin"/>
          <w:color w:val="111111"/>
          <w:sz w:val="28"/>
          <w:szCs w:val="28"/>
          <w:rtl w:val="true"/>
          <w:lang w:bidi="fa-IR"/>
        </w:rPr>
        <w:t>.</w:t>
      </w:r>
    </w:p>
    <w:p>
      <w:pPr>
        <w:pStyle w:val="Heading3"/>
        <w:numPr>
          <w:ilvl w:val="2"/>
          <w:numId w:val="1"/>
        </w:numPr>
        <w:rPr/>
      </w:pPr>
      <w:bookmarkStart w:id="583" w:name="__RefHeading___Toc1856266_581953129"/>
      <w:bookmarkStart w:id="584" w:name="_Toc218"/>
      <w:bookmarkEnd w:id="583"/>
      <w:r>
        <w:rPr>
          <w:rtl w:val="true"/>
        </w:rPr>
        <w:t>الثانی</w:t>
      </w:r>
      <w:r>
        <w:rPr>
          <w:rtl w:val="true"/>
        </w:rPr>
        <w:t>:</w:t>
      </w:r>
      <w:r>
        <w:rPr>
          <w:rtl w:val="true"/>
        </w:rPr>
        <w:t>فی معنی الحقّ بحسب اصطلاح الفقهاء،</w:t>
      </w:r>
      <w:bookmarkEnd w:id="584"/>
    </w:p>
    <w:p>
      <w:pPr>
        <w:pStyle w:val="BookText"/>
        <w:rPr/>
      </w:pPr>
      <w:r>
        <w:rPr>
          <w:rFonts w:ascii="IRNazanin" w:hAnsi="IRNazanin" w:eastAsia="IRNazanin"/>
          <w:color w:val="111111"/>
          <w:sz w:val="28"/>
          <w:sz w:val="28"/>
          <w:szCs w:val="28"/>
          <w:rtl w:val="true"/>
          <w:lang w:bidi="fa-IR"/>
        </w:rPr>
        <w:t>و الفرق بینه،و بین الملک و الحکم و السلطنة،و قد ذکر فی تعریفه تعابیر مختلفة کما یلی</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جمع من المحقّقین إلی أنّ الحقّ مرتبة ضعیفة من السلطنة أو الملک، فقال السیّد الیزدی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الحقّ نوع من السلطنة علی شیء متعلّق بعین،کحقّ التحجیر، و حقّ الرهانة،و حقّ الغرماء فی ترکة المیّت،أو غیرها،کحقّ الخیار المتعلّق بالعقد، أو علی شخص،کحقّ القصاص،و حقّ الحضانة،و حقّ القسم و نحو ذلک،فهو مرتبة ضعیفة من الملک،بل نوع منه </w:t>
      </w:r>
      <w:r>
        <w:rPr>
          <w:rStyle w:val="FootnoteAnchor"/>
          <w:rtl w:val="true"/>
        </w:rPr>
        <w:footnoteReference w:id="761"/>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المحقّق الایروانی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الفرق بین الحقّ و الملک بعموم الاستیلاء و السلطان و خصوصه،فالملک یکون بدخول الشیء تحت السلطان بتمام شؤونه و کافّة حیثیّاته،و الحقّ یکون بدخوله تحت السلطان ببعض جهاته و حیثیّاته،فالشخص مسلّط علی امته؛بأن یبیع،و یهب،و ینکح إلی آخر التصرّفات السائغة،فیقال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الأمة ملکه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 مسلّط علی زوجته فی خصوص المباضعة،فیقال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الزوجة متعلّق حقّه </w:t>
      </w:r>
      <w:r>
        <w:rPr>
          <w:rStyle w:val="FootnoteAnchor"/>
          <w:rtl w:val="true"/>
        </w:rPr>
        <w:footnoteReference w:id="762"/>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المستفاد من صریح عبارته أنّ الحقّ مرتبة ضعیفة من السلطنة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المحقّق النائینی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ذکر معنی الأعمّ للحقّ الذی یشمل الملک و الحکم و العین،و بالجملة کلّ ما وضعه الشارع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بالمعنی الأخصّ عبارة عن إضافة ضعیفة حاصلة لذی الحقّ،و أقواها إضافة مالکیّة العین،و أوسطها إضافة مالکیّة المنفعة،و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سلطنة ضعیفة علی المال</w:t>
      </w:r>
      <w:r>
        <w:rPr>
          <w:rFonts w:eastAsia="IRNazanin" w:cs="IRNazanin"/>
          <w:color w:val="111111"/>
          <w:sz w:val="28"/>
          <w:szCs w:val="28"/>
          <w:rtl w:val="true"/>
          <w:lang w:bidi="fa-IR"/>
        </w:rPr>
        <w:t xml:space="preserve">» </w:t>
      </w:r>
      <w:r>
        <w:rPr>
          <w:rStyle w:val="FootnoteAnchor"/>
          <w:rtl w:val="true"/>
        </w:rPr>
        <w:footnoteReference w:id="763"/>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کلامه قدّس سرّه لیس خالیا عن التشویش و التنافی،کما أشار إلیه السیّد الإمام قدّس سرّه </w:t>
      </w:r>
      <w:r>
        <w:rPr>
          <w:rStyle w:val="FootnoteAnchor"/>
          <w:rtl w:val="true"/>
        </w:rPr>
        <w:footnoteReference w:id="764"/>
      </w:r>
      <w:r>
        <w:rPr>
          <w:rFonts w:ascii="IRNazanin" w:hAnsi="IRNazanin" w:eastAsia="IRNazanin"/>
          <w:color w:val="111111"/>
          <w:sz w:val="28"/>
          <w:sz w:val="28"/>
          <w:szCs w:val="28"/>
          <w:rtl w:val="true"/>
          <w:lang w:bidi="fa-IR"/>
        </w:rPr>
        <w:t>،فإنّه قال فی صدر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الحقّ هی السلطنة الضعیفة،بینما أنّه عبّر فی ذیل کلامه أنّه اعتبار خاصّ الذی أثره السلطنة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التشویش متوجّه إلی المقرّر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کان یستفاد من مجموع هذه العبارات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الحقّ مرتبة ضعیفة من السلطنة</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یرد علی هذا البیان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 النسبة بین الحقّ و السلطنة عموم من وجه؛فإنّه قد تحقّق السلطنة بدون الحقّ،کسلطنة الناس علی نفوسهم،و العقلاء لا یعتبرون کون الإنسان ذو حقّ علی نفسه،إلاّ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السلطنة لیست</w:t>
      </w:r>
      <w:bookmarkStart w:id="585" w:name="pg5439_46978"/>
    </w:p>
    <w:p>
      <w:pPr>
        <w:pStyle w:val="BookText"/>
        <w:rPr/>
      </w:pPr>
      <w:bookmarkEnd w:id="585"/>
      <w:r>
        <w:rPr>
          <w:rFonts w:ascii="IRNazanin" w:hAnsi="IRNazanin" w:eastAsia="IRNazanin"/>
          <w:color w:val="111111"/>
          <w:sz w:val="28"/>
          <w:sz w:val="28"/>
          <w:szCs w:val="28"/>
          <w:rtl w:val="true"/>
          <w:lang w:bidi="fa-IR"/>
        </w:rPr>
        <w:t>اعتباریّة،بل هی حقیقة خارجة عن محلّ الکلام،و قد یتحقّق الحقّ بدون السلطنة،کانتقال حقّ التحجیر،و نسبة القذف إلی الصغیر؛فإنّه لا شبهة فی عدم اعتبار السلطنة لهم لدی العقلاء،کما لا شبهة فی اعتبار الحقّ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 بالفرق بین السلطنة و إعمالها،فالعقلاء یعتبرون سلطنة للصغیر،و لکن إعمالها بید الولیّ،أو مشروطة بالبلوغ،و یؤیّده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قُتِلَ مَظْلُوماً فَقَدْ جَعَلْنا لِوَلِیِّهِ سُلْطاناً </w:t>
      </w:r>
      <w:r>
        <w:rPr>
          <w:rStyle w:val="FootnoteAnchor"/>
          <w:rtl w:val="true"/>
        </w:rPr>
        <w:footnoteReference w:id="765"/>
      </w:r>
      <w:r>
        <w:rPr>
          <w:rFonts w:ascii="IRNazanin" w:hAnsi="IRNazanin" w:eastAsia="IRNazanin"/>
          <w:color w:val="111111"/>
          <w:sz w:val="28"/>
          <w:sz w:val="28"/>
          <w:szCs w:val="28"/>
          <w:rtl w:val="true"/>
          <w:lang w:bidi="fa-IR"/>
        </w:rPr>
        <w:t>،و واضح أنّ الولیّ شامل للصغیر أیضا،و جعل الشارع سلطنة لولیّ الصغیر أیضا،و لکن إعمالها مشروطة بالبلوغ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بالنسبة بین الحقّ و الملک عموم من وجه،فالسبق إلی مکان یکون من مصادیق الحقّ،و لا یکون من مصادیق الملک،و کذلک حقّ التحجیر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التشکیک فی الملکیّة بالقوّة و الضعف أمر غیر معقول،فهی بما أنّها أمر مسبّبی اعتباریّ،إمّا أن توجد،و إمّا أن لا توجد،فلا معنی لوجود الضعیف للملکیّة،کما لا معنی لوجود القویّ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الملکیّة أمر إضافیّ یتحقّق بوجود طرفی الإضافة،و تنعدم بانعدام أحد الطرفین،و القول بإمکان الشدّة و الضعف فی طرفی الإضافة،و بالمآل فی نفس الإضافة لا ینبغی أن یصغی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نعم،یمکن التفاوت بالسعة و الضیق،کما هو ظاهر عبارة الایروانی،و لعلّه مراد النائینی أیضا</w:t>
      </w:r>
      <w:r>
        <w:rPr>
          <w:rFonts w:eastAsia="IRNazanin" w:cs="IRNazanin"/>
          <w:color w:val="111111"/>
          <w:sz w:val="28"/>
          <w:szCs w:val="28"/>
          <w:rtl w:val="true"/>
          <w:lang w:bidi="fa-IR"/>
        </w:rPr>
        <w:t>.</w:t>
      </w:r>
    </w:p>
    <w:p>
      <w:pPr>
        <w:pStyle w:val="Heading3"/>
        <w:numPr>
          <w:ilvl w:val="2"/>
          <w:numId w:val="1"/>
        </w:numPr>
        <w:rPr/>
      </w:pPr>
      <w:bookmarkStart w:id="586" w:name="__RefHeading___Toc1856268_581953129"/>
      <w:bookmarkStart w:id="587" w:name="_Toc219"/>
      <w:bookmarkEnd w:id="586"/>
      <w:r>
        <w:rPr>
          <w:rtl w:val="true"/>
        </w:rPr>
        <w:t>کون السلطنة من آثار الحق</w:t>
      </w:r>
      <w:bookmarkEnd w:id="587"/>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التعبیر الثانی فی الحقّ هو ما ذکره المحقّق الخراسانی فی حاشیته علی المکاسب،أنّه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الحقّ بنفسه لیس سلطنة،و إنّما کانت السلطنة من آثاره،کما أنّها من آثار الملک،و إنّما هو اعتبار خاصّ له آثار مخصوصة،منها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السلطنة علی الفسخ،کما فی حقّ الخیار،أو التملّک بالعوض،کما فی حقّ الشفعة،أو بلا عوض،کما</w:t>
      </w:r>
      <w:bookmarkStart w:id="588" w:name="pg5439_46979"/>
    </w:p>
    <w:p>
      <w:pPr>
        <w:pStyle w:val="BookText"/>
        <w:rPr/>
      </w:pPr>
      <w:bookmarkEnd w:id="588"/>
      <w:r>
        <w:rPr>
          <w:rFonts w:ascii="IRNazanin" w:hAnsi="IRNazanin" w:eastAsia="IRNazanin"/>
          <w:color w:val="111111"/>
          <w:sz w:val="28"/>
          <w:sz w:val="28"/>
          <w:szCs w:val="28"/>
          <w:rtl w:val="true"/>
          <w:lang w:bidi="fa-IR"/>
        </w:rPr>
        <w:t xml:space="preserve">فی حقّ التحجیر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یردّ علیه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التعریف مجمل جدّا؛فإنّ البحث و الکلام فی ماهیّة هذا الاعتبار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الإشکال الأوّل فی القول الأوّل وارد علیه أیضا؛فإنّ الحقّ موجود فی بعض الموارد من دون وجود سلطنة حتّی بعنوان الأثر</w:t>
      </w:r>
      <w:r>
        <w:rPr>
          <w:rFonts w:eastAsia="IRNazanin" w:cs="IRNazanin"/>
          <w:color w:val="111111"/>
          <w:sz w:val="28"/>
          <w:szCs w:val="28"/>
          <w:rtl w:val="true"/>
          <w:lang w:bidi="fa-IR"/>
        </w:rPr>
        <w:t>.</w:t>
      </w:r>
    </w:p>
    <w:p>
      <w:pPr>
        <w:pStyle w:val="Heading3"/>
        <w:numPr>
          <w:ilvl w:val="2"/>
          <w:numId w:val="1"/>
        </w:numPr>
        <w:rPr/>
      </w:pPr>
      <w:bookmarkStart w:id="589" w:name="__RefHeading___Toc1856270_581953129"/>
      <w:bookmarkStart w:id="590" w:name="_Toc220"/>
      <w:bookmarkEnd w:id="589"/>
      <w:r>
        <w:rPr/>
        <w:t>3</w:t>
      </w:r>
      <w:r>
        <w:rPr>
          <w:rtl w:val="true"/>
        </w:rPr>
        <w:t>-</w:t>
      </w:r>
      <w:r>
        <w:rPr>
          <w:rtl w:val="true"/>
        </w:rPr>
        <w:t>قد یقال</w:t>
      </w:r>
      <w:r>
        <w:rPr>
          <w:rtl w:val="true"/>
        </w:rPr>
        <w:t>:</w:t>
      </w:r>
      <w:r>
        <w:rPr>
          <w:rtl w:val="true"/>
        </w:rPr>
        <w:t>بأنّ الحقّ نفس الملک</w:t>
      </w:r>
      <w:bookmarkEnd w:id="590"/>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الحقّ نفس الملک </w:t>
      </w:r>
      <w:r>
        <w:rPr>
          <w:rStyle w:val="FootnoteAnchor"/>
        </w:rPr>
        <w:footnoteReference w:id="767"/>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،و لذا یعبّر عن حقّ الخیار بملک الفسخ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الملک ملزوم للسلطنة المطلقة،مع أنّ الحقّ سلطنة خاصّة علی تصرّف خاصّ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التأیید علیل جدّا؛لأنّ القراءة الصحیحة هی الملک بضمّ المیم لا بکسره</w:t>
      </w:r>
      <w:r>
        <w:rPr>
          <w:rFonts w:eastAsia="IRNazanin" w:cs="IRNazanin"/>
          <w:color w:val="111111"/>
          <w:sz w:val="28"/>
          <w:szCs w:val="28"/>
          <w:rtl w:val="true"/>
          <w:lang w:bidi="fa-IR"/>
        </w:rPr>
        <w:t>.</w:t>
      </w:r>
    </w:p>
    <w:p>
      <w:pPr>
        <w:pStyle w:val="Heading3"/>
        <w:numPr>
          <w:ilvl w:val="2"/>
          <w:numId w:val="1"/>
        </w:numPr>
        <w:rPr/>
      </w:pPr>
      <w:bookmarkStart w:id="591" w:name="__RefHeading___Toc1856272_581953129"/>
      <w:bookmarkStart w:id="592" w:name="_Toc221"/>
      <w:bookmarkEnd w:id="591"/>
      <w:r>
        <w:rPr/>
        <w:t>4</w:t>
      </w:r>
      <w:r>
        <w:rPr>
          <w:rtl w:val="true"/>
        </w:rPr>
        <w:t>-</w:t>
      </w:r>
      <w:r>
        <w:rPr>
          <w:rtl w:val="true"/>
        </w:rPr>
        <w:t>التعبیر الرابع</w:t>
      </w:r>
      <w:r>
        <w:rPr>
          <w:rtl w:val="true"/>
        </w:rPr>
        <w:t>:</w:t>
      </w:r>
      <w:r>
        <w:rPr>
          <w:rtl w:val="true"/>
        </w:rPr>
        <w:t>ما ذکره السیّد الخوئی قدّس سرّه من أنّه لا فرق بین الحقّ و الحکم؛</w:t>
      </w:r>
      <w:bookmarkEnd w:id="592"/>
    </w:p>
    <w:p>
      <w:pPr>
        <w:pStyle w:val="BookText"/>
        <w:rPr/>
      </w:pPr>
      <w:r>
        <w:rPr>
          <w:rFonts w:ascii="IRNazanin" w:hAnsi="IRNazanin" w:eastAsia="IRNazanin"/>
          <w:color w:val="111111"/>
          <w:sz w:val="28"/>
          <w:sz w:val="28"/>
          <w:szCs w:val="28"/>
          <w:rtl w:val="true"/>
          <w:lang w:bidi="fa-IR"/>
        </w:rPr>
        <w:t>فإنّه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فالصحیح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الحقّ لا ینافی الحکم،بل هو حکم شرعیّ اختیاره بید من له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یشهد ما ذکرناه من أنّ الحقّ هو الحکم بعینه،لا تری فرقا بین الجواز الحکمی غیر القابل للإسقاط فی جواز قتل الکافر تکلیفا،و بین الجواز الحقّی فی جواز قتل الجانی قصاصا،و هکذا لا فرق فی جواز رجوع الواهب وضعا، و جواز رجوع من له الخیار فی البیع،مع أنّ الأوّل حکمیّ،و الثانی حقّی</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المستفاد من مجموع کلماته قدّس سرّه فی مصباح الفقاهة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الحقّ نفس الحکم و یرجع إلیه،و لا فرق بینه و بین الحکم إلاّ فی أنّ الحقّ قابل للإسقاط دون الحکم،</w:t>
      </w:r>
    </w:p>
    <w:p>
      <w:pPr>
        <w:pStyle w:val="BookText"/>
        <w:rPr/>
      </w:pPr>
      <w:r>
        <w:rPr>
          <w:rFonts w:ascii="IRNazanin" w:hAnsi="IRNazanin" w:eastAsia="IRNazanin"/>
          <w:color w:val="111111"/>
          <w:sz w:val="28"/>
          <w:sz w:val="28"/>
          <w:szCs w:val="28"/>
          <w:rtl w:val="true"/>
          <w:lang w:bidi="fa-IR"/>
        </w:rPr>
        <w:t>و الفرق بینه و بین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الثانی یتعلّق بالأعیان و المنافع،بخلاف الحقّ؛فإنّه لا یتعلّق إلاّ بالأفعال،کما أنّ الأحکام تتعلّق بالأفعال فقط،و لذا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الفقه هو فعل المکلّف،فالحقّ الشرعی هو الحکم الشرعی،و الحقّ العرفی هو الحکم العرفی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کلامه قدّس سرّه و إن کان أقرب إلی الصواب من التعابیر السابقة،إلاّ أنّه یرد علیه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کلامه بناء علی ما ذکره المقرّر لا یخلو عن تشویش و اضطراب؛فإنّه فی بعض العبارات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الحقّ نفس الحکم،و فی بعض آخر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منتزع من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 من فرق بین هذا التعبیر،و بین التعبیر الأوّل،و سیأتی أنّ التعبیر الثانی هو المطابق للتحقیق دون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قدّس سرّه ممّن انتقض علی نفسه؛بأنّ حقّ المارّة لیس قابلا للإسقاط، فیبقی فی هذا المورد سؤال،ما الفرق بین الحقّ و الحکم،فهل حقّ المارّة حقّ، أو حکم؟</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ظاهر کلامه عدم إمکان افتراق الحقّ عن الحکم،و الحکم عن الحقّ،مع أنّ الحکم یتحقّق فی بعض الموارد من دون اعتبار حقّ،کوجوب الصلاة و غیرها،و إطلاق الحقّ علی العبادة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اللّه علی العباد أن یعبدوه </w:t>
      </w:r>
      <w:r>
        <w:rPr>
          <w:rStyle w:val="FootnoteAnchor"/>
          <w:rtl w:val="true"/>
        </w:rPr>
        <w:footnoteReference w:id="7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بمعنی المفعول،کالملک بمعنی المملوک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بمعنی الفاعل فلیس إلاّ الإیجاب</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وحدة التعبیر فی جواز رجوع الواهب،و جواز رجوع من له الخیار،لا یستلزم وحدة الماهیّة؛فإنّ لسان التعبیر فی الحکم التکلیفی و الوضعی واحد غالبا،مع وجود الفرق الحقیقی الأساسی بینهما بعد الاشتراک فی کونهما من</w:t>
      </w:r>
      <w:bookmarkStart w:id="593" w:name="pg5439_46981"/>
    </w:p>
    <w:p>
      <w:pPr>
        <w:pStyle w:val="BookText"/>
        <w:rPr/>
      </w:pPr>
      <w:bookmarkEnd w:id="593"/>
      <w:r>
        <w:rPr>
          <w:rFonts w:ascii="IRNazanin" w:hAnsi="IRNazanin" w:eastAsia="IRNazanin"/>
          <w:color w:val="111111"/>
          <w:sz w:val="28"/>
          <w:sz w:val="28"/>
          <w:szCs w:val="28"/>
          <w:rtl w:val="true"/>
          <w:lang w:bidi="fa-IR"/>
        </w:rPr>
        <w:t>الامور الاعتباریّة،علی 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فرق بینهما،إلاّ فی أنّ الحقّ قابل للإسقاط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السؤال،و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من أین یجیء القابلیّة فی الحقّ دون الحکم؟و هذا کاشف عن اختلاف أساسیّ بین الحقّ و الحکم</w:t>
      </w:r>
      <w:r>
        <w:rPr>
          <w:rFonts w:eastAsia="IRNazanin" w:cs="IRNazanin"/>
          <w:color w:val="111111"/>
          <w:sz w:val="28"/>
          <w:szCs w:val="28"/>
          <w:rtl w:val="true"/>
          <w:lang w:bidi="fa-IR"/>
        </w:rPr>
        <w:t>.</w:t>
      </w:r>
    </w:p>
    <w:p>
      <w:pPr>
        <w:pStyle w:val="Heading3"/>
        <w:numPr>
          <w:ilvl w:val="2"/>
          <w:numId w:val="1"/>
        </w:numPr>
        <w:rPr/>
      </w:pPr>
      <w:bookmarkStart w:id="594" w:name="__RefHeading___Toc1856274_581953129"/>
      <w:bookmarkStart w:id="595" w:name="_Toc222"/>
      <w:bookmarkEnd w:id="594"/>
      <w:r>
        <w:rPr>
          <w:rtl w:val="true"/>
        </w:rPr>
        <w:t>و التحقیق أن یقال</w:t>
      </w:r>
      <w:r>
        <w:rPr>
          <w:rtl w:val="true"/>
        </w:rPr>
        <w:t>:</w:t>
      </w:r>
      <w:r>
        <w:rPr>
          <w:rtl w:val="true"/>
        </w:rPr>
        <w:t>إنّ الحقّ و إن کان اعتباره ممکنا و قابلا لأن یکون منشأ</w:t>
      </w:r>
      <w:bookmarkEnd w:id="595"/>
    </w:p>
    <w:p>
      <w:pPr>
        <w:pStyle w:val="BookText"/>
        <w:rPr/>
      </w:pPr>
      <w:r>
        <w:rPr>
          <w:rFonts w:ascii="IRNazanin" w:hAnsi="IRNazanin" w:eastAsia="IRNazanin"/>
          <w:color w:val="111111"/>
          <w:sz w:val="28"/>
          <w:sz w:val="28"/>
          <w:szCs w:val="28"/>
          <w:rtl w:val="true"/>
          <w:lang w:bidi="fa-IR"/>
        </w:rPr>
        <w:t>انتزاع الحکم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فی کثیر،بل جمیع الحقوق الشرعیّة و العقلائیّة یکون أمرا انتزاعیّا قد ینتزع من الأحکام الشرعیّة التکلیفیّة أو الوضعیّة،و قد ینتزع من الأحکام العقلائیّة و یسمّی حقّا عقلائیّا،مثلا من وجوب إطاعة الأب و حرمة مخالفته ینتزع حقّ الابوّة،و من جواز التصرّف فی الأرض ینتزع حقّ التحجیر، و من عدم جواز مزاحمة شخص لشخص آخر ینتزع حقّ السبقة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سبق إلی مکان لا یجوز للغیر أن یزاحمه،و الانتفاع من المکان حقّ للسابق،و ینتزع أیضا من کثیر من المباحات حقّ الانتفاع بها،و من وجوب تمکین الزوجة للزوج ینتزع حقّ الزوج،و من وجوب نفقة الزوجة علیه ینتزع حقّ الزوجة،و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فالحقّ أمر انتزاعیّ،و یؤیّد هذا أنّه ما من فعل إلاّ و له حکم فی الشرع أو العرف من حرمة أو إباحة بالمعنی الأعمّ،و من هذه الأحکام ینتزع الحقّ فی بعض مواردها،و هو اصطلاح عامّ فی الشرع و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الموجب لهذا الاصطلاح الانتزاعی،و ما هی الفائدة من الانتزاع،فهل بدونه نقص،أم لا؟</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لمّا رأوا أنّ فی بعض موارد الحکم یوجد نفع یرجع إلی شخص أو أشخاص،عبّروا عن هذا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،فالتعبیر به،أو انتزاعه من الحکم لأجل الإشارة إلی وجود نفع خاصّ یرجع إلی من له الحقّ</w:t>
      </w:r>
      <w:r>
        <w:rPr>
          <w:rFonts w:eastAsia="IRNazanin" w:cs="IRNazanin"/>
          <w:color w:val="111111"/>
          <w:sz w:val="28"/>
          <w:szCs w:val="28"/>
          <w:rtl w:val="true"/>
          <w:lang w:bidi="fa-IR"/>
        </w:rPr>
        <w:t>.</w:t>
      </w:r>
      <w:bookmarkStart w:id="596" w:name="pg5439_46983"/>
    </w:p>
    <w:p>
      <w:pPr>
        <w:pStyle w:val="Heading2"/>
        <w:numPr>
          <w:ilvl w:val="1"/>
          <w:numId w:val="1"/>
        </w:numPr>
        <w:rPr/>
      </w:pPr>
      <w:bookmarkStart w:id="597" w:name="__RefHeading___Toc1856276_581953129"/>
      <w:bookmarkStart w:id="598" w:name="_Toc223"/>
      <w:bookmarkEnd w:id="596"/>
      <w:bookmarkEnd w:id="597"/>
      <w:r>
        <w:rPr>
          <w:rtl w:val="true"/>
        </w:rPr>
        <w:t>رسالة فی اکذوبة التحریف</w:t>
      </w:r>
      <w:bookmarkEnd w:id="598"/>
    </w:p>
    <w:p>
      <w:pPr>
        <w:pStyle w:val="Heading3"/>
        <w:numPr>
          <w:ilvl w:val="2"/>
          <w:numId w:val="1"/>
        </w:numPr>
        <w:rPr/>
      </w:pPr>
      <w:bookmarkStart w:id="599" w:name="__RefHeading___Toc1856278_581953129"/>
      <w:bookmarkStart w:id="600" w:name="_Toc224"/>
      <w:bookmarkEnd w:id="599"/>
      <w:r>
        <w:rPr>
          <w:rtl w:val="true"/>
        </w:rPr>
        <w:t>اشارة</w:t>
      </w:r>
      <w:bookmarkEnd w:id="600"/>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کانت هذه الرسالة باللّغة الفارسیّة بقلم المؤلّف حفظه اللّه و قد نقلت إلی اللّغة العربیّة</w:t>
      </w:r>
      <w:bookmarkStart w:id="601" w:name="pg5439_46985"/>
    </w:p>
    <w:p>
      <w:pPr>
        <w:pStyle w:val="BookText"/>
        <w:rPr/>
      </w:pPr>
      <w:bookmarkEnd w:id="601"/>
      <w:r>
        <w:rPr>
          <w:rFonts w:ascii="IRNazanin" w:hAnsi="IRNazanin" w:eastAsia="IRNazanin"/>
          <w:color w:val="111111"/>
          <w:sz w:val="28"/>
          <w:sz w:val="28"/>
          <w:szCs w:val="28"/>
          <w:rtl w:val="true"/>
          <w:lang w:bidi="fa-IR"/>
        </w:rPr>
        <w:t>بسم اللّه الرحمن الرحیم</w:t>
      </w:r>
    </w:p>
    <w:p>
      <w:pPr>
        <w:pStyle w:val="Heading3"/>
        <w:numPr>
          <w:ilvl w:val="2"/>
          <w:numId w:val="1"/>
        </w:numPr>
        <w:rPr/>
      </w:pPr>
      <w:bookmarkStart w:id="602" w:name="__RefHeading___Toc1856280_581953129"/>
      <w:bookmarkStart w:id="603" w:name="_Toc225"/>
      <w:bookmarkEnd w:id="602"/>
      <w:r>
        <w:rPr>
          <w:rtl w:val="true"/>
        </w:rPr>
        <w:t>المقدّمة</w:t>
      </w:r>
      <w:bookmarkEnd w:id="603"/>
    </w:p>
    <w:p>
      <w:pPr>
        <w:pStyle w:val="BookText"/>
        <w:rPr/>
      </w:pPr>
      <w:r>
        <w:rPr>
          <w:rFonts w:ascii="IRNazanin" w:hAnsi="IRNazanin" w:eastAsia="IRNazanin"/>
          <w:color w:val="111111"/>
          <w:sz w:val="28"/>
          <w:sz w:val="28"/>
          <w:szCs w:val="28"/>
          <w:rtl w:val="true"/>
          <w:lang w:bidi="fa-IR"/>
        </w:rPr>
        <w:t>نحمد اللّه الذی منّ علینا و جعلنا من المهتدین بکتابه،المعجزة الأبدیّة الفریدة لخاتم النبوّة،تلک النعمة الممدودة و المبسوطة دوما،المحفوفة بالحقائق من الأزل حتّی الأبد،و هی معجزة القرآن الکریم،و التی هی حقّا تنبع منها کرامة الإنسان ببرکة نزوله من الکریم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البحر اللاّمتناهی و الذی یحوی بین طیّات أمواجه العالیة و الواطئة أعظم رموز أسرار الهدایة،و أسهل سبل السعادة و النجاة،کتاب بقبسه ما زال و سیبقی دوما هدی للناس و للمجتمعات البشریّة،و دلیلا لکلّ ضالّ و تائه،کتاب هو دوما نور و فی کلّ المراحل إمام،و فی جمیع الأحوال ذکر،و فی جمیع أبعاد الإنسان و العالم تبیان واضح و وضّاء</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ذلک الکتاب الذی حافظه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الوعد الإلهی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اللّه تبارک و تعالی، الذی لیس فی وعده 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وعد اللّه حقّ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الذی سیعرض فی مجموع النکات القادمة،هو من أهمّ المطالب المطروحة فی مبحث عدم تحریف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یعتبر من المباحث المهمّة و الرئیسة فی علوم القرآن،و ینبغی علی محقّقی و مفسّری و باحثی هذا الکتاب الشریف أن ینقّحوا هذا البحث من جمیع الجهات و یشرحوا أبعاده المختلفة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القول أنّه حصلت تحریفات فاحشة حقّا لدی إسناد نظریّة التحریف إلی الفرق و المذاهب الإسلامیّة،بحیث إنّ المذهب الذی بنیت أسس اعتقاده علی عدم التحریف بات یعرف بأنّه معتقد بالتحریف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هذه النکات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بالإضافة إلی دراسة الجوانب المختلفة لهذا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سنثبت و نبرهن علی أنّ مذهب الإمامیّة لیس ممّن یعتقد بالتحریف فقط،بل لا یمکنه القول بذلک أیضا،و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قبول التحریف سیهدم أساس عقیدة الإمامیّة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وسط هذا التجمّع العظیم المؤلّف من العلماء و الشخصیّات العلمیّة و المذهبیّة البارزة </w:t>
      </w:r>
      <w:r>
        <w:rPr>
          <w:rStyle w:val="FootnoteAnchor"/>
          <w:rtl w:val="true"/>
        </w:rPr>
        <w:footnoteReference w:id="772"/>
      </w:r>
      <w:r>
        <w:rPr>
          <w:rFonts w:ascii="IRNazanin" w:hAnsi="IRNazanin" w:eastAsia="IRNazanin"/>
          <w:color w:val="111111"/>
          <w:sz w:val="28"/>
          <w:sz w:val="28"/>
          <w:szCs w:val="28"/>
          <w:rtl w:val="true"/>
          <w:lang w:bidi="fa-IR"/>
        </w:rPr>
        <w:t>،هلمّ نصدر بیانا عالمیّا لکافّة المذاهب و المجموعات و الملل و النحل و الأدیان نعلن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القرآن منذ عهد رسول اللّه صلّی اللّه علیه و اله إلی الآن بقی مصونا و محفوظا من التحریف،و لیس باستطاعة أحد أن یحرّف القرآن إلی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یکتفی بطرح هذه المسألة بصورة القضیّة الخارجیّة،و نقول بأنّ القرآن لم یحرّف إلی الآن،و إنّما مدّعانا هو علی نحو القضیّة الحقیقیّة؛أی أنّ سنّة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الثابتة بشأن هذا الکتاب هو عدم إمکان التحریف فیه،و لیس باستطاعة أیّ شخص أو مجموعة التعرّض لهذه الآیات الإلهیّة،و هذا الکتاب المقدّس هو المعجزة الخالدة بإعلانه التحدّی بجزم لکلّ زمان و مکان أبقی ساحته المقدّسة مصانة و محفوظة من وصمة التحریف</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نحن من خلال هذه النکات لسنا بصدد التبیین التفصیلی و الموسّع لجمیع</w:t>
      </w:r>
      <w:bookmarkStart w:id="604" w:name="pg5439_46987"/>
    </w:p>
    <w:p>
      <w:pPr>
        <w:pStyle w:val="BookText"/>
        <w:rPr/>
      </w:pPr>
      <w:bookmarkEnd w:id="604"/>
      <w:r>
        <w:rPr>
          <w:rFonts w:ascii="IRNazanin" w:hAnsi="IRNazanin" w:eastAsia="IRNazanin"/>
          <w:color w:val="111111"/>
          <w:sz w:val="28"/>
          <w:sz w:val="28"/>
          <w:szCs w:val="28"/>
          <w:rtl w:val="true"/>
          <w:lang w:bidi="fa-IR"/>
        </w:rPr>
        <w:t>المطالب المتعلّقة بهذا البحث؛لأنّ مثل هذا الأمر لا یکفیه کتاب واحد فقط،و إنّما یحتاج إلی عدّة مجلّدات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الذی نحن بصدده هو مطالعة و مراجعة إجمالیّة لبعض المطالب المهمّة لکی یتسنّی تنقیح و تبیین رکن من أبعاد هذا البحث المهمّ،</w:t>
      </w:r>
    </w:p>
    <w:p>
      <w:pPr>
        <w:pStyle w:val="Heading3"/>
        <w:numPr>
          <w:ilvl w:val="2"/>
          <w:numId w:val="1"/>
        </w:numPr>
        <w:rPr/>
      </w:pPr>
      <w:bookmarkStart w:id="605" w:name="__RefHeading___Toc1856282_581953129"/>
      <w:bookmarkStart w:id="606" w:name="_Toc226"/>
      <w:bookmarkEnd w:id="605"/>
      <w:r>
        <w:rPr>
          <w:rtl w:val="true"/>
        </w:rPr>
        <w:t>و نشیر إلی نکات هامّة</w:t>
      </w:r>
      <w:r>
        <w:rPr>
          <w:rtl w:val="true"/>
        </w:rPr>
        <w:t>:</w:t>
      </w:r>
      <w:bookmarkEnd w:id="606"/>
    </w:p>
    <w:p>
      <w:pPr>
        <w:pStyle w:val="Heading4"/>
        <w:numPr>
          <w:ilvl w:val="3"/>
          <w:numId w:val="1"/>
        </w:numPr>
        <w:rPr/>
      </w:pPr>
      <w:bookmarkStart w:id="607" w:name="__RefHeading___Toc1856284_581953129"/>
      <w:bookmarkStart w:id="608" w:name="_Toc227"/>
      <w:bookmarkEnd w:id="607"/>
      <w:r>
        <w:rPr>
          <w:rtl w:val="true"/>
        </w:rPr>
        <w:t>النکتة الاولی</w:t>
      </w:r>
      <w:r>
        <w:rPr>
          <w:rtl w:val="true"/>
        </w:rPr>
        <w:t>:</w:t>
      </w:r>
      <w:r>
        <w:rPr>
          <w:rtl w:val="true"/>
        </w:rPr>
        <w:t>تحقیق لفظ</w:t>
      </w:r>
      <w:r>
        <w:rPr>
          <w:rtl w:val="true"/>
        </w:rPr>
        <w:t>«</w:t>
      </w:r>
      <w:r>
        <w:rPr>
          <w:rtl w:val="true"/>
        </w:rPr>
        <w:t>التحریف</w:t>
      </w:r>
      <w:r>
        <w:rPr>
          <w:rtl w:val="true"/>
        </w:rPr>
        <w:t>»</w:t>
      </w:r>
      <w:bookmarkEnd w:id="608"/>
    </w:p>
    <w:p>
      <w:pPr>
        <w:pStyle w:val="BookText"/>
        <w:rPr/>
      </w:pPr>
      <w:r>
        <w:rPr>
          <w:rFonts w:ascii="Amiri" w:hAnsi="Amiri" w:eastAsia="Amiri" w:cs="Amiri"/>
          <w:color w:val="111111"/>
          <w:sz w:val="28"/>
          <w:sz w:val="28"/>
          <w:szCs w:val="28"/>
          <w:rtl w:val="true"/>
          <w:lang w:bidi="ar-SA"/>
        </w:rPr>
        <w:t>هذا اللفظ هو مصدر من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التفعیل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مشتقّ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اللغة بمعنی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طرف الشیء و شفیره و حدّه و جانبه،و بناء علیه فالتحریف یعنی حرف الشیء و تغییر فی أطرافه و جوانبه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یَعْبُدُ اللّهَ عَلی حَرْفٍ </w:t>
      </w:r>
      <w:r>
        <w:rPr>
          <w:rStyle w:val="FootnoteAnchor"/>
          <w:rtl w:val="true"/>
        </w:rPr>
        <w:footnoteReference w:id="773"/>
      </w:r>
      <w:r>
        <w:rPr>
          <w:rFonts w:ascii="IRNazanin" w:hAnsi="IRNazanin" w:eastAsia="IRNazanin"/>
          <w:color w:val="111111"/>
          <w:sz w:val="28"/>
          <w:sz w:val="28"/>
          <w:szCs w:val="28"/>
          <w:rtl w:val="true"/>
          <w:lang w:bidi="fa-IR"/>
        </w:rPr>
        <w:t xml:space="preserve">أی أنّهم یعبدونه علی طرف واحد و علی جانب واحد،و هذه کنایة عن أنّهم غیر مستقرّین فی دینهم،و أنّهم فی اضطراب،کالذی یکون حینما تقع الحرب علی طرف من العسکر یراقب نهایة المعرکة إذا ما انتصر الجیش یأتی و یأخذ الغنیمة و إلاّ فیفرّ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اللفظ من ناحیة اللغة یدلّ علی مطلق التبدیل و التغییر،و یمکن القول بأنّ لفظ التحریف له ظهور فی التحریف اللفظی،و لکن فی القرآن الکریم و بسبب وجود القرینة له ظهور ثانویّ فی التحریف المعنوی؛و ذلک حینما یذمّ علماء الیهود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یُحَرِّفُونَ الْکَلِمَ عَنْ مَواضِعِهِ </w:t>
      </w:r>
      <w:r>
        <w:rPr>
          <w:rStyle w:val="FootnoteAnchor"/>
          <w:rtl w:val="true"/>
        </w:rPr>
        <w:footnoteReference w:id="775"/>
      </w:r>
      <w:r>
        <w:rPr>
          <w:rFonts w:ascii="IRNazanin" w:hAnsi="IRNazanin" w:eastAsia="IRNazanin"/>
          <w:color w:val="111111"/>
          <w:sz w:val="28"/>
          <w:sz w:val="28"/>
          <w:szCs w:val="28"/>
          <w:rtl w:val="true"/>
          <w:lang w:bidi="fa-IR"/>
        </w:rPr>
        <w:t>یعنی یغیّرون قول الحقّ فی التوراة عن مواضعه و معانیه و مقاصده الإلهیّة،و یحملون قول الحقّ علی معانیه الظاهرة</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وجود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مواضعه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الشریفة یعتبر قرینة واضحة علی أنّ</w:t>
      </w:r>
      <w:bookmarkStart w:id="609" w:name="pg5439_46988"/>
    </w:p>
    <w:p>
      <w:pPr>
        <w:pStyle w:val="BookText"/>
        <w:rPr/>
      </w:pPr>
      <w:bookmarkEnd w:id="609"/>
      <w:r>
        <w:rPr>
          <w:rFonts w:ascii="IRNazanin" w:hAnsi="IRNazanin" w:eastAsia="IRNazanin"/>
          <w:color w:val="111111"/>
          <w:sz w:val="28"/>
          <w:sz w:val="28"/>
          <w:szCs w:val="28"/>
          <w:rtl w:val="true"/>
          <w:lang w:bidi="fa-IR"/>
        </w:rPr>
        <w:t>المراد هو التحریف المعنوی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نلاحظ أنّ الراغب الاصفهانی قال فی توضیحه لکلمة تحریف الکلام،لا خصوص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تحریف الکلام أن تجعله علی حرف من الاحتمال یمکن حمله علی الوجهین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تحریف الکلام هو أن یحصل فی الکلام تغییر یؤدّی إلی إمکانیّة حمل الکلام علی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الراغب لم یکن فی مقام تبیین المعنی اللغوی لکلمة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کان فی مقام بیان المراد من تحریف الکلام الذی ورد فی الآیة الشریفة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ذکر الفخر الرازی تأویلات فی بیان المراد من الآیة الشریفة،بعضها یلائم تحریف اللفظ،لکن فی النهایة اعتبر القول الصحیح فی تفسیر الآیة هو التحریف المعنوی،قال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المراد بالتحریف إلقاء الشبه الباطلة،و التأویلات الفاسدة،و صرف اللفظ عن معناه الحقّ إلی الباطل بوجوه الحیل اللفظیّة،کما یفعله أهل البدعة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10" w:name="__RefHeading___Toc1856286_581953129"/>
      <w:bookmarkStart w:id="611" w:name="_Toc228"/>
      <w:bookmarkEnd w:id="610"/>
      <w:r>
        <w:rPr>
          <w:rtl w:val="true"/>
        </w:rPr>
        <w:t>النکتة الثانیة</w:t>
      </w:r>
      <w:r>
        <w:rPr>
          <w:rtl w:val="true"/>
        </w:rPr>
        <w:t>:</w:t>
      </w:r>
      <w:r>
        <w:rPr>
          <w:rtl w:val="true"/>
        </w:rPr>
        <w:t>موارد استعمال لفط</w:t>
      </w:r>
      <w:r>
        <w:rPr>
          <w:rtl w:val="true"/>
        </w:rPr>
        <w:t>«</w:t>
      </w:r>
      <w:r>
        <w:rPr>
          <w:rtl w:val="true"/>
        </w:rPr>
        <w:t>التحریف</w:t>
      </w:r>
      <w:r>
        <w:rPr>
          <w:rtl w:val="true"/>
        </w:rPr>
        <w:t>»</w:t>
      </w:r>
      <w:r>
        <w:rPr>
          <w:rtl w:val="true"/>
        </w:rPr>
        <w:t>و أنواعه</w:t>
      </w:r>
      <w:bookmarkEnd w:id="611"/>
    </w:p>
    <w:p>
      <w:pPr>
        <w:pStyle w:val="BookText"/>
        <w:rPr/>
      </w:pPr>
      <w:r>
        <w:rPr>
          <w:rFonts w:ascii="IRNazanin" w:hAnsi="IRNazanin" w:eastAsia="IRNazanin"/>
          <w:color w:val="111111"/>
          <w:sz w:val="28"/>
          <w:sz w:val="28"/>
          <w:szCs w:val="28"/>
          <w:rtl w:val="true"/>
          <w:lang w:bidi="fa-IR"/>
        </w:rPr>
        <w:t>ورد فی کلمات المحقّقین،کالمحقّق الخوئی دعوی أنّ لفظ التحریف استعمل فی معان ستّة مشترکة لفظا،و بعض هذه المعانی أجمع المسلمون علی وقوعها فی القرآن،و بعضها لم یجمع علی وقوعها،و بعضها محلّ للخلاف</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التحریف بمعنی نقل شیء عن موضعه و تحویله إلی غیره،و منه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الَّذِینَ هادُوا یُحَرِّفُونَ الْکَلِمَ عَنْ مَواضِعِهِ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خلاف بین المسلمین فی وقوع مثل هذا التحریف فی کتاب اللّه؛فإنّ کلّ من فسّر القرآن بغیر حقیقته،و حمله علی غیر معناه فقد حرّفه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تری کثیرا من أهل البدع و المذاهب الفاسدة قد حرّفوا القرآن بتأویلهم آیاته علی آرائهم و أهوائهم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 المنع عن التحریف بهذا المعنی،و ذمّ فاعله فی عدّة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الکافی بإسناده عن الباقر علیه السّلام،أنّه کتب فی رسالته إلی سعد الخیر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من نبذهم الکتاب أن أقاموا حروفه و حرّفوا حدوده،فهم یروونه و لا یرعونه،و الجهّال یعجبهم حفظهم للروایة،و العلماء یحزنهم ترکهم للرعایة</w:t>
      </w:r>
      <w:r>
        <w:rPr>
          <w:rFonts w:eastAsia="IRNazanin" w:cs="IRNazanin"/>
          <w:color w:val="111111"/>
          <w:sz w:val="28"/>
          <w:szCs w:val="28"/>
          <w:rtl w:val="true"/>
          <w:lang w:bidi="fa-IR"/>
        </w:rPr>
        <w:t xml:space="preserve">...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النقص أو الزیادة فی الحروف أو فی الحرکات،مع حفظ القرآن و عدم ضیاعه و إن لم یکن متمیّزا فی الخارج عن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التحریف بهذا المعنی واقع فی القرآن قطعا،فقد أثبتنا لک فیما تقدّم عدم تواتر القراءات </w:t>
      </w:r>
      <w:r>
        <w:rPr>
          <w:rStyle w:val="FootnoteAnchor"/>
          <w:rtl w:val="true"/>
        </w:rPr>
        <w:footnoteReference w:id="780"/>
      </w:r>
      <w:r>
        <w:rPr>
          <w:rFonts w:ascii="IRNazanin" w:hAnsi="IRNazanin" w:eastAsia="IRNazanin"/>
          <w:color w:val="111111"/>
          <w:sz w:val="28"/>
          <w:sz w:val="28"/>
          <w:szCs w:val="28"/>
          <w:rtl w:val="true"/>
          <w:lang w:bidi="fa-IR"/>
        </w:rPr>
        <w:t>،و معنی هذا أنّ القرآن المنزل إنّما هو مطابق لإحدی القراءات،و أمّا غیرها فهو إمّا زیادة فی القرآن،و إمّا نقیصة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النقص أو الزیادة بکلمة أو کلمتین،مع التحفّظ علی نفس القرآن المنزل</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التحریف بهذا المعنی قد وقع فی صدر الإسلام،و فی زمان الصحابة قطعا، و یدلّنا علی ذلک إجماع المسلمین علی أنّ عثمان أحرق جملة من المصاحف،و أمر ولاته بحرق کلّ مصحف غیر ما جمعه،و هذا یدلّ علی أنّ هذه المصاحف کانت مخالفة لما جمعه،و إلاّ لم یکن هناک سبب موجب لإحراقها،و قد ضبط جماعة من العلماء موارد الاختلاف بین المصاحف،منهم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أبی داود السجستانی،و قد سمّی کتابه هذا بکتاب المصاحف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ذلک فالتحریف واقع لا محالة،إمّا من عثمان أو من کتّاب تلک المصاحف،و لکنّا سنبیّن بعد هذا إن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جمعه عثمان کان هو القرآن المعروف بین المسلمین،الذی تداولوه عن النبیّ صلّی اللّه علیه و اله یدا 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فالتحریف بالزیادة و النقیصة إنّما وقع فی تلک المصاحف التی انقطعت بعد عهد عثمان،و أمّا القرآن الموجود فلیس فیه زیادة و لا نقیصة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جملة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یقول بعدم تواتر تلک المصاحف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فالتحریف بهذا المعنی و إن کان قد وقع عنده فی الصدر الأوّل؛إلاّ أنّه قد انقطع فی زمان عثمان و انحصر المصحف بما ثبت تواتره عن النبیّ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القائل بتواتر المصاحف بأجمعها،فلا بدّ له من الالتزام بوقوع التحریف بالمعنی المتنازع فیه فی القرآن المنزل،و بضیاع شیء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مرّ علیک تصریح الطبری،و جماعة آخرین بإلغاء عثمان للحروف الستّة التی نزل بها القرآن،و اقتصاره علی حرف واحد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التحریف بالزیادة و النقیصة فی الآیة و السورة مع التحفّظ علی القرآن المنزل،و التسالم علی قراءة النبیّ صلّی اللّه علیه و اله إیّاها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التحریف بهذا المعنی أیضا واقع فی القرآن قطعا،فالبسملة مثلا ممّا تسالم المسلمون علی أنّ النبیّ صلّی اللّه علیه و اله قرأها قبل کلّ سورة غیر سورة التوبة،و قد وقع الخلاف فی کونها من القرآن بین علماء السنّة،فاختار جمع منهم أنّها لیست من القرآن </w:t>
      </w:r>
      <w:r>
        <w:rPr>
          <w:rStyle w:val="FootnoteAnchor"/>
          <w:rtl w:val="true"/>
        </w:rPr>
        <w:footnoteReference w:id="782"/>
      </w:r>
      <w:r>
        <w:rPr>
          <w:rFonts w:ascii="IRNazanin" w:hAnsi="IRNazanin" w:eastAsia="IRNazanin"/>
          <w:color w:val="111111"/>
          <w:sz w:val="28"/>
          <w:sz w:val="28"/>
          <w:szCs w:val="28"/>
          <w:rtl w:val="true"/>
          <w:lang w:bidi="fa-IR"/>
        </w:rPr>
        <w:t>،بل ذهبت المالکیّة إلی کراهة الإتیان بها قبل قراءة الفاتحة فی الصلاة المفروضة،إلاّ إذا نوی به المصلّی الخروج من الخلاف،و ذهب جماعة أخری إلی أنّ البسملة من القرآن</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الشیعة،فهم متسالمون علی جزئیّة البسملة من کلّ سورة غیر سورة</w:t>
      </w:r>
    </w:p>
    <w:p>
      <w:pPr>
        <w:pStyle w:val="BookText"/>
        <w:rPr/>
      </w:pPr>
      <w:r>
        <w:rPr>
          <w:rFonts w:ascii="Amiri" w:hAnsi="Amiri" w:eastAsia="Amiri" w:cs="Amiri"/>
          <w:color w:val="111111"/>
          <w:sz w:val="28"/>
          <w:sz w:val="28"/>
          <w:szCs w:val="28"/>
          <w:rtl w:val="true"/>
          <w:lang w:bidi="ar-SA"/>
        </w:rPr>
        <w:t xml:space="preserve">التوبة </w:t>
      </w:r>
      <w:r>
        <w:rPr>
          <w:rStyle w:val="FootnoteAnchor"/>
          <w:rtl w:val="true"/>
        </w:rPr>
        <w:footnoteReference w:id="783"/>
      </w:r>
      <w:r>
        <w:rPr>
          <w:rFonts w:ascii="IRNazanin" w:hAnsi="IRNazanin" w:eastAsia="IRNazanin"/>
          <w:color w:val="111111"/>
          <w:sz w:val="28"/>
          <w:sz w:val="28"/>
          <w:szCs w:val="28"/>
          <w:rtl w:val="true"/>
          <w:lang w:bidi="fa-IR"/>
        </w:rPr>
        <w:t>،و اختار هذا القول جماعة من علماء السنّة أیضا،و ستعرف تفصیل ذلک عند تفسیرنا سورة الفاتحة،و إذن فالقرآن المنزل من السماء قد وقع فیه التحریف یقینا بالزیادة أو بالنقیصة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التحریف بالزیادة؛بمعنی أنّ بعض المصحف الذی بأیدینا لیس من الکلام المنزل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التحریف بهذا المعنی باطل بإجماع المسلمین،بل هو ممّا علم بطلانه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التحریف بالنقیصة؛بمعنی أنّ المصحف الذی بأیدینا لا یشتمل علی جمیع القرآن الذی نزل من السماء،فقد ضاع بعضه علی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التحریف بهذا المعنی هو الذی وقع فیه الخلاف فأثبته قوم و نفاه آخرون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المعانی الأربعة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بین تلک المعانی الستّة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وقع جزما،و المعنی الخامس لم یقع بالإجماع،و المعنی السادس هو محلّ للخلاف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نورد علی کلام هذا المحقّق الکبیر إشکالین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التحقیق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ذکره من المعانی الستّة لیست معان متعدّدة استعمل فیها لفظ التحریف،بل للتحریف معنی واحد فقط،و هو ما بیّن فی المعنی الأوّل؛یعنی نقل الشیء عن موضعه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البقیّة فهی مصادیق لذلک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فی جمیع هذه الموارد نقل الشیء عن موضعه یکون موجودا،لکن هذا النقل إمّا یکون فی المعنی،الذی یعبّر عنه بالتحریف المعنوی، و إمّا فی اللفظ،و القسم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بنحو تفصیلیّ،و إمّا بنحو إجمالیّ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إمّا حدوث زیادة معیّنة،و إمّا حدوث نقیصة معیّنة،أو حدوث زیادة أو نقیصة</w:t>
      </w:r>
    </w:p>
    <w:p>
      <w:pPr>
        <w:pStyle w:val="BookText"/>
        <w:rPr/>
      </w:pPr>
      <w:r>
        <w:rPr>
          <w:rFonts w:ascii="IRNazanin" w:hAnsi="IRNazanin" w:eastAsia="IRNazanin"/>
          <w:color w:val="111111"/>
          <w:sz w:val="28"/>
          <w:sz w:val="28"/>
          <w:szCs w:val="28"/>
          <w:rtl w:val="true"/>
          <w:lang w:bidi="fa-IR"/>
        </w:rPr>
        <w:t>فیه إجمالا،و بناء علی ذلک أنّ ما ذکر فی کلام هذا المحقّق الجلیل هو أفراد و مصادیق التحریف،و لیست معان مختلفة استعمل فیها لفظ التحریف و بنحو الاشتراک اللفظی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الإشکال 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لوازم مثل هذا التقسیم أنّ جمیع أقسام التحریف لا یصدق علیها عنوان الباطل،و إلاّ فإنّ دخولها فی هذا العنوان سیکون خلاف إطلاق الآیة الشریفة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یَأْتِیهِ الْباطِلُ مِنْ بَیْنِ یَدَیْهِ </w:t>
      </w:r>
      <w:r>
        <w:rPr>
          <w:rStyle w:val="FootnoteAnchor"/>
          <w:rtl w:val="true"/>
        </w:rPr>
        <w:footnoteReference w:id="785"/>
      </w:r>
      <w:r>
        <w:rPr>
          <w:rFonts w:ascii="IRNazanin" w:hAnsi="IRNazanin" w:eastAsia="IRNazanin"/>
          <w:color w:val="111111"/>
          <w:sz w:val="28"/>
          <w:sz w:val="28"/>
          <w:szCs w:val="28"/>
          <w:rtl w:val="true"/>
          <w:lang w:bidi="fa-IR"/>
        </w:rPr>
        <w:t>لأنّ ظاهرها یدلّ علی أن لیس للباطل من سبیل فی الکتاب الشریف،و بناء علی ذلک فیجب منع صدق عنوان التحریف فی الموارد التی قیل بوقوعها بإجماع المسلمین،مضافا إلی عدم خلوّ ذلک من الإمکان بالنسبة إلی التحریف المعنوی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بعد مراجعة و ملاحظة المعانی المختلفة للتحریف نتعرّض لأنواعه؛فإنّه یستفاد من کلمات أصحاب الفنّ أنّ للتحریف ستّة أنواع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التحریف اللفظی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منه حدوث نقصان أو زیادة أو تغییر و نقل فی اللفظ و الکلمات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التحریف المعنوی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تفسیر الکلام بصورة غیر صحیحة بالشکل الذی لیس للّفظ فیه ظهور،و یسمّی هذا النوع أیضا التفسیر بالرأی،و ذمّت الروایات هذا النوع بشدّة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فسّر القرآن برأیه فلیتبوّأ مقعده من النار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التحریف الموضعی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تثبیت آیة أو سورة علی خلاف ترتیب النزول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النوع من التحریف نادر جدّا فی الآیات؛إذ جمیع الآیات مرتّبة</w:t>
      </w:r>
      <w:bookmarkStart w:id="612" w:name="pg5439_46993"/>
    </w:p>
    <w:p>
      <w:pPr>
        <w:pStyle w:val="BookText"/>
        <w:rPr/>
      </w:pPr>
      <w:bookmarkEnd w:id="612"/>
      <w:r>
        <w:rPr>
          <w:rFonts w:ascii="IRNazanin" w:hAnsi="IRNazanin" w:eastAsia="IRNazanin"/>
          <w:color w:val="111111"/>
          <w:sz w:val="28"/>
          <w:sz w:val="28"/>
          <w:szCs w:val="28"/>
          <w:rtl w:val="true"/>
          <w:lang w:bidi="fa-IR"/>
        </w:rPr>
        <w:t>و مثبّتة علی حسب ترتیب النزول،لکن بالنسبة للسور یمکن الادّعاء بأنّ جمیع سور القرآن مثبّتة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خلاف ترتیب النزول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أمر الرسول صلّی اللّه علیه و 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التحریف القراءئی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قراءة کلمة علی خلاف القراءة المعهودة لدی جمهور المسلمین،مثل أکثر اجتهادات القرّاء فی قراءاتهم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التحریف فی اللهجة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اختلاف اللهجة بین القبائل،حیث جعل کلاّ منهم یقرأ الآیات الشریفة حسب لهجته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التحریف التبدیلی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القیام بتبدیل کلمة باخری؛سواء کانت مرادفة لها أم لا،و قد جوّز ابن مسعود هذا النوع من التحریف فی المترادفات،حیث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استعمال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بدلا عن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w:t>
      </w:r>
      <w:r>
        <w:rPr>
          <w:rFonts w:eastAsia="IRNazanin" w:cs="IRNazanin"/>
          <w:color w:val="111111"/>
          <w:sz w:val="28"/>
          <w:szCs w:val="28"/>
          <w:rtl w:val="true"/>
          <w:lang w:bidi="fa-IR"/>
        </w:rPr>
        <w:t xml:space="preserve">»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13" w:name="__RefHeading___Toc1856288_581953129"/>
      <w:bookmarkStart w:id="614" w:name="_Toc229"/>
      <w:bookmarkEnd w:id="613"/>
      <w:r>
        <w:rPr>
          <w:rtl w:val="true"/>
        </w:rPr>
        <w:t>النکتة الثالثة</w:t>
      </w:r>
      <w:r>
        <w:rPr>
          <w:rtl w:val="true"/>
        </w:rPr>
        <w:t>:</w:t>
      </w:r>
      <w:r>
        <w:rPr>
          <w:rtl w:val="true"/>
        </w:rPr>
        <w:t>التحریف الإجمالی و التفصیلی</w:t>
      </w:r>
      <w:bookmarkEnd w:id="614"/>
    </w:p>
    <w:p>
      <w:pPr>
        <w:pStyle w:val="BookText"/>
        <w:rPr/>
      </w:pPr>
      <w:r>
        <w:rPr>
          <w:rFonts w:ascii="IRNazanin" w:hAnsi="IRNazanin" w:eastAsia="IRNazanin"/>
          <w:color w:val="111111"/>
          <w:sz w:val="28"/>
          <w:sz w:val="28"/>
          <w:szCs w:val="28"/>
          <w:rtl w:val="true"/>
          <w:lang w:bidi="fa-IR"/>
        </w:rPr>
        <w:t>ذکرنا فیما سبق أنّ التحریف إمّا أن یکون إجمالیّا،أو تفصیلیّا،و الذی یدخل فی محلّ البحث و النزاع هو عبارة عن التحریف التفصیلی زیادة أو نقصانا بصورة معیّنة،و هذا داخل فی التحریف الذی هو محلّ النزاع و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التحریف الإجمالی؛بمعنی إضافة شیء أو نقصان شیء إجمالا،فهو خارج عن محلّ النزاع؛من قبیل الاختلاف بشأن القراءات،أو الاختلاف فی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هی من القرآن أم لا؟و قد أطلقنا علیه مسبقا التحریف الإجمالی،فهو خارج عن محلّ النزاع؛لأنّ الملاک فی التحریف فی محلّ النزاع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بصورة زیادة،أو بصورة نقصان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کون صورتیه خلافا للواقع الحقیقی لکلام اللّه</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اختلاف القراءات،فلیس هناک شکّ فی أنّ إحدی هذه القراءات مطابقة</w:t>
      </w:r>
      <w:bookmarkStart w:id="615" w:name="pg5439_46994"/>
    </w:p>
    <w:p>
      <w:pPr>
        <w:pStyle w:val="BookText"/>
        <w:rPr/>
      </w:pPr>
      <w:bookmarkEnd w:id="615"/>
      <w:r>
        <w:rPr>
          <w:rFonts w:ascii="IRNazanin" w:hAnsi="IRNazanin" w:eastAsia="IRNazanin"/>
          <w:color w:val="111111"/>
          <w:sz w:val="28"/>
          <w:sz w:val="28"/>
          <w:szCs w:val="28"/>
          <w:rtl w:val="true"/>
          <w:lang w:bidi="fa-IR"/>
        </w:rPr>
        <w:t>مع القرآن الحقیقی،و کذا الحال بالنسبة 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لیس هناک شکّ بأنّ الرسول صلّی اللّه علیه و اله کان یقرؤها فی بدایة کلّ سورة،و الاختلاف إنّما هو فی جزئیّتها،فالذین یعتقدون بالجزئیّة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هو واقع القرآن،و الذین ینکرون الجزئیّة یعتقدون بأنّ واقع القرآن هو بدون هذه الآیة،و فی النتیجة کلا الطرفین لا یحتمل کون قوله مخالفا للواقع،و إنّما لدیهم الإجماع المرکّب علی أنّه کلام الوحی،و لیس کلام البشر داخلا فیه،و کذلک بالنسبة إلی مسألة اختلاف القراءات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موارد التحریف الإجمالی علی الرغم من عدم تشخیص الواقع و الکلام الحقیقی أو القراءة الحقیقیّة،خارجة عن محلّ النزاع،إنّما محلّ النزاع فی التحریف الذی هو حذف لواقع القرآن،أو إضافة علیه من غیر القرآن</w:t>
      </w:r>
      <w:r>
        <w:rPr>
          <w:rFonts w:eastAsia="IRNazanin" w:cs="IRNazanin"/>
          <w:color w:val="111111"/>
          <w:sz w:val="28"/>
          <w:szCs w:val="28"/>
          <w:rtl w:val="true"/>
          <w:lang w:bidi="fa-IR"/>
        </w:rPr>
        <w:t>.</w:t>
      </w:r>
    </w:p>
    <w:p>
      <w:pPr>
        <w:pStyle w:val="Heading4"/>
        <w:numPr>
          <w:ilvl w:val="3"/>
          <w:numId w:val="1"/>
        </w:numPr>
        <w:rPr/>
      </w:pPr>
      <w:bookmarkStart w:id="616" w:name="__RefHeading___Toc1856290_581953129"/>
      <w:bookmarkStart w:id="617" w:name="_Toc230"/>
      <w:bookmarkEnd w:id="616"/>
      <w:r>
        <w:rPr>
          <w:rtl w:val="true"/>
        </w:rPr>
        <w:t>النکتة الرابعة</w:t>
      </w:r>
      <w:r>
        <w:rPr>
          <w:rtl w:val="true"/>
        </w:rPr>
        <w:t>:</w:t>
      </w:r>
      <w:r>
        <w:rPr>
          <w:rtl w:val="true"/>
        </w:rPr>
        <w:t>عدم کفایة الخبر الواحد لإثبات التحریف</w:t>
      </w:r>
      <w:bookmarkEnd w:id="617"/>
    </w:p>
    <w:p>
      <w:pPr>
        <w:pStyle w:val="BookText"/>
        <w:rPr/>
      </w:pPr>
      <w:r>
        <w:rPr>
          <w:rFonts w:ascii="IRNazanin" w:hAnsi="IRNazanin" w:eastAsia="IRNazanin"/>
          <w:color w:val="111111"/>
          <w:sz w:val="28"/>
          <w:sz w:val="28"/>
          <w:szCs w:val="28"/>
          <w:rtl w:val="true"/>
          <w:lang w:bidi="fa-IR"/>
        </w:rPr>
        <w:t>کما أنّ إثبات آیات القرآن الشریفة یستلزم توفّر الدلیل القطعی و العلمی، و لا یمکن بمجرّد الخبر الواحد إثبات أنّ آیة مّا هی من القرآن الشریف،کذلک فی مسألة التحریف؛فإنّ علی الذین یدّعونه أیضا أن یقیموا الدلیل القطعیّ و العلمیّ</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لم نعتبر الخبر الواحد و أمثاله من الأدلّة الظنّیة کافیا فی الاعتقادات،فبالنسبة لمسألة القرآن الذی هو أهمّ سند أیضا کذلک؛لأنّ الخبر الواحد لا یمکنه بأیّ وجه من الوجوه أن ینفی أو یثبت آیة،لذلک قال الشیخ الطوسی قدّس سرّه فی مقدّمة تفسیر التبیان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رویت روایات کثیرة من جهة الخاصّة و العامّة بنقصان کثیر من آی القرآن،و نقل شیء منه من موضع إلی موضع،طریقها الآحاد التی لا توجب علما و لا عملا،و الأولی الإعراض عنها و ترک التشاغل بها؛لأنّه</w:t>
      </w:r>
      <w:bookmarkStart w:id="618" w:name="pg5439_46995"/>
    </w:p>
    <w:p>
      <w:pPr>
        <w:pStyle w:val="BookText"/>
        <w:rPr/>
      </w:pPr>
      <w:bookmarkEnd w:id="618"/>
      <w:r>
        <w:rPr>
          <w:rFonts w:ascii="IRNazanin" w:hAnsi="IRNazanin" w:eastAsia="IRNazanin"/>
          <w:color w:val="111111"/>
          <w:sz w:val="28"/>
          <w:sz w:val="28"/>
          <w:szCs w:val="28"/>
          <w:rtl w:val="true"/>
          <w:lang w:bidi="fa-IR"/>
        </w:rPr>
        <w:t xml:space="preserve">یمکن تأویلها </w:t>
      </w:r>
      <w:r>
        <w:rPr>
          <w:rStyle w:val="FootnoteAnchor"/>
          <w:rtl w:val="true"/>
        </w:rPr>
        <w:footnoteReference w:id="7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مراده أنّ هذه المسألة هی من المسائل التی یکون العلم فیها معتبرا</w:t>
      </w:r>
      <w:r>
        <w:rPr>
          <w:rFonts w:eastAsia="IRNazanin" w:cs="IRNazanin"/>
          <w:color w:val="111111"/>
          <w:sz w:val="28"/>
          <w:szCs w:val="28"/>
          <w:rtl w:val="true"/>
          <w:lang w:bidi="fa-IR"/>
        </w:rPr>
        <w:t>.</w:t>
      </w:r>
    </w:p>
    <w:p>
      <w:pPr>
        <w:pStyle w:val="Heading4"/>
        <w:numPr>
          <w:ilvl w:val="3"/>
          <w:numId w:val="1"/>
        </w:numPr>
        <w:rPr/>
      </w:pPr>
      <w:bookmarkStart w:id="619" w:name="__RefHeading___Toc1856292_581953129"/>
      <w:bookmarkStart w:id="620" w:name="_Toc231"/>
      <w:bookmarkEnd w:id="619"/>
      <w:r>
        <w:rPr>
          <w:rtl w:val="true"/>
        </w:rPr>
        <w:t>النکتة الخامسة</w:t>
      </w:r>
      <w:r>
        <w:rPr>
          <w:rtl w:val="true"/>
        </w:rPr>
        <w:t>:</w:t>
      </w:r>
      <w:r>
        <w:rPr>
          <w:rtl w:val="true"/>
        </w:rPr>
        <w:t>آراء أکابر الإمامیّة حول التحریف</w:t>
      </w:r>
      <w:bookmarkEnd w:id="620"/>
    </w:p>
    <w:p>
      <w:pPr>
        <w:pStyle w:val="BookText"/>
        <w:rPr/>
      </w:pPr>
      <w:r>
        <w:rPr>
          <w:rFonts w:ascii="IRNazanin" w:hAnsi="IRNazanin" w:eastAsia="IRNazanin"/>
          <w:color w:val="111111"/>
          <w:sz w:val="28"/>
          <w:sz w:val="28"/>
          <w:szCs w:val="28"/>
          <w:rtl w:val="true"/>
          <w:lang w:bidi="fa-IR"/>
        </w:rPr>
        <w:t>إنّ العظماء من المحقّقین و زعماء الإمامیّة یعتقدون بعدم تحریف الکتاب الشریف،و أنّ القرآن الیوم هو ذات القرآن الذی نزل علی القلب المبارک للرسول صلّی اللّه علیه و اله؛دون أن یحصل فیه أیّ نقصان مثل ما لم تحدث فیه أیّة 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فی هذه النکتة بصدد أن نطرح و نبیّن بالاختصار أقوال بعض منهم ممّن یعتبر من فحول الإمامیّة،و التی تعدّ کتبهم محورا و مدارا للآراء العلمیّة و الکلامیّة لهذا المذهب،لکن قبل ذلک علینا أن نلتفت إلی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بعض کتب علوم القرآن نسب القول بالتحریف إلی مجموعة من الأخباریّین فی مذهب الإمامیّة </w:t>
      </w:r>
      <w:r>
        <w:rPr>
          <w:rStyle w:val="FootnoteAnchor"/>
          <w:rtl w:val="true"/>
        </w:rPr>
        <w:footnoteReference w:id="789"/>
      </w:r>
      <w:r>
        <w:rPr>
          <w:rFonts w:ascii="IRNazanin" w:hAnsi="IRNazanin" w:eastAsia="IRNazanin"/>
          <w:color w:val="111111"/>
          <w:sz w:val="28"/>
          <w:sz w:val="28"/>
          <w:szCs w:val="28"/>
          <w:rtl w:val="true"/>
          <w:lang w:bidi="fa-IR"/>
        </w:rPr>
        <w:t xml:space="preserve">،نظیر ما هو المنسوب إلی الحشویّة لدی أهل السنّة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الملفت للنظر أنّ من بین الأخباریّین بعض کبارهم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الشیخ الحرّ العاملی صاحب کتاب وسائل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یعتقد بعدم تحریف الکتاب،و له رسالة مستقلّة حرّرها بهذا الشأن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لا ملازمة بین الأخباریّة و بین القول بالتحریف</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شکّ فی أنّ مسألة عدم التحریف بالزیادة هی مورد إجماع علماء الإمامیّة </w:t>
      </w:r>
      <w:r>
        <w:rPr>
          <w:rStyle w:val="FootnoteAnchor"/>
          <w:rtl w:val="true"/>
        </w:rPr>
        <w:footnoteReference w:id="791"/>
      </w:r>
      <w:r>
        <w:rPr>
          <w:rFonts w:ascii="IRNazanin" w:hAnsi="IRNazanin" w:eastAsia="IRNazanin"/>
          <w:color w:val="111111"/>
          <w:sz w:val="28"/>
          <w:sz w:val="28"/>
          <w:szCs w:val="28"/>
          <w:rtl w:val="true"/>
          <w:lang w:bidi="fa-IR"/>
        </w:rPr>
        <w:t>،و فیما یتعلّق بعدم التحریف بالنقصان هناک عدد من الکبار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کالمقدّس</w:t>
      </w:r>
    </w:p>
    <w:p>
      <w:pPr>
        <w:pStyle w:val="BookText"/>
        <w:rPr/>
      </w:pPr>
      <w:r>
        <w:rPr>
          <w:rFonts w:ascii="IRNazanin" w:hAnsi="IRNazanin" w:eastAsia="IRNazanin"/>
          <w:color w:val="111111"/>
          <w:sz w:val="28"/>
          <w:sz w:val="28"/>
          <w:szCs w:val="28"/>
          <w:rtl w:val="true"/>
          <w:lang w:bidi="fa-IR"/>
        </w:rPr>
        <w:t xml:space="preserve">البغدادی فی شرح الوافیة </w:t>
      </w:r>
      <w:r>
        <w:rPr>
          <w:rStyle w:val="FootnoteAnchor"/>
          <w:rtl w:val="true"/>
        </w:rPr>
        <w:footnoteReference w:id="792"/>
      </w:r>
      <w:r>
        <w:rPr>
          <w:rFonts w:ascii="IRNazanin" w:hAnsi="IRNazanin" w:eastAsia="IRNazanin"/>
          <w:color w:val="111111"/>
          <w:sz w:val="28"/>
          <w:sz w:val="28"/>
          <w:szCs w:val="28"/>
          <w:rtl w:val="true"/>
          <w:lang w:bidi="fa-IR"/>
        </w:rPr>
        <w:t>،و مرجع الشیعة الکبیر الشیخ جعفر کاشف الغطاء فی کتاب کشف الغطاء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ادّعوا الإجماع أیضا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 یمکن الادّعاء بأنّ فی کلمات علماء الإمامیّة دعوی الإجماع علی عدم تحریف الکتاب؛سواء التحریف بنحو الزیادة أو بنحو النقصان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إلیک آراء و وجهات نظر أعاظم علماء الإمامیّة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الفضل بن شاذان،هو من مصنّفی الشیعة فی القرن الثالث الهجری؛فإنّه بعد أن أنکر تحریف النقیصة بشأن القرآن،نسب فی کتاب الإیضاح نقل روایات التحریف إلی الفرق الاخری </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محمّد بن علی بن بابویه القمّی،المعروف بالشیخ الصدوق؛و هو من أکبر الشخصیّات العلمیّة لعالم التشیّع فی القرن الرابع الهجری،فقد کتب فی رسالة الاعتقادات ما 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اعتقادنا أنّ القرآن الذی أنزله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نبیّه محمّد صلّی اللّه علیه و اله هو ما بین الدفّتین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فی أیدی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بأکثر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نسب إلینا 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أکثر من ذلک فهو کاذب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 فالصدوق الذی هو من أکابر علماء الإمامیّة،و له التبحّر الوافر فی علوم الحدیث و التاریخ،ینکر نسبة التحریف للإمامیّة</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حسین الموسوی المعروف بالسیّد المرتضی،و هو من أکابر الفقهاء و الأصولیّین،یقول فی جواب مسائل الطرابلسیّات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العلم بصحّة نقل القرآن کالعلم بالبلدان،و الحوادث الکبری،و الوقائع العظام،و الکتب المشهورة،و أشعار</w:t>
      </w:r>
    </w:p>
    <w:p>
      <w:pPr>
        <w:pStyle w:val="BookText"/>
        <w:rPr/>
      </w:pPr>
      <w:r>
        <w:rPr>
          <w:rFonts w:ascii="IRNazanin" w:hAnsi="IRNazanin" w:eastAsia="IRNazanin"/>
          <w:color w:val="111111"/>
          <w:sz w:val="28"/>
          <w:sz w:val="28"/>
          <w:szCs w:val="28"/>
          <w:rtl w:val="true"/>
          <w:lang w:bidi="fa-IR"/>
        </w:rPr>
        <w:t>العرب المسطورة؛فإنّ العنایة اشتدّت و الدواعی توفّرت علی نقله و حراسته، و بلغت إلی حدّ لم یبلغه فیما ذکرناه؛لأنّ القرآن معجزة النبوّة،و مأخذ العلوم الشرعیّة،و الأحکام الدینیّة،و علماء المسلمین قد بلغوا فی حفظه و حمایته الغایة، حتّی عرفوا کلّ شیء اختلف فیه من إعرابه و قراءته و حروفه و آیاته،فکیف یجوز أن یکون مغیّرا أو منقوصا مع العنایة الصادقة و الضبط الشدید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القرآن کان علی عهد رسول اللّه صلّی اللّه علیه و اله مجموعا مؤلّفا علی ما هو علیه الآن، و استدلّ علی ذلک بأنّ القرآن کان یدرس و یحفظ جمیعه فی ذلک الزمان،حتّی عیّن علی جماعة من الصحابة فی حفظهم له،و أنّه کان یعرض علی النبیّ صلّی اللّه علیه و اله و یتلی علیه، و أنّ جماعة من الصحابة مثل عبد اللّه بن مسعود و أبیّ بن کعب و غیرهما ختموا القرآن علی النبیّ صلّی اللّه علیه و اله عدّة ختمات،و کلّ ذلک یدلّ بأدنی تأمّل علی أنّه کان مجموعا مرتّبا غیر مبتور و لا مبثوث،و أنّ من خالف فی ذلک من الإمامیّة و الحشویّة لا یعتدّ بخلافهم،فإنّ الخلاف فی ذلک مضاف إلی قوم من أصحاب الحدیث،نقلوا أخبارا ضعیفة ظنّوا صحّتها لا یرجع بمثلها عن المعلوم المقطوع علی صحّته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الطائفة أبو جعفر محمّد بن الحسن الطوسی یقول فی هذا المجال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الکلام فی زیادته و نقصانه فمّما لا یلیق به أیضا؛لأنّ الزیادة فیه مجمع علی بطلانها، و النقصان منه،فالظاهر أیضا من مذهب المسلمین خلافه،و هو الألیق بالصحیح من مذهبنا،و هو الذی نصره المرتضی رحمه اللّه</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الظاهر فی الروایات،غیر أنّه رویت روایات کثیرة من جهة العامّة و الخاصّة بنقصان کثیر من آی القرآن،و نقل شیء منه من موضع إلی موضع، طریقها الآحاد التی لا توجب علما و لا عملا،و الأولی الإعراض عنها،و ترک التشاغل بها؛لأنّه یمکن تأویلها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الفضل بن الحسن الطبرسی،المفسّر الکبیر و صاحب کتاب مجمع البیان؛کتب فی مقدّمة تفسیره ما 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بإضافة آیة علی آیات القرآن،فمجمع علی بطلانه،و القول بالنقصان قد روته جماعة من أصحابنا الإمامیّة و قوم من حشویّة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الصحیح من مذهب أصحاب الإمامیّة هو خلاف ذلک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ابن طاووس قال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رأی الإمامیّة هو عدم تحریف القرآن </w:t>
      </w:r>
      <w:r>
        <w:rPr>
          <w:rStyle w:val="FootnoteAnchor"/>
          <w:rtl w:val="true"/>
        </w:rPr>
        <w:footnoteReference w:id="7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یقول فی مکان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تعجّبت ممّن قد استدلّ علی أنّ القرآن محفوظ من عهد رسول اللّه صلّی اللّه علیه و اله،و أنّه هو الذی جمعه،ثمّ قد ذکر هاهنا اختلاف أهل مکّة و المدینة،و أهل الکوفة و البصرة،و اختار أنّ بِسْمِ اللّهِ الرَّحْمنِ الرَّحِیمِ لیست من السورة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أعجب من ذلک احتجاجه بأنّها لو کانت من نفس السورة کان قد ذکر قبلها افتتاح لها،فیاللّه و للعجب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القرآن مصونا من الزیادة و النقصان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یقتضیه العقل و الشرع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کان یلزم أن یکون قبلها ما لیس فیها؟و کیف کان یجوز ذلک أصلا؟</w:t>
      </w:r>
      <w:r>
        <w:rPr>
          <w:rFonts w:eastAsia="IRNazanin" w:cs="IRNazanin"/>
          <w:color w:val="111111"/>
          <w:sz w:val="28"/>
          <w:szCs w:val="28"/>
          <w:rtl w:val="true"/>
          <w:lang w:bidi="fa-IR"/>
        </w:rPr>
        <w:t xml:space="preserve">!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محسن الفیض الکاشانی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الروایات التی تدلّ علی التحریف هی مخالفة مع کتاب اللّه،و اللاّزم إمّا رفضها أو حملها و تأویلها </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الحسین،الشهیر ببهاء الدین العاملی،و المعروف بالشیخ البهائی یقول بشأن القرآن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اختلفوا فی وقوع الزیادة و النقصان فیه،و الصحیح أنّ</w:t>
      </w:r>
    </w:p>
    <w:p>
      <w:pPr>
        <w:pStyle w:val="BookText"/>
        <w:rPr/>
      </w:pPr>
      <w:r>
        <w:rPr>
          <w:rFonts w:ascii="IRNazanin" w:hAnsi="IRNazanin" w:eastAsia="IRNazanin"/>
          <w:color w:val="111111"/>
          <w:sz w:val="28"/>
          <w:sz w:val="28"/>
          <w:szCs w:val="28"/>
          <w:rtl w:val="true"/>
          <w:lang w:bidi="fa-IR"/>
        </w:rPr>
        <w:t>القرآن العظیم محفوظ عن ذلک زیادة کان أو نقصانا،و یدلّ علیه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إِنّا لَهُ لَحافِظُونَ </w:t>
      </w:r>
      <w:r>
        <w:rPr>
          <w:rStyle w:val="FootnoteAnchor"/>
          <w:rtl w:val="true"/>
        </w:rPr>
        <w:footnoteReference w:id="802"/>
      </w:r>
      <w:r>
        <w:rPr>
          <w:rFonts w:ascii="IRNazanin" w:hAnsi="IRNazanin" w:eastAsia="IRNazanin"/>
          <w:color w:val="111111"/>
          <w:sz w:val="28"/>
          <w:sz w:val="28"/>
          <w:szCs w:val="28"/>
          <w:rtl w:val="true"/>
          <w:lang w:bidi="fa-IR"/>
        </w:rPr>
        <w:t>،و ما اشتهر بین النّاس من إسقاط اسم أمیر المؤمنین علیه السّلام منه فی بعض المواضع؛مثل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الرسول بلّغ ما أنزل إلیک فی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ذلک،فهو غیر معتبر عند العلماء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محمّد بن الحسن الحرّ العاملی صاحب کتاب وسائل الشیعة الروائی المهمّ،قال فی رسالة بشأن إثبات عدم تحریف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من تتبّع الأخبار و تصفّح الآثار من کتب الأحادیث و التواریخ و غیر ذلک یعلم قطعا أنّ القرآن کان فی غایة الشهرة و التواتر بحسب نقله من الصحابة ألوف کثیرة؛فإنّهم کانوا فی غایة الکثرة،و نقلته من التابعین أکثر منهم،و إنّه ما زال یزید، و أنّه کان مجموعا مولّفا علی عهد رسول اللّه صلّی اللّه علیه و اله،فظهر أنّه بلغ حدّ التواتر،بل زاد علیه بمراتب کثیرة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جعفر کاشف الغطاء من نوادر فقهاء الشیعة یقول فی کتابه النفیس کشف الغطاء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زیادة فیه،من سورة،و لا آیة،من بسملة،و غیرها،لا کلمة،و لا حرف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جمیع ما بین الدفّتین ممّا یتلی کلام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بالضرورة من المذهب،بل الدّین و إجماع المسلمین،و إخبار النبیّ صلّی اللّه علیه و اله و الأئمّة الطاهرین علیهم السّلام و إن خالف بعض من لا یعتدّ به فی دخول بعض ما رسم فی اسم القرآن</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ریب فی أنّه محفوظ من النقصان،بحفظ الملک الدیّان،کما دلّ علیه صریح القرآن،و إجماع العلماء فی جمیع الأزمان،و لا عبرة بالنادر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bookmarkStart w:id="621" w:name="pg5439_47000"/>
    </w:p>
    <w:p>
      <w:pPr>
        <w:pStyle w:val="BookText"/>
        <w:rPr/>
      </w:pPr>
      <w:bookmarkEnd w:id="621"/>
      <w:r>
        <w:rPr>
          <w:rFonts w:ascii="IRNazanin" w:hAnsi="IRNazanin" w:eastAsia="IRNazanin"/>
          <w:color w:val="111111"/>
          <w:sz w:val="28"/>
          <w:sz w:val="28"/>
          <w:szCs w:val="28"/>
          <w:rtl w:val="true"/>
          <w:lang w:bidi="fa-IR"/>
        </w:rPr>
        <w:t>هذه نماذج من آراء و نظریّات کبار علماء الإمامیّة الأصولیّین منهم و الأخباریّین،و یستفاد من مجموع هذه الکلمات أنّ القول بتحریف القرآن هو من الأباطیل التی بطلانها من الضرورات و البدیهیّات،و إذن ما أورد نفر قلیل بعض من الروایات الضعیفة فی کتبهم أو أظهروا المیل إلیها،فهی لیست معتبرة لدی الإمامیّة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یمکن نسبة القول بالتحریف إلی علماء الإمامیّة؟ألیست هذه النسبة من الافتراءات الواضحة و المسلّم حرمتها؟کیف یمکن أن یسند التحریف لجماعة یعتبرون قوامهم العقائدی و دوام أفکارهم مبنیّا علی القرآن العزیز؟</w:t>
      </w:r>
      <w:r>
        <w:rPr>
          <w:rFonts w:eastAsia="IRNazanin" w:cs="IRNazanin"/>
          <w:color w:val="111111"/>
          <w:sz w:val="28"/>
          <w:szCs w:val="28"/>
          <w:rtl w:val="true"/>
          <w:lang w:bidi="fa-IR"/>
        </w:rPr>
        <w:t>!</w:t>
      </w:r>
    </w:p>
    <w:p>
      <w:pPr>
        <w:pStyle w:val="Heading4"/>
        <w:numPr>
          <w:ilvl w:val="3"/>
          <w:numId w:val="1"/>
        </w:numPr>
        <w:rPr/>
      </w:pPr>
      <w:bookmarkStart w:id="622" w:name="__RefHeading___Toc1856294_581953129"/>
      <w:bookmarkStart w:id="623" w:name="_Toc232"/>
      <w:bookmarkEnd w:id="622"/>
      <w:r>
        <w:rPr>
          <w:rtl w:val="true"/>
        </w:rPr>
        <w:t>النکتة السادسة</w:t>
      </w:r>
      <w:r>
        <w:rPr>
          <w:rtl w:val="true"/>
        </w:rPr>
        <w:t>:</w:t>
      </w:r>
      <w:r>
        <w:rPr>
          <w:rtl w:val="true"/>
        </w:rPr>
        <w:t>الفرق بین القرآن و سائر الکتب السماویّة</w:t>
      </w:r>
      <w:bookmarkEnd w:id="623"/>
    </w:p>
    <w:p>
      <w:pPr>
        <w:pStyle w:val="BookText"/>
        <w:rPr/>
      </w:pPr>
      <w:r>
        <w:rPr>
          <w:rFonts w:ascii="IRNazanin" w:hAnsi="IRNazanin" w:eastAsia="IRNazanin"/>
          <w:color w:val="111111"/>
          <w:sz w:val="28"/>
          <w:sz w:val="28"/>
          <w:szCs w:val="28"/>
          <w:rtl w:val="true"/>
          <w:lang w:bidi="fa-IR"/>
        </w:rPr>
        <w:t>أحد الأسئلة المهمّة و الرئیسیّة هو الفرق بین القرآن و سائر الکتب السماویّة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فلماذا یدّعی عدم التحریف بشأن القرآن فی حین بالنسبة لسائر الکتب تعتبر مسألة التحریف أمرا مسلّما و واضحا؛بحیث إنّ البعض </w:t>
      </w:r>
      <w:r>
        <w:rPr>
          <w:rStyle w:val="FootnoteAnchor"/>
          <w:rtl w:val="true"/>
        </w:rPr>
        <w:footnoteReference w:id="806"/>
      </w:r>
      <w:r>
        <w:rPr>
          <w:rFonts w:ascii="IRNazanin" w:hAnsi="IRNazanin" w:eastAsia="IRNazanin"/>
          <w:color w:val="111111"/>
          <w:sz w:val="28"/>
          <w:sz w:val="28"/>
          <w:szCs w:val="28"/>
          <w:rtl w:val="true"/>
          <w:lang w:bidi="fa-IR"/>
        </w:rPr>
        <w:t>یستدلّ لإثبات تحریف القرآن عن هذا الطریق بأنّه من المسلّم وقوع التحریف فی الکتب السابقة،هذا من جهة،و من جهة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فی روایات متواترة بین الشیعة و السنّة،بأنّ ما وقع فی الامم السابقة یجب أن یقع مثله فی هذه الامّة،مثل هذه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ما کان فی الامم السالفة،فإنّه یکون فی هذه الامّة مثله حذو النعل بالنعل و القذّة بالقذة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بناء علیه فإنّه من اللازم وقوع التحریف فی القرآن أیضا</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التقصّی و التحقیق فی مثل هذه الروایات،و استحصال النتائج بشأنها،لا بدّ أن یبیّن ذلک فی بحث شبهات القائلین بالتحریف </w:t>
      </w:r>
      <w:r>
        <w:rPr>
          <w:rStyle w:val="FootnoteAnchor"/>
          <w:rtl w:val="true"/>
        </w:rPr>
        <w:footnoteReference w:id="8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الذی نحن بصدده فی هذه</w:t>
      </w:r>
      <w:bookmarkStart w:id="624" w:name="pg5439_47001"/>
    </w:p>
    <w:p>
      <w:pPr>
        <w:pStyle w:val="BookText"/>
        <w:rPr/>
      </w:pPr>
      <w:bookmarkEnd w:id="624"/>
      <w:r>
        <w:rPr>
          <w:rFonts w:ascii="IRNazanin" w:hAnsi="IRNazanin" w:eastAsia="IRNazanin"/>
          <w:color w:val="111111"/>
          <w:sz w:val="28"/>
          <w:sz w:val="28"/>
          <w:szCs w:val="28"/>
          <w:rtl w:val="true"/>
          <w:lang w:bidi="fa-IR"/>
        </w:rPr>
        <w:t>النکتة هو بیان الفارق الأساسی بین القرآن،و سائر الکتب السماویّة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التحریف الذی وقع فی الکتب السابقة إنّما هو نفس التحریف المعنوی و التفسیر بالرأی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القرآن یدلّ علی وقوع مثل هذا التحریف فی کتب الامم السالفة،و لا یدلّ علی وقوع التحریف بالزیادة أو النقصان فیها </w:t>
      </w:r>
      <w:r>
        <w:rPr>
          <w:rStyle w:val="FootnoteAnchor"/>
          <w:rtl w:val="true"/>
        </w:rPr>
        <w:footnoteReference w:id="8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بالإضافة إلی ذلک لیس هناک فی الروایات و کلمات العلماء دلیل و شاهد یبرهن لنا علی وقوع التحریف بالزیادة أو النقصان،فالقرآن یبیّن بکلّ صراحة بأنّ التوراة و الإنجیل و سائر الکتب المنزلة هی محفوظة لدی علمائهم،حیث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أَنَّهُمْ أَقامُوا التَّوْراةَ وَ الْإِنْجِیلَ وَ ما أُنْزِلَ إِلَیْهِمْ مِنْ رَبِّهِمْ لَأَکَلُوا مِنْ فَوْقِهِمْ وَ مِنْ تَحْتِ أَرْجُلِهِمْ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النکتة الأساسیّة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الکتاب الشریف طرح بصفته معجزة خالدة و أبدیّة،و ممّا لا مناص منه أنّه یجب أن یکون مصونا من التحریف و التغییر دوما، خلافا لسائر الکتب السماویّة التی لا تطرح بعنوان معجزة خالدة</w:t>
      </w:r>
      <w:r>
        <w:rPr>
          <w:rFonts w:eastAsia="IRNazanin" w:cs="IRNazanin"/>
          <w:color w:val="111111"/>
          <w:sz w:val="28"/>
          <w:szCs w:val="28"/>
          <w:rtl w:val="true"/>
          <w:lang w:bidi="fa-IR"/>
        </w:rPr>
        <w:t>.</w:t>
      </w:r>
    </w:p>
    <w:p>
      <w:pPr>
        <w:pStyle w:val="Heading4"/>
        <w:numPr>
          <w:ilvl w:val="3"/>
          <w:numId w:val="1"/>
        </w:numPr>
        <w:rPr/>
      </w:pPr>
      <w:bookmarkStart w:id="625" w:name="__RefHeading___Toc1856296_581953129"/>
      <w:bookmarkStart w:id="626" w:name="_Toc233"/>
      <w:bookmarkEnd w:id="625"/>
      <w:r>
        <w:rPr>
          <w:rtl w:val="true"/>
        </w:rPr>
        <w:t>النکتة السابعة</w:t>
      </w:r>
      <w:r>
        <w:rPr>
          <w:rtl w:val="true"/>
        </w:rPr>
        <w:t>:</w:t>
      </w:r>
      <w:r>
        <w:rPr>
          <w:rtl w:val="true"/>
        </w:rPr>
        <w:t>مراحل نزول القرآن و مواطنه</w:t>
      </w:r>
      <w:bookmarkEnd w:id="626"/>
    </w:p>
    <w:p>
      <w:pPr>
        <w:pStyle w:val="BookText"/>
        <w:rPr/>
      </w:pPr>
      <w:r>
        <w:rPr>
          <w:rFonts w:ascii="IRNazanin" w:hAnsi="IRNazanin" w:eastAsia="IRNazanin"/>
          <w:color w:val="111111"/>
          <w:sz w:val="28"/>
          <w:sz w:val="28"/>
          <w:szCs w:val="28"/>
          <w:rtl w:val="true"/>
          <w:lang w:bidi="fa-IR"/>
        </w:rPr>
        <w:t>من النکات المهمّة جدّا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محلّ النزاع هو فی أیّ قرآن،و بتعبیر آخر فی أیّة مرحلة من مراحل وجود القرآن الکریم؟کما أنّه من الواضح،و یستفاد من القرآن المجید أیضا بأنّ لهذا الکتاب المقدّس مراحل و مواطن</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الموطن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اللوح المحفوظ،إنّ هذا الموطن کما هو واضح غیر قابل للتحریف؛لأنّه بعید عن أیدی أفراد البشر،و هو فی هذا الموطن موجود عند اللّه و محفوظ من أیّ تغییر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الموطن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مرحلة نزول القرآن بواسطة جبرئیل علیه السّلام علی الرسول صلّی اللّه علیه و 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الموطن غیر قابل للتحریف أیضا،بدلیل العصمة التی یمتلکها جبرئیل علیه السّلام بصفته واحدا من الملائکة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الموطن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الرسول صلّی اللّه علیه و اله القرآن علی الناس؛بمعنی أنّ ما أنزله جبرئیل علیه السّلام علی قلب الرسول المبارک صلّی اللّه علیه و اله فإنّ حضرته صلّی اللّه علیه و اله عرضه نفسه للناس بلا أیّة زیادة و نقصان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القرآن فی هذا الموطن لم یتعرّض للتحریف أیضا،و جمع و نظّم فی زمن الرسول بصورة کتاب مدوّن،و الکثیر من الأفراد أودعوه حفظا فی أذهانهم،و قد نقل ذلک القرآن فی الأزمنة التالیة بصورة متواترة إلی الأجیال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الموطن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عبارة عن القرائین التی تحکی عن ذلک القرآن المتواتر، 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القرائین المکتوبة إمّا المطبوعة أو الخطّیة هی التی تحکی عن تلک الحقیقة،و من البدیهی فإنّ التحریف فی اختلاف القراءة و أمثال ذلک قد وقع فی هذا القسم،و من الممکن فی هذا الموطن الرابع حصول التحریف بالزیادة أو النقصان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الداخل فی محلّ النزاع إنّما هو ذلک القرآن المحکی المتواتر الذی هو موجود فی کلّ زمان بعنوان حقیقة و شیء واحد،و بعنوان کلام الحقّ المنزل،و قد نطقت بذلک آیة الحفظ الشریفة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إِنّا لَهُ لَحافِظُونَ </w:t>
      </w:r>
      <w:r>
        <w:rPr>
          <w:rStyle w:val="FootnoteAnchor"/>
          <w:rtl w:val="true"/>
        </w:rPr>
        <w:footnoteReference w:id="811"/>
      </w:r>
      <w:r>
        <w:rPr>
          <w:rFonts w:ascii="IRNazanin" w:hAnsi="IRNazanin" w:eastAsia="IRNazanin"/>
          <w:color w:val="111111"/>
          <w:sz w:val="28"/>
          <w:sz w:val="28"/>
          <w:szCs w:val="28"/>
          <w:rtl w:val="true"/>
          <w:lang w:bidi="fa-IR"/>
        </w:rPr>
        <w:t>فإنّ الضمیر فی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تعود إلی القرآن المنزل،و هو لیس أکثر من قرآن واحد و حقیقة واحدة،و بقیّة القرائین تحکی عنه،و لا شکّ من تعرّضها للتحریف</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بناء علی ما بیّناه یتّضح بأنّ ما قاله بعض المحدثّین </w:t>
      </w:r>
      <w:r>
        <w:rPr>
          <w:rStyle w:val="FootnoteAnchor"/>
          <w:rtl w:val="true"/>
        </w:rPr>
        <w:footnoteReference w:id="812"/>
      </w:r>
      <w:r>
        <w:rPr>
          <w:rFonts w:ascii="IRNazanin" w:hAnsi="IRNazanin" w:eastAsia="IRNazanin"/>
          <w:color w:val="111111"/>
          <w:sz w:val="28"/>
          <w:sz w:val="28"/>
          <w:szCs w:val="28"/>
          <w:rtl w:val="true"/>
          <w:lang w:bidi="fa-IR"/>
        </w:rPr>
        <w:t>بأنّ المراد من آیة الحفظ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یحفظ کتابه فی الموضع الذی ینزله فیه،مثلما کان محفوظا فی</w:t>
      </w:r>
      <w:bookmarkStart w:id="627" w:name="pg5439_47003"/>
    </w:p>
    <w:p>
      <w:pPr>
        <w:pStyle w:val="BookText"/>
        <w:rPr/>
      </w:pPr>
      <w:bookmarkEnd w:id="627"/>
      <w:r>
        <w:rPr>
          <w:rFonts w:ascii="IRNazanin" w:hAnsi="IRNazanin" w:eastAsia="IRNazanin"/>
          <w:color w:val="111111"/>
          <w:sz w:val="28"/>
          <w:sz w:val="28"/>
          <w:szCs w:val="28"/>
          <w:rtl w:val="true"/>
          <w:lang w:bidi="fa-IR"/>
        </w:rPr>
        <w:t>مکان أعلی قبل نزوله،و لیس المراد حفظه فی الصحف و الدفاتر؛فإنّه کلام باطل عدیم الدلیل و الشاهد،بل إنّ قضیّة إعجاز القرآن تنفی ذلک؛لأنّ بقاء القرآن فی مثل هذا الموطن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القابل للتحریف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فیه جانبا إعجازیّا</w:t>
      </w:r>
      <w:r>
        <w:rPr>
          <w:rFonts w:eastAsia="IRNazanin" w:cs="IRNazanin"/>
          <w:color w:val="111111"/>
          <w:sz w:val="28"/>
          <w:szCs w:val="28"/>
          <w:rtl w:val="true"/>
          <w:lang w:bidi="fa-IR"/>
        </w:rPr>
        <w:t>.</w:t>
      </w:r>
    </w:p>
    <w:p>
      <w:pPr>
        <w:pStyle w:val="Heading4"/>
        <w:numPr>
          <w:ilvl w:val="3"/>
          <w:numId w:val="1"/>
        </w:numPr>
        <w:rPr/>
      </w:pPr>
      <w:bookmarkStart w:id="628" w:name="__RefHeading___Toc1856298_581953129"/>
      <w:bookmarkStart w:id="629" w:name="_Toc234"/>
      <w:bookmarkEnd w:id="628"/>
      <w:r>
        <w:rPr>
          <w:rtl w:val="true"/>
        </w:rPr>
        <w:t>النکتة الثامنة</w:t>
      </w:r>
      <w:r>
        <w:rPr>
          <w:rtl w:val="true"/>
        </w:rPr>
        <w:t>:</w:t>
      </w:r>
      <w:r>
        <w:rPr>
          <w:rtl w:val="true"/>
        </w:rPr>
        <w:t>إمکان تحریف القرآن من وجهة نظر العقل</w:t>
      </w:r>
      <w:bookmarkEnd w:id="629"/>
    </w:p>
    <w:p>
      <w:pPr>
        <w:pStyle w:val="BookText"/>
        <w:rPr/>
      </w:pPr>
      <w:r>
        <w:rPr>
          <w:rFonts w:ascii="IRNazanin" w:hAnsi="IRNazanin" w:eastAsia="IRNazanin"/>
          <w:color w:val="111111"/>
          <w:sz w:val="28"/>
          <w:sz w:val="28"/>
          <w:szCs w:val="28"/>
          <w:rtl w:val="true"/>
          <w:lang w:bidi="fa-IR"/>
        </w:rPr>
        <w:t xml:space="preserve">یستفاد من آیة الحفظ الشریفة بأنّ القرآن قابل للتحریف عقلا،و لکنّ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من هذه الوصمة،و إلاّ لو لم یکن للتحریف سبیل إلی القرآن عقلا لم تعدّ هناک حاجة إلی الحفظ الإلهی،و لکن ردّ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الإمکان العقلیّ المحض بالوعد القطعی حفظه منه</w:t>
      </w:r>
      <w:r>
        <w:rPr>
          <w:rFonts w:eastAsia="IRNazanin" w:cs="IRNazanin"/>
          <w:color w:val="111111"/>
          <w:sz w:val="28"/>
          <w:szCs w:val="28"/>
          <w:rtl w:val="true"/>
          <w:lang w:bidi="fa-IR"/>
        </w:rPr>
        <w:t>.</w:t>
      </w:r>
    </w:p>
    <w:p>
      <w:pPr>
        <w:pStyle w:val="Heading4"/>
        <w:numPr>
          <w:ilvl w:val="3"/>
          <w:numId w:val="1"/>
        </w:numPr>
        <w:rPr/>
      </w:pPr>
      <w:bookmarkStart w:id="630" w:name="__RefHeading___Toc1856300_581953129"/>
      <w:bookmarkStart w:id="631" w:name="_Toc235"/>
      <w:bookmarkEnd w:id="630"/>
      <w:r>
        <w:rPr>
          <w:rtl w:val="true"/>
        </w:rPr>
        <w:t>النکتة التاسعة</w:t>
      </w:r>
      <w:r>
        <w:rPr>
          <w:rtl w:val="true"/>
        </w:rPr>
        <w:t>:</w:t>
      </w:r>
      <w:r>
        <w:rPr>
          <w:rtl w:val="true"/>
        </w:rPr>
        <w:t>هل الاستدلال بالقرآن علی عدم التحریف یستلزم الدّور؟</w:t>
      </w:r>
      <w:bookmarkEnd w:id="631"/>
    </w:p>
    <w:p>
      <w:pPr>
        <w:pStyle w:val="BookText"/>
        <w:rPr/>
      </w:pPr>
      <w:r>
        <w:rPr>
          <w:rFonts w:ascii="IRNazanin" w:hAnsi="IRNazanin" w:eastAsia="IRNazanin"/>
          <w:color w:val="111111"/>
          <w:sz w:val="28"/>
          <w:sz w:val="28"/>
          <w:szCs w:val="28"/>
          <w:rtl w:val="true"/>
          <w:lang w:bidi="fa-IR"/>
        </w:rPr>
        <w:t>إنّ الکثیر من الکبار استدلّ بآیات من الکتاب الشریف لغرض إثبات عدم تحریف القرآن،و الذی نطالعه و نبحثه فی هذه النکتة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الاستدلال بالآیات الشریفة من أجل بطلان التحریف یستلزم الدور المحال،أم لا؟</w:t>
      </w:r>
    </w:p>
    <w:p>
      <w:pPr>
        <w:pStyle w:val="BookText"/>
        <w:rPr/>
      </w:pPr>
      <w:r>
        <w:rPr>
          <w:rFonts w:ascii="IRNazanin" w:hAnsi="IRNazanin" w:eastAsia="IRNazanin"/>
          <w:color w:val="111111"/>
          <w:sz w:val="28"/>
          <w:sz w:val="28"/>
          <w:szCs w:val="28"/>
          <w:rtl w:val="true"/>
          <w:lang w:bidi="fa-IR"/>
        </w:rPr>
        <w:t>البعض یعتقد أنّ الاستدلال بالآیات الشریفة یستلزم الدور،و ذکر لذلک تقریرین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التقریر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نفی تحریف الکتاب متوقّف علی حجّیة هذه الآیات،فی حین أنّ حجّیة هذه الآیات متوقّفة علی نفی التحریف،إذن نفی التحریف یکون متوقّفا علی نفی التحریف</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التقریر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حجّیة الآیات المستدلّ بها متوقّفة علی نفی التحریف،فی حین نفی التحریف متوقّف علی حجّیة هذه الآیات أیضا،و فی النتیجة فإنّ حجّیة الآیات الشریفة متوقّفة علی حجّیة هذه الآیات المستدلّ بها،و هذه هی نفس</w:t>
      </w:r>
    </w:p>
    <w:p>
      <w:pPr>
        <w:pStyle w:val="BookText"/>
        <w:rPr/>
      </w:pPr>
      <w:r>
        <w:rPr>
          <w:rFonts w:ascii="IRNazanin" w:hAnsi="IRNazanin" w:eastAsia="IRNazanin"/>
          <w:color w:val="111111"/>
          <w:sz w:val="28"/>
          <w:sz w:val="28"/>
          <w:szCs w:val="28"/>
          <w:rtl w:val="true"/>
          <w:lang w:bidi="fa-IR"/>
        </w:rPr>
        <w:t>الدور المحال فی العلّیة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وردت أجوبة مختلفة عن هذه الشبهة نتناول بحثها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المرحوم المحقّق الخوئی فی کتاب البیان القیّم بما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هذه شبهة تدلّ علی عزل العترة الطاهرة عن الخلافة الإلهیّة،و لم یعتمد علی أقوالهم و أفعالهم؛فإنّه لا یسعه دفع هذه الشبهة،و أمّا من یری أنّهم حجج اللّه علی خلقه،و أنّهم قرناء الکتاب فی وجوب التمسّک،فلا ترد علیه هذه الشبهة؛لأنّ استدلال العترة بالکتاب،و تقریر أصحابهم علیه یکشف عن حجّیة الکتاب الموجود و إن قیل بتحریفه،غایة الأمر أنّ حجّیة الکتاب علی القول بالتحریف تکون متوقّفة علی إمضائهم </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الجواب لا یخلو من إشکال،و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الجواب إنّما یکون مفیدا بالنسبة للمعتقدین بولایة الأئمّة صلوات اللّه علیهم أجمعین،فی حین أنّه یجب علینا إبداء جواب کاف و واف أمام مثل هذه الشبهة بحیث یمکن أن تتقبّله أیّة فرقة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الجواب فی الحقیقة یعتبر تسلیما بأصل الشبهة،کیف؟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بناء علیه لا یتمّ الاستدلال علی عدم التحریف بالآیات الشریفة،و إنّما الاستدلال بالآیات سیتمّ بضمّ إمضاء و تقریر المعصوم علیه السّلام،و هذا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کونه خلافا للمدّعی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 لظاهر حدیث الثقلین الشریف،الذی یستفاد منه بوضوح بأنّ القرآن فرض بصفته الثقل الأکبر،و بصفته حجّة و دلیلا مستقلاّ</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الذین یدّعون تحریف القرآن یعتبرون دائرته محدودة بآیات خاصّة و التی أشارت بعض الروایات </w:t>
      </w:r>
      <w:r>
        <w:rPr>
          <w:rStyle w:val="FootnoteAnchor"/>
          <w:rtl w:val="true"/>
        </w:rPr>
        <w:footnoteReference w:id="814"/>
      </w:r>
      <w:r>
        <w:rPr>
          <w:rFonts w:ascii="IRNazanin" w:hAnsi="IRNazanin" w:eastAsia="IRNazanin"/>
          <w:color w:val="111111"/>
          <w:sz w:val="28"/>
          <w:sz w:val="28"/>
          <w:szCs w:val="28"/>
          <w:rtl w:val="true"/>
          <w:lang w:bidi="fa-IR"/>
        </w:rPr>
        <w:t>إلیها،و أنّ الآیات التی استدلّ</w:t>
      </w:r>
    </w:p>
    <w:p>
      <w:pPr>
        <w:pStyle w:val="BookText"/>
        <w:rPr/>
      </w:pPr>
      <w:r>
        <w:rPr>
          <w:rFonts w:ascii="IRNazanin" w:hAnsi="IRNazanin" w:eastAsia="IRNazanin"/>
          <w:color w:val="111111"/>
          <w:sz w:val="28"/>
          <w:sz w:val="28"/>
          <w:szCs w:val="28"/>
          <w:rtl w:val="true"/>
          <w:lang w:bidi="fa-IR"/>
        </w:rPr>
        <w:t>بواسطتها لأجل عدم التحریف هی لیست ضمن تلک الآیات المحرّفة،و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القائلین بالتحریف هم أنفسهم یعتقدون بعدم تحریف هذه 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الجواب أیضا لیس خالیا عن إشکال؛لأنّ فیما یتعلّق بالتحریف توجد نظریّتان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البعض یعتقد أنّه طبقا لبعض الروایات قد حدث تحریف فی موارد معیّنة فی آیات القرآن الشریفة،و طبقا لهذه النظریّة الجواب 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النظریّة الثانیة فهی بغضّ النظر عن الروایات تظهر وجود العلم الإجمالی بتحریف الکتاب، و دائرة العلم الإجمالی تشمل مثل هذه الآیات التی استدلّ بها علی عدم التحریف، و بناء علی هذه النظریّة فهذا الجواب الثانی غیر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مقام الردّ علی هذا الإشکال قال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الإجماع قائم علی أنّ هذه الآیات لم تتعرّض للتحریف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الجواب أیضا قابل للمناقشة؛لأنّ القائلین بالتحریف إذا ما ادّعوا لدیهم العلم الإجمالیّ بتحریف الکتاب؛فإنّهم لا یتمکّنون من إخراج هذه الآیات من دائرة العلم الإجمالی،و بتعبیر آخر لا یمکن عدّهم ضمن المجمعین،و إلاّ یلزم من ذلک نفی نظریّتهم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قال الوالد المحقّق الفقیه المعظّم فی مقام هذه العویصة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الاستدلال إن کان فی مقابل من یدّعی التحریف فی موارد مخصوصة؛و هی الموارد التی دلّت علیها روایات التحریف،فلا مجال للمناقشة فیه؛لعدم کون آیة الحفظ من تلک الموارد علی اعترافه؛ضرورة أنّه لم ترد روایة تدلّ علی وقوع التحریف فی آیة الحفظ أصلا</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فی مقابل من یدّعی التحریف فی القرآن إجمالا؛بمعنی أنّ کلّ آیة عنده</w:t>
      </w:r>
    </w:p>
    <w:p>
      <w:pPr>
        <w:pStyle w:val="BookText"/>
        <w:rPr/>
      </w:pPr>
      <w:r>
        <w:rPr>
          <w:rFonts w:ascii="IRNazanin" w:hAnsi="IRNazanin" w:eastAsia="IRNazanin"/>
          <w:color w:val="111111"/>
          <w:sz w:val="28"/>
          <w:sz w:val="28"/>
          <w:szCs w:val="28"/>
          <w:rtl w:val="true"/>
          <w:lang w:bidi="fa-IR"/>
        </w:rPr>
        <w:t>محتملة لوقوع التحریف فیها،و سقوط القرینة الدالّة علی خلاف ظاهرها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القائل بهذا النحو من التحریف بحجّیة ظواهر الکتاب مع وصف التحریف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یقول بذلک،بل یری أنّ التحریف مانع عن بقاء ظواهر الکتاب علی الحجّیة،و جواز الأخذ و التمسّک بها،و یعتقد أنّ الدلیل علی عدم الحجّیة هو نفس وقوع التحریف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مجال للمناقشة فی الاستدلال بآیة الحفظ علی عدم التحریف؛ لأنّه بعد ما کانت الظواهر باقیة علی الحجّیة،و وقوع التحریف غیر مانع عن اتّصاف الظواهر بهذا الوصف،کما هو المفروض،نأخذ بظاهر آیة الحفظ،و نستدلّ به علی العدم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عبارة عن مانعیّة التحریف عن العمل بالظواهر و الأخذ بها،فإن کان القائل بالتحریف مدّعیا للعلم به،و القطع بوقوع التحریف فی القرآن إجمالا،و کون کلّ آیة محتملة لوقوع التحریف فیها،فالاستدلال بآیة الحفظ لا یضرّه،و لو کان ظاهرها باقیا علی وصف الحجّیة؛لأنّ ظاهر الکتاب إنّما هو حجّة بالإضافة إلی من لا یکون عالما بخلافه؛ضرورة أنّه من جملة الأمارات الظنّیة المعتبرة،و شأن الأمارة اختصاص حجّیتها بخصوص الجاهل بمقتضاها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العالم بالخلاف المتیقّن له،فلا معنی لحجّیة الأمارة بالإضافة إلیه،فخبر الواحد مثلا الدالّ علی وجوب صلاة الجمعة إنّما یعتبر بالنسبة إلی من لا یکون عالما بعدم الوجوب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بالإضافة إلی العالم،فلا مجال لاعتباره بوجه،فظاهر آیة الحفظ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 حجّیته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یجدی لمن لا یکون عالما بالتحریف،و البحث فی المقام إنّما هو مع غیر العالم</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القائل به لا یتجاوز عن مجرّد الاحتمال،و لا یکون عالما بوقوع التحریف فی الکتاب،بل شاکّا،فنقول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مجرّد احتمال وقوع التحریف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فی آیة الحفظ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یمنع عن الاستدلال بها لعدم التحریف،کیف،و کان الدلیل علی عدم حجّیة الظواهر و المانع عنها هو التحریف،فمع عدم ثبوته و احتمال وجوده،و عدمه کیف یرفع الید عن الظاهر، و یحکم بسقوطه عن الحجّیة؟بل اللاّزم الأخذ به و الحکم علی طبق مقتضاه،الذی عرفت أنّ مرجعه إلی عدم تحقّق التحریف بوجه،و لا یستلزم ذلک تحقّق الدور الباطل؛ضرورة أنّ سقوط الظاهر عن الحجّیة فرع تحقّق التحریف و ثبوته،و قد فرضنا أنّ الاستدلال إنّما هو فی مورد الشکّ و عدم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الشکّ فیه لا یوجب سقوط الظاهر عن الحجّیة ما دام لم یثبت وقوعه،فتدبّر جیّدا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هذا الجواب أیضا فی حالة العلم الإجمالی بالتحریف،سیکون الاستدلال بالآیات مخدوشا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الذی یتبادر بالذهن أنّ التحریف کسائر الامور الاخری یحتاج إلی داع و دافع،و لکون الدواعی و الدوافع علی تحریف القرآن کثیرة جدّا؛فإنّ هذه الآیات الشریفة فیما إذا کانت معرّضة للتحریف لا بدّ أن تحرّف بشکل بحیث یحدث فیها نقصان،و ذلک بالنحو الذی تسقط فیه الدلالة علی عدم تحریف الکتاب،مثلا أن یحذفوا من آیة الحفظ الشریفة وَ إِنّا لَهُ لَحافِظُونَ </w:t>
      </w:r>
      <w:r>
        <w:rPr>
          <w:rStyle w:val="FootnoteAnchor"/>
          <w:rtl w:val="true"/>
        </w:rPr>
        <w:footnoteReference w:id="817"/>
      </w:r>
      <w:r>
        <w:rPr>
          <w:rFonts w:ascii="IRNazanin" w:hAnsi="IRNazanin" w:eastAsia="IRNazanin"/>
          <w:color w:val="111111"/>
          <w:sz w:val="28"/>
          <w:sz w:val="28"/>
          <w:szCs w:val="28"/>
          <w:rtl w:val="true"/>
          <w:lang w:bidi="fa-IR"/>
        </w:rPr>
        <w:t>أو علی الأقلّ أن یحذفوا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تعتبر مؤثّرة جدّا فی استفادة عدم التحریف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علی هذا وجود و بقاء نفس هذه الکلمات قرینة واضحة تفید العلم و الطمأنینة للإنسان بعدم تحریف هذه الآیات</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فرض وجود علم إجمالی بالتحریف،فیکون فی هذه الآیات لدینا علم عادیّ علی الخلاف،فبالنتیجة تخرج هذه الموارد عن دائرة العلم الإجمالی</w:t>
      </w:r>
      <w:r>
        <w:rPr>
          <w:rFonts w:eastAsia="IRNazanin" w:cs="IRNazanin"/>
          <w:color w:val="111111"/>
          <w:sz w:val="28"/>
          <w:szCs w:val="28"/>
          <w:rtl w:val="true"/>
          <w:lang w:bidi="fa-IR"/>
        </w:rPr>
        <w:t>.</w:t>
      </w:r>
      <w:bookmarkStart w:id="632" w:name="pg5439_47008"/>
    </w:p>
    <w:p>
      <w:pPr>
        <w:pStyle w:val="Heading4"/>
        <w:numPr>
          <w:ilvl w:val="3"/>
          <w:numId w:val="1"/>
        </w:numPr>
        <w:rPr/>
      </w:pPr>
      <w:bookmarkStart w:id="633" w:name="__RefHeading___Toc1856302_581953129"/>
      <w:bookmarkStart w:id="634" w:name="_Toc236"/>
      <w:bookmarkEnd w:id="632"/>
      <w:bookmarkEnd w:id="633"/>
      <w:r>
        <w:rPr>
          <w:rtl w:val="true"/>
        </w:rPr>
        <w:t>النکتة العاشرة</w:t>
      </w:r>
      <w:r>
        <w:rPr>
          <w:rtl w:val="true"/>
        </w:rPr>
        <w:t>:</w:t>
      </w:r>
      <w:r>
        <w:rPr>
          <w:rtl w:val="true"/>
        </w:rPr>
        <w:t>نوعین من الادّعاء فی التحریف</w:t>
      </w:r>
      <w:bookmarkEnd w:id="634"/>
    </w:p>
    <w:p>
      <w:pPr>
        <w:pStyle w:val="BookText"/>
        <w:rPr/>
      </w:pPr>
      <w:r>
        <w:rPr>
          <w:rFonts w:ascii="IRNazanin" w:hAnsi="IRNazanin" w:eastAsia="IRNazanin"/>
          <w:color w:val="111111"/>
          <w:sz w:val="28"/>
          <w:sz w:val="28"/>
          <w:szCs w:val="28"/>
          <w:rtl w:val="true"/>
          <w:lang w:bidi="fa-IR"/>
        </w:rPr>
        <w:t>لقد اتّضح من النکتة السابقة وجود دعویین بالنسبة إلی التحریف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توهّم البعض </w:t>
      </w:r>
      <w:r>
        <w:rPr>
          <w:rStyle w:val="FootnoteAnchor"/>
          <w:rtl w:val="true"/>
        </w:rPr>
        <w:footnoteReference w:id="818"/>
      </w:r>
      <w:r>
        <w:rPr>
          <w:rFonts w:ascii="IRNazanin" w:hAnsi="IRNazanin" w:eastAsia="IRNazanin"/>
          <w:color w:val="111111"/>
          <w:sz w:val="28"/>
          <w:sz w:val="28"/>
          <w:szCs w:val="28"/>
          <w:rtl w:val="true"/>
          <w:lang w:bidi="fa-IR"/>
        </w:rPr>
        <w:t>بأنّ دائرة التحریف مختصّة ببعض الآیات المعیّنة التی عیّنت حدودها الروایات الواردة بشأنها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بناء علیه بقیت سائر الآیات الشریفة مصونة و محفوظة من دائرة التحریف و التلویث و التغییر،و هی قابلة لأن یستفاد منها فی الاستدلال و الاستفادة من الظواهر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النوع من الادّعاء عادة یطرح ممّن سندهم و مدرکهم علی التحریف، الروایات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الموجودة فی بعض الکتب الروائیّة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یعتقد البعض </w:t>
      </w:r>
      <w:r>
        <w:rPr>
          <w:rStyle w:val="FootnoteAnchor"/>
          <w:rtl w:val="true"/>
        </w:rPr>
        <w:footnoteReference w:id="819"/>
      </w:r>
      <w:r>
        <w:rPr>
          <w:rFonts w:ascii="IRNazanin" w:hAnsi="IRNazanin" w:eastAsia="IRNazanin"/>
          <w:color w:val="111111"/>
          <w:sz w:val="28"/>
          <w:sz w:val="28"/>
          <w:szCs w:val="28"/>
          <w:rtl w:val="true"/>
          <w:lang w:bidi="fa-IR"/>
        </w:rPr>
        <w:t>بأنّ القرآن الکریم تعرّض للتحریف إجمالا،و بتعبیر آخر یدّعون العلم الإجمالیّ بالنسبة إلی تحریف القرآن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دلیل و سند هذه الطائفة التی قبلت هذه الدعوی فی باب التحریف هو دلیل الاعتبار و نظائره</w:t>
      </w:r>
      <w:r>
        <w:rPr>
          <w:rFonts w:eastAsia="IRNazanin" w:cs="IRNazanin"/>
          <w:color w:val="111111"/>
          <w:sz w:val="28"/>
          <w:szCs w:val="28"/>
          <w:rtl w:val="true"/>
          <w:lang w:bidi="fa-IR"/>
        </w:rPr>
        <w:t>.</w:t>
      </w:r>
    </w:p>
    <w:p>
      <w:pPr>
        <w:pStyle w:val="Heading4"/>
        <w:numPr>
          <w:ilvl w:val="3"/>
          <w:numId w:val="1"/>
        </w:numPr>
        <w:rPr/>
      </w:pPr>
      <w:bookmarkStart w:id="635" w:name="__RefHeading___Toc1856304_581953129"/>
      <w:bookmarkStart w:id="636" w:name="_Toc237"/>
      <w:bookmarkEnd w:id="635"/>
      <w:r>
        <w:rPr>
          <w:rtl w:val="true"/>
        </w:rPr>
        <w:t>النکتة الحادیة عشر</w:t>
      </w:r>
      <w:r>
        <w:rPr>
          <w:rtl w:val="true"/>
        </w:rPr>
        <w:t>:</w:t>
      </w:r>
      <w:r>
        <w:rPr>
          <w:rtl w:val="true"/>
        </w:rPr>
        <w:t>الدلیل العقلی و العقلائی فی عدم التحریف</w:t>
      </w:r>
      <w:bookmarkEnd w:id="636"/>
    </w:p>
    <w:p>
      <w:pPr>
        <w:pStyle w:val="Heading5"/>
        <w:numPr>
          <w:ilvl w:val="4"/>
          <w:numId w:val="1"/>
        </w:numPr>
        <w:rPr/>
      </w:pPr>
      <w:bookmarkStart w:id="637" w:name="__RefHeading___Toc1856306_581953129"/>
      <w:bookmarkStart w:id="638" w:name="_Toc238"/>
      <w:bookmarkEnd w:id="637"/>
      <w:r>
        <w:rPr>
          <w:rtl w:val="true"/>
        </w:rPr>
        <w:t>اشارة</w:t>
      </w:r>
      <w:bookmarkEnd w:id="638"/>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یستفاد من بعض کلمات أهل الرأی و النظر التمسّک بالدلیل العقلی،و کذلک ببناء العقلاء،لبطلان التحریف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السیّد ابن طاووس صرّح فی سعد السعود أنّ بطلان التحریف هو مقتضی العقل </w:t>
      </w:r>
      <w:r>
        <w:rPr>
          <w:rStyle w:val="FootnoteAnchor"/>
          <w:rtl w:val="true"/>
        </w:rPr>
        <w:footnoteReference w:id="820"/>
      </w:r>
      <w:r>
        <w:rPr>
          <w:rFonts w:ascii="IRNazanin" w:hAnsi="IRNazanin" w:eastAsia="IRNazanin"/>
          <w:color w:val="111111"/>
          <w:sz w:val="28"/>
          <w:sz w:val="28"/>
          <w:szCs w:val="28"/>
          <w:rtl w:val="true"/>
          <w:lang w:bidi="fa-IR"/>
        </w:rPr>
        <w:t xml:space="preserve">،و البعض استدلّ ببناء العقلاء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bookmarkStart w:id="639" w:name="pg5439_47009"/>
    </w:p>
    <w:p>
      <w:pPr>
        <w:pStyle w:val="Heading5"/>
        <w:numPr>
          <w:ilvl w:val="4"/>
          <w:numId w:val="1"/>
        </w:numPr>
        <w:rPr/>
      </w:pPr>
      <w:bookmarkStart w:id="640" w:name="__RefHeading___Toc1856308_581953129"/>
      <w:bookmarkStart w:id="641" w:name="_Toc239"/>
      <w:bookmarkEnd w:id="639"/>
      <w:bookmarkEnd w:id="640"/>
      <w:r>
        <w:rPr>
          <w:rtl w:val="true"/>
        </w:rPr>
        <w:t>فلبیان هذا الدلیل هناک طریقان</w:t>
      </w:r>
      <w:r>
        <w:rPr>
          <w:rtl w:val="true"/>
        </w:rPr>
        <w:t>:</w:t>
      </w:r>
      <w:bookmarkEnd w:id="641"/>
    </w:p>
    <w:p>
      <w:pPr>
        <w:pStyle w:val="Heading6"/>
        <w:numPr>
          <w:ilvl w:val="5"/>
          <w:numId w:val="1"/>
        </w:numPr>
        <w:rPr/>
      </w:pPr>
      <w:bookmarkStart w:id="642" w:name="__RefHeading___Toc1856310_581953129"/>
      <w:bookmarkStart w:id="643" w:name="_Toc240"/>
      <w:bookmarkEnd w:id="642"/>
      <w:r>
        <w:rPr>
          <w:rtl w:val="true"/>
        </w:rPr>
        <w:t>الطریق الأوّل</w:t>
      </w:r>
      <w:r>
        <w:rPr>
          <w:rtl w:val="true"/>
        </w:rPr>
        <w:t>:</w:t>
      </w:r>
      <w:r>
        <w:rPr>
          <w:rtl w:val="true"/>
        </w:rPr>
        <w:t>أنّ الوارد فی کلمات المحقّق الخوئی رحمه اللّه هو بصورة دلیل عقلیّ</w:t>
      </w:r>
      <w:bookmarkEnd w:id="643"/>
    </w:p>
    <w:p>
      <w:pPr>
        <w:pStyle w:val="BookText"/>
        <w:rPr/>
      </w:pPr>
      <w:r>
        <w:rPr>
          <w:rFonts w:ascii="Amiri" w:hAnsi="Amiri" w:eastAsia="Amiri" w:cs="Amiri"/>
          <w:color w:val="111111"/>
          <w:sz w:val="28"/>
          <w:sz w:val="28"/>
          <w:szCs w:val="28"/>
          <w:rtl w:val="true"/>
          <w:lang w:bidi="ar-SA"/>
        </w:rPr>
        <w:t>غیر مستقلّ،و ملخّص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احتمال التحریف لا یخرج عن ثلاث صور،و لا یتصوّر له عقلا صورة رابعة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وقوع التحریف قبل خلافة عثمان بواسطة أبی بکر و عمر،هذه الصورة باطلة قطعا؛لأنّها لا تخرج من ثلاثة احتمالات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التحریف حصل عن غیر عمد؛بمعنی أنّ هذین الشخصین جمعا القرآن بعد رحلة الرسول صلّی اللّه علیه و اله،و لأسباب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قلّة الاطّلاع، و عدم وصول جمیع القرآن إلیهما،و عدم الدقّة و الإحاطة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یحصلوا علی بعض 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التحریف حصل عمدا بخصول الآیات التی لا تلحق أیّ ضرر بخلافتهما و زعامتهما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التحریف حصل عمدا،لکن فی خصوص آیات کانت مضرّة بزعامتهما،حیث استند القائلون بالتحریف هذا الاحتمال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هذه الاحتمالات الثلاثة منتفیة و مرفوضة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الاحتمال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باطل لجهتین</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فی أنّ اهتمام النبیّ صلّی اللّه علیه و اله بأمر القرآن،بحفظه،و قراءته،و ترتیل آیاته،و اهتمام الصحابة بذلک فی عهد رسول اللّه صلّی اللّه علیه و اله و بعد وفاته،یورث القطع بکون القرآن محفوظا عندهم،جمعا أو متفرّقا،حفظا فی الصدور،أو تدوینا فی القراطیس، و قد اهتمّوا بحفظ أشعار الجاهلیّة و خطبها،فکیف لا یهتمّون بأمر الکتاب العزیز، الذی عرّضوا أنفسهم للقتل فی دعوته،و إعلان أحکامه،و هجروا فی سبیله</w:t>
      </w:r>
    </w:p>
    <w:p>
      <w:pPr>
        <w:pStyle w:val="BookText"/>
        <w:rPr/>
      </w:pPr>
      <w:r>
        <w:rPr>
          <w:rFonts w:ascii="IRNazanin" w:hAnsi="IRNazanin" w:eastAsia="IRNazanin"/>
          <w:color w:val="111111"/>
          <w:sz w:val="28"/>
          <w:sz w:val="28"/>
          <w:szCs w:val="28"/>
          <w:rtl w:val="true"/>
          <w:lang w:bidi="fa-IR"/>
        </w:rPr>
        <w:t>أوطانهم،و بذلوا أموالهم،و أعرضوا عن نسائهم و أطفالهم،و وقفوا المواقف التی بیّضوا بها وجه التاریخ؟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یتّضح بطلان هذا الاحتمال من روایات الثقلین المتضافرة،فإنّ قوله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تارک فیکم الثقلین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اللّه،و عترتی </w:t>
      </w:r>
      <w:r>
        <w:rPr>
          <w:rStyle w:val="FootnoteAnchor"/>
          <w:rtl w:val="true"/>
        </w:rPr>
        <w:footnoteReference w:id="822"/>
      </w:r>
      <w:r>
        <w:rPr>
          <w:rFonts w:ascii="IRNazanin" w:hAnsi="IRNazanin" w:eastAsia="IRNazanin"/>
          <w:color w:val="111111"/>
          <w:sz w:val="28"/>
          <w:sz w:val="28"/>
          <w:szCs w:val="28"/>
          <w:rtl w:val="true"/>
          <w:lang w:bidi="fa-IR"/>
        </w:rPr>
        <w:t>،لا یصحّ إذا کان بعض القرآن ضائعا فی عصره،فإنّ المتروک حینئذ یکون بعض الکتاب لا جمیعه،بل و فی هذه الروایات دلالة صریحة علی تدوین القرآن و جمعه فی زمان النبیّ صلّی اللّه علیه و اله؛لأنّ الکتاب لا یصدق علی مجموع المتفرّقات،و لا علی المحفوظ فی الصدور،و من الواضح بطلان جمیع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بطلان الاحتمال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الواضح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تحریف الشیخین للقرآن عمدا فی الآیات التی لا تمسّ بزعامتهما و زعامة أصحابهما،فهو بعید فی نفسه؛إذ لا غرض لهما فی ذلک،علی أنّ ذلک مقطوع بعدمه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بطلان الاحتمال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أمیر المؤمنین علیه السّلام و زوجته الصدّیقة الطاهرة علیها السّلام و جماعة من أصحابه قد عارضوا الشیخین فی أمر الخلافة،و احتجّوا علیهما بما سمعوا من النبیّ صلّی اللّه علیه و اله،و استشهدوا علی ذلک من شهد من المهاجرین و الأنصار،و احتجّوا علیه بحدیث الغدیر و غیره</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کان فی القرآن شیء یمسّ زعامتهم لکان أحقّ بالذّکر فی مقام الاحتجاج، و أحری بالاستشهاد علیه من جمیع المسلمین،و لا سیّما أنّ أمر الخلافة کان قبل جمع القرآن علی زعمهم بکثیر،ففی ترک الصحابة ذکر ذلک فی أوّل أمر الخلافة و بعد انتهائها إلی علیّ علیه السّلام دلالة قطعیّة علی عدم التحریف المذکور</w:t>
      </w:r>
      <w:r>
        <w:rPr>
          <w:rFonts w:eastAsia="IRNazanin" w:cs="IRNazanin"/>
          <w:color w:val="111111"/>
          <w:sz w:val="28"/>
          <w:szCs w:val="28"/>
          <w:rtl w:val="true"/>
          <w:lang w:bidi="fa-IR"/>
        </w:rPr>
        <w:t>.</w:t>
      </w:r>
      <w:bookmarkStart w:id="644" w:name="pg5439_47011"/>
    </w:p>
    <w:p>
      <w:pPr>
        <w:pStyle w:val="BookText"/>
        <w:rPr/>
      </w:pPr>
      <w:bookmarkEnd w:id="644"/>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وقوع التحریف من عثمان،فهو أبعد من الدعوی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الإسلام قد انتشر فی زمان عثمان علی نحو لیس فی إمکان عثمان أن ینقص من القرآن شیئا،و لا فی إمکان من هو أکبر شأنا من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تحریفه،إن کان للآیات التی لا ترجع إلی الولایة،و لا تمسّ زعامة سلفه بشیء،فهو بغیر سبب موجب،و إن کان للآیات التی ترجع إلی شیء من ذلک،فهو مقطوع بعدمه؛لأنّ القرآن لو اشتمل علی شیء من ذلک و انتشر بین الناس لما وصلت الخلافة إلی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کان محرّفا للقرآن،لکان فی ذلک أوضح حجّة،و أکبر عذر لقتلة عثمان فی قتله علنا،و لما احتاجوا فی الاحتجاج علی ذلک إلی مخالفته لسیرة الشیخین فی بیت مال المسلمین،و إلی ما سوی ذلک من الحجج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الواجب علی علیّ علیه السّلام بعد عثمان أن یردّ القرآن إلی أصله، الذی کان یقرأ به فی زمان النبیّ صلّی اللّه علیه و 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إمضاؤه علیه السّلام للقرآن الموجود فی عصره دلیلا علی عدم وقوع التحریف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بناء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الثانیة مرفوض و باطل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حدوث التحریف بعد خلافة عثمان بواسطة خلفاء بنی امیّة و عمّالهم،و هذه الصورة لم یدّعیها أحد من العلماء و المؤرّخین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بالنظر لعدم وجود صورة رابعة عقلا نستنتج أنّ دعوی وقوع التحریف لا وجه لها،و مرفوضة من وجهة نظر التحلیل العقلی و التاریخی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یجدر الانتباه إلی أنّ هذا الدلیل لیس بصورة حکم عقلیّ مستقلّ،و إنّما هو بإضافة التحلیل التاریخی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645" w:name="__RefHeading___Toc1856312_581953129"/>
      <w:bookmarkStart w:id="646" w:name="_Toc241"/>
      <w:bookmarkEnd w:id="645"/>
      <w:r>
        <w:rPr>
          <w:rtl w:val="true"/>
        </w:rPr>
        <w:t>الطریق الثانی</w:t>
      </w:r>
      <w:r>
        <w:rPr>
          <w:rtl w:val="true"/>
        </w:rPr>
        <w:t>:</w:t>
      </w:r>
      <w:r>
        <w:rPr>
          <w:rtl w:val="true"/>
        </w:rPr>
        <w:t>فی هذا الطریق یلزم بیان مقدّمتین</w:t>
      </w:r>
      <w:r>
        <w:rPr>
          <w:rtl w:val="true"/>
        </w:rPr>
        <w:t>:</w:t>
      </w:r>
      <w:bookmarkEnd w:id="646"/>
    </w:p>
    <w:p>
      <w:pPr>
        <w:pStyle w:val="BookText"/>
        <w:rPr/>
      </w:pPr>
      <w:r>
        <w:rPr>
          <w:rFonts w:ascii="IRNazanin" w:hAnsi="IRNazanin" w:eastAsia="IRNazanin"/>
          <w:color w:val="111111"/>
          <w:sz w:val="28"/>
          <w:sz w:val="28"/>
          <w:szCs w:val="28"/>
          <w:rtl w:val="true"/>
          <w:lang w:bidi="fa-IR"/>
        </w:rPr>
        <w:t>المقدّمة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شریعة الإسلام المقدّسة تعتبر آخر دین بین الأدیان السماویّة،و أکمل دین لجمیع الناس إلی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اللازم أن یکون لمثل هذا الدّین سند خالد و أبدیّ لیکون أساسا لقوانینه و أحکامه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نستفید من ضمّ هاتین المقدّمتین أنّ الشارع المقدّس یجب علیه أن یصون هذا من التلوّث بالتحریف،فمن وجهة نظر العقل یجب علی الشارع أن یحفظ هذا الکتاب من ظلمة التحریف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الدلیل العقلی قابل للخدشة؛من ناحیة أنّ العقل یحکم علی نحو القضیّة التعلیقیّة بأنّ القرآن إذا ما أرید له هدایة جمیع الناس فی کافّة شؤون الحیاة إلی یوم القیامة،یجب أن یکون مصانا من التحریف،لکن هذا المقدار لا ثمرة فیه فی محلّ النزاع؛لأنّ ما هو داخل فی محلّ النزاع،هو حدوث و عدم حدوث التحریف، و العقل لا یستطیع أن یتدخّل فی هذا المجال بصورة مستقلّة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بناء العقلاء و السیرة العقلائیّة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أجل إثبات عدم تحریف القرآن،کتب بعض العلماء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تحریف کلام أیّ کاتب،و تغییر موضوعات أیّ کتاب،هو سلوک غیر طبیعیّ،و ظاهرة منکرة و غیر اعتیادیة،لذا جرت سیرة العقلاء علی عدم الاهتمام بالتحریف،و بناء علیه فإنّ صیانة القرآن من التحریف أمر طبیعیّ،و مقتضی الأصل و القاعدة الأوّلیة </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الدلیل هو تامّ بالنسبة إلی کتاب لا توجد أغراض و دواع مختلفة لتحریفه،لکن کتابا مثل القرآن غیر مشمول بهذا الدلیل؛لأنّ الدواعی لتحریفه من قبل الکفّار و الملحدین کانت کثیرة</w:t>
      </w:r>
      <w:r>
        <w:rPr>
          <w:rFonts w:eastAsia="IRNazanin" w:cs="IRNazanin"/>
          <w:color w:val="111111"/>
          <w:sz w:val="28"/>
          <w:szCs w:val="28"/>
          <w:rtl w:val="true"/>
          <w:lang w:bidi="fa-IR"/>
        </w:rPr>
        <w:t>.</w:t>
      </w:r>
      <w:bookmarkStart w:id="647" w:name="pg5439_47013"/>
    </w:p>
    <w:p>
      <w:pPr>
        <w:pStyle w:val="Heading4"/>
        <w:numPr>
          <w:ilvl w:val="3"/>
          <w:numId w:val="1"/>
        </w:numPr>
        <w:rPr/>
      </w:pPr>
      <w:bookmarkStart w:id="648" w:name="__RefHeading___Toc1856314_581953129"/>
      <w:bookmarkStart w:id="649" w:name="_Toc242"/>
      <w:bookmarkEnd w:id="647"/>
      <w:bookmarkEnd w:id="648"/>
      <w:r>
        <w:rPr>
          <w:rtl w:val="true"/>
        </w:rPr>
        <w:t>النکتة الثانیة عشر</w:t>
      </w:r>
      <w:r>
        <w:rPr>
          <w:rtl w:val="true"/>
        </w:rPr>
        <w:t>:</w:t>
      </w:r>
      <w:r>
        <w:rPr>
          <w:rtl w:val="true"/>
        </w:rPr>
        <w:t>أوضح الآیات دلالة علی عدم التحریف</w:t>
      </w:r>
      <w:bookmarkEnd w:id="649"/>
    </w:p>
    <w:p>
      <w:pPr>
        <w:pStyle w:val="BookText"/>
        <w:rPr/>
      </w:pPr>
      <w:r>
        <w:rPr>
          <w:rFonts w:ascii="Amiri" w:hAnsi="Amiri" w:eastAsia="Amiri" w:cs="Amiri"/>
          <w:color w:val="111111"/>
          <w:sz w:val="28"/>
          <w:sz w:val="28"/>
          <w:szCs w:val="28"/>
          <w:rtl w:val="true"/>
          <w:lang w:bidi="ar-SA"/>
        </w:rPr>
        <w:t>ادّعی جمع من المحقّقین أنّ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لَکِتابٌ 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یَأْتِیهِ الْباطِلُ مِنْ بَیْنِ یَدَیْهِ وَ لا مِنْ خَلْفِهِ تَنْزِیلٌ مِنْ حَکِیمٍ حَمِیدٍ </w:t>
      </w:r>
      <w:r>
        <w:rPr>
          <w:rStyle w:val="FootnoteAnchor"/>
          <w:rtl w:val="true"/>
        </w:rPr>
        <w:footnoteReference w:id="825"/>
      </w:r>
      <w:r>
        <w:rPr>
          <w:rFonts w:ascii="IRNazanin" w:hAnsi="IRNazanin" w:eastAsia="IRNazanin"/>
          <w:color w:val="111111"/>
          <w:sz w:val="28"/>
          <w:sz w:val="28"/>
          <w:szCs w:val="28"/>
          <w:rtl w:val="true"/>
          <w:lang w:bidi="fa-IR"/>
        </w:rPr>
        <w:t>من أصرح الآیات التی تدلّ علی إثبات عدم التحریف فی الکتاب العزیز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ادّعی البعض أنّ المفسّرین مجمعین علی أنّ هذه الآیة هی أکثر الآیات صراحة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بهذه الآیة الشریفة یمکن الاستدلال علی عدم التحریف من عدّة طرق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الطریق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اللّه وصف الکتاب الشریف بالعزّة،و واضح أنّ العزّة من الناحیة اللغویّة تتحقّق حینما تکون محفوظة من التغییر و الضیاع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الطریق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وردت فی هذه الآیة الشریفة نفی الطبیعة و نوعیّة الباطل، و حسب القاعدة ففی مثل هذا المورد لها مفاد عامّ،و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الآیة الشریفة تنفی جمیع أنواع و أصناف و أقسام الباطل عن هذا الکتاب الشریف،و فی اللغة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بمعنی الشیء الفاسد و الضائع،و من البدیهی أنّ التحریف هو من المصادیق البارزة و الواضحة للباطل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الطریق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الآیة علّل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بکون هذا الکتاب نزل من موجود جانب حکیم و حمید،إذن لم یبلغه و لم یدخله 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التعلیل هو نفسه له دلالة واضحة علی أنّ التحریف لا یتناسب مع کتاب نزل من لدن حکیم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المرحوم الحاج نوری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الحذف و التغییر و التبدیل و إن کان باطلا،لکن لیس المراد من الآیة ذلک؛لأنّ ظاهرها أنّه لا یجوز أن یحصل فیه ما یستلزم بطلانه</w:t>
      </w:r>
    </w:p>
    <w:p>
      <w:pPr>
        <w:pStyle w:val="BookText"/>
        <w:rPr/>
      </w:pPr>
      <w:r>
        <w:rPr>
          <w:rFonts w:ascii="IRNazanin" w:hAnsi="IRNazanin" w:eastAsia="IRNazanin"/>
          <w:color w:val="111111"/>
          <w:sz w:val="28"/>
          <w:sz w:val="28"/>
          <w:szCs w:val="28"/>
          <w:rtl w:val="true"/>
          <w:lang w:bidi="fa-IR"/>
        </w:rPr>
        <w:t xml:space="preserve">من تناقض فی أحکامه،و کذب فی إخباراته و قصصه </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ردّا علی هذا المطلب قال البعض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إرادة خصوص التناقض و الکذب من لفظ الباطل لا تتناسب مع وصف الکتاب بالعزّة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یقتضی هذا الوصف إبعاد جمیع أقسام الباطل عن هذا الکتاب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یخفی أنّ هذا الجواب یحتاج إلی توضیح و تکمیل،و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ظاهر الآیة الشریفة هی أنّ الکتاب عزیز بشکل مطلق،و العزّة المطلقة تقتضی أن لا یکون المراد خصوص الکذب و التناقض؛لأنّ الکتاب إذا کان مصانا من هذه الجهة یکون عزّته محدودة بهذه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أهمّ إشکال ورد علی الاستدلال بالآیة الشریفة أنّ هذا الاستدلال یتعارض مع التفسیر الذی بیّنه الأکابر من العامّة و الخاصّة فی تفسیر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أحد من المفسّرین أبدی احتمال الدلالة علی عدم التحریف خلال تفسیر الآیة الشریفة،فمثلا الشیخ الطوسی فی کتاب التبیان أبدی خمسة احتمالات فی تفسیر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تعلّق به الشبهة من طریق المشاکلة،و لا الحقیقة من جهة المناقضة؛و هو الحقّ المخلص و الذی لا یلیق به الدنس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قتادة و السدّی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لا یقدر الشیطان أن ینقص منه حقّا، و لا یزید فیه باطلا</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معناه لا یأتی بشیء یوجب بطلانه ممّا وجد قبله و لا معه،و لا ممّا</w:t>
      </w:r>
      <w:bookmarkStart w:id="650" w:name="pg5439_47015"/>
    </w:p>
    <w:p>
      <w:pPr>
        <w:pStyle w:val="BookText"/>
        <w:rPr/>
      </w:pPr>
      <w:bookmarkEnd w:id="650"/>
      <w:r>
        <w:rPr>
          <w:rFonts w:ascii="IRNazanin" w:hAnsi="IRNazanin" w:eastAsia="IRNazanin"/>
          <w:color w:val="111111"/>
          <w:sz w:val="28"/>
          <w:sz w:val="28"/>
          <w:szCs w:val="28"/>
          <w:rtl w:val="true"/>
          <w:lang w:bidi="fa-IR"/>
        </w:rPr>
        <w:t>یوجد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الضحّاک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یأتیه کتاب من بین یدیه یبطله و لا من خلفه؛أی و لا حدیث من بعده یکذبه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لا یأتیه الباطل من أوّل تنزیله و لا من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معناه لا یأتیه الباطل فی إخباره عمّا تقدّم،و لا من خلفه،و لا عمّا تأخّر </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یقول السیّد الرضیّ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أحسن ما قیل فی تفسیر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لا یشبه کلاما تقدّمه،و لا یشبهه کلاما تأخّر عنه،و لا یتّصل بما قبله،و لا یتّصل به ما بعده،فهو الکلام القائم بنفسه،البائن من جنسه،العالی علی کلّ کلام قرن إلیه و قیس به </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بعضا من هذه التفاسیر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ما ذکر عن قتادة و السدّی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تناسب مع تفسیر الآیة بالتحریف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فرض أنّ أیّ أحد من المفسّرین لم یفسّر الآیة بمسألة التحریف، و لکن قد ثبت فی محلّه </w:t>
      </w:r>
      <w:r>
        <w:rPr>
          <w:rStyle w:val="FootnoteAnchor"/>
          <w:rtl w:val="true"/>
        </w:rPr>
        <w:footnoteReference w:id="833"/>
      </w:r>
      <w:r>
        <w:rPr>
          <w:rFonts w:ascii="IRNazanin" w:hAnsi="IRNazanin" w:eastAsia="IRNazanin"/>
          <w:color w:val="111111"/>
          <w:sz w:val="28"/>
          <w:sz w:val="28"/>
          <w:szCs w:val="28"/>
          <w:rtl w:val="true"/>
          <w:lang w:bidi="fa-IR"/>
        </w:rPr>
        <w:t>أنّ أحد اصول التفسیر هو ظواهر الکتاب الشریف، و ظاهر الآیة الشریفة دالّة علی هذا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قول المفسّرین فلیس دلیلا علی اعتباره و اعتماده فی تفسیر الکتاب،إلاّ أن یکون قولهم مسندا ببیان المعصوم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الروایات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التی بیّنت بعض المطالب فی تفسیر هذه الآیة للباطل لم تکن فی مقام الحصر،بل هی فی مقام بیان ذکر المصداق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4"/>
        <w:numPr>
          <w:ilvl w:val="3"/>
          <w:numId w:val="1"/>
        </w:numPr>
        <w:rPr/>
      </w:pPr>
      <w:bookmarkStart w:id="651" w:name="__RefHeading___Toc1856316_581953129"/>
      <w:bookmarkStart w:id="652" w:name="_Toc243"/>
      <w:bookmarkEnd w:id="651"/>
      <w:r>
        <w:rPr>
          <w:rtl w:val="true"/>
        </w:rPr>
        <w:t>النکتة الثالثة عشر</w:t>
      </w:r>
      <w:r>
        <w:rPr>
          <w:rtl w:val="true"/>
        </w:rPr>
        <w:t>:</w:t>
      </w:r>
      <w:r>
        <w:rPr>
          <w:rtl w:val="true"/>
        </w:rPr>
        <w:t>استلزام التحریف لعدم حجّیة ظواهر الکتاب</w:t>
      </w:r>
      <w:bookmarkEnd w:id="652"/>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 القول بالتحریف یستلزم سقوط ظواهر الکتاب من الحجّیة،و عدم جواز</w:t>
      </w:r>
      <w:bookmarkStart w:id="653" w:name="pg5439_47016"/>
    </w:p>
    <w:p>
      <w:pPr>
        <w:pStyle w:val="BookText"/>
        <w:rPr/>
      </w:pPr>
      <w:bookmarkEnd w:id="653"/>
      <w:r>
        <w:rPr>
          <w:rFonts w:ascii="IRNazanin" w:hAnsi="IRNazanin" w:eastAsia="IRNazanin"/>
          <w:color w:val="111111"/>
          <w:sz w:val="28"/>
          <w:sz w:val="28"/>
          <w:szCs w:val="28"/>
          <w:rtl w:val="true"/>
          <w:lang w:bidi="fa-IR"/>
        </w:rPr>
        <w:t>الاستدلال به؟هذا السؤال صحیح علی فرض دعوی العلم الإجمالی بالتحریف من قبل مدّعی التحریف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مثل هذا الفرض بالنسبة لکلّ آیة یحتمل التحریف فیها،یمکن التمسّک بالأصل العقلائی المهمّ؛و هو عدم القرینة،و الاستدلال بظاهر الآیة الشریفة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أجل حجّیة الکتاب المحرّف لا نحتاج إلی إمضاء و تقریر المعصومین علیهم السّلام،بل عن طریق هذا الأصل العقلائی یمکن الاستدلال بظواهره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البیان یکون صحیحا فی حالة أنّ العقلاء یجوّزون التمسّک بهذا الأصل فی موارد احتمال وجود القرینة المتّصلة،فی حین حسب التحقیق أنّ العقلاء یجیزون التمسّک بهذا الأصل فی الموارد التی یحتمل المخاطب وجود قرینة منفصلة عن کلام المتکلّم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فی موارد احتمال القرینة المتّصلة لا یمکن الاستناد بهذا الأصل،و فی مسألة التحریف،أنّ ما یمکن احتماله بعد العلم الإجمالی هو وجود قرینة متّصلة حذفت علی أثر التحریف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بناء علیه،ففی حالة افتراض العلم الإجمالی بالتحریف،لیس لدینا أیّ طریق للتمسّک بظواهر الکتاب الشریف سوی تقریر و إمضاء المعصومین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لا یلائم حدیث الثقلین</w:t>
      </w:r>
      <w:r>
        <w:rPr>
          <w:rFonts w:eastAsia="IRNazanin" w:cs="IRNazanin"/>
          <w:color w:val="111111"/>
          <w:sz w:val="28"/>
          <w:szCs w:val="28"/>
          <w:rtl w:val="true"/>
          <w:lang w:bidi="fa-IR"/>
        </w:rPr>
        <w:t>.</w:t>
      </w:r>
    </w:p>
    <w:p>
      <w:pPr>
        <w:pStyle w:val="Heading4"/>
        <w:numPr>
          <w:ilvl w:val="3"/>
          <w:numId w:val="1"/>
        </w:numPr>
        <w:rPr/>
      </w:pPr>
      <w:bookmarkStart w:id="654" w:name="__RefHeading___Toc1856318_581953129"/>
      <w:bookmarkStart w:id="655" w:name="_Toc244"/>
      <w:bookmarkEnd w:id="654"/>
      <w:r>
        <w:rPr>
          <w:rtl w:val="true"/>
        </w:rPr>
        <w:t>النکتة الرابعة عشر</w:t>
      </w:r>
      <w:r>
        <w:rPr>
          <w:rtl w:val="true"/>
        </w:rPr>
        <w:t>:</w:t>
      </w:r>
      <w:r>
        <w:rPr>
          <w:rtl w:val="true"/>
        </w:rPr>
        <w:t>دلالة حدیث الثقلین علی عدم التحریف</w:t>
      </w:r>
      <w:bookmarkEnd w:id="655"/>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أهمّ حدیث یدلّ علی عدم تحریف القرآن هو حدیث الثقلین،الذی هو من الاحادیث المتواترة،أروده ما یقارب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شخصا من کبار أصحاب رسول اللّه صلّی اللّه علیه و اله، کأمیر المؤمنین علیه السّلام،و أبی ذرّ،و عبد اللّه بن العبّاس،و عبد اللّه بن عمر،و حذیفة،</w:t>
      </w:r>
    </w:p>
    <w:p>
      <w:pPr>
        <w:pStyle w:val="BookText"/>
        <w:rPr/>
      </w:pPr>
      <w:r>
        <w:rPr>
          <w:rFonts w:ascii="IRNazanin" w:hAnsi="IRNazanin" w:eastAsia="IRNazanin"/>
          <w:color w:val="111111"/>
          <w:sz w:val="28"/>
          <w:sz w:val="28"/>
          <w:szCs w:val="28"/>
          <w:rtl w:val="true"/>
          <w:lang w:bidi="fa-IR"/>
        </w:rPr>
        <w:t xml:space="preserve">و أبی أیّوب الأنصاری </w:t>
      </w:r>
      <w:r>
        <w:rPr>
          <w:rStyle w:val="FootnoteAnchor"/>
          <w:rtl w:val="true"/>
        </w:rPr>
        <w:footnoteReference w:id="834"/>
      </w:r>
      <w:r>
        <w:rPr>
          <w:rFonts w:ascii="IRNazanin" w:hAnsi="IRNazanin" w:eastAsia="IRNazanin"/>
          <w:color w:val="111111"/>
          <w:sz w:val="28"/>
          <w:sz w:val="28"/>
          <w:szCs w:val="28"/>
          <w:rtl w:val="true"/>
          <w:lang w:bidi="fa-IR"/>
        </w:rPr>
        <w:t xml:space="preserve">،و قد أورده ما یقارب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شخصا من کبار علماء أهل السنّة فی کتبهم،و الحدیث الشریف حسب بعض العبائر المنقولة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 صلّی اللّه علیه و اله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تارک فیکم الثقلین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أوّلهما کتاب اللّه،فیه الهدی و النور،فتمسّکوا بکتاب اللّه و خذوا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أهل بیتی،اذکّرکم اللّه فی أهل بیتی،ثلاث مرّات </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أجل الاستدلال بهذا الحدیث علی عدم تحریف الکتاب یمکن الاستدلال بطریقین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الطریق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هذا الطریق یتّضح بستّة مطالب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الحدیث الشریف علی إمکانیّة التمسّک بالکتاب إلی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 الکتاب یستلزم عدم إمکان التمسّک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التمسّک بالقرآن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التمسّک بجمیع الشؤون التی تطرّق لها القرآن، و لیس المراد خصوص التمسّک ببعض الموارد،مثل آیات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ما یقصده القرآن لیس مجرّد بیان الأحکام و القوانین العملیّة،و إنّما هو لهدایة الناس و إخراجهم من الظلمات إلی النور</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الغرض من التحریف هو إخفاء بعض الحقائق و إطفاء بعض أنوار الکتاب الشریف،و الکتاب المحرّف لا یستطیع أن یکون هادیا فی جمیع الجوانب و نورا فی جمیع الأطراف،فی حین الغایة النهائیّة التی یبیّنها القرآن الشریف لنفسه هی إخراج الناس من الظلمات باتّجاه النور،و رفعهم إلی مرتبة الإنسانیّة الکاملة، و الدرجات العلیا المادّیة و المعنویّة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الغرض لا یحصل إلاّ بالتمسّک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التمسّک بالقرآن یختلف عن التمسّک بالعترة؛إذ أنّه أمر لا یمکن تحقّقه إلاّ عن طریق الوصول إلی القرآن نفسه فقط،و ذلک هو القرآن الذی لدی الناس و بین الناس،و لیس القرآن المحفوظ عند أهل بیت العصمة و الطهارة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یستفاد من الحدیث الشریف أنّ التمسّک بالکتاب لیس ممکنا فقط،و إنّما هو واجب،و الجملة الخبریّة هی فی مقام إنشاء الحکم التکلیفی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بحوث علم الاصول ثبت أنّ التکالیف الشرعیّة یلزم أن تکون متعلّقاتها مقدورة للمکلّفین، و لو کان القرآن متعرّضا للتحریف فالتمسّک به سیکون غیر مقدور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الطریق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یستفاد من هذا الحدیث الشریف أنّ کلّ واحد من هذین الثقلین حجّة مستقلّة و دلیل تامّ إلی جانب الدلیل الآخر؛بمعنی أنّ حجّیة کلّ منهما لیست متوقّفة علی إمضاء و تقریر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طبعا هذا لا یعنی بأنّ کلاّ منهما بانفراده کاف للبلوغ إلی الکمال المطلوب،و الخروج من الضلالة و إزالة الظلمة،بل إنّ هذه الآثار مترتّبة علی مجموع هذین الثقلین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بناء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کان قد حدث تحریف فی الکتاب،فظواهره ساقطة عن الحجّیة،و القائلین بالتحریف علیهم أن یعتقدوا بأنّ الرجوع إلی المحرّف یحتاج إلی إمضاء المعصومین علیهم السّلام،و هذا خلاف الحدیث الشریف؛لأنّ ظاهره یدلّ علی استقلال أیّ واحد من هذین الدلیلین،و مبدئیا کیف یمکن أن تکون حجّیة الثقل الأکبر متوقّفة علی الثقل الأصغر؟کلاّ،ثمّ کلاّ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هذین الطریقین نستنتج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التمسّک بالکتاب الشریف ممکنا فقط، بل لأنّ التکلیف یکون لازم التنفیذ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 الشریف مطروح بعنوان ذلیل و حجّة مستقلّ</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البدیهی و الواضح أنّ القول بالتحریف لا ینسجم و لا یتلائم أیّ واحد من هذین المطلبین</w:t>
      </w:r>
      <w:r>
        <w:rPr>
          <w:rFonts w:eastAsia="IRNazanin" w:cs="IRNazanin"/>
          <w:color w:val="111111"/>
          <w:sz w:val="28"/>
          <w:szCs w:val="28"/>
          <w:rtl w:val="true"/>
          <w:lang w:bidi="fa-IR"/>
        </w:rPr>
        <w:t>.</w:t>
      </w:r>
      <w:bookmarkStart w:id="656" w:name="pg5439_47019"/>
    </w:p>
    <w:p>
      <w:pPr>
        <w:pStyle w:val="Heading4"/>
        <w:numPr>
          <w:ilvl w:val="3"/>
          <w:numId w:val="1"/>
        </w:numPr>
        <w:rPr/>
      </w:pPr>
      <w:bookmarkStart w:id="657" w:name="__RefHeading___Toc1856320_581953129"/>
      <w:bookmarkStart w:id="658" w:name="_Toc245"/>
      <w:bookmarkEnd w:id="656"/>
      <w:bookmarkEnd w:id="657"/>
      <w:r>
        <w:rPr>
          <w:rtl w:val="true"/>
        </w:rPr>
        <w:t>النکتة الخامسة عشر</w:t>
      </w:r>
      <w:r>
        <w:rPr>
          <w:rtl w:val="true"/>
        </w:rPr>
        <w:t>:</w:t>
      </w:r>
      <w:r>
        <w:rPr>
          <w:rtl w:val="true"/>
        </w:rPr>
        <w:t>نسخ التلاوة و الإنساء</w:t>
      </w:r>
      <w:bookmarkEnd w:id="658"/>
    </w:p>
    <w:p>
      <w:pPr>
        <w:pStyle w:val="BookText"/>
        <w:rPr/>
      </w:pPr>
      <w:r>
        <w:rPr>
          <w:rFonts w:ascii="IRNazanin" w:hAnsi="IRNazanin" w:eastAsia="IRNazanin"/>
          <w:color w:val="111111"/>
          <w:sz w:val="28"/>
          <w:sz w:val="28"/>
          <w:szCs w:val="28"/>
          <w:rtl w:val="true"/>
          <w:lang w:bidi="fa-IR"/>
        </w:rPr>
        <w:t xml:space="preserve">یلاحظ من خلال کلمات علماء العامّة وجود عنوانی نسخ التلاوة و الإنساء، و بعضهم </w:t>
      </w:r>
      <w:r>
        <w:rPr>
          <w:rStyle w:val="FootnoteAnchor"/>
          <w:rtl w:val="true"/>
        </w:rPr>
        <w:footnoteReference w:id="836"/>
      </w:r>
      <w:r>
        <w:rPr>
          <w:rFonts w:ascii="IRNazanin" w:hAnsi="IRNazanin" w:eastAsia="IRNazanin"/>
          <w:color w:val="111111"/>
          <w:sz w:val="28"/>
          <w:sz w:val="28"/>
          <w:szCs w:val="28"/>
          <w:rtl w:val="true"/>
          <w:lang w:bidi="fa-IR"/>
        </w:rPr>
        <w:t>یعتبر جواز نسخ التلاوة أمرا إجماعیّا دلّ علیه الدلیل العقلی و النقلی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فی هذه النکتة بصدد دراسة؛هل أنّ هذین العنوانین مغایران مع عنوان التحریف،أو أنّ قبول جواز نسخ التلاوة ملازم مع جواز التحریف؟</w:t>
      </w:r>
    </w:p>
    <w:p>
      <w:pPr>
        <w:pStyle w:val="BookText"/>
        <w:rPr/>
      </w:pPr>
      <w:r>
        <w:rPr>
          <w:rFonts w:ascii="IRNazanin" w:hAnsi="IRNazanin" w:eastAsia="IRNazanin"/>
          <w:color w:val="111111"/>
          <w:sz w:val="28"/>
          <w:sz w:val="28"/>
          <w:szCs w:val="28"/>
          <w:rtl w:val="true"/>
          <w:lang w:bidi="fa-IR"/>
        </w:rPr>
        <w:t>هناک أحادیث موجودة فی الکتب الروائیّة جعلت أکابر علماء العامّة یبرّروا نسخ التلاوة،من جملتها الروایة التی وردت فی مسألة الرجم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ابن عبّاس،عن عمر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الآیات التی نزلت علی النبیّ صلّی اللّه علیه و اله هی آیة الرجم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و الشیخة إذا زنیا فارجموهما البتة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،رجم رسول اللّه صلّی اللّه علیه و اله و رجمنا بعده </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یقول زید بن 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صلّی اللّه علیه و اله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و الشیخة إذا زنیا فارجموهما البتّة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الشابّ إذا زنی و قد احصن رجم </w:t>
      </w:r>
      <w:r>
        <w:rPr>
          <w:rStyle w:val="FootnoteAnchor"/>
          <w:rtl w:val="true"/>
        </w:rPr>
        <w:footnoteReference w:id="838"/>
      </w:r>
      <w:r>
        <w:rPr>
          <w:rFonts w:ascii="IRNazanin" w:hAnsi="IRNazanin" w:eastAsia="IRNazanin"/>
          <w:color w:val="111111"/>
          <w:sz w:val="28"/>
          <w:sz w:val="28"/>
          <w:szCs w:val="28"/>
          <w:rtl w:val="true"/>
          <w:lang w:bidi="fa-IR"/>
        </w:rPr>
        <w:t>،و لم یدّع زید أنّ کلام رسول اللّه صلّی اللّه علیه و اله هذا کان بعنوان أنّه وحی قرآنیّ،لکن عمر تصوّره وحیا قرآنیّا،حیث قال للرسول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أکتبنیها؟و لم یردّ علیه الرسول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تصوّر أهل السنّة بأنّ هذا الحکم و کلام رسول اللّه صلّی اللّه علیه و اله طرح بعنوان آیة من القرآن،و تلاوتها و قراءتها نسخت و لکن حکمها ظلّ باقیا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إیرادات هامّة وردت علی هذا الاعتقاد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الإیراد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النسخ من أیّ نوع کان بحاجة إلی ناسخ،و هذه الموارد لا وجود لناسخ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الإیراد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فی محلّه بأنّ النسخ یجری فی حدود الأحکام الشرعیّة فقط،و لیس للتلاوة عنوان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بعض علمائهم ردّوا علی هذا الإیراد،بأنّ المراد من التلاوة،لیس وجودها الخارجی،بل المراد جواز التلاوة الذی هو أحد الأحکام الشرعیّة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الإیراد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 الثمرة المترتّبة علی هذا النوع من النسخ؛بأن تنسخ التلاوة،أمّا أصل الحکم الذی هو مدلول الآیة یظلّ باقیا؟</w:t>
      </w:r>
    </w:p>
    <w:p>
      <w:pPr>
        <w:pStyle w:val="BookText"/>
        <w:rPr/>
      </w:pPr>
      <w:r>
        <w:rPr>
          <w:rFonts w:ascii="IRNazanin" w:hAnsi="IRNazanin" w:eastAsia="IRNazanin"/>
          <w:color w:val="111111"/>
          <w:sz w:val="28"/>
          <w:sz w:val="28"/>
          <w:szCs w:val="28"/>
          <w:rtl w:val="true"/>
          <w:lang w:bidi="fa-IR"/>
        </w:rPr>
        <w:t>الإیراد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أهمّ إیراد هو ما بیّنه المرحوم المحقّق الخوئی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نسخ التلاوة هذا إمّا أن یکون قد وقع من رسول اللّه صلّی اللّه علیه و اله،و إمّا أن یکون ممّن تصدّی للزعامة من بعده،فإن أراد القائلون بالنسخ وقوعه من رسول اللّه صلّی اللّه علیه و اله، فهو أمر یحتاج إلی الإثبات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اتّفق العلماء أجمع علی عدم جواز نسخ الکتاب بخبر الواحد،و قد صرّح بذلک جماعة فی کتب الاصول و غیرها </w:t>
      </w:r>
      <w:r>
        <w:rPr>
          <w:rStyle w:val="FootnoteAnchor"/>
          <w:rtl w:val="true"/>
        </w:rPr>
        <w:footnoteReference w:id="840"/>
      </w:r>
      <w:r>
        <w:rPr>
          <w:rFonts w:ascii="IRNazanin" w:hAnsi="IRNazanin" w:eastAsia="IRNazanin"/>
          <w:color w:val="111111"/>
          <w:sz w:val="28"/>
          <w:sz w:val="28"/>
          <w:szCs w:val="28"/>
          <w:rtl w:val="true"/>
          <w:lang w:bidi="fa-IR"/>
        </w:rPr>
        <w:t>،بل قطع الشافعی و أکثر أصحابه،و أکثر أهل الظاهر بامتناع نسخ الکتاب بالسنّة المتواترة، و إلیه ذهب أحمد بن حنبل فی إحدی الروایتین عنه،بل إنّ جماعة ممّن قال بإمکان نسخ الکتاب بالسنّة المتواترة منع وقوعه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ذلک فکیف تصحّ نسبة النسخ إلی النبیّ صلّی اللّه علیه و اله بأخبار هؤلاء الرواة؟مع أنّ نسبة النسخ إلی النبیّ صلّی اللّه علیه و اله تنافی جملة من الروایات التی تضمّنت أنّ الإسقاط قد وقع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أرادوا أنّ النسخ قد وقع من الذین تصدّوا للزعامة بعد النبیّ صلّی اللّه علیه و اله، فهو عین القول بالتحریف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بیّنوه فی مسألة الرجم فبطلانه واضح جدّا؛لأنّ الرسول الذی کان</w:t>
      </w:r>
      <w:bookmarkStart w:id="659" w:name="pg5439_47021"/>
    </w:p>
    <w:p>
      <w:pPr>
        <w:pStyle w:val="BookText"/>
        <w:rPr/>
      </w:pPr>
      <w:bookmarkEnd w:id="659"/>
      <w:r>
        <w:rPr>
          <w:rFonts w:ascii="IRNazanin" w:hAnsi="IRNazanin" w:eastAsia="IRNazanin"/>
          <w:color w:val="111111"/>
          <w:sz w:val="28"/>
          <w:sz w:val="28"/>
          <w:szCs w:val="28"/>
          <w:rtl w:val="true"/>
          <w:lang w:bidi="fa-IR"/>
        </w:rPr>
        <w:t>یولّی الدقّة الکاملة و المراقبة التامّة فی تثبیت آیات القرآن الشریفة،و باهتمام منقطع النظیر یولّی کتّاب الوحی بهذا الأمر،فی حین کانت مسألة الرجم من آیات القرآن،فکیف و لماذا لم یأمر بتثبیتها فی الکتاب و لم یردّ علی سؤال عمر؟</w:t>
      </w:r>
    </w:p>
    <w:p>
      <w:pPr>
        <w:pStyle w:val="BookText"/>
        <w:rPr/>
      </w:pPr>
      <w:r>
        <w:rPr>
          <w:rFonts w:ascii="IRNazanin" w:hAnsi="IRNazanin" w:eastAsia="IRNazanin"/>
          <w:color w:val="111111"/>
          <w:sz w:val="28"/>
          <w:sz w:val="28"/>
          <w:szCs w:val="28"/>
          <w:rtl w:val="true"/>
          <w:lang w:bidi="fa-IR"/>
        </w:rPr>
        <w:t>فبناء علیه،مسألة نسخ التلاوة أمر بطلانه واضح و بدیهیّ جدّا،حتّی أنّ بعض المعاصرین من أهل السنّة قد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جائز عقلا،لکنّه لم یقع مثل هذا النسخ فی کتاب اللّه عزّ و جلّ </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ابن حزم الأندلسی بعد أن قبل نسخ التلاوة فی البدایة،لکنّه فی انتهاء الکلام برّر المسألة بشکل بحیث لا تکون مرتبطة بالوحی الإلهی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0" w:name="__RefHeading___Toc1856322_581953129"/>
      <w:bookmarkStart w:id="661" w:name="_Toc246"/>
      <w:bookmarkEnd w:id="660"/>
      <w:r>
        <w:rPr>
          <w:rtl w:val="true"/>
        </w:rPr>
        <w:t>النکتة السادسة عشر</w:t>
      </w:r>
      <w:r>
        <w:rPr>
          <w:rtl w:val="true"/>
        </w:rPr>
        <w:t>:</w:t>
      </w:r>
      <w:r>
        <w:rPr>
          <w:rtl w:val="true"/>
        </w:rPr>
        <w:t>لا یمکن للشیعة الاعتقاد بالتحریف</w:t>
      </w:r>
      <w:bookmarkEnd w:id="661"/>
    </w:p>
    <w:p>
      <w:pPr>
        <w:pStyle w:val="BookText"/>
        <w:rPr/>
      </w:pPr>
      <w:r>
        <w:rPr>
          <w:rFonts w:ascii="IRNazanin" w:hAnsi="IRNazanin" w:eastAsia="IRNazanin"/>
          <w:color w:val="111111"/>
          <w:sz w:val="28"/>
          <w:sz w:val="28"/>
          <w:szCs w:val="28"/>
          <w:rtl w:val="true"/>
          <w:lang w:bidi="fa-IR"/>
        </w:rPr>
        <w:t>لیست الشیعة لا تعتقد بعدم التحریف فقط،بل لا یمکن أن یکون لدیها مثل هذا الاعتقاد؛لأنّ من الأدلّة المهمّة التی تشکّل المادّة الأساسیّة لمعتقدات الشیعة هی آیة التطهیر الشریفة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یُرِیدُ اللّهُ لِیُذْهِبَ عَنْکُمُ الرِّجْسَ أَهْلَ الْبَیْتِ وَ یُطَهِّرَکُمْ تَطْهِیراً </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ثبت فی محلّه أنّ هذه الآیة لها دلالة واضحة علی عصمة أهل البیت علیهم السّلام، تلک العصمة التی هی الشرط الأهمّ لزعامة و خلافة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أنّ أحدا ادّعی التحریف بشأن القرآن؛فإنّه لا یستطیع أن یستدلّ بهذه الآیة الشریفة علی مسألة العصمة</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الهدف الأصلی من هذه الآیة الشریفة سیتّضح حینما نقبل بأنّ القرآن هو</w:t>
      </w:r>
      <w:bookmarkStart w:id="662" w:name="pg5439_47022"/>
    </w:p>
    <w:p>
      <w:pPr>
        <w:pStyle w:val="BookText"/>
        <w:rPr/>
      </w:pPr>
      <w:bookmarkEnd w:id="662"/>
      <w:r>
        <w:rPr>
          <w:rFonts w:ascii="IRNazanin" w:hAnsi="IRNazanin" w:eastAsia="IRNazanin"/>
          <w:color w:val="111111"/>
          <w:sz w:val="28"/>
          <w:sz w:val="28"/>
          <w:szCs w:val="28"/>
          <w:rtl w:val="true"/>
          <w:lang w:bidi="fa-IR"/>
        </w:rPr>
        <w:t>کتاب منظّم یبتدأ بسورة الحمد المبارکة،و انتهی جمعه فی زمن رسول اللّه صلّی اللّه علیه و اله، و لم یحدث فیه أیّ حدث،و أنّ کلّ آیة موضوعة فی الموقع المناسب لها،بحیث إذا وضعت فی مکان آخر لم یتّهل مراد اللّه فی هذه الآیة الشریفة،مراد اللّه تبارک و تعالی فیها هو أنّه مع بیان ما یجب علی نساء النبیّ صلّی اللّه علیه و اله ذکر التکالیف الخاصّة لأهل بیت العصمة و الطهارة علیهم السّلام،و ینبّههم بأنّ لهم واجبات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أیّ حال لو ابدی احتمال التحریف فی مثل هذه الآیات،فلا یبقی هناک من أساس لمعتقدات الإمامیّة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3" w:name="__RefHeading___Toc1856324_581953129"/>
      <w:bookmarkStart w:id="664" w:name="_Toc247"/>
      <w:bookmarkEnd w:id="663"/>
      <w:r>
        <w:rPr>
          <w:rtl w:val="true"/>
        </w:rPr>
        <w:t>النکتة السابعة عشر</w:t>
      </w:r>
      <w:r>
        <w:rPr>
          <w:rtl w:val="true"/>
        </w:rPr>
        <w:t>:</w:t>
      </w:r>
      <w:r>
        <w:rPr>
          <w:rtl w:val="true"/>
        </w:rPr>
        <w:t>دراسة عامّة لروایات التحریف</w:t>
      </w:r>
      <w:bookmarkEnd w:id="664"/>
    </w:p>
    <w:p>
      <w:pPr>
        <w:pStyle w:val="Heading5"/>
        <w:numPr>
          <w:ilvl w:val="4"/>
          <w:numId w:val="1"/>
        </w:numPr>
        <w:rPr/>
      </w:pPr>
      <w:bookmarkStart w:id="665" w:name="__RefHeading___Toc1856326_581953129"/>
      <w:bookmarkStart w:id="666" w:name="_Toc248"/>
      <w:bookmarkEnd w:id="665"/>
      <w:r>
        <w:rPr>
          <w:rtl w:val="true"/>
        </w:rPr>
        <w:t>اشارة</w:t>
      </w:r>
      <w:bookmarkEnd w:id="666"/>
    </w:p>
    <w:p>
      <w:pPr>
        <w:pStyle w:val="BookText"/>
        <w:rPr/>
      </w:pPr>
      <w:r>
        <w:rPr>
          <w:rFonts w:ascii="IRNazanin" w:hAnsi="IRNazanin" w:eastAsia="IRNazanin"/>
          <w:color w:val="111111"/>
          <w:sz w:val="28"/>
          <w:sz w:val="28"/>
          <w:szCs w:val="28"/>
          <w:rtl w:val="true"/>
          <w:lang w:bidi="fa-IR"/>
        </w:rPr>
        <w:t xml:space="preserve">إنّ أهمّ دلیل للقائلین بالتحریف هی الروایات التی ذکرها العامّة و الخاصّة فی کتبهم،و هذه الروایات طبقا لإحصاء بعض المحقّقین هی فی حدود </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حدیثا </w:t>
      </w:r>
      <w:r>
        <w:rPr>
          <w:rStyle w:val="FootnoteAnchor"/>
          <w:rtl w:val="true"/>
        </w:rPr>
        <w:footnoteReference w:id="846"/>
      </w:r>
      <w:r>
        <w:rPr>
          <w:rFonts w:ascii="IRNazanin" w:hAnsi="IRNazanin" w:eastAsia="IRNazanin"/>
          <w:color w:val="111111"/>
          <w:sz w:val="28"/>
          <w:sz w:val="28"/>
          <w:szCs w:val="28"/>
          <w:rtl w:val="true"/>
          <w:lang w:bidi="fa-IR"/>
        </w:rPr>
        <w:t xml:space="preserve">،و قد قبل بعض الأکابر و الفحول التواتر الإجمالیّ لهذه الروایات؛بمعنی أنّه مع وجود الکثیر منها ضعیفة من ناحیة السند،لکن کثرة الروایات بلغ حدّا أدّی بالقطع بصدور بعض منها و لم یطرح احتمال کذب تمامها </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استفاد القائلین بالتحریف من هذه الروایات أنّه حدث فی موارد معیّنة بعض التحریفات و النقصان فی هذا الکتاب الشریف</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مقام الجواب علی هذه الروایات أشکل الأکابر من العلماء علیهم من جهتین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bookmarkStart w:id="667" w:name="pg5439_47023"/>
    </w:p>
    <w:p>
      <w:pPr>
        <w:pStyle w:val="Heading5"/>
        <w:numPr>
          <w:ilvl w:val="4"/>
          <w:numId w:val="1"/>
        </w:numPr>
        <w:rPr/>
      </w:pPr>
      <w:bookmarkStart w:id="668" w:name="__RefHeading___Toc1856328_581953129"/>
      <w:bookmarkStart w:id="669" w:name="_Toc249"/>
      <w:bookmarkEnd w:id="667"/>
      <w:bookmarkEnd w:id="668"/>
      <w:r>
        <w:rPr>
          <w:rtl w:val="true"/>
        </w:rPr>
        <w:t>الجهة الاولی</w:t>
      </w:r>
      <w:r>
        <w:rPr>
          <w:rtl w:val="true"/>
        </w:rPr>
        <w:t>:</w:t>
      </w:r>
      <w:r>
        <w:rPr>
          <w:rtl w:val="true"/>
        </w:rPr>
        <w:t>الإشکال من حیث السند،</w:t>
      </w:r>
      <w:bookmarkEnd w:id="669"/>
    </w:p>
    <w:p>
      <w:pPr>
        <w:pStyle w:val="BookText"/>
        <w:rPr/>
      </w:pPr>
      <w:r>
        <w:rPr>
          <w:rFonts w:ascii="IRNazanin" w:hAnsi="IRNazanin" w:eastAsia="IRNazanin"/>
          <w:color w:val="111111"/>
          <w:sz w:val="28"/>
          <w:sz w:val="28"/>
          <w:szCs w:val="28"/>
          <w:rtl w:val="true"/>
          <w:lang w:bidi="fa-IR"/>
        </w:rPr>
        <w:t>و الکتب التی جمعت فیها هذه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الإشکال من حیث الدلالة،و لا بدّ أن نوضّح کلّ واحدة من هاتین الجهتین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توضیح الجهة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ورد أحمد بن محمّد السیّاری فی سند کثیر من هذه الروایات،و حسب تعبیر الرجالیّین أنّه ضعیف الحدیث،و فاسد المذهب، و اتّهمه النجاشی بالغلوّ </w:t>
      </w:r>
      <w:r>
        <w:rPr>
          <w:rStyle w:val="FootnoteAnchor"/>
          <w:rtl w:val="true"/>
        </w:rPr>
        <w:footnoteReference w:id="849"/>
      </w:r>
      <w:r>
        <w:rPr>
          <w:rFonts w:ascii="IRNazanin" w:hAnsi="IRNazanin" w:eastAsia="IRNazanin"/>
          <w:color w:val="111111"/>
          <w:sz w:val="28"/>
          <w:sz w:val="28"/>
          <w:szCs w:val="28"/>
          <w:rtl w:val="true"/>
          <w:lang w:bidi="fa-IR"/>
        </w:rPr>
        <w:t xml:space="preserve">،و عرّفه ابن الغضائری بأنّه ضعیف،متهالک،غال، محرّف </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الأفراد المندرجین فی سند هذه الروایات یونس بن ظبیان،و الذی قیل فی شأنه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ضعیف جدّا،لا یلتفت إلی ما رواه،کلّ کتبه تخلیط </w:t>
      </w:r>
      <w:r>
        <w:rPr>
          <w:rStyle w:val="FootnoteAnchor"/>
          <w:rtl w:val="true"/>
        </w:rPr>
        <w:footnoteReference w:id="851"/>
      </w:r>
      <w:r>
        <w:rPr>
          <w:rFonts w:ascii="IRNazanin" w:hAnsi="IRNazanin" w:eastAsia="IRNazanin"/>
          <w:color w:val="111111"/>
          <w:sz w:val="28"/>
          <w:sz w:val="28"/>
          <w:szCs w:val="28"/>
          <w:rtl w:val="true"/>
          <w:lang w:bidi="fa-IR"/>
        </w:rPr>
        <w:t xml:space="preserve">،و عرّفه ابن الغضائری بأنّه غال،کذّاب،وضّاع للحدیث </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الفرد الثالث المذکور فی سند هذه الروایات هو علیّ بن أحمد الکوفی،الذی عرّفه مؤلّفوا الرجال بأنّه غلا فی آخر عمره،و فسد مذهبه </w:t>
      </w:r>
      <w:r>
        <w:rPr>
          <w:rStyle w:val="FootnoteAnchor"/>
          <w:rtl w:val="true"/>
        </w:rPr>
        <w:footnoteReference w:id="853"/>
      </w:r>
      <w:r>
        <w:rPr>
          <w:rFonts w:ascii="IRNazanin" w:hAnsi="IRNazanin" w:eastAsia="IRNazanin"/>
          <w:color w:val="111111"/>
          <w:sz w:val="28"/>
          <w:sz w:val="28"/>
          <w:szCs w:val="28"/>
          <w:rtl w:val="true"/>
          <w:lang w:bidi="fa-IR"/>
        </w:rPr>
        <w:t xml:space="preserve">،کذّاب،غال، صاحب بدعة </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 یتّضح أنّ الأفراد الناقلین و المبیّنین لهذه الروایات هم من الضعفاء، و لیس لروایاتهم اعتبار</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بالإضافة إلی أنّ الکتب التی وردت فیها هذه الروایات علی الأغلب تخلوا</w:t>
      </w:r>
    </w:p>
    <w:p>
      <w:pPr>
        <w:pStyle w:val="BookText"/>
        <w:rPr/>
      </w:pPr>
      <w:r>
        <w:rPr>
          <w:rFonts w:ascii="IRNazanin" w:hAnsi="IRNazanin" w:eastAsia="IRNazanin"/>
          <w:color w:val="111111"/>
          <w:sz w:val="28"/>
          <w:sz w:val="28"/>
          <w:szCs w:val="28"/>
          <w:rtl w:val="true"/>
          <w:lang w:bidi="fa-IR"/>
        </w:rPr>
        <w:t>من الاعتبار و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فبعض هذه الروایات مأخوذ من رسالة منسوبة إلی سعد بن عبد اللّه الأشعری،و قد نسبت هذه الرسالة إلی النعمانی،و إلی السیّد المرتضی،و بناء علیه لم یتّضح صاحبها،و لا أحد من رجال العلم و الحدیث عدّها فی عداد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هذه الأحادیث مأخوذ من کتاب سلیم بن قیس الهلالی،و قال الشیخ المفید حول هذا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غیر موثوق به و لا یجوز العمل علی أکثره، و قد حصل فیه تخلیط و تدلیس،فینبغی للمتدیّن أن یجتنب العمل بکلّ ما فیه، و لا یعوّل علی جملته </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 الثالث هو کتاب التنزیل و التحریف أو کتاب القراءات،و مؤلّفه هو أحمد بن محمّد السیّاری،و بیّنّا قبل قلیل تضعیف الرجالیّین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 هذه الروایات مأخوذ من تفسیر أبی الجارود،و هو ملعون من قبل الإمام الصادق علیه السّلام </w:t>
      </w:r>
      <w:r>
        <w:rPr>
          <w:rStyle w:val="FootnoteAnchor"/>
          <w:rtl w:val="true"/>
        </w:rPr>
        <w:footnoteReference w:id="856"/>
      </w:r>
      <w:r>
        <w:rPr>
          <w:rFonts w:ascii="IRNazanin" w:hAnsi="IRNazanin" w:eastAsia="IRNazanin"/>
          <w:color w:val="111111"/>
          <w:sz w:val="28"/>
          <w:sz w:val="28"/>
          <w:szCs w:val="28"/>
          <w:rtl w:val="true"/>
          <w:lang w:bidi="fa-IR"/>
        </w:rPr>
        <w:t xml:space="preserve">،بالإضافة إلی ذلک فإنّ کثیر بن عیّاش الضعیف </w:t>
      </w:r>
      <w:r>
        <w:rPr>
          <w:rStyle w:val="FootnoteAnchor"/>
          <w:rtl w:val="true"/>
        </w:rPr>
        <w:footnoteReference w:id="857"/>
      </w:r>
      <w:r>
        <w:rPr>
          <w:rFonts w:ascii="IRNazanin" w:hAnsi="IRNazanin" w:eastAsia="IRNazanin"/>
          <w:color w:val="111111"/>
          <w:sz w:val="28"/>
          <w:sz w:val="28"/>
          <w:szCs w:val="28"/>
          <w:rtl w:val="true"/>
          <w:lang w:bidi="fa-IR"/>
        </w:rPr>
        <w:t xml:space="preserve">مذکور فی سند هذا التفسیر </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تلک الکتب تفسیر علی بن إبراهیم القمّی،و هو تلفیق من إملاءاته علی تلمیذه أبی الفضل العبّاس بن محمّد العلوی،و هو أیضا مخلوط مع تفسیر أبی الجارود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أحد مصادر هذه الروایات هو کتاب الاستغاثة لعلیّ بن أحمد الکوفی، الذی کذّبه إبن الغضائری و اتّهمه بالغلوّ کما تقدّم</w:t>
      </w:r>
      <w:r>
        <w:rPr>
          <w:rFonts w:eastAsia="IRNazanin" w:cs="IRNazanin"/>
          <w:color w:val="111111"/>
          <w:sz w:val="28"/>
          <w:szCs w:val="28"/>
          <w:rtl w:val="true"/>
          <w:lang w:bidi="fa-IR"/>
        </w:rPr>
        <w:t>.</w:t>
      </w:r>
      <w:bookmarkStart w:id="670" w:name="pg5439_47025"/>
    </w:p>
    <w:p>
      <w:pPr>
        <w:pStyle w:val="BookText"/>
        <w:rPr/>
      </w:pPr>
      <w:bookmarkEnd w:id="670"/>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من هذه الأحادیث وردت فی کتاب الاحتجاج للطبرسی،و أغلب روایاته مرسلة،و لا یمکن الاستدلال به بعنوان کتاب روائیّ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 هذه الروایات قد وردت فی کتاب الکافی الشریف،لکن مجرّد وجود روایة فی کتاب لا یعنی صحّتها و جواز العمل بها</w:t>
      </w:r>
      <w:r>
        <w:rPr>
          <w:rFonts w:eastAsia="IRNazanin" w:cs="IRNazanin"/>
          <w:color w:val="111111"/>
          <w:sz w:val="28"/>
          <w:szCs w:val="28"/>
          <w:rtl w:val="true"/>
          <w:lang w:bidi="fa-IR"/>
        </w:rPr>
        <w:t>.</w:t>
      </w:r>
    </w:p>
    <w:p>
      <w:pPr>
        <w:pStyle w:val="Heading5"/>
        <w:numPr>
          <w:ilvl w:val="4"/>
          <w:numId w:val="1"/>
        </w:numPr>
        <w:rPr/>
      </w:pPr>
      <w:bookmarkStart w:id="671" w:name="__RefHeading___Toc1856330_581953129"/>
      <w:bookmarkStart w:id="672" w:name="_Toc250"/>
      <w:bookmarkEnd w:id="671"/>
      <w:r>
        <w:rPr>
          <w:rtl w:val="true"/>
        </w:rPr>
        <w:t>و أمّا توضیح الجهة الثانیة</w:t>
      </w:r>
      <w:r>
        <w:rPr>
          <w:rtl w:val="true"/>
        </w:rPr>
        <w:t>:</w:t>
      </w:r>
      <w:r>
        <w:rPr>
          <w:rtl w:val="true"/>
        </w:rPr>
        <w:t>فإنّ هذه الروایات</w:t>
      </w:r>
      <w:bookmarkEnd w:id="672"/>
    </w:p>
    <w:p>
      <w:pPr>
        <w:pStyle w:val="BookText"/>
        <w:rPr/>
      </w:pPr>
      <w:r>
        <w:rPr>
          <w:rFonts w:ascii="IRNazanin" w:hAnsi="IRNazanin" w:eastAsia="IRNazanin"/>
          <w:color w:val="111111"/>
          <w:sz w:val="28"/>
          <w:sz w:val="28"/>
          <w:szCs w:val="28"/>
          <w:rtl w:val="true"/>
          <w:lang w:bidi="fa-IR"/>
        </w:rPr>
        <w:t>لا تتمتّع بمضمون موحّد من حیث الدلالة،و أنّها تنقسم إلی طوائف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هذه الروایات تعود إلی التحریف المعنوی،و هی خارجة عن محلّ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من هذه الروایات تدلّ علی اختلاف القراءة،و هی خارجة عن محلّ بحث التحریف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الروایات التی وردت بمقام توضیح أو تفسیر آیة،حیث تصوّر البعض بأنّ ما وقع من کلمات بعنوان تفسیر الآیة هو فی الواقع کان من متن القرآن الکریم،کهذا الحدیث الشریف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روی الکلینی بإسناده عن موسی بن جعفر علیهما السّلام فی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یَعْلَمُ اللّهُ ما فِی قُلُوبِهِمْ فَأَعْرِضْ عَنْهُمْ وَ عِظْهُمْ وَ قُلْ لَهُمْ فِی أَنْفُسِهِمْ قَوْلاً بَلِیغاً </w:t>
      </w:r>
      <w:r>
        <w:rPr>
          <w:rStyle w:val="FootnoteAnchor"/>
          <w:rtl w:val="true"/>
        </w:rPr>
        <w:footnoteReference w:id="859"/>
      </w:r>
      <w:r>
        <w:rPr>
          <w:rFonts w:ascii="Amiri" w:hAnsi="Amiri" w:eastAsia="Amiri" w:cs="Amiri"/>
          <w:color w:val="111111"/>
          <w:sz w:val="28"/>
          <w:sz w:val="28"/>
          <w:szCs w:val="28"/>
          <w:rtl w:val="true"/>
          <w:lang w:bidi="ar-SA"/>
        </w:rPr>
        <w:t>،أنّه علیه السّلام تلا هذه الآیة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 عَنْهُمْ، و أضاف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سبقت علیهم کلمة الشقاء و سبق لهم العذاب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تلا بقیّة الآیة </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المحدّث النوری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فظاهر سیاق الخبر أنّ هذه الزیادة من القرآن و لیست تفسیرا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صرّح العلاّمة المجلسی و الآخرون بأنّ لهذه الجملة عنوانا تفسیریّا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الطائفة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الروایات التی تدلّ علی ذکر الاسم المبارک لأمیر المؤمنین و الأئمّة المعصومین علیهم السّلام فی بعض من آیات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الروایات فی مقام التوضیح و تأویل الآیات الشریفة أیضا،و لا تدلّ علی أنّ أسماء الأئمّة حذفت من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الروایات الدالّة علی ذکر أسامی اخری من قریش فی القرآن،و بأنّ المحرّفون حذفوها و أبقوا اسم أبی لهب فقط،و قد ورد علی هذه الروایات إشکالان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التناقض بین نفس هذه الروایات؛لأنّ فی بعض منها قدّر عدد المحذوف بسبعین،و فی البعض الآخر سبعة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بعد ملاحظة مضامین هذه الروایات یظهر شهادتها بالکذب؛إذ أیّ وجه لبقاء اسم أبی لهب محفوظا من بین الأسماء؟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الروایات الدالّة علی أنّه بعد رحلة الرسول صلّی اللّه علیه و اله تغیّرت بعض الکلمات و حلّت محلّها کلمات و ألفاظ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بتعبیر آخر تدلّ هذه الروایات علی حدوث التحریف زیادة و نقصانا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هذه الطائفة مخالفة مع الإجماع؛لأنّ المسلمین متّفقون فی النظر بأنّه لم تضف حتّی کلمة واحدة علی القرآن </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الطائفة 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الروایات الواردة بشأن الإمام الحجّة عجّل اللّه تعالی فرجه الشریف،و التی تلزم حضرته بقراءة مصحف علیّ أمیر المؤمنین علیه السّلام الذی لدیه</w:t>
      </w:r>
      <w:r>
        <w:rPr>
          <w:rFonts w:eastAsia="IRNazanin" w:cs="IRNazanin"/>
          <w:color w:val="111111"/>
          <w:sz w:val="28"/>
          <w:szCs w:val="28"/>
          <w:rtl w:val="true"/>
          <w:lang w:bidi="fa-IR"/>
        </w:rPr>
        <w:t>.</w:t>
      </w:r>
      <w:bookmarkStart w:id="673" w:name="pg5439_47027"/>
    </w:p>
    <w:p>
      <w:pPr>
        <w:pStyle w:val="BookText"/>
        <w:rPr/>
      </w:pPr>
      <w:bookmarkEnd w:id="673"/>
      <w:r>
        <w:rPr>
          <w:rFonts w:ascii="IRNazanin" w:hAnsi="IRNazanin" w:eastAsia="IRNazanin"/>
          <w:color w:val="111111"/>
          <w:sz w:val="28"/>
          <w:sz w:val="28"/>
          <w:szCs w:val="28"/>
          <w:rtl w:val="true"/>
          <w:lang w:bidi="fa-IR"/>
        </w:rPr>
        <w:t>و هذه الروایات علی الرغم من دلالتها علی اختلاف مصحف أمیر المؤمنین علیه السّلام مع المصحف الموجود،لکن هذا الاختلاف لیس من حیث متن القرآن،بل هو اختلاف فی النظم و الترتیب و فی بعض الشروح</w:t>
      </w:r>
      <w:r>
        <w:rPr>
          <w:rFonts w:eastAsia="IRNazanin" w:cs="IRNazanin"/>
          <w:color w:val="111111"/>
          <w:sz w:val="28"/>
          <w:szCs w:val="28"/>
          <w:rtl w:val="true"/>
          <w:lang w:bidi="fa-IR"/>
        </w:rPr>
        <w:t>.</w:t>
      </w:r>
    </w:p>
    <w:p>
      <w:pPr>
        <w:pStyle w:val="Heading5"/>
        <w:numPr>
          <w:ilvl w:val="4"/>
          <w:numId w:val="1"/>
        </w:numPr>
        <w:rPr/>
      </w:pPr>
      <w:bookmarkStart w:id="674" w:name="__RefHeading___Toc1856332_581953129"/>
      <w:bookmarkStart w:id="675" w:name="_Toc251"/>
      <w:bookmarkEnd w:id="674"/>
      <w:r>
        <w:rPr>
          <w:rtl w:val="true"/>
        </w:rPr>
        <w:t>الطائفة الثامنة</w:t>
      </w:r>
      <w:r>
        <w:rPr>
          <w:rtl w:val="true"/>
        </w:rPr>
        <w:t>:</w:t>
      </w:r>
      <w:r>
        <w:rPr>
          <w:rtl w:val="true"/>
        </w:rPr>
        <w:t>الروایات التی تدلّ علی وجود نقیصة فی الکتاب الشریف،</w:t>
      </w:r>
      <w:bookmarkEnd w:id="675"/>
    </w:p>
    <w:p>
      <w:pPr>
        <w:pStyle w:val="BookText"/>
        <w:rPr/>
      </w:pPr>
      <w:r>
        <w:rPr>
          <w:rFonts w:ascii="IRNazanin" w:hAnsi="IRNazanin" w:eastAsia="IRNazanin"/>
          <w:color w:val="111111"/>
          <w:sz w:val="28"/>
          <w:sz w:val="28"/>
          <w:szCs w:val="28"/>
          <w:rtl w:val="true"/>
          <w:lang w:bidi="fa-IR"/>
        </w:rPr>
        <w:t>و هی علی ثلاثة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تدلّ علی أنّ عدد آیات الکتاب هی أکثر من القرآن الموجود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تدلّ علی أنّ عدد آیات بعض من السور الموجودة فی القرآن هی أقلّ من المقدار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تدلّ علی نقصان کلمة،أو 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الردّ علی هذه الطائفة لا بدّ من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هذه الروایات مخالفة للقرآن یجب الإعراض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الروایات الکثیرة المتعارضة فی هذه الطائفة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فرض وجود خبر صحیح فیها فهو خبر واحد،و فی مثل هذا الأمر لا یمکن التمسّک بالخبر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هذه الأخبار تحکی عن سقط أسماء الأئمّة علیهم السّلام المبارکة،و قلنا مسبقا یجب حمل مثل هذه الروایات علی التأویل أو التفسیر،أو بیان المصداق</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الحمد للّه ربّ العالمین</w:t>
      </w:r>
      <w:bookmarkStart w:id="676" w:name="pg5439_47029"/>
    </w:p>
    <w:p>
      <w:pPr>
        <w:pStyle w:val="Heading2"/>
        <w:numPr>
          <w:ilvl w:val="1"/>
          <w:numId w:val="1"/>
        </w:numPr>
        <w:rPr/>
      </w:pPr>
      <w:bookmarkStart w:id="677" w:name="__RefHeading___Toc1856334_581953129"/>
      <w:bookmarkStart w:id="678" w:name="_Toc252"/>
      <w:bookmarkEnd w:id="676"/>
      <w:bookmarkEnd w:id="677"/>
      <w:r>
        <w:rPr>
          <w:rtl w:val="true"/>
        </w:rPr>
        <w:t>رسالة فی الدراسة الفقهیّة حول الطواف فی الطابق الأوّل من المسجد الحرام</w:t>
      </w:r>
      <w:bookmarkEnd w:id="678"/>
    </w:p>
    <w:p>
      <w:pPr>
        <w:pStyle w:val="Heading3"/>
        <w:numPr>
          <w:ilvl w:val="2"/>
          <w:numId w:val="1"/>
        </w:numPr>
        <w:rPr/>
      </w:pPr>
      <w:bookmarkStart w:id="679" w:name="__RefHeading___Toc1856336_581953129"/>
      <w:bookmarkStart w:id="680" w:name="_Toc253"/>
      <w:bookmarkEnd w:id="679"/>
      <w:r>
        <w:rPr>
          <w:rtl w:val="true"/>
        </w:rPr>
        <w:t>اشارة</w:t>
      </w:r>
      <w:bookmarkEnd w:id="680"/>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ألّفت فی سنة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bookmarkStart w:id="681" w:name="pg5439_47031"/>
    </w:p>
    <w:p>
      <w:pPr>
        <w:pStyle w:val="BookText"/>
        <w:rPr/>
      </w:pPr>
      <w:bookmarkEnd w:id="681"/>
      <w:r>
        <w:rPr>
          <w:rFonts w:ascii="Amiri" w:hAnsi="Amiri" w:eastAsia="Amiri" w:cs="Amiri"/>
          <w:color w:val="111111"/>
          <w:sz w:val="28"/>
          <w:sz w:val="28"/>
          <w:szCs w:val="28"/>
          <w:rtl w:val="true"/>
          <w:lang w:bidi="ar-SA"/>
        </w:rPr>
        <w:t>بِسْمِ اللّهِ الرَّحْمنِ الرَّحِیمِ</w:t>
      </w:r>
    </w:p>
    <w:p>
      <w:pPr>
        <w:pStyle w:val="Heading3"/>
        <w:numPr>
          <w:ilvl w:val="2"/>
          <w:numId w:val="1"/>
        </w:numPr>
        <w:rPr/>
      </w:pPr>
      <w:bookmarkStart w:id="682" w:name="__RefHeading___Toc1856338_581953129"/>
      <w:bookmarkStart w:id="683" w:name="_Toc254"/>
      <w:bookmarkEnd w:id="682"/>
      <w:r>
        <w:rPr>
          <w:rtl w:val="true"/>
        </w:rPr>
        <w:t>تمهید</w:t>
      </w:r>
      <w:bookmarkEnd w:id="683"/>
    </w:p>
    <w:p>
      <w:pPr>
        <w:pStyle w:val="BookText"/>
        <w:rPr/>
      </w:pPr>
      <w:r>
        <w:rPr>
          <w:rFonts w:ascii="Amiri" w:hAnsi="Amiri" w:eastAsia="Amiri" w:cs="Amiri"/>
          <w:color w:val="111111"/>
          <w:sz w:val="28"/>
          <w:sz w:val="28"/>
          <w:szCs w:val="28"/>
          <w:rtl w:val="true"/>
          <w:lang w:bidi="ar-SA"/>
        </w:rPr>
        <w:t>اَلْحَمْدُ لِلّهِ رَبِّ الْعالَمِینَ، و صلّی اللّه علی نبیّنا محمّد و آله الطاهرین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وقع الخلاف فی عصرنا هذا فی صحّة الطواف من الطابق الأوّل الذی فوق الطابق الأرضی،و عدمها،کما اختلفت و جهات النظر فی جواز الطواف تحت الأرض بحذاء الکعبة فیما إذا بنیت أبنیة تحت أرض المسجد،و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بناء علی الجواز،هل یکون الترخّص منحصرا بما إذا لم یقدر علی الطواف فی صحن المسجد،کما إذا کان الزحام کثیرا،أو لم یکن قادرا علی المشی فی الصحن؛ لعدم التمکّن و الاحتیاج إلی الإطافة بالآلات الموجودة،أو لوجود المانع العرضی عن ذلک،أم لا یکون منحصرا بذلک؛بمعنی أن الطائف یتخیّر بدوا بین الطواف فیه،و الطواف فی الطابق الأوّل؟</w:t>
      </w:r>
    </w:p>
    <w:p>
      <w:pPr>
        <w:pStyle w:val="BookText"/>
        <w:rPr/>
      </w:pPr>
      <w:r>
        <w:rPr>
          <w:rFonts w:ascii="IRNazanin" w:hAnsi="IRNazanin" w:eastAsia="IRNazanin"/>
          <w:color w:val="111111"/>
          <w:sz w:val="28"/>
          <w:sz w:val="28"/>
          <w:szCs w:val="28"/>
          <w:rtl w:val="true"/>
          <w:lang w:bidi="fa-IR"/>
        </w:rPr>
        <w:t>و التحقیق حول هذا البحث یقع ضمن محاور</w:t>
      </w:r>
      <w:r>
        <w:rPr>
          <w:rFonts w:eastAsia="IRNazanin" w:cs="IRNazanin"/>
          <w:color w:val="111111"/>
          <w:sz w:val="28"/>
          <w:szCs w:val="28"/>
          <w:rtl w:val="true"/>
          <w:lang w:bidi="fa-IR"/>
        </w:rPr>
        <w:t>:</w:t>
      </w:r>
    </w:p>
    <w:p>
      <w:pPr>
        <w:pStyle w:val="Heading3"/>
        <w:numPr>
          <w:ilvl w:val="2"/>
          <w:numId w:val="1"/>
        </w:numPr>
        <w:rPr/>
      </w:pPr>
      <w:bookmarkStart w:id="684" w:name="__RefHeading___Toc1856340_581953129"/>
      <w:bookmarkStart w:id="685" w:name="_Toc255"/>
      <w:bookmarkEnd w:id="684"/>
      <w:r>
        <w:rPr>
          <w:rtl w:val="true"/>
        </w:rPr>
        <w:t>علاقة البحث بفکرة حدّ المطاف</w:t>
      </w:r>
      <w:bookmarkEnd w:id="685"/>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الواضح دخول من ذهب إلی عدم وجود حدّ للمطاف فی هذا</w:t>
      </w:r>
      <w:bookmarkStart w:id="686" w:name="pg5439_47032"/>
    </w:p>
    <w:p>
      <w:pPr>
        <w:pStyle w:val="BookText"/>
        <w:rPr/>
      </w:pPr>
      <w:bookmarkEnd w:id="686"/>
      <w:r>
        <w:rPr>
          <w:rFonts w:ascii="IRNazanin" w:hAnsi="IRNazanin" w:eastAsia="IRNazanin"/>
          <w:color w:val="111111"/>
          <w:sz w:val="28"/>
          <w:sz w:val="28"/>
          <w:szCs w:val="28"/>
          <w:rtl w:val="true"/>
          <w:lang w:bidi="fa-IR"/>
        </w:rPr>
        <w:t>النزاع،لکن هل یدخل فیه من ذهب إلی وجود حدّ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کالمشهور </w:t>
      </w:r>
      <w:r>
        <w:rPr>
          <w:rStyle w:val="FootnoteAnchor"/>
          <w:rtl w:val="true"/>
        </w:rPr>
        <w:footnoteReference w:id="8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لا؟</w:t>
      </w:r>
    </w:p>
    <w:p>
      <w:pPr>
        <w:pStyle w:val="BookText"/>
        <w:rPr/>
      </w:pPr>
      <w:r>
        <w:rPr>
          <w:rFonts w:ascii="IRNazanin" w:hAnsi="IRNazanin" w:eastAsia="IRNazanin"/>
          <w:color w:val="111111"/>
          <w:sz w:val="28"/>
          <w:sz w:val="28"/>
          <w:szCs w:val="28"/>
          <w:rtl w:val="true"/>
          <w:lang w:bidi="fa-IR"/>
        </w:rPr>
        <w:t>الظاهر دخولهم فی محلّ البحث،و ذلک بأن یفرض فیما إذا بنی فی نفس الحدّ الطابق الأوّل و الثانی،حال کونهما مرتفعین عن البیت أو مساویین،إلاّ أنّ المشکلة أنّه لا واقع لهذا الفرض فی زماننا هذا</w:t>
      </w:r>
      <w:r>
        <w:rPr>
          <w:rFonts w:eastAsia="IRNazanin" w:cs="IRNazanin"/>
          <w:color w:val="111111"/>
          <w:sz w:val="28"/>
          <w:szCs w:val="28"/>
          <w:rtl w:val="true"/>
          <w:lang w:bidi="fa-IR"/>
        </w:rPr>
        <w:t>.</w:t>
      </w:r>
    </w:p>
    <w:p>
      <w:pPr>
        <w:pStyle w:val="Heading3"/>
        <w:numPr>
          <w:ilvl w:val="2"/>
          <w:numId w:val="1"/>
        </w:numPr>
        <w:rPr/>
      </w:pPr>
      <w:bookmarkStart w:id="687" w:name="__RefHeading___Toc1856342_581953129"/>
      <w:bookmarkStart w:id="688" w:name="_Toc256"/>
      <w:bookmarkEnd w:id="687"/>
      <w:r>
        <w:rPr>
          <w:rtl w:val="true"/>
        </w:rPr>
        <w:t>علاقة البحث بمسألة الزیادة علی ارتفاع الکعبة</w:t>
      </w:r>
      <w:bookmarkEnd w:id="688"/>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 الخلاف فی جواز الإضافة و عدمه،من جهة الارتفاع علی البیت الشریف،و ذلک بعد المفروغیّة عن أنّه لا یجوز التنقیص أو التخریب فیه،فبناء علی جواز الإضافة،إذا تحقّقت الإضافة مثلا إلی حدّ یصیر ضعف الموجود الآن، أو أکثر،فلا شکّ فی جواز الطواف حوله و إن علا،لکنّه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الجواز و عدم تحقّق الإضافة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 النزاع فی جواز الطواف بالنسبة إلی محلّ یکون أعلی من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ذهبنا إلی عدم جواز الإضافة إلی البیت،فالظاهر عدم الخلاف فی عدم الجواز بالنسبة إلی ما یکون فوق الکعبة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جواز الإضافة؛فإنّه مضافا إلی الأصل،و إلی أنّ البیت کسائر الأمکنة و الأبنیة،فکما تجوز الإضافة مثلا إلی المسجد،کذلک تجوز إلی نفس البیت،و لا ینبغی التوهّم أنّه من الامور التوقیفیّة،کالأحکام التعبّدیة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علیه بعض الروایات</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عدّة من أصحابنا،عن أحمد بن محمّد،عن سعید بن جناح،عن عدّة من أصحابنا،عن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الکعبة علی عهد إبراهیم علیه السّلام تسعة أذرع،و کان لها بابان،فبناها عبد اللّه بن زبیر فرفعها ثمانیة عشر ذراعا،فهدمها</w:t>
      </w:r>
      <w:bookmarkStart w:id="689" w:name="pg5439_47033"/>
    </w:p>
    <w:p>
      <w:pPr>
        <w:pStyle w:val="BookText"/>
        <w:rPr/>
      </w:pPr>
      <w:bookmarkEnd w:id="689"/>
      <w:r>
        <w:rPr>
          <w:rFonts w:ascii="IRNazanin" w:hAnsi="IRNazanin" w:eastAsia="IRNazanin"/>
          <w:color w:val="111111"/>
          <w:sz w:val="28"/>
          <w:sz w:val="28"/>
          <w:szCs w:val="28"/>
          <w:rtl w:val="true"/>
          <w:lang w:bidi="fa-IR"/>
        </w:rPr>
        <w:t xml:space="preserve">الحجّاج و بناها سبعة و عشرین ذراعا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تقریب الاستدلال بها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عدم ردع الإمام علیه السّلام عن ازدیاد ارتفاع الکعبة من قبل ابن الزبیر ثمّ الحجّاج یدلّ علی جواز الإضافة من جهة الارتفاع إلی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الروایة غیر معتبرة من جهة اشتمالها علی أحمد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مشترک بین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سعید بن جناح؛فإنّه و إن کان موردا لتوثیق النجاشی </w:t>
      </w:r>
      <w:r>
        <w:rPr>
          <w:rStyle w:val="FootnoteAnchor"/>
          <w:rtl w:val="true"/>
        </w:rPr>
        <w:footnoteReference w:id="866"/>
      </w:r>
      <w:r>
        <w:rPr>
          <w:rFonts w:ascii="IRNazanin" w:hAnsi="IRNazanin" w:eastAsia="IRNazanin"/>
          <w:color w:val="111111"/>
          <w:sz w:val="28"/>
          <w:sz w:val="28"/>
          <w:szCs w:val="28"/>
          <w:rtl w:val="true"/>
          <w:lang w:bidi="fa-IR"/>
        </w:rPr>
        <w:t xml:space="preserve">،و موجودا فی أسناد کامل الزیارات </w:t>
      </w:r>
      <w:r>
        <w:rPr>
          <w:rStyle w:val="FootnoteAnchor"/>
          <w:rtl w:val="true"/>
        </w:rPr>
        <w:footnoteReference w:id="867"/>
      </w:r>
      <w:r>
        <w:rPr>
          <w:rFonts w:ascii="IRNazanin" w:hAnsi="IRNazanin" w:eastAsia="IRNazanin"/>
          <w:color w:val="111111"/>
          <w:sz w:val="28"/>
          <w:sz w:val="28"/>
          <w:szCs w:val="28"/>
          <w:rtl w:val="true"/>
          <w:lang w:bidi="fa-IR"/>
        </w:rPr>
        <w:t>،إلاّ أنّه لم یعلم المروی عنه،و معه لا یصحّ الاستناد إلی الروایة المذکورة</w:t>
      </w:r>
      <w:r>
        <w:rPr>
          <w:rFonts w:eastAsia="IRNazanin" w:cs="IRNazanin"/>
          <w:color w:val="111111"/>
          <w:sz w:val="28"/>
          <w:szCs w:val="28"/>
          <w:rtl w:val="true"/>
          <w:lang w:bidi="fa-IR"/>
        </w:rPr>
        <w:t>.</w:t>
      </w:r>
    </w:p>
    <w:p>
      <w:pPr>
        <w:pStyle w:val="Heading3"/>
        <w:numPr>
          <w:ilvl w:val="2"/>
          <w:numId w:val="1"/>
        </w:numPr>
        <w:rPr/>
      </w:pPr>
      <w:bookmarkStart w:id="690" w:name="__RefHeading___Toc1856344_581953129"/>
      <w:bookmarkStart w:id="691" w:name="_Toc257"/>
      <w:bookmarkEnd w:id="690"/>
      <w:r>
        <w:rPr>
          <w:rtl w:val="true"/>
        </w:rPr>
        <w:t>جریان البحث فی الطواف الواجب و المندوب</w:t>
      </w:r>
      <w:bookmarkEnd w:id="691"/>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عدم اختصاص النزاع بالطواف الواجب،بل یجری فی الطواف المندوب أیضا،کما أنّه علی القول بوجود حدّ للمطاف،و هو ما بین البیت و المقام،لا شکّ فی لزوم مراعاته فی الطواف المندوب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یدلّ علیه إطلاق ما دلّ علی الحدّ،و أنّ الطائف الخارج عن هذا الحدّ لیس بطائف </w:t>
      </w:r>
      <w:r>
        <w:rPr>
          <w:rStyle w:val="FootnoteAnchor"/>
          <w:rtl w:val="true"/>
        </w:rPr>
        <w:footnoteReference w:id="868"/>
      </w:r>
      <w:r>
        <w:rPr>
          <w:rFonts w:ascii="IRNazanin" w:hAnsi="IRNazanin" w:eastAsia="IRNazanin"/>
          <w:color w:val="111111"/>
          <w:sz w:val="28"/>
          <w:sz w:val="28"/>
          <w:szCs w:val="28"/>
          <w:rtl w:val="true"/>
          <w:lang w:bidi="fa-IR"/>
        </w:rPr>
        <w:t>،و الانصراف إلی الواجب لا وجه له أصلا،کما أنّه لا دلیل علی تقیید الإطلاق فی المقام</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نعم،یستفاد من بعض الأدلّة أنّه فرق بین الطواف الواجب و المندوب،أهمّها یلی</w:t>
      </w:r>
      <w:r>
        <w:rPr>
          <w:rFonts w:eastAsia="IRNazanin" w:cs="IRNazanin"/>
          <w:color w:val="111111"/>
          <w:sz w:val="28"/>
          <w:szCs w:val="28"/>
          <w:rtl w:val="true"/>
          <w:lang w:bidi="fa-IR"/>
        </w:rPr>
        <w:t>:</w:t>
      </w:r>
      <w:bookmarkStart w:id="692" w:name="pg5439_47034"/>
    </w:p>
    <w:p>
      <w:pPr>
        <w:pStyle w:val="BookText"/>
        <w:rPr/>
      </w:pPr>
      <w:bookmarkEnd w:id="692"/>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لزوم الطهارة فی الطواف المستحبّ </w:t>
      </w:r>
      <w:r>
        <w:rPr>
          <w:rStyle w:val="FootnoteAnchor"/>
          <w:rtl w:val="true"/>
        </w:rPr>
        <w:footnoteReference w:id="869"/>
      </w:r>
      <w:r>
        <w:rPr>
          <w:rFonts w:ascii="IRNazanin" w:hAnsi="IRNazanin" w:eastAsia="IRNazanin"/>
          <w:color w:val="111111"/>
          <w:sz w:val="28"/>
          <w:sz w:val="28"/>
          <w:szCs w:val="28"/>
          <w:rtl w:val="true"/>
          <w:lang w:bidi="fa-IR"/>
        </w:rPr>
        <w:t>،کما تدلّ علیه الروایات المعتبرة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محمّد بن مسلم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أحدهما علیهما السّلام عن رجل طاف طواف الفریضة و هو علی غیر طهور؟قال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یتوضّأ و یعید الطواف،و إن کان تطوّعا توضّأ و صلّی رکعتین </w:t>
      </w:r>
      <w:r>
        <w:rPr>
          <w:rStyle w:val="FootnoteAnchor"/>
          <w:rtl w:val="true"/>
        </w:rPr>
        <w:footnoteReference w:id="870"/>
      </w:r>
      <w:r>
        <w:rPr>
          <w:rFonts w:ascii="IRNazanin" w:hAnsi="IRNazanin" w:eastAsia="IRNazanin"/>
          <w:color w:val="111111"/>
          <w:sz w:val="28"/>
          <w:sz w:val="28"/>
          <w:szCs w:val="28"/>
          <w:rtl w:val="true"/>
          <w:lang w:bidi="fa-IR"/>
        </w:rPr>
        <w:t xml:space="preserve">،خلافا لأبی الصلاح </w:t>
      </w:r>
      <w:r>
        <w:rPr>
          <w:rStyle w:val="FootnoteAnchor"/>
          <w:rtl w:val="true"/>
        </w:rPr>
        <w:footnoteReference w:id="871"/>
      </w:r>
      <w:r>
        <w:rPr>
          <w:rFonts w:ascii="IRNazanin" w:hAnsi="IRNazanin" w:eastAsia="IRNazanin"/>
          <w:color w:val="111111"/>
          <w:sz w:val="28"/>
          <w:sz w:val="28"/>
          <w:szCs w:val="28"/>
          <w:rtl w:val="true"/>
          <w:lang w:bidi="fa-IR"/>
        </w:rPr>
        <w:t>فإنّه ذهب إلی وجوبها فیه أیضا؛ لإطلاق بعض النصوص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جواز قطع الطواف المندوب عمدا علی قول جمع </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کراهة الزیادة علی السبع فی الطواف المندوب بخلاف الواجب </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3" w:name="__RefHeading___Toc1856346_581953129"/>
      <w:bookmarkStart w:id="694" w:name="_Toc258"/>
      <w:bookmarkEnd w:id="693"/>
      <w:r>
        <w:rPr>
          <w:rtl w:val="true"/>
        </w:rPr>
        <w:t>لزوم دخول جمیع أجزاء البدن فی المطاف،و عدمه</w:t>
      </w:r>
      <w:bookmarkEnd w:id="694"/>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یجب دخول جمیع أجزاء بدن الطائف فی المطاف؟و هل یکفی دخول معظم أجزائه بحیث یصدق عرفا أنّه یطوف،أم لا؟</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الظاهر کفایة الصدق العرفی فی ذلک،و العرف یحکم بأنّه إذا کان معظم أجزائه داخلا فی المطاف،یصحّ طوافه و إن کان رأسه مثلا أعلی من البیت،و لا دلیل علی لزوم کون جمیع الأجزاء داخلة فیه،و قد صرّح صاحب الجواهر فی مسألة الاستقبال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یکفی صدق الاستقبال و إن خرج بعض أجزاء البدن عن جهة الکعبة،و لا یلزم فی صدقه کون جمیع أجزاء البدن داخلا فی جهة القبلة،و هذا</w:t>
      </w:r>
    </w:p>
    <w:p>
      <w:pPr>
        <w:pStyle w:val="BookText"/>
        <w:rPr/>
      </w:pP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المولی إذا أمر بالاستقبال کفی فی الامتثال تحقّق هذا العنوان عرفا،و صدقه فی الخارج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عبارته،قال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کیفیّة استقبالها أمر عرفیّ لا مدخلیّة للشرع فیه،و الظاهر تحقّق الصدق و إن خرج بعض أجزاء البدن التی لا مدخلیّة لها فی صدق کون الشخص مستقبلا،و حالته استقبالا،من غیر فرق فی ذلک بین القریب و البعید،لکن فی القواعد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لو خرج بعض بدنه عن جهة الکعبة بطلت صلاته </w:t>
      </w:r>
      <w:r>
        <w:rPr>
          <w:rStyle w:val="FootnoteAnchor"/>
          <w:rtl w:val="true"/>
        </w:rPr>
        <w:footnoteReference w:id="874"/>
      </w:r>
      <w:r>
        <w:rPr>
          <w:rFonts w:ascii="IRNazanin" w:hAnsi="IRNazanin" w:eastAsia="IRNazanin"/>
          <w:color w:val="111111"/>
          <w:sz w:val="28"/>
          <w:sz w:val="28"/>
          <w:szCs w:val="28"/>
          <w:rtl w:val="true"/>
          <w:lang w:bidi="fa-IR"/>
        </w:rPr>
        <w:t xml:space="preserve">،بل قیل </w:t>
      </w:r>
      <w:r>
        <w:rPr>
          <w:rStyle w:val="FootnoteAnchor"/>
          <w:rtl w:val="true"/>
        </w:rPr>
        <w:footnoteReference w:id="8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کذلک،فی نهایة الإحکام </w:t>
      </w:r>
      <w:r>
        <w:rPr>
          <w:rStyle w:val="FootnoteAnchor"/>
          <w:rtl w:val="true"/>
        </w:rPr>
        <w:footnoteReference w:id="876"/>
      </w:r>
      <w:r>
        <w:rPr>
          <w:rFonts w:ascii="IRNazanin" w:hAnsi="IRNazanin" w:eastAsia="IRNazanin"/>
          <w:color w:val="111111"/>
          <w:sz w:val="28"/>
          <w:sz w:val="28"/>
          <w:szCs w:val="28"/>
          <w:rtl w:val="true"/>
          <w:lang w:bidi="fa-IR"/>
        </w:rPr>
        <w:t xml:space="preserve">،و التحریر </w:t>
      </w:r>
      <w:r>
        <w:rPr>
          <w:rStyle w:val="FootnoteAnchor"/>
          <w:rtl w:val="true"/>
        </w:rPr>
        <w:footnoteReference w:id="877"/>
      </w:r>
      <w:r>
        <w:rPr>
          <w:rFonts w:ascii="IRNazanin" w:hAnsi="IRNazanin" w:eastAsia="IRNazanin"/>
          <w:color w:val="111111"/>
          <w:sz w:val="28"/>
          <w:sz w:val="28"/>
          <w:szCs w:val="28"/>
          <w:rtl w:val="true"/>
          <w:lang w:bidi="fa-IR"/>
        </w:rPr>
        <w:t xml:space="preserve">،و التذکرة </w:t>
      </w:r>
      <w:r>
        <w:rPr>
          <w:rStyle w:val="FootnoteAnchor"/>
          <w:rtl w:val="true"/>
        </w:rPr>
        <w:footnoteReference w:id="878"/>
      </w:r>
      <w:r>
        <w:rPr>
          <w:rFonts w:ascii="IRNazanin" w:hAnsi="IRNazanin" w:eastAsia="IRNazanin"/>
          <w:color w:val="111111"/>
          <w:sz w:val="28"/>
          <w:sz w:val="28"/>
          <w:szCs w:val="28"/>
          <w:rtl w:val="true"/>
          <w:lang w:bidi="fa-IR"/>
        </w:rPr>
        <w:t xml:space="preserve">،و الذکری </w:t>
      </w:r>
      <w:r>
        <w:rPr>
          <w:rStyle w:val="FootnoteAnchor"/>
          <w:rtl w:val="true"/>
        </w:rPr>
        <w:footnoteReference w:id="879"/>
      </w:r>
      <w:r>
        <w:rPr>
          <w:rFonts w:ascii="IRNazanin" w:hAnsi="IRNazanin" w:eastAsia="IRNazanin"/>
          <w:color w:val="111111"/>
          <w:sz w:val="28"/>
          <w:sz w:val="28"/>
          <w:szCs w:val="28"/>
          <w:rtl w:val="true"/>
          <w:lang w:bidi="fa-IR"/>
        </w:rPr>
        <w:t xml:space="preserve">،و البیان </w:t>
      </w:r>
      <w:r>
        <w:rPr>
          <w:rStyle w:val="FootnoteAnchor"/>
          <w:rtl w:val="true"/>
        </w:rPr>
        <w:footnoteReference w:id="880"/>
      </w:r>
      <w:r>
        <w:rPr>
          <w:rFonts w:ascii="IRNazanin" w:hAnsi="IRNazanin" w:eastAsia="IRNazanin"/>
          <w:color w:val="111111"/>
          <w:sz w:val="28"/>
          <w:sz w:val="28"/>
          <w:szCs w:val="28"/>
          <w:rtl w:val="true"/>
          <w:lang w:bidi="fa-IR"/>
        </w:rPr>
        <w:t xml:space="preserve">، و الموجز </w:t>
      </w:r>
      <w:r>
        <w:rPr>
          <w:rStyle w:val="FootnoteAnchor"/>
          <w:rtl w:val="true"/>
        </w:rPr>
        <w:footnoteReference w:id="881"/>
      </w:r>
      <w:r>
        <w:rPr>
          <w:rFonts w:ascii="IRNazanin" w:hAnsi="IRNazanin" w:eastAsia="IRNazanin"/>
          <w:color w:val="111111"/>
          <w:sz w:val="28"/>
          <w:sz w:val="28"/>
          <w:szCs w:val="28"/>
          <w:rtl w:val="true"/>
          <w:lang w:bidi="fa-IR"/>
        </w:rPr>
        <w:t xml:space="preserve">،و کشف الالتباس </w:t>
      </w:r>
      <w:r>
        <w:rPr>
          <w:rStyle w:val="FootnoteAnchor"/>
          <w:rtl w:val="true"/>
        </w:rPr>
        <w:footnoteReference w:id="882"/>
      </w:r>
      <w:r>
        <w:rPr>
          <w:rFonts w:ascii="IRNazanin" w:hAnsi="IRNazanin" w:eastAsia="IRNazanin"/>
          <w:color w:val="111111"/>
          <w:sz w:val="28"/>
          <w:sz w:val="28"/>
          <w:szCs w:val="28"/>
          <w:rtl w:val="true"/>
          <w:lang w:bidi="fa-IR"/>
        </w:rPr>
        <w:t xml:space="preserve">،و جامع المقاصد </w:t>
      </w:r>
      <w:r>
        <w:rPr>
          <w:rStyle w:val="FootnoteAnchor"/>
          <w:rtl w:val="true"/>
        </w:rPr>
        <w:footnoteReference w:id="883"/>
      </w:r>
      <w:r>
        <w:rPr>
          <w:rFonts w:ascii="IRNazanin" w:hAnsi="IRNazanin" w:eastAsia="IRNazanin"/>
          <w:color w:val="111111"/>
          <w:sz w:val="28"/>
          <w:sz w:val="28"/>
          <w:szCs w:val="28"/>
          <w:rtl w:val="true"/>
          <w:lang w:bidi="fa-IR"/>
        </w:rPr>
        <w:t xml:space="preserve">،و فوائد القواعد </w:t>
      </w:r>
      <w:r>
        <w:rPr>
          <w:rStyle w:val="FootnoteAnchor"/>
          <w:rtl w:val="true"/>
        </w:rPr>
        <w:footnoteReference w:id="8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 عدم اشتراط ما یزید علی صدق الاستقبال؛للأصل و إطلاق الأدلّة و السیرة القطعیّة فی استقبال القبلة،و دعوی توقّف الصدق المزبور علی الاستقبال بجمیع أجزاء البدن یکذّبها الوجدان فیما لم یذکر فیه متعلّق الأمر بالاستقبال جمیع البدن،بل اقتصر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استقبل</w:t>
      </w:r>
      <w:r>
        <w:rPr>
          <w:rFonts w:eastAsia="IRNazanin" w:cs="IRNazanin"/>
          <w:color w:val="111111"/>
          <w:sz w:val="28"/>
          <w:szCs w:val="28"/>
          <w:rtl w:val="true"/>
          <w:lang w:bidi="fa-IR"/>
        </w:rPr>
        <w:t xml:space="preserve">» </w:t>
      </w:r>
      <w:r>
        <w:rPr>
          <w:rStyle w:val="FootnoteAnchor"/>
          <w:rtl w:val="true"/>
        </w:rPr>
        <w:footnoteReference w:id="885"/>
      </w:r>
      <w:r>
        <w:rPr>
          <w:rFonts w:ascii="IRNazanin" w:hAnsi="IRNazanin" w:eastAsia="IRNazanin"/>
          <w:color w:val="111111"/>
          <w:sz w:val="28"/>
          <w:sz w:val="28"/>
          <w:szCs w:val="28"/>
          <w:rtl w:val="true"/>
          <w:lang w:bidi="fa-IR"/>
        </w:rPr>
        <w:t xml:space="preserve">، </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bookmarkStart w:id="695" w:name="pg5439_47036"/>
    </w:p>
    <w:p>
      <w:pPr>
        <w:pStyle w:val="BookText"/>
        <w:rPr/>
      </w:pPr>
      <w:bookmarkEnd w:id="695"/>
      <w:r>
        <w:rPr>
          <w:rFonts w:ascii="Amiri" w:hAnsi="Amiri" w:eastAsia="Amiri" w:cs="Amiri"/>
          <w:color w:val="111111"/>
          <w:sz w:val="28"/>
          <w:sz w:val="28"/>
          <w:szCs w:val="28"/>
          <w:rtl w:val="true"/>
          <w:lang w:bidi="ar-SA"/>
        </w:rPr>
        <w:t>و الظاهر أنّ الطواف کالاستقبال؛فإنّ امتثال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لْیَطَّوَّفُوا </w:t>
      </w:r>
      <w:r>
        <w:rPr>
          <w:rStyle w:val="FootnoteAnchor"/>
          <w:rtl w:val="true"/>
        </w:rPr>
        <w:footnoteReference w:id="887"/>
      </w:r>
      <w:r>
        <w:rPr>
          <w:rFonts w:ascii="IRNazanin" w:hAnsi="IRNazanin" w:eastAsia="IRNazanin"/>
          <w:color w:val="111111"/>
          <w:sz w:val="28"/>
          <w:sz w:val="28"/>
          <w:szCs w:val="28"/>
          <w:rtl w:val="true"/>
          <w:lang w:bidi="fa-IR"/>
        </w:rPr>
        <w:t>یکفی فیه صدق الطواف العرفی،و لا یعتبر فیه أن یکون جمیع أجزاء الطائف داخلا فی المطاف،بحیث لو کان رأسه أو یده مثلا خارجا عن حدّ المطاف لکان مخلاّ بطوافه،و من الواضح عدم ثبوت حقیقة شرعیّة لهذا المفهوم،کما أنّه لیس من الموضوعات التی تصرّف فیها الشارع المقدّس،و أنّه لیس عنده کیفیّة خاصّة من جهة أصل العمل فیه و إن أضاف إلیه بعض الشرائط،کالطهارة،و البدو من الحجر الأسود و الختم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نعم،لا ثمرة لهذا البحث بعد الذهاب إلی التوسعة،و القول بأنّ ما علا الکعبة محکوم بحکم البیت و یجوز الطواف حوله؛إذ علیه تکون أجزاء الطائف داخلة علی الدوام،و لا معنی لخروج بعضها</w:t>
      </w:r>
      <w:r>
        <w:rPr>
          <w:rFonts w:eastAsia="IRNazanin" w:cs="IRNazanin"/>
          <w:color w:val="111111"/>
          <w:sz w:val="28"/>
          <w:szCs w:val="28"/>
          <w:rtl w:val="true"/>
          <w:lang w:bidi="fa-IR"/>
        </w:rPr>
        <w:t>.</w:t>
      </w:r>
    </w:p>
    <w:p>
      <w:pPr>
        <w:pStyle w:val="Heading3"/>
        <w:numPr>
          <w:ilvl w:val="2"/>
          <w:numId w:val="1"/>
        </w:numPr>
        <w:rPr/>
      </w:pPr>
      <w:bookmarkStart w:id="696" w:name="__RefHeading___Toc1856348_581953129"/>
      <w:bookmarkStart w:id="697" w:name="_Toc259"/>
      <w:bookmarkEnd w:id="696"/>
      <w:r>
        <w:rPr>
          <w:rtl w:val="true"/>
        </w:rPr>
        <w:t>حکم البناء فی مکّة المکرّمة مرتفعا عن البیت</w:t>
      </w:r>
      <w:bookmarkEnd w:id="697"/>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النهی فی الروایات عن البناء فی مکّة مرتفعا عن الکعبة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محمّد بن یعقوب،عن محمّد بن یحیی العطّار،عن محمّد بن الحسین،عن علی بن الحکم،و صفوان جمیعا،عن العلاء،عن محمّد بن مسلم،عن أبی جعفر علیه السّلام فی حدیث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ینبغی لأحد أن یرفع بناء فوق الکعبة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الروایة معتبرة من جهة السند؛فإنّ المراد من محمّد بن الحسین هو محمّد بن الحسین بن أبی الخطّاب علی ما استظهره السیّد الخوئی </w:t>
      </w:r>
      <w:r>
        <w:rPr>
          <w:rStyle w:val="FootnoteAnchor"/>
          <w:rtl w:val="true"/>
        </w:rPr>
        <w:footnoteReference w:id="889"/>
      </w:r>
      <w:r>
        <w:rPr>
          <w:rFonts w:ascii="IRNazanin" w:hAnsi="IRNazanin" w:eastAsia="IRNazanin"/>
          <w:color w:val="111111"/>
          <w:sz w:val="28"/>
          <w:sz w:val="28"/>
          <w:szCs w:val="28"/>
          <w:rtl w:val="true"/>
          <w:lang w:bidi="fa-IR"/>
        </w:rPr>
        <w:t>،و هو ثقة جلیل،و علی</w:t>
      </w:r>
    </w:p>
    <w:p>
      <w:pPr>
        <w:pStyle w:val="BookText"/>
        <w:rPr/>
      </w:pPr>
      <w:r>
        <w:rPr>
          <w:rFonts w:ascii="IRNazanin" w:hAnsi="IRNazanin" w:eastAsia="IRNazanin"/>
          <w:color w:val="111111"/>
          <w:sz w:val="28"/>
          <w:sz w:val="28"/>
          <w:szCs w:val="28"/>
          <w:rtl w:val="true"/>
          <w:lang w:bidi="fa-IR"/>
        </w:rPr>
        <w:t>ابن الحکم أیضا ثقة،و صفوان و إن کان مشترکا بین صفوان بن مهران و صفوان ابن یحیی،إلاّ أنّ کلیهما ثقتان،و المراد من العلاء هو علاء بن رزین؛و هو ثقة جلیل القدر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المفید فی المقنعة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نهی علیه السّلام أن یرفع الإنسان بمکّة بناء فوق الکعبة </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بعد الاختلاف فی أنّه هل هو محمول علی الحرمة،أو دالّ علی الکراهة کما یستفاد من عنوان الباب الموجود فی الوسائل،یوجد سؤال آخر،و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النهی فی هذا النصّ شامل لجمیع الأبنیة الواقعة فی مکّة حتّی المسجد الحرام؛بمعنی أنّ الشارع نهی أن یرفع بناء فوق الکعبة لشرافتها،فلا یجوز البناء حتّی داخل المسجد،بحیث یصیر مرتفعا عنها،أو أنّ النهی مختصّ بالأبنیة التی یصطنعها الناس لأنفسهم،و من ثمّ فتکون الروایات منصرفة عن نفس المسجد؟</w:t>
      </w:r>
    </w:p>
    <w:p>
      <w:pPr>
        <w:pStyle w:val="BookText"/>
        <w:rPr/>
      </w:pPr>
      <w:r>
        <w:rPr>
          <w:rFonts w:ascii="IRNazanin" w:hAnsi="IRNazanin" w:eastAsia="IRNazanin"/>
          <w:color w:val="111111"/>
          <w:sz w:val="28"/>
          <w:sz w:val="28"/>
          <w:szCs w:val="28"/>
          <w:rtl w:val="true"/>
          <w:lang w:bidi="fa-IR"/>
        </w:rPr>
        <w:t>الظاهر عدم الانصراف؛لعدم وجه له،و الإنصاف ظهور الکلام فی الإطلاق، سیّما بالنسبة إلی کون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نکرة فی سیاق النفی أو النهی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یؤیّده قرینة مناسبة الحکم و الموضوع؛فإنّ شرافة الکعبة و عظمتها یجب أن تحفظ بالنسبة إلی کلّ شیء حتّی بلحاظ البناء الموجود داخل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فبناء علی الإطلاق یمکن أن یقال بعدم صحّة الطواف من الطابق الأوّل الموجود فعلا؛فإنّه بعد التحقیق و السؤال؛ظهر فی زماننا هذا کونه مرتفعا عن البیت بمقدار سبعة و عشرین سانتمترا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الدلیل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الشارع إذا نهی عن البناء نفهم بالملازمة العرفیّة عدم صحّة الطواف منه،أو نفهم عدم جواز کون الإنسان أیضا مرتفعا عن الکعبة</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هذا،و الإنصاف أنّ هذه الروایات لا تشمل صورة ما إذا کان نفس الإنسان</w:t>
      </w:r>
      <w:bookmarkStart w:id="698" w:name="pg5439_47038"/>
    </w:p>
    <w:p>
      <w:pPr>
        <w:pStyle w:val="BookText"/>
        <w:rPr/>
      </w:pPr>
      <w:bookmarkEnd w:id="698"/>
      <w:r>
        <w:rPr>
          <w:rFonts w:ascii="IRNazanin" w:hAnsi="IRNazanin" w:eastAsia="IRNazanin"/>
          <w:color w:val="111111"/>
          <w:sz w:val="28"/>
          <w:sz w:val="28"/>
          <w:szCs w:val="28"/>
          <w:rtl w:val="true"/>
          <w:lang w:bidi="fa-IR"/>
        </w:rPr>
        <w:t>مرتفعا عن البیت حال الطواف؛فإنّ موردها الأبنیة الثابتة لا المتحرّکة،فلا تشمل الإنسان نفسه فی دورانه حوله مرتفعا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شرافة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هی الحکمة الأصلیّة لهذا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تشمل ما یتعلّق بهذا البیت من الأبنیة الموجودة فی المسجد،ممّا هو من شؤونه</w:t>
      </w:r>
      <w:r>
        <w:rPr>
          <w:rFonts w:eastAsia="IRNazanin" w:cs="IRNazanin"/>
          <w:color w:val="111111"/>
          <w:sz w:val="28"/>
          <w:szCs w:val="28"/>
          <w:rtl w:val="true"/>
          <w:lang w:bidi="fa-IR"/>
        </w:rPr>
        <w:t>.</w:t>
      </w:r>
    </w:p>
    <w:p>
      <w:pPr>
        <w:pStyle w:val="Heading3"/>
        <w:numPr>
          <w:ilvl w:val="2"/>
          <w:numId w:val="1"/>
        </w:numPr>
        <w:rPr/>
      </w:pPr>
      <w:bookmarkStart w:id="699" w:name="__RefHeading___Toc1856350_581953129"/>
      <w:bookmarkStart w:id="700" w:name="_Toc260"/>
      <w:bookmarkEnd w:id="699"/>
      <w:r>
        <w:rPr>
          <w:rtl w:val="true"/>
        </w:rPr>
        <w:t>الطواف من الطابق الأعلی من البیت</w:t>
      </w:r>
      <w:bookmarkEnd w:id="700"/>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المهمّ فی المقام،و 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قد اشتهر فی ألسنة الفقهاء،بل صار أمرا مجمعا علیه بینهم،بل بین المسلمین،کما صرّح به کاشف الغطاء </w:t>
      </w:r>
      <w:r>
        <w:rPr>
          <w:rStyle w:val="FootnoteAnchor"/>
          <w:rtl w:val="true"/>
        </w:rPr>
        <w:footnoteReference w:id="891"/>
      </w:r>
      <w:r>
        <w:rPr>
          <w:rFonts w:ascii="IRNazanin" w:hAnsi="IRNazanin" w:eastAsia="IRNazanin"/>
          <w:color w:val="111111"/>
          <w:sz w:val="28"/>
          <w:sz w:val="28"/>
          <w:szCs w:val="28"/>
          <w:rtl w:val="true"/>
          <w:lang w:bidi="fa-IR"/>
        </w:rPr>
        <w:t xml:space="preserve">أنّ القبلة تمتدّ محاذیة للکعبة علوا و سفلا من تخوم الأرض إلی أعلی السماء،فالمتوجّه إلیه مستعلیا علی البنیة إلی السماء،أو منخفضا عنها إلی الثری مستقبل لها،و لا مدار علی بنیانها،و الظاهر أنّ أوّل من صرّح به هو الشهید الثانی فی المسالک </w:t>
      </w:r>
      <w:r>
        <w:rPr>
          <w:rStyle w:val="FootnoteAnchor"/>
          <w:rtl w:val="true"/>
        </w:rPr>
        <w:footnoteReference w:id="892"/>
      </w:r>
      <w:r>
        <w:rPr>
          <w:rFonts w:ascii="IRNazanin" w:hAnsi="IRNazanin" w:eastAsia="IRNazanin"/>
          <w:color w:val="111111"/>
          <w:sz w:val="28"/>
          <w:sz w:val="28"/>
          <w:szCs w:val="28"/>
          <w:rtl w:val="true"/>
          <w:lang w:bidi="fa-IR"/>
        </w:rPr>
        <w:t xml:space="preserve">،ثمّ تبعه صاحب المدارک </w:t>
      </w:r>
      <w:r>
        <w:rPr>
          <w:rStyle w:val="FootnoteAnchor"/>
          <w:rtl w:val="true"/>
        </w:rPr>
        <w:footnoteReference w:id="893"/>
      </w:r>
      <w:r>
        <w:rPr>
          <w:rFonts w:ascii="IRNazanin" w:hAnsi="IRNazanin" w:eastAsia="IRNazanin"/>
          <w:color w:val="111111"/>
          <w:sz w:val="28"/>
          <w:sz w:val="28"/>
          <w:szCs w:val="28"/>
          <w:rtl w:val="true"/>
          <w:lang w:bidi="fa-IR"/>
        </w:rPr>
        <w:t xml:space="preserve">،و تبعهما جمیع من تأخّر عنهما إلی زماننا هذا،إلی أن صار أمرا مسلّما عند الجمیع </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السؤال یکمن فی أنّ الطواف هل هو ملحق بالاستقبال،بحیث یکون الفضاء الموجود فوق البیت و تحت الأرض ملحقا به،فیجوز الطواف حوله،أم لا؟ 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أنّ الطواف حول الفضاء طواف حول البیت،أم لا؟و من ثمّ لا یکون ملحقا،بل ذاک الحکم مختصّ بالاستقبال؟</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الظاهر أنّ المستفاد من الروایات عدم اختصاصه بالاستقبال؛فإنّ بعضها</w:t>
      </w:r>
    </w:p>
    <w:p>
      <w:pPr>
        <w:pStyle w:val="BookText"/>
        <w:rPr/>
      </w:pPr>
      <w:r>
        <w:rPr>
          <w:rFonts w:ascii="IRNazanin" w:hAnsi="IRNazanin" w:eastAsia="IRNazanin"/>
          <w:color w:val="111111"/>
          <w:sz w:val="28"/>
          <w:sz w:val="28"/>
          <w:szCs w:val="28"/>
          <w:rtl w:val="true"/>
          <w:lang w:bidi="fa-IR"/>
        </w:rPr>
        <w:t>یدلّ بالإطلاق علی جواز الطواف حول الفضاء أیضا،فقد روی الصدوق مرسلا 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أساس البیت من الأرض السابعة السفلی إلی الأرض السابعة العلیا </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الروایة و إن کانت مرسلة،إلاّ أنّ هذا النوع من الإرسال غیر مضرّ علی ما حقّق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دلالتها أیضا واضحة؛فإنّ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أساس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یختصّ بالاستقبال،بل یشمل الطواف أیضا،و لا قرینة فی الروایة علی اختصاصه بالاستقبال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نعم،لا یدلّ علی کون الفوق ملحقا بالبیت،و إنّما یدلّ علی أنّ ما تحت البیت من الأرض السفلی إلی الأرض العلیا من البیت،إلاّ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کلمة الأرض لا یراد بها الأرض فی قبال السماء،بل یراد من الأرض السفلی و العلیا الامتداد من جهة الفوق و التحت،و معه فیکون التعبیر کنایة عن هذا الأمر</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ورد فی بعض الروایات الواردة فی ذیل الآیة الشریفة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الَّذِی خَلَقَ سَبْعَ سَماواتٍ وَ مِنَ الْأَرْضِ مِثْلَهُنَّ </w:t>
      </w:r>
      <w:r>
        <w:rPr>
          <w:rStyle w:val="FootnoteAnchor"/>
          <w:rtl w:val="true"/>
        </w:rPr>
        <w:footnoteReference w:id="896"/>
      </w:r>
      <w:r>
        <w:rPr>
          <w:rFonts w:ascii="IRNazanin" w:hAnsi="IRNazanin" w:eastAsia="IRNazanin"/>
          <w:color w:val="111111"/>
          <w:sz w:val="28"/>
          <w:sz w:val="28"/>
          <w:szCs w:val="28"/>
          <w:rtl w:val="true"/>
          <w:lang w:bidi="fa-IR"/>
        </w:rPr>
        <w:t>،أنّ المراد من الأرض العلیا هی الأرض السابعة فوق السماء السادسة،فقد روی العیّاشی بإسناده عن الحسین بن خالد،عن أبی الحسن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بسط کفّه ثمّ وضع الیمنی علیها،فقال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أرض الدّنیا و السماء الدّنیا علیها قبّة،و الأرض الثانیة فوق السماء الدّنیا،و السماء الثانیة فوقها قبّة،و الأرض الثالثة فوق السماء الثانیة،و السماء الثالثة فوقها قبّة،حتّی ذکر الرابعة و الخامسة و السادسة،فقال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الأرض السابعة فوق السماء السادسة، و السماء السابعة فوقها قبّة،و عرش الرحمن فوق السماء السابعة،و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bookmarkStart w:id="701" w:name="pg5439_47040"/>
    </w:p>
    <w:p>
      <w:pPr>
        <w:pStyle w:val="BookText"/>
        <w:rPr/>
      </w:pPr>
      <w:bookmarkEnd w:id="701"/>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سَبْعَ سَماواتٍ وَ مِنَ الْأَرْضِ مِثْلَهُنَّ یَتَنَزَّلُ الْأَمْرُ بَیْنَهُنَّ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فهذه الروایة صریحة فی الامتداد و التوسعة من جهة الفوق و التحت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کان،فلا شکّ فی أنّ هذا التعبیر إنّما هو کنایة عن الامتداد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 الروایات الواردة فی القبلة إشارة إلی الفوق أیضا،کما فی خبر عبد اللّه بن سنان،عن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سأله رجل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صلّیت فوق أبی قبیس العصر،فهل یجزئ ذلک و الکعبة تحتی؟قال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نعم،إنّها قبلة من موضعها إلی السماء </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بعد انضمام هذه الروایة إلی المرسلة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قطع النظر عن الروایة المذکورة عن العیّاشی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نفهم أنّ البیت ممتدّ من الجانبین،و لا یختصّ بالبناء الموجود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یمکن أن نضیف بأنّ التوسعة من جانب التحت فقط دون الفوق،و وجود الفرق بینهما من هذه الجهة بعید جدّا،و غریب حقّا،و لا یکون الخبر قرینة علی کون المراد من المرسلة القبلة و الاستقبال فقط؛لعدم جریان التقیید فی المثبتین</w:t>
      </w:r>
      <w:r>
        <w:rPr>
          <w:rFonts w:eastAsia="IRNazanin" w:cs="IRNazanin"/>
          <w:color w:val="111111"/>
          <w:sz w:val="28"/>
          <w:szCs w:val="28"/>
          <w:rtl w:val="true"/>
          <w:lang w:bidi="fa-IR"/>
        </w:rPr>
        <w:t>.</w:t>
      </w:r>
    </w:p>
    <w:p>
      <w:pPr>
        <w:pStyle w:val="Heading3"/>
        <w:numPr>
          <w:ilvl w:val="2"/>
          <w:numId w:val="1"/>
        </w:numPr>
        <w:rPr/>
      </w:pPr>
      <w:bookmarkStart w:id="702" w:name="__RefHeading___Toc1856352_581953129"/>
      <w:bookmarkStart w:id="703" w:name="_Toc261"/>
      <w:bookmarkEnd w:id="702"/>
      <w:r>
        <w:rPr>
          <w:rtl w:val="true"/>
        </w:rPr>
        <w:t>اشکالات و أجوبة</w:t>
      </w:r>
      <w:bookmarkEnd w:id="703"/>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أدلّة الطواف ظاهرة فی وجوب کون الطواف محاذیا لنفس البیت؛ فإنّ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لْیَطَّوَّفُوا بِالْبَیْتِ الْعَتِیقِ </w:t>
      </w:r>
      <w:r>
        <w:rPr>
          <w:rStyle w:val="FootnoteAnchor"/>
          <w:rtl w:val="true"/>
        </w:rPr>
        <w:footnoteReference w:id="898"/>
      </w:r>
      <w:r>
        <w:rPr>
          <w:rFonts w:ascii="IRNazanin" w:hAnsi="IRNazanin" w:eastAsia="IRNazanin"/>
          <w:color w:val="111111"/>
          <w:sz w:val="28"/>
          <w:sz w:val="28"/>
          <w:szCs w:val="28"/>
          <w:rtl w:val="true"/>
          <w:lang w:bidi="fa-IR"/>
        </w:rPr>
        <w:t>ظاهر فی لزوم کون الطواف بنفس البیت لا بفضائها،و العودة إلی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سیّما بالنسبة إلی التعبیر بکلمة الحول فی بعض الروایات </w:t>
      </w:r>
      <w:r>
        <w:rPr>
          <w:rStyle w:val="FootnoteAnchor"/>
          <w:rtl w:val="true"/>
        </w:rPr>
        <w:footnoteReference w:id="8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تؤیّد ذلک،و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طاف بالمکان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أنّه جعل المکان فی</w:t>
      </w:r>
    </w:p>
    <w:p>
      <w:pPr>
        <w:pStyle w:val="BookText"/>
        <w:rPr/>
      </w:pPr>
      <w:r>
        <w:rPr>
          <w:rFonts w:ascii="IRNazanin" w:hAnsi="IRNazanin" w:eastAsia="IRNazanin"/>
          <w:color w:val="111111"/>
          <w:sz w:val="28"/>
          <w:sz w:val="28"/>
          <w:szCs w:val="28"/>
          <w:rtl w:val="true"/>
          <w:lang w:bidi="fa-IR"/>
        </w:rPr>
        <w:t>وسطه،لا فوقه و لا تحته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نعم،و إن کان الظاهر کذلک،إلاّ أنّ الروایة حاکمة،و مفسّرة للأمر الذی یوجب التوسعة،کما أنّ الأدلّة الواردة فی الاستقبال ظاهرة فی لزوم کون الصلاة محاذیة لنفس البیت،و لا أقلّ لمن کان فی المسجد،و الروایة توجب التوسعة فی ذلک،و من البعید جدّا وجود الفرق بین الاستقبال و الطواف مع کون التکلیف فیهما إلی البیت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یستفاد من بعض الآیات الشریفة أنّ الواجب علی المصلّی أن یجعل وجهه شطر المسجد الحرام،کقوله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 وَجْهَکَ شَطْرَ الْمَسْجِدِ الْحَرامِ وَ حَیْثُ ما کُنْتُمْ فَوَلُّوا وُجُوهَکُمْ شَطْرَهُ </w:t>
      </w:r>
      <w:r>
        <w:rPr>
          <w:rStyle w:val="FootnoteAnchor"/>
          <w:rtl w:val="true"/>
        </w:rPr>
        <w:footnoteReference w:id="900"/>
      </w:r>
      <w:r>
        <w:rPr>
          <w:rFonts w:ascii="Amiri" w:hAnsi="Amiri" w:eastAsia="Amiri" w:cs="Amiri"/>
          <w:color w:val="111111"/>
          <w:sz w:val="28"/>
          <w:sz w:val="28"/>
          <w:szCs w:val="28"/>
          <w:rtl w:val="true"/>
          <w:lang w:bidi="ar-SA"/>
        </w:rPr>
        <w:t>،و معنی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لا مدخلیّة لنفس البیت،مع أنّ التکلیف فی الطواف لا یکون إلی المسجد،بل بالبیت،لقوله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لْیَطَّوَّفُوا بِالْبَیْتِ الْعَتِیقِ </w:t>
      </w:r>
      <w:r>
        <w:rPr>
          <w:rStyle w:val="FootnoteAnchor"/>
          <w:rtl w:val="true"/>
        </w:rPr>
        <w:footnoteReference w:id="901"/>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عَهِدْنا إِلی إِبْراهِیمَ وَ إِسْماعِیلَ أَنْ طَهِّرا بَیْتِیَ لِلطّائِفِینَ </w:t>
      </w:r>
      <w:r>
        <w:rPr>
          <w:rStyle w:val="FootnoteAnchor"/>
          <w:rtl w:val="true"/>
        </w:rPr>
        <w:footnoteReference w:id="902"/>
      </w:r>
      <w:r>
        <w:rPr>
          <w:rFonts w:ascii="IRNazanin" w:hAnsi="IRNazanin" w:eastAsia="IRNazanin"/>
          <w:color w:val="111111"/>
          <w:sz w:val="28"/>
          <w:sz w:val="28"/>
          <w:szCs w:val="28"/>
          <w:rtl w:val="true"/>
          <w:lang w:bidi="fa-IR"/>
        </w:rPr>
        <w:t>،و من الواضح أنّ المراد من البیت فی الآیة الکعبة لا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أنّ هذا التعبیر إنّما جاء فی قبال بیت المقدس،و لزوم الانصراف عنه،و التوجّه إلی المسجد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فی أنّه من کان داخلا فی المسجد یجب علیه أن یتوجّه إلی البیت،و لا یجوز أن یصلّی إلی المسجد،و عنوان المسجد الحرام فی الآیات الشریفة إشارة إلی البیت،و لا مدخلیّة لنفس المسجد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نعم،ذهب الکثیر أو الأکثر،بل حکی عن مجمع البیان نسبته إلی أصحابنا </w:t>
      </w:r>
      <w:r>
        <w:rPr>
          <w:rStyle w:val="FootnoteAnchor"/>
          <w:rtl w:val="true"/>
        </w:rPr>
        <w:footnoteReference w:id="90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ادّعی الشیخ فی الخلاف الإجماع علیه </w:t>
      </w:r>
      <w:r>
        <w:rPr>
          <w:rStyle w:val="FootnoteAnchor"/>
          <w:rtl w:val="true"/>
        </w:rPr>
        <w:footnoteReference w:id="904"/>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الکعبة قبلة لمن کان فی المسجد،و المسجد قبلة لمن کان فی الحرم،و الحرم قبلة لمن خرج عنه،و لکن لا تردید فی أنّ البیت قبلة لمن کان فی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کان،فالظاهر عدم الفرق بین الاستقبال و الطواف من هذه الجهة، و الشاهد علی ذلک أنّه لو ازیل البناء تصحّ الصلاة إلی الفضاء،و لا تصحّ إلی البناء الزائل،و أیضا یجوز الطواف حول الفضاء الموجود،و لا یسقط وجوبه فی هذا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نعم،هذه التوسعة إنّما هی فی الطواف،و لا تجری فی السعی،فلا یتوهّم أنّه کما یجوز الطواف فوق الکعبة،یجوز السعی أیضا من الفوق؛فإنّ السعی لا بدّ و أن یکون بین الجبلین لا فوقهما،و لا دلیل علی أنّ الفوق فیه ملحق بالبین،إلاّ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البین لیس مقابلا للفوق،بل المراد کون السعی فی هذا الحدّ بدوا و ختما، و 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ورد فی بعض الروایات </w:t>
      </w:r>
      <w:r>
        <w:rPr>
          <w:rStyle w:val="FootnoteAnchor"/>
          <w:rtl w:val="true"/>
        </w:rPr>
        <w:footnoteReference w:id="905"/>
      </w:r>
      <w:r>
        <w:rPr>
          <w:rFonts w:ascii="IRNazanin" w:hAnsi="IRNazanin" w:eastAsia="IRNazanin"/>
          <w:color w:val="111111"/>
          <w:sz w:val="28"/>
          <w:sz w:val="28"/>
          <w:szCs w:val="28"/>
          <w:rtl w:val="true"/>
          <w:lang w:bidi="fa-IR"/>
        </w:rPr>
        <w:t>أنّ الملائکة ینزلون إلی الأرض و یطوفون حول البیت،ألیس هذا شاهدا علی أنّ الملاک فی الطواف نفس البیت، و إلاّ لما احتاجوا إلی النزول؟</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کلاّ،لا یثبت بهذا ذاک،بل یمکن أن یکون نزولهم لاشتراکهم مع المؤمنین،و جعل أنفسهم فی صفّهم،هذا أوّلا،و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ینکر رجحان الطواف بنفس البیت من باب أنّ الأقرب إلیه یکون أکثر ثوابا،و أیضا من جهة أنّ الموجود</w:t>
      </w:r>
    </w:p>
    <w:p>
      <w:pPr>
        <w:pStyle w:val="BookText"/>
        <w:rPr/>
      </w:pPr>
      <w:r>
        <w:rPr>
          <w:rFonts w:ascii="IRNazanin" w:hAnsi="IRNazanin" w:eastAsia="IRNazanin"/>
          <w:color w:val="111111"/>
          <w:sz w:val="28"/>
          <w:sz w:val="28"/>
          <w:szCs w:val="28"/>
          <w:rtl w:val="true"/>
          <w:lang w:bidi="fa-IR"/>
        </w:rPr>
        <w:t>و المحسوس هو الطواف حول هذا البیت،و ربما یکون هذا موجبا لکون القرب إلیه أکثر ثوابا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البیت ممتدّا حتّی من جهة الطواف،فما معنی استلام الحجر، أو الرکن الیمانی؟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استلام الحجر بالإشارة إلی محاذیه،و کذا الحال فی الرکن الیمانی، و کیف کان،فنحن نلتزم بصحّة الطواف من الفوق،و هذه الامور لا توجب رفع الید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العرف یساعدنا فی ذلک بالنسبة إلی الاستقبال،لکنّه لا یوافقنا فی الطواف؛بمعنی أنّ الاستقبال إلی الفضاء لا نقص فیه عند العرف،بل هو مقبول عندهم،بخلاف الطواف فیه؛إذ لا یعدّ عنده طوافا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لا نوافق فی ذلک،بل ندّعی أنّ العرف لا یفرّق بینهما من هذه الجهة،فیصدق الطواف علی الطائف من الفوق عرفا،و الظاهر عدم وجود مسامحة عرفیّة فی هذا الصدق،و إن کان الصدق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بالمسامحة العرفیّة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کافیا فی حکم العقل بامتثال الأمر،ألا تری أنّه إذا أمر المولی بإتیان الماء،فأتاه العبد بالمائع المسمّی عند العرف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مسامحة و إن لم یکن بالدقّة العقلیّة ماء،تحقّق الامتثال و کفی</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التسلیم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الشارع قد خالف العرف فی هذه الجهة،فجعل البیت فوقا و تحتا بیتا تجوز الصلاة و الطواف نحوه مطلقا،دون أن یکون للبناء مدخلیّة فیه عند الشارع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نعم،الظاهر انعقاد الإجماع بین الفریقین علی عدم جواز الطواف خارج المسجد،بخلاف الاستقبال،فالفرق بینهما من هذه الجهة ممّا لا ینکر؛بمعنی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یجب أن یکون الطواف داخلا فی المسجد،إمّا ما بین البیت</w:t>
      </w:r>
    </w:p>
    <w:p>
      <w:pPr>
        <w:pStyle w:val="BookText"/>
        <w:rPr/>
      </w:pPr>
      <w:r>
        <w:rPr>
          <w:rFonts w:ascii="IRNazanin" w:hAnsi="IRNazanin" w:eastAsia="IRNazanin"/>
          <w:color w:val="111111"/>
          <w:sz w:val="28"/>
          <w:sz w:val="28"/>
          <w:szCs w:val="28"/>
          <w:rtl w:val="true"/>
          <w:lang w:bidi="fa-IR"/>
        </w:rPr>
        <w:t xml:space="preserve">و المقام،کما ذهب إلیه المشهور </w:t>
      </w:r>
      <w:r>
        <w:rPr>
          <w:rStyle w:val="FootnoteAnchor"/>
          <w:rtl w:val="true"/>
        </w:rPr>
        <w:footnoteReference w:id="906"/>
      </w:r>
      <w:r>
        <w:rPr>
          <w:rFonts w:ascii="IRNazanin" w:hAnsi="IRNazanin" w:eastAsia="IRNazanin"/>
          <w:color w:val="111111"/>
          <w:sz w:val="28"/>
          <w:sz w:val="28"/>
          <w:szCs w:val="28"/>
          <w:rtl w:val="true"/>
          <w:lang w:bidi="fa-IR"/>
        </w:rPr>
        <w:t xml:space="preserve">،أو فی المسجد مطلقا،کما صرّح به العامّة </w:t>
      </w:r>
      <w:r>
        <w:rPr>
          <w:rStyle w:val="FootnoteAnchor"/>
          <w:rtl w:val="true"/>
        </w:rPr>
        <w:footnoteReference w:id="907"/>
      </w:r>
      <w:r>
        <w:rPr>
          <w:rFonts w:ascii="IRNazanin" w:hAnsi="IRNazanin" w:eastAsia="IRNazanin"/>
          <w:color w:val="111111"/>
          <w:sz w:val="28"/>
          <w:sz w:val="28"/>
          <w:szCs w:val="28"/>
          <w:rtl w:val="true"/>
          <w:lang w:bidi="fa-IR"/>
        </w:rPr>
        <w:t xml:space="preserve">و بعض علماء الشیعة </w:t>
      </w:r>
      <w:r>
        <w:rPr>
          <w:rStyle w:val="FootnoteAnchor"/>
          <w:rtl w:val="true"/>
        </w:rPr>
        <w:footnoteReference w:id="908"/>
      </w:r>
      <w:r>
        <w:rPr>
          <w:rFonts w:ascii="IRNazanin" w:hAnsi="IRNazanin" w:eastAsia="IRNazanin"/>
          <w:color w:val="111111"/>
          <w:sz w:val="28"/>
          <w:sz w:val="28"/>
          <w:szCs w:val="28"/>
          <w:rtl w:val="true"/>
          <w:lang w:bidi="fa-IR"/>
        </w:rPr>
        <w:t>،و لکن رعایة الحدّ و عدمها أمر آخر غیر 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النتیجة التی یمکن الخروج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مع قطع النظر عن الروایة المرسلة الدالّة بالإطلاق علی صحّة الطواف و الصلاة حول الفضاء و تحت الأرض،یمکن أن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المستفاد من أدلّة القبلة و الطواف،و وحدة التعبیر فی کلیهما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جعل الملاک فی کلّ واحد منهما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کما یکون الفوق صالحا للاستقبال،یکون صالحا للطواف أیضا،و لو لا هذه الروایة لأمکن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هذا أمر عرفیّ لا ریب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مراجعة الأسئلة الواردة فی الروایات تشعر بذلک؛فإنّ الناس کانوا یصلّون ارتکازا فوق جبل أبی قبیس،فهم و إن سألوا بعد العمل،إلاّ أنّ عملهم هذا کان مطابقا لارتکازهم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کلّه،مضافا إلی عموم التنزیل المستفاد من قول النبیّ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الطواف بالبیت صلاة </w:t>
      </w:r>
      <w:r>
        <w:rPr>
          <w:rStyle w:val="FootnoteAnchor"/>
          <w:rtl w:val="true"/>
        </w:rPr>
        <w:footnoteReference w:id="909"/>
      </w:r>
      <w:r>
        <w:rPr>
          <w:rFonts w:ascii="IRNazanin" w:hAnsi="IRNazanin" w:eastAsia="IRNazanin"/>
          <w:color w:val="111111"/>
          <w:sz w:val="28"/>
          <w:sz w:val="28"/>
          <w:szCs w:val="28"/>
          <w:rtl w:val="true"/>
          <w:lang w:bidi="fa-IR"/>
        </w:rPr>
        <w:t>فإنّه دالّ علی أنّه کما یمتدّ البیت فی الصلاة علوّا و سفلا،فکذلک فی الطواف</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الدلیل علی عموم التنزیل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قد استثنی فی الروایة موردا واحدا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اللّه تعالی أحلّ فیه النطق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الروایة و إن کانت غیر مسندة من طرقنا سوی</w:t>
      </w:r>
    </w:p>
    <w:p>
      <w:pPr>
        <w:pStyle w:val="BookText"/>
        <w:rPr/>
      </w:pPr>
      <w:r>
        <w:rPr>
          <w:rFonts w:ascii="IRNazanin" w:hAnsi="IRNazanin" w:eastAsia="IRNazanin"/>
          <w:color w:val="111111"/>
          <w:sz w:val="28"/>
          <w:sz w:val="28"/>
          <w:szCs w:val="28"/>
          <w:rtl w:val="true"/>
          <w:lang w:bidi="fa-IR"/>
        </w:rPr>
        <w:t>ما عن عوالی اللئالی،إلاّ أنّ جمعا من کبار الفقهاء قد استند إلیها و استدلّ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استدلّ الشیخ بها فی الخلاف </w:t>
      </w:r>
      <w:r>
        <w:rPr>
          <w:rStyle w:val="FootnoteAnchor"/>
          <w:rtl w:val="true"/>
        </w:rPr>
        <w:footnoteReference w:id="910"/>
      </w:r>
      <w:r>
        <w:rPr>
          <w:rFonts w:ascii="IRNazanin" w:hAnsi="IRNazanin" w:eastAsia="IRNazanin"/>
          <w:color w:val="111111"/>
          <w:sz w:val="28"/>
          <w:sz w:val="28"/>
          <w:szCs w:val="28"/>
          <w:rtl w:val="true"/>
          <w:lang w:bidi="fa-IR"/>
        </w:rPr>
        <w:t>،و العلاّمة فی المختلف فی باب وجوب القیام فی الطواف،و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ثبت وجوب القیام فی الصلاة فکذا فیه </w:t>
      </w:r>
      <w:r>
        <w:rPr>
          <w:rStyle w:val="FootnoteAnchor"/>
          <w:rtl w:val="true"/>
        </w:rPr>
        <w:footnoteReference w:id="911"/>
      </w:r>
      <w:r>
        <w:rPr>
          <w:rFonts w:ascii="IRNazanin" w:hAnsi="IRNazanin" w:eastAsia="IRNazanin"/>
          <w:color w:val="111111"/>
          <w:sz w:val="28"/>
          <w:sz w:val="28"/>
          <w:szCs w:val="28"/>
          <w:rtl w:val="true"/>
          <w:lang w:bidi="fa-IR"/>
        </w:rPr>
        <w:t>،و کذا فی المنتهی فی شرطیّة الطهارة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الطهارة شرط فی الطواف الواجب،و فی شرطیّة الستر،فقال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الستر شرط فی الطواف </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حکی عن ابن إدریس الفتوی علی طبقها،مع کونه ممّن لا یعمل بالخبر الواحد </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استدلّ بها الشهید الثانی فی المسالک،مصرّحا بالإطلاق،حیث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مستند ذلک إطلاق قوله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الطواف بالبیت 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خرج منه ما أجمع علی عدم مشارکته لها فیه،فیبقی الباقی </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الروض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الطواف بالبیت صلاة،فیشترط فیه ما یشترط فیها،إلاّ ما أخرجه الدلیل </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ذهب السیّد الطباطبائی إلی أنّ التشبیه یقتضی الشرکة فی جمیع الأحکام، و منها هنا الطهارة من النجاسة </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نعم،خالفهم سیّد المدارک،حیث ذهب إلی أنّ سند الروایة قاصر،و متنها مجمل </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یستفاد العموم من نفس التنزیل و التشبیه؛بمعنی أنّ هذا الأمر لو خلّی و طبعه یقتضی العموم،حتّی لو لم یکن استثناء فی الروایة یستفاد هذا العموم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نعم،إنّ الامور التی قام الدلیل علی أنّها مختصّة بالصلاة،یستثنی من هذا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الروایة واردة فی مقام بیان التنزیل من بعض الجهات،و هذه الجهة لم تکن واضحة،فتصیر مجملة،مضافا إلی أنّه لو قلنا بالتعمیم یلزم کثرة التخصیص،و هو مستهجن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الإطلاق فی الروایة محکّم یرفع الإجمال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تخصیص الأکثر،فلا یکون فی حدّ الاستهجان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کیف کان،لا ریب فی استناد المشهور إلی الروایة،و علیه ینجبر ضعفها،فما ورد من السیّد الخوئی؛من أنّه لم یعلم استناد المشهور إلیه </w:t>
      </w:r>
      <w:r>
        <w:rPr>
          <w:rStyle w:val="FootnoteAnchor"/>
          <w:rtl w:val="true"/>
        </w:rPr>
        <w:footnoteReference w:id="918"/>
      </w:r>
      <w:r>
        <w:rPr>
          <w:rFonts w:ascii="IRNazanin" w:hAnsi="IRNazanin" w:eastAsia="IRNazanin"/>
          <w:color w:val="111111"/>
          <w:sz w:val="28"/>
          <w:sz w:val="28"/>
          <w:szCs w:val="28"/>
          <w:rtl w:val="true"/>
          <w:lang w:bidi="fa-IR"/>
        </w:rPr>
        <w:t xml:space="preserve">غیر تامّ،و قد صرّح السیّد الحکیم بالانجبار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قد ورد من طرق الإمامیّة عن معاویة بن عمّار،عن الصادق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بأس أن تقضی المناسک کلّها علی غیر وضوء إلاّ الطواف؛فإنّ فیه صلاة، و الوضوء أفضل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استشعر صاحب الجواهر من هذا الخبر؛أنّ أصل المرسل المشهور عن النبی صلّی اللّه علیه و اله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الطواف بالبیت 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أسقط من أوّله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فظنّ أنّه</w:t>
      </w:r>
      <w:bookmarkStart w:id="704" w:name="pg5439_47047"/>
    </w:p>
    <w:p>
      <w:pPr>
        <w:pStyle w:val="BookText"/>
        <w:rPr/>
      </w:pPr>
      <w:bookmarkEnd w:id="704"/>
      <w:r>
        <w:rPr>
          <w:rFonts w:ascii="IRNazanin" w:hAnsi="IRNazanin" w:eastAsia="IRNazanin"/>
          <w:color w:val="111111"/>
          <w:sz w:val="28"/>
          <w:sz w:val="28"/>
          <w:szCs w:val="28"/>
          <w:rtl w:val="true"/>
          <w:lang w:bidi="fa-IR"/>
        </w:rPr>
        <w:t xml:space="preserve">من التشبیه </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الاستشعار إشکال،بل منع؛لأنّه فی بعض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أشرنا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استثنی منه النطق،فقال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اللّه أحلّ فیه النطق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 من هذه الجهة استدلّ هو نفسه بهذه الروایة فی مواضع عدیدة من کتابه،من دون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Style w:val="FootnoteAnchor"/>
          <w:rtl w:val="true"/>
        </w:rPr>
        <w:footnoteReference w:id="920"/>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کلّه،مضافا إلی أنّه لو کان الطواف مرتفعا عن الکعبة غیر جائز،لصار هذا أیضا حدّا من جهة الارتفاع،و لکان اللاّزم علی الشارع ذکره،کما ذکر الحدّ فی جهة المساحة و محیط الدائرة الأرضیّة،فمن عدم البیان بالنسبة إلی هذه الجهة نستکشف صحّة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عدم البیان إنّما کان من جهة عدم الموضوع الخارجی فی ذلک الزمان،و هو کما تری</w:t>
      </w:r>
      <w:r>
        <w:rPr>
          <w:rFonts w:eastAsia="IRNazanin" w:cs="IRNazanin"/>
          <w:color w:val="111111"/>
          <w:sz w:val="28"/>
          <w:szCs w:val="28"/>
          <w:rtl w:val="true"/>
          <w:lang w:bidi="fa-IR"/>
        </w:rPr>
        <w:t>.</w:t>
      </w:r>
    </w:p>
    <w:p>
      <w:pPr>
        <w:pStyle w:val="Heading3"/>
        <w:numPr>
          <w:ilvl w:val="2"/>
          <w:numId w:val="1"/>
        </w:numPr>
        <w:rPr/>
      </w:pPr>
      <w:bookmarkStart w:id="705" w:name="__RefHeading___Toc1856354_581953129"/>
      <w:bookmarkStart w:id="706" w:name="_Toc262"/>
      <w:bookmarkEnd w:id="705"/>
      <w:r>
        <w:rPr>
          <w:rtl w:val="true"/>
        </w:rPr>
        <w:t>الطواف من الطابق الأوّل عند السنّة</w:t>
      </w:r>
      <w:bookmarkEnd w:id="706"/>
    </w:p>
    <w:p>
      <w:pPr>
        <w:pStyle w:val="BookText"/>
        <w:rPr/>
      </w:pPr>
      <w:r>
        <w:rPr>
          <w:rFonts w:ascii="IRNazanin" w:hAnsi="IRNazanin" w:eastAsia="IRNazanin"/>
          <w:color w:val="111111"/>
          <w:sz w:val="28"/>
          <w:sz w:val="28"/>
          <w:szCs w:val="28"/>
          <w:rtl w:val="true"/>
          <w:lang w:bidi="fa-IR"/>
        </w:rPr>
        <w:t>و ممّا ذکرنا ظهر ضعف ما حکی عن الشافعی؛فإنّه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جعل سقف المسجد أعلی لم یجز الطواف علی سطحه </w:t>
      </w:r>
      <w:r>
        <w:rPr>
          <w:rStyle w:val="FootnoteAnchor"/>
          <w:rtl w:val="true"/>
        </w:rPr>
        <w:footnoteReference w:id="921"/>
      </w:r>
      <w:r>
        <w:rPr>
          <w:rFonts w:ascii="IRNazanin" w:hAnsi="IRNazanin" w:eastAsia="IRNazanin"/>
          <w:color w:val="111111"/>
          <w:sz w:val="28"/>
          <w:sz w:val="28"/>
          <w:szCs w:val="28"/>
          <w:rtl w:val="true"/>
          <w:lang w:bidi="fa-IR"/>
        </w:rPr>
        <w:t>،و یستفاد من صاحب الجواهر مخالفته له فی ذلک،و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مقتضاه کما عن التذکرة </w:t>
      </w:r>
      <w:r>
        <w:rPr>
          <w:rStyle w:val="FootnoteAnchor"/>
          <w:rtl w:val="true"/>
        </w:rPr>
        <w:footnoteReference w:id="922"/>
      </w:r>
      <w:r>
        <w:rPr>
          <w:rFonts w:ascii="IRNazanin" w:hAnsi="IRNazanin" w:eastAsia="IRNazanin"/>
          <w:color w:val="111111"/>
          <w:sz w:val="28"/>
          <w:sz w:val="28"/>
          <w:szCs w:val="28"/>
          <w:rtl w:val="true"/>
          <w:lang w:bidi="fa-IR"/>
        </w:rPr>
        <w:t>أنّه لو انهدمت الکعبة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یصحّ الطواف حول عرصتها،و هو بعید،بل باطل </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ذهاب صاحب الجواهر أیضا إلی صحّة الطواف من السطح و إن کان أعلی من البیت</w:t>
      </w:r>
      <w:r>
        <w:rPr>
          <w:rFonts w:eastAsia="IRNazanin" w:cs="IRNazanin"/>
          <w:color w:val="111111"/>
          <w:sz w:val="28"/>
          <w:szCs w:val="28"/>
          <w:rtl w:val="true"/>
          <w:lang w:bidi="fa-IR"/>
        </w:rPr>
        <w:t>.</w:t>
      </w:r>
      <w:bookmarkStart w:id="707" w:name="pg5439_47048"/>
    </w:p>
    <w:p>
      <w:pPr>
        <w:pStyle w:val="BookText"/>
        <w:rPr/>
      </w:pPr>
      <w:bookmarkEnd w:id="707"/>
      <w:r>
        <w:rPr>
          <w:rFonts w:ascii="IRNazanin" w:hAnsi="IRNazanin" w:eastAsia="IRNazanin"/>
          <w:color w:val="111111"/>
          <w:sz w:val="28"/>
          <w:sz w:val="28"/>
          <w:szCs w:val="28"/>
          <w:rtl w:val="true"/>
          <w:lang w:bidi="fa-IR"/>
        </w:rPr>
        <w:t>و الذی یبدو أنّ أکثر العامّة قائلون بصحّة الطواف فیما إذا کان مرتفعا عن البیت،فقد قال النووی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الطواف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سطوح المسجد إذا کان البیت أرفع بناء من المسجد،کما هو الیوم،قال الرافعی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جعل سقف المسجد أعلی من سطح الکعبة،فقد ذکر صاحب العدّة أنّه لا یجوز الطواف علی سطح المسجد،و أنکره علیه الرافعی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صحّ قوله لزم منه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انهدمت الکعبة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العیاذ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یصحّ الطواف حول عرصتها،و هو بعید </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الذی قاله الرافعی هو الصواب،و قد جزم القاضی حسین فی تعلیقه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لو طاف علی سطح المسجد صحّ و إن ارتفع عن محاذاة الکعبة،ثمّ أضاف قاعدة کلّیّة؛و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وسّع المسجد اتّسع المطاف،و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اتّفق أصحابنا علی ذلک</w:t>
      </w:r>
      <w:r>
        <w:rPr>
          <w:rFonts w:eastAsia="IRNazanin" w:cs="IRNazanin"/>
          <w:color w:val="111111"/>
          <w:sz w:val="28"/>
          <w:szCs w:val="28"/>
          <w:rtl w:val="true"/>
          <w:lang w:bidi="fa-IR"/>
        </w:rPr>
        <w:t xml:space="preserve">» </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الزحیلی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یصحّ علی سطح المسجد و إن کان سقف المسجد أعلی من البیت </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8" w:name="__RefHeading___Toc1856356_581953129"/>
      <w:bookmarkStart w:id="709" w:name="_Toc263"/>
      <w:bookmarkEnd w:id="708"/>
      <w:r>
        <w:rPr>
          <w:rtl w:val="true"/>
        </w:rPr>
        <w:t>فروع ملحقة</w:t>
      </w:r>
      <w:r>
        <w:rPr>
          <w:rtl w:val="true"/>
        </w:rPr>
        <w:t>:</w:t>
      </w:r>
      <w:bookmarkEnd w:id="709"/>
    </w:p>
    <w:p>
      <w:pPr>
        <w:pStyle w:val="Heading4"/>
        <w:numPr>
          <w:ilvl w:val="3"/>
          <w:numId w:val="1"/>
        </w:numPr>
        <w:rPr/>
      </w:pPr>
      <w:bookmarkStart w:id="710" w:name="__RefHeading___Toc1856358_581953129"/>
      <w:bookmarkStart w:id="711" w:name="_Toc264"/>
      <w:bookmarkEnd w:id="710"/>
      <w:r>
        <w:rPr>
          <w:rtl w:val="true"/>
        </w:rPr>
        <w:t>الأوّل</w:t>
      </w:r>
      <w:r>
        <w:rPr>
          <w:rtl w:val="true"/>
        </w:rPr>
        <w:t>:</w:t>
      </w:r>
      <w:r>
        <w:rPr>
          <w:rtl w:val="true"/>
        </w:rPr>
        <w:t>الطواف فی المکان المرتفع من البیت قلیلا</w:t>
      </w:r>
      <w:bookmarkEnd w:id="711"/>
    </w:p>
    <w:p>
      <w:pPr>
        <w:pStyle w:val="BookText"/>
        <w:rPr/>
      </w:pPr>
      <w:r>
        <w:rPr>
          <w:rFonts w:ascii="IRNazanin" w:hAnsi="IRNazanin" w:eastAsia="IRNazanin"/>
          <w:color w:val="111111"/>
          <w:sz w:val="28"/>
          <w:sz w:val="28"/>
          <w:szCs w:val="28"/>
          <w:rtl w:val="true"/>
          <w:lang w:bidi="fa-IR"/>
        </w:rPr>
        <w:t>ثمّ 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قطع النظر عن التوسعة،و بناء علی عدمها،و لزوم الاقتصار علی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عند العرف أنّ الارتفاع القلیل بمقدار متر،أو مترین لا یخرجه عن الطواف حول البیت،فیصحّ الطواف انطلاقا من الصدق العرفی</w:t>
      </w:r>
      <w:r>
        <w:rPr>
          <w:rFonts w:eastAsia="IRNazanin" w:cs="IRNazanin"/>
          <w:color w:val="111111"/>
          <w:sz w:val="28"/>
          <w:szCs w:val="28"/>
          <w:rtl w:val="true"/>
          <w:lang w:bidi="fa-IR"/>
        </w:rPr>
        <w:t>.</w:t>
      </w:r>
    </w:p>
    <w:p>
      <w:pPr>
        <w:pStyle w:val="Heading4"/>
        <w:numPr>
          <w:ilvl w:val="3"/>
          <w:numId w:val="1"/>
        </w:numPr>
        <w:rPr/>
      </w:pPr>
      <w:bookmarkStart w:id="712" w:name="__RefHeading___Toc1856360_581953129"/>
      <w:bookmarkStart w:id="713" w:name="_Toc265"/>
      <w:bookmarkEnd w:id="712"/>
      <w:r>
        <w:rPr>
          <w:rtl w:val="true"/>
        </w:rPr>
        <w:t>الثانی</w:t>
      </w:r>
      <w:r>
        <w:rPr>
          <w:rtl w:val="true"/>
        </w:rPr>
        <w:t>:</w:t>
      </w:r>
      <w:r>
        <w:rPr>
          <w:rtl w:val="true"/>
        </w:rPr>
        <w:t>شمول الحکم لحال الاضطرار،و عدمه</w:t>
      </w:r>
      <w:bookmarkEnd w:id="713"/>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یظهر أیضا أنّ صحّة الطواف فیما إذا کان أعلی من الکعبة لیست مختصّة بحال الاضطرار،بل من یقول بعدم وجود حدّ للمطاف یصحّ له القول بذلک</w:t>
      </w:r>
      <w:bookmarkStart w:id="714" w:name="pg5439_47049"/>
    </w:p>
    <w:p>
      <w:pPr>
        <w:pStyle w:val="BookText"/>
        <w:rPr/>
      </w:pPr>
      <w:bookmarkEnd w:id="714"/>
      <w:r>
        <w:rPr>
          <w:rFonts w:ascii="IRNazanin" w:hAnsi="IRNazanin" w:eastAsia="IRNazanin"/>
          <w:color w:val="111111"/>
          <w:sz w:val="28"/>
          <w:sz w:val="28"/>
          <w:szCs w:val="28"/>
          <w:rtl w:val="true"/>
          <w:lang w:bidi="fa-IR"/>
        </w:rPr>
        <w:t>مطلقا،و اللّه العالم</w:t>
      </w:r>
      <w:r>
        <w:rPr>
          <w:rFonts w:eastAsia="IRNazanin" w:cs="IRNazanin"/>
          <w:color w:val="111111"/>
          <w:sz w:val="28"/>
          <w:szCs w:val="28"/>
          <w:rtl w:val="true"/>
          <w:lang w:bidi="fa-IR"/>
        </w:rPr>
        <w:t>.</w:t>
      </w:r>
    </w:p>
    <w:p>
      <w:pPr>
        <w:pStyle w:val="Heading4"/>
        <w:numPr>
          <w:ilvl w:val="3"/>
          <w:numId w:val="1"/>
        </w:numPr>
        <w:rPr/>
      </w:pPr>
      <w:bookmarkStart w:id="715" w:name="__RefHeading___Toc1856362_581953129"/>
      <w:bookmarkStart w:id="716" w:name="_Toc266"/>
      <w:bookmarkEnd w:id="715"/>
      <w:r>
        <w:rPr>
          <w:rtl w:val="true"/>
        </w:rPr>
        <w:t>الثالث</w:t>
      </w:r>
      <w:r>
        <w:rPr>
          <w:rtl w:val="true"/>
        </w:rPr>
        <w:t>:</w:t>
      </w:r>
      <w:r>
        <w:rPr>
          <w:rtl w:val="true"/>
        </w:rPr>
        <w:t>الاستنابة و مشروعیّتها</w:t>
      </w:r>
      <w:bookmarkEnd w:id="716"/>
    </w:p>
    <w:p>
      <w:pPr>
        <w:pStyle w:val="BookText"/>
        <w:rPr/>
      </w:pPr>
      <w:r>
        <w:rPr>
          <w:rFonts w:ascii="IRNazanin" w:hAnsi="IRNazanin" w:eastAsia="IRNazanin"/>
          <w:color w:val="111111"/>
          <w:sz w:val="28"/>
          <w:sz w:val="28"/>
          <w:szCs w:val="28"/>
          <w:rtl w:val="true"/>
          <w:lang w:bidi="fa-IR"/>
        </w:rPr>
        <w:t>الظاهر أنّه لا تصل النوبة إلی الاستنابة إلاّ علی قول من یذهب إلی وجود حدّ للمطاف؛إذ یلزمه طبعا الإفتاء بلزوم الاستنابة،و عدم صحّة الطواف من الطابق الأوّل،لا من جهة کونه أعلی من البیت،بل من جهة کونه خارجا عن حدّ المطاف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یأتی هنا بحث،و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علی القول بوجود الحدّ إذا أمکنت الاستنابة وجبت علیه،و أمّا إذا لم یمکن،و علم الحاجّ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ابتداء قبل الشروع فی الإحرام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غیر قادر علی الطواف لا بنفسه و لا بالاستنابة،فهل یکون إحرامه صحیحا،أم لا؟</w:t>
      </w:r>
    </w:p>
    <w:p>
      <w:pPr>
        <w:pStyle w:val="BookText"/>
        <w:rPr/>
      </w:pPr>
      <w:r>
        <w:rPr>
          <w:rFonts w:ascii="IRNazanin" w:hAnsi="IRNazanin" w:eastAsia="IRNazanin"/>
          <w:color w:val="111111"/>
          <w:sz w:val="28"/>
          <w:sz w:val="28"/>
          <w:szCs w:val="28"/>
          <w:rtl w:val="true"/>
          <w:lang w:bidi="fa-IR"/>
        </w:rPr>
        <w:t xml:space="preserve">یمکن أن یقال بعدم وجوب الحجّ فی هذا الفرض؛إمّا من جهة أنّ عدم القدرة علی الجزء أو الشرط،موجب لعدم القدرة علی المرکّب أو المشروط،فیسقط وجوب الحجّ لأجل عدم توجّه التکلیف و الخطاب نحو المخاطب،بناء علی ما أسّسه المحقّق النائینی من أنّ شرطیّة القدرة تستفاد من اقتضاء الخطاب لا من حکم العقل </w:t>
      </w:r>
      <w:r>
        <w:rPr>
          <w:rStyle w:val="FootnoteAnchor"/>
          <w:rtl w:val="true"/>
        </w:rPr>
        <w:footnoteReference w:id="927"/>
      </w:r>
      <w:r>
        <w:rPr>
          <w:rFonts w:ascii="IRNazanin" w:hAnsi="IRNazanin" w:eastAsia="IRNazanin"/>
          <w:color w:val="111111"/>
          <w:sz w:val="28"/>
          <w:sz w:val="28"/>
          <w:szCs w:val="28"/>
          <w:rtl w:val="true"/>
          <w:lang w:bidi="fa-IR"/>
        </w:rPr>
        <w:t>،أو أنّ عدم القدرة علی الجزء أو الشرط موجب لکون توجّه التکلیف إلیه قبیحا علی مبنی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القاضی بحکم العقل بقبح تکلیف العاجز، کلّ ذلک بناء علی شرطیّة القدرة فی التکلیف؛إمّا من اقتضاء نفس الخطاب،أو من حکم العقل</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بناء علی عدم شرطیّة القدرة فیه،و القول بأنّ الخطاب یشمل العاجز کما أنّه یشمل القادر،غایته أنّ العاجز معذور فی ترک الامتثال،و هو ما ذهب إلیه السیّد الإمام الخمینی </w:t>
      </w:r>
      <w:r>
        <w:rPr>
          <w:rStyle w:val="FootnoteAnchor"/>
          <w:rtl w:val="true"/>
        </w:rPr>
        <w:footnoteReference w:id="928"/>
      </w:r>
      <w:r>
        <w:rPr>
          <w:rFonts w:ascii="Amiri" w:hAnsi="Amiri" w:eastAsia="Amiri" w:cs="Amiri"/>
          <w:color w:val="111111"/>
          <w:sz w:val="28"/>
          <w:sz w:val="28"/>
          <w:szCs w:val="28"/>
          <w:rtl w:val="true"/>
          <w:lang w:bidi="ar-SA"/>
        </w:rPr>
        <w:t xml:space="preserve">و السیّد الخوئی قدّس سرّهما </w:t>
      </w:r>
      <w:r>
        <w:rPr>
          <w:rStyle w:val="FootnoteAnchor"/>
          <w:rtl w:val="true"/>
        </w:rPr>
        <w:footnoteReference w:id="929"/>
      </w:r>
      <w:r>
        <w:rPr>
          <w:rFonts w:ascii="IRNazanin" w:hAnsi="IRNazanin" w:eastAsia="IRNazanin"/>
          <w:color w:val="111111"/>
          <w:sz w:val="28"/>
          <w:sz w:val="28"/>
          <w:szCs w:val="28"/>
          <w:rtl w:val="true"/>
          <w:lang w:bidi="fa-IR"/>
        </w:rPr>
        <w:t>،فیکون العجز عن الجزء مساوقا</w:t>
      </w:r>
      <w:bookmarkStart w:id="717" w:name="pg5439_47050"/>
    </w:p>
    <w:p>
      <w:pPr>
        <w:pStyle w:val="BookText"/>
        <w:rPr/>
      </w:pPr>
      <w:bookmarkEnd w:id="717"/>
      <w:r>
        <w:rPr>
          <w:rFonts w:ascii="IRNazanin" w:hAnsi="IRNazanin" w:eastAsia="IRNazanin"/>
          <w:color w:val="111111"/>
          <w:sz w:val="28"/>
          <w:sz w:val="28"/>
          <w:szCs w:val="28"/>
          <w:rtl w:val="true"/>
          <w:lang w:bidi="fa-IR"/>
        </w:rPr>
        <w:t>للعجز عن المرکّب،فیکون معذورا فی ترک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الوجوب الواحد فی المرکّب یسقط بتعذّر جزء من الأجزاء، فإذا تعذّر أحد الأجزاء یسقط الوجوب عن الباقی بمقتضی القاعدة الأوّلیّة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قد یدلّ الدلیل الخاصّ علی بقاء الوجوب فی الباقی،کما فی باب الصلاة</w:t>
      </w:r>
      <w:r>
        <w:rPr>
          <w:rFonts w:eastAsia="IRNazanin" w:cs="IRNazanin"/>
          <w:color w:val="111111"/>
          <w:sz w:val="28"/>
          <w:szCs w:val="28"/>
          <w:rtl w:val="true"/>
          <w:lang w:bidi="fa-IR"/>
        </w:rPr>
        <w:t>.</w:t>
      </w:r>
    </w:p>
    <w:p>
      <w:pPr>
        <w:pStyle w:val="Heading3"/>
        <w:numPr>
          <w:ilvl w:val="2"/>
          <w:numId w:val="1"/>
        </w:numPr>
        <w:rPr/>
      </w:pPr>
      <w:bookmarkStart w:id="718" w:name="__RefHeading___Toc1856364_581953129"/>
      <w:bookmarkStart w:id="719" w:name="_Toc267"/>
      <w:bookmarkEnd w:id="718"/>
      <w:r>
        <w:rPr>
          <w:rtl w:val="true"/>
        </w:rPr>
        <w:t>سوال و جواب</w:t>
      </w:r>
      <w:bookmarkEnd w:id="719"/>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حقّق فی محلّه أنّ الجامع بین المقدور،و غیر المقدور مقدور </w:t>
      </w:r>
      <w:r>
        <w:rPr>
          <w:rStyle w:val="FootnoteAnchor"/>
          <w:rtl w:val="true"/>
        </w:rPr>
        <w:footnoteReference w:id="930"/>
      </w:r>
      <w:r>
        <w:rPr>
          <w:rFonts w:ascii="IRNazanin" w:hAnsi="IRNazanin" w:eastAsia="IRNazanin"/>
          <w:color w:val="111111"/>
          <w:sz w:val="28"/>
          <w:sz w:val="28"/>
          <w:szCs w:val="28"/>
          <w:rtl w:val="true"/>
          <w:lang w:bidi="fa-IR"/>
        </w:rPr>
        <w:t>،فإذا کان بعض أفراد الطبیعة المأمور بها مقدورا،و لکن بعضها الآخر غیر مقدور،یصحّ التکلیف بالطبیعة من هذه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نعم،هذا الکلام إنّما یجری فی الکلّی و الفرد،لا فی الکلّ و الجزء،و الکلام هنا إنّما هو فی الثانی؛فإنّ العاجز عن الجزء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عاجزا عن الکلّ،فتدبّر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ملازمة بین عدم وجوب الحجّ،و عدم صحّة الإحرام،فیمکن أن یقال بصحّة إحرامه دون وجوب الحجّ علیه،و الخروج من الإحرام له أسباب یمکن الإتیان بها،و لم یشترط أحد فی صحّة الإحرام إمکان الإتیان ببقیّة الأجزاء فی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الإحرام أیضا من أجزاء الحجّ،فبعد عدم القدرة علی جزء من أجزائه تکون بقیّة الأجزاء فی حکم غیر المقدور،و لا أقلّ لا تکون مشمولة للطلب المتوجّه إلی المرکّب،و المفروض عدم المطلوبیّة الاستقلالیّة لکلّ من الأجزاء،فلا یصحّ الإحرام أیضا</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بهذا ظهر ممّا أسلفناه أنّ العاجز عن الطواف الصحیح المشروع مع</w:t>
      </w:r>
      <w:bookmarkStart w:id="720" w:name="pg5439_47051"/>
    </w:p>
    <w:p>
      <w:pPr>
        <w:pStyle w:val="BookText"/>
        <w:rPr/>
      </w:pPr>
      <w:bookmarkEnd w:id="720"/>
      <w:r>
        <w:rPr>
          <w:rFonts w:ascii="IRNazanin" w:hAnsi="IRNazanin" w:eastAsia="IRNazanin"/>
          <w:color w:val="111111"/>
          <w:sz w:val="28"/>
          <w:sz w:val="28"/>
          <w:szCs w:val="28"/>
          <w:rtl w:val="true"/>
          <w:lang w:bidi="fa-IR"/>
        </w:rPr>
        <w:t>عدم إمکان الاستنابة أیضا یسقط عنه الوجوب،و لا یجب علیه الحجّ،کما لا یصحّ منه الإحرام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نعم،لا یخفی أنّ القدرة علی العمل کافیة و لو من طریق الاستنابة؛فإنّ القادر علی الاستنابة فی العمل الذی یقبل النیابة قادر علی العمل أیضا،و علی هذا یتّضح أنّه لو لم یکن الحاجّ قادرا علی الطواف و السعی مثلا،لکنّه کان قادرا علی الاستنابة فیهما،و علی المباشرة فی الصلاة و التقصیر،لکان إحرامه و عمرته صحیحین</w:t>
      </w:r>
      <w:r>
        <w:rPr>
          <w:rFonts w:eastAsia="IRNazanin" w:cs="IRNazanin"/>
          <w:color w:val="111111"/>
          <w:sz w:val="28"/>
          <w:szCs w:val="28"/>
          <w:rtl w:val="true"/>
          <w:lang w:bidi="fa-IR"/>
        </w:rPr>
        <w:t>.</w:t>
      </w:r>
    </w:p>
    <w:p>
      <w:pPr>
        <w:pStyle w:val="Heading3"/>
        <w:numPr>
          <w:ilvl w:val="2"/>
          <w:numId w:val="1"/>
        </w:numPr>
        <w:rPr/>
      </w:pPr>
      <w:bookmarkStart w:id="721" w:name="__RefHeading___Toc1856366_581953129"/>
      <w:bookmarkStart w:id="722" w:name="_Toc268"/>
      <w:bookmarkEnd w:id="721"/>
      <w:r>
        <w:rPr>
          <w:rtl w:val="true"/>
        </w:rPr>
        <w:t>خلاصة البحث،و نتیجة الدراسة</w:t>
      </w:r>
      <w:bookmarkEnd w:id="72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بناء علی جواز الإضافة فی جهة الارتفاع إلی البیت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بناء علی عدم شمول النهی الوارد فی الروایات عن البناء فوق الکعبة </w:t>
      </w:r>
      <w:r>
        <w:rPr>
          <w:rStyle w:val="FootnoteAnchor"/>
          <w:rtl w:val="true"/>
        </w:rPr>
        <w:footnoteReference w:id="931"/>
      </w:r>
      <w:r>
        <w:rPr>
          <w:rFonts w:ascii="IRNazanin" w:hAnsi="IRNazanin" w:eastAsia="IRNazanin"/>
          <w:color w:val="111111"/>
          <w:sz w:val="28"/>
          <w:sz w:val="28"/>
          <w:szCs w:val="28"/>
          <w:rtl w:val="true"/>
          <w:lang w:bidi="fa-IR"/>
        </w:rPr>
        <w:t>للأبنیة المتعلّقة بالمسجد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بناء علی عدم اختصاص التوسعة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علوّا و سفلا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بالاستقبال،بل تجری فی الطواف أیضا بمقتضی إطلاق الروایة المرسلة </w:t>
      </w:r>
      <w:r>
        <w:rPr>
          <w:rStyle w:val="FootnoteAnchor"/>
          <w:rtl w:val="true"/>
        </w:rPr>
        <w:footnoteReference w:id="932"/>
      </w:r>
      <w:r>
        <w:rPr>
          <w:rFonts w:ascii="IRNazanin" w:hAnsi="IRNazanin" w:eastAsia="IRNazanin"/>
          <w:color w:val="111111"/>
          <w:sz w:val="28"/>
          <w:sz w:val="28"/>
          <w:szCs w:val="28"/>
          <w:rtl w:val="true"/>
          <w:lang w:bidi="fa-IR"/>
        </w:rPr>
        <w:t xml:space="preserve">الواردة فی المقام أوّلا،و انضمام الروایات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الدالّة علی أنّ البیت قبلة من جهة الفوق ثانیا؛فإنّ الانضمام یدلّ علی التوسعة من جهة الفوق أیضا،و من جهة الصدق العرفی،کالاستقبال ثالثا،و وحدة السیاق و التعبیر فی أدلّة الطواف،و أدلّة القبلة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جهة أنّ الملاک فیهما هو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عدم وجود حدّ للمطاف</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نستنتج صحّة الطواف من الطابق الأوّل و إن کان أعلی من البیت،و هو المستفاد أیضا من کلمات صاحب الجواهر </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نستنتج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قطع النظر عن التوسعة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صحّة الطواف و إن کان أعلی من البیت بمقدار متر،أو مترین؛فإنّ هذا المقدار لا یضرّ فی صدق الطواف عرفا حول البیت،و اللّه العالم</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بما أنّ هذا البحث جدید،و لم أر من تعرّض له سابقا حتّی بنحو الإشارة، یحتاج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دقّة کثیرة،و علی المحقّقین و الفقهاء أن یبحثوا حوله،و ینظروا إلی ما قلناه نظرا جامعا وافیا</w:t>
      </w:r>
      <w:r>
        <w:rPr>
          <w:rFonts w:eastAsia="IRNazanin" w:cs="IRNazanin"/>
          <w:color w:val="111111"/>
          <w:sz w:val="28"/>
          <w:szCs w:val="28"/>
          <w:rtl w:val="true"/>
          <w:lang w:bidi="fa-IR"/>
        </w:rPr>
        <w:t>.</w:t>
      </w:r>
      <w:bookmarkStart w:id="723" w:name="pg5439_47053"/>
    </w:p>
    <w:p>
      <w:pPr>
        <w:pStyle w:val="Heading2"/>
        <w:numPr>
          <w:ilvl w:val="1"/>
          <w:numId w:val="1"/>
        </w:numPr>
        <w:rPr/>
      </w:pPr>
      <w:bookmarkStart w:id="724" w:name="__RefHeading___Toc1856368_581953129"/>
      <w:bookmarkStart w:id="725" w:name="_Toc269"/>
      <w:bookmarkEnd w:id="723"/>
      <w:bookmarkEnd w:id="724"/>
      <w:r>
        <w:rPr>
          <w:rtl w:val="true"/>
        </w:rPr>
        <w:t>رسالة فی اعتبار الأجهزة الحدیثة فی رؤیة الهلال</w:t>
      </w:r>
      <w:bookmarkEnd w:id="725"/>
    </w:p>
    <w:p>
      <w:pPr>
        <w:pStyle w:val="Heading3"/>
        <w:numPr>
          <w:ilvl w:val="2"/>
          <w:numId w:val="1"/>
        </w:numPr>
        <w:rPr/>
      </w:pPr>
      <w:bookmarkStart w:id="726" w:name="__RefHeading___Toc1856370_581953129"/>
      <w:bookmarkStart w:id="727" w:name="_Toc270"/>
      <w:bookmarkEnd w:id="726"/>
      <w:r>
        <w:rPr>
          <w:rtl w:val="true"/>
        </w:rPr>
        <w:t>اشارة</w:t>
      </w:r>
      <w:bookmarkEnd w:id="727"/>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ألّفت فی سنة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bookmarkStart w:id="728" w:name="pg5439_47055"/>
    </w:p>
    <w:p>
      <w:pPr>
        <w:pStyle w:val="BookText"/>
        <w:rPr/>
      </w:pPr>
      <w:bookmarkEnd w:id="728"/>
      <w:r>
        <w:rPr>
          <w:rFonts w:ascii="Amiri" w:hAnsi="Amiri" w:eastAsia="Amiri" w:cs="Amiri"/>
          <w:color w:val="111111"/>
          <w:sz w:val="28"/>
          <w:sz w:val="28"/>
          <w:szCs w:val="28"/>
          <w:rtl w:val="true"/>
          <w:lang w:bidi="ar-SA"/>
        </w:rPr>
        <w:t>بسم اللّه الرّحمن الرّحیم</w:t>
      </w:r>
    </w:p>
    <w:p>
      <w:pPr>
        <w:pStyle w:val="Heading3"/>
        <w:numPr>
          <w:ilvl w:val="2"/>
          <w:numId w:val="1"/>
        </w:numPr>
        <w:rPr/>
      </w:pPr>
      <w:bookmarkStart w:id="729" w:name="__RefHeading___Toc1856372_581953129"/>
      <w:bookmarkStart w:id="730" w:name="_Toc271"/>
      <w:bookmarkEnd w:id="729"/>
      <w:r>
        <w:rPr>
          <w:rtl w:val="true"/>
        </w:rPr>
        <w:t>مقدّمة</w:t>
      </w:r>
      <w:bookmarkEnd w:id="730"/>
    </w:p>
    <w:p>
      <w:pPr>
        <w:pStyle w:val="BookText"/>
        <w:rPr/>
      </w:pPr>
      <w:r>
        <w:rPr>
          <w:rFonts w:ascii="IRNazanin" w:hAnsi="IRNazanin" w:eastAsia="IRNazanin"/>
          <w:color w:val="111111"/>
          <w:sz w:val="28"/>
          <w:sz w:val="28"/>
          <w:szCs w:val="28"/>
          <w:rtl w:val="true"/>
          <w:lang w:bidi="fa-IR"/>
        </w:rPr>
        <w:t>من المسائل المطروحة للبحث الیوم مسألة اعتبار،أو عدم اعتبار الأجهزة و الوسائل الحدیثة فی رؤیة الهلال،فمع ظهور هذه الأجهزة الجدیدة من قبیل الناظور و التلسکوب طرح هذا البحث فی مدی إمکانیّة الاجتزاء بها لرؤیة الهلال، و جری الکلام فی أنّه هل تکفی مثل هذه الوسائل لإثبات الرؤیة،کما تکفی فیها الرؤیة بالعین المعبّر عنها بالرؤیة غیر المسلّحة،أو لا؟و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تجزئ الرؤیة بالعین المسلّحة أم لا؟</w:t>
      </w:r>
    </w:p>
    <w:p>
      <w:pPr>
        <w:pStyle w:val="BookText"/>
        <w:rPr/>
      </w:pPr>
      <w:r>
        <w:rPr>
          <w:rFonts w:ascii="IRNazanin" w:hAnsi="IRNazanin" w:eastAsia="IRNazanin"/>
          <w:color w:val="111111"/>
          <w:sz w:val="28"/>
          <w:sz w:val="28"/>
          <w:szCs w:val="28"/>
          <w:rtl w:val="true"/>
          <w:lang w:bidi="fa-IR"/>
        </w:rPr>
        <w:t>و قد ورد استفتاء علی سماحة آیة اللّه العظمی الشیخ محمّد الفاضل اللنکرانی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 الاستفادة من الوسائل الفلکیّة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کالناظور و التلسکوب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لرؤیة الهلال،فکان جواب سماحته ما یلی</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فرق فی رؤیة الهلال بین کونها بالعین المسلّحة أو غیر المسلّحة،فتکفی الرؤیة بالتلسکوب،کما تکفی بالمنظار و النظّارات المستخدمة فی الصید و نحوه</w:t>
      </w:r>
      <w:r>
        <w:rPr>
          <w:rFonts w:eastAsia="IRNazanin" w:cs="IRNazanin"/>
          <w:color w:val="111111"/>
          <w:sz w:val="28"/>
          <w:szCs w:val="28"/>
          <w:rtl w:val="true"/>
          <w:lang w:bidi="fa-IR"/>
        </w:rPr>
        <w:t>.</w:t>
      </w:r>
      <w:bookmarkStart w:id="731" w:name="pg5439_47056"/>
    </w:p>
    <w:p>
      <w:pPr>
        <w:pStyle w:val="BookText"/>
        <w:rPr/>
      </w:pPr>
      <w:bookmarkEnd w:id="731"/>
      <w:r>
        <w:rPr>
          <w:rFonts w:ascii="IRNazanin" w:hAnsi="IRNazanin" w:eastAsia="IRNazanin"/>
          <w:color w:val="111111"/>
          <w:sz w:val="28"/>
          <w:sz w:val="28"/>
          <w:szCs w:val="28"/>
          <w:rtl w:val="true"/>
          <w:lang w:bidi="fa-IR"/>
        </w:rPr>
        <w:t>و قد ترکت هذه الفتوی انعکاسا و صدی واسعا فی الخارج و الداخل،سیّما بین العلماء و الأکابر،و لعلّه یمکن أن یقال بأنّه لا نجد نظیرا لهذه الفتوی بین المراجع العظام بهذه الصراحة و الوضوح قبل هذا،و قد طلب منّی جمع من الأفاضل علی إثر ذلک بیان و توضیح هذه الفتوی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حالفنی التوفیق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الحمد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لبحث هذه المسألة التی هی فی عداد المسائل المستحدثة بحثا استدلالیّا بحسب ما سنحت به الفرصة،و فی حدود الإمکان، راجیا من ذوی الرأی ملاحظتها بعین الإنصاف</w:t>
      </w:r>
      <w:r>
        <w:rPr>
          <w:rFonts w:eastAsia="IRNazanin" w:cs="IRNazanin"/>
          <w:color w:val="111111"/>
          <w:sz w:val="28"/>
          <w:szCs w:val="28"/>
          <w:rtl w:val="true"/>
          <w:lang w:bidi="fa-IR"/>
        </w:rPr>
        <w:t>.</w:t>
      </w:r>
    </w:p>
    <w:p>
      <w:pPr>
        <w:pStyle w:val="Heading3"/>
        <w:numPr>
          <w:ilvl w:val="2"/>
          <w:numId w:val="1"/>
        </w:numPr>
        <w:rPr/>
      </w:pPr>
      <w:bookmarkStart w:id="732" w:name="__RefHeading___Toc1856374_581953129"/>
      <w:bookmarkStart w:id="733" w:name="_Toc272"/>
      <w:bookmarkEnd w:id="732"/>
      <w:r>
        <w:rPr>
          <w:rtl w:val="true"/>
        </w:rPr>
        <w:t>تحریر محلّ النزاع</w:t>
      </w:r>
      <w:bookmarkEnd w:id="733"/>
    </w:p>
    <w:p>
      <w:pPr>
        <w:pStyle w:val="BookText"/>
        <w:rPr/>
      </w:pPr>
      <w:r>
        <w:rPr>
          <w:rFonts w:ascii="IRNazanin" w:hAnsi="IRNazanin" w:eastAsia="IRNazanin"/>
          <w:color w:val="111111"/>
          <w:sz w:val="28"/>
          <w:sz w:val="28"/>
          <w:szCs w:val="28"/>
          <w:rtl w:val="true"/>
          <w:lang w:bidi="fa-IR"/>
        </w:rPr>
        <w:t>قبل الخوض فی الآراء و استعراض الأدلّة یلزم أوّلا تحریر محلّ النزاع،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للهلال من الناحیة التکوینیّة و الواقعیّة حالتین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المقارنة،و هی عندما یکون الهلال واقعا تحت ضوء الشمس بحیث لا یمکن رؤیته بالعین المجرّدة إطلاقا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الولادة،و هی عندما یخرج القمر من المحاق و من تحت ضوء الشمس،و یبدأ بذلک شهر جدید،و هو ما یعبّر عنه فی اللغة و العرف بالهلال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أوّل زمان الولادة هو أوّل زمان الهلال</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الوارد فی لسان الأخبار </w:t>
      </w:r>
      <w:r>
        <w:rPr>
          <w:rStyle w:val="FootnoteAnchor"/>
          <w:rtl w:val="true"/>
        </w:rPr>
        <w:footnoteReference w:id="934"/>
      </w:r>
      <w:r>
        <w:rPr>
          <w:rFonts w:ascii="IRNazanin" w:hAnsi="IRNazanin" w:eastAsia="IRNazanin"/>
          <w:color w:val="111111"/>
          <w:sz w:val="28"/>
          <w:sz w:val="28"/>
          <w:szCs w:val="28"/>
          <w:rtl w:val="true"/>
          <w:lang w:bidi="fa-IR"/>
        </w:rPr>
        <w:t xml:space="preserve">کملاک للمسألة عبارة عن عنوان مرکّب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رؤیة الهلال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مکوّن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من البحث فی کلّ منهما،و سوف نتناول فیما یلی من البحث عند تعریف الرؤیة کیفیّة أخذها فی الأخبار،و أنّه هل بنحو الموضوعیّة،أو الطریقیّة؟و هل إنّ لها إطلاقا من جهة</w:t>
      </w:r>
      <w:bookmarkStart w:id="734" w:name="pg5439_47057"/>
    </w:p>
    <w:p>
      <w:pPr>
        <w:pStyle w:val="BookText"/>
        <w:rPr/>
      </w:pPr>
      <w:bookmarkEnd w:id="734"/>
      <w:r>
        <w:rPr>
          <w:rFonts w:ascii="IRNazanin" w:hAnsi="IRNazanin" w:eastAsia="IRNazanin"/>
          <w:color w:val="111111"/>
          <w:sz w:val="28"/>
          <w:sz w:val="28"/>
          <w:szCs w:val="28"/>
          <w:rtl w:val="true"/>
          <w:lang w:bidi="fa-IR"/>
        </w:rPr>
        <w:t>السبب أو لا؟إنّما المهمّ الآن البحث عن تحدید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الشهر الجدید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ولادة القمر و إن کان المستفاد من بعض العبائر </w:t>
      </w:r>
      <w:r>
        <w:rPr>
          <w:rStyle w:val="FootnoteAnchor"/>
          <w:rtl w:val="true"/>
        </w:rPr>
        <w:footnoteReference w:id="935"/>
      </w:r>
      <w:r>
        <w:rPr>
          <w:rFonts w:ascii="IRNazanin" w:hAnsi="IRNazanin" w:eastAsia="IRNazanin"/>
          <w:color w:val="111111"/>
          <w:sz w:val="28"/>
          <w:sz w:val="28"/>
          <w:szCs w:val="28"/>
          <w:rtl w:val="true"/>
          <w:lang w:bidi="fa-IR"/>
        </w:rPr>
        <w:t>إمکانیّة أن یکون ثمّة فاصل زمنیّ یتخلّل بین زمان الولادة و تحقّق الهلال،ففی تحقّق الهلال لا بدّ من مضیّ مدّة بعد ولادته؛لشدّة ضعف نوره،و لکنّ الظاهر أنّه یتحقّق بدایة الشهر بمجرّد ولادة الهلال</w:t>
      </w:r>
      <w:r>
        <w:rPr>
          <w:rFonts w:eastAsia="IRNazanin" w:cs="IRNazanin"/>
          <w:color w:val="111111"/>
          <w:sz w:val="28"/>
          <w:szCs w:val="28"/>
          <w:rtl w:val="true"/>
          <w:lang w:bidi="fa-IR"/>
        </w:rPr>
        <w:t>.</w:t>
      </w:r>
    </w:p>
    <w:p>
      <w:pPr>
        <w:pStyle w:val="Heading3"/>
        <w:numPr>
          <w:ilvl w:val="2"/>
          <w:numId w:val="1"/>
        </w:numPr>
        <w:rPr/>
      </w:pPr>
      <w:bookmarkStart w:id="735" w:name="__RefHeading___Toc1856376_581953129"/>
      <w:bookmarkStart w:id="736" w:name="_Toc273"/>
      <w:bookmarkEnd w:id="735"/>
      <w:r>
        <w:rPr>
          <w:rtl w:val="true"/>
        </w:rPr>
        <w:t>تعریف الهلال</w:t>
      </w:r>
      <w:bookmarkEnd w:id="736"/>
    </w:p>
    <w:p>
      <w:pPr>
        <w:pStyle w:val="BookText"/>
        <w:rPr/>
      </w:pPr>
      <w:r>
        <w:rPr>
          <w:rFonts w:ascii="IRNazanin" w:hAnsi="IRNazanin" w:eastAsia="IRNazanin"/>
          <w:color w:val="111111"/>
          <w:sz w:val="28"/>
          <w:sz w:val="28"/>
          <w:szCs w:val="28"/>
          <w:rtl w:val="true"/>
          <w:lang w:bidi="fa-IR"/>
        </w:rPr>
        <w:t xml:space="preserve">و الهلال لغة هو الشهر الجدید و إن کان یطلق للیلتین أو إلی ثلاث لیال هلالا أیضا عند البعض </w:t>
      </w:r>
      <w:r>
        <w:rPr>
          <w:rStyle w:val="FootnoteAnchor"/>
          <w:rtl w:val="true"/>
        </w:rPr>
        <w:footnoteReference w:id="936"/>
      </w:r>
      <w:r>
        <w:rPr>
          <w:rFonts w:ascii="IRNazanin" w:hAnsi="IRNazanin" w:eastAsia="IRNazanin"/>
          <w:color w:val="111111"/>
          <w:sz w:val="28"/>
          <w:sz w:val="28"/>
          <w:szCs w:val="28"/>
          <w:rtl w:val="true"/>
          <w:lang w:bidi="fa-IR"/>
        </w:rPr>
        <w:t xml:space="preserve">،أو إلی سبعة عند آخر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لسان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الهلال غرّة القمر حین یهلّه الناس فی غرّة الشهر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یسمّی هلالا للیلتین من الشهر،ثمّ لا یسمّی به إلی أن یعود فی الشهر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یسمّی به ثلاث لیال،ثمّ یسمّی قمرا </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یتّضح من هذا النصّ أنّ الهلال یصدق علی الشهر من أوّل لیلة و منذ الولادة؛لأنّ ابن لیلتین یعنی اللیلة الاولی و الثانیة،و النتیجة هی صدق الهلال علیه بخروجه من المحاق و لو لم یره الناس،و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یهلّه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مقوّما لمعناه،بل هو من آثاره الغالبة،و الشاهد علی ذلک ما ورد فی القاموس المحیط من تفسیره الهلال بغرّة القمر </w:t>
      </w:r>
      <w:r>
        <w:rPr>
          <w:rStyle w:val="FootnoteAnchor"/>
          <w:rtl w:val="true"/>
        </w:rPr>
        <w:footnoteReference w:id="938"/>
      </w:r>
      <w:r>
        <w:rPr>
          <w:rFonts w:ascii="IRNazanin" w:hAnsi="IRNazanin" w:eastAsia="IRNazanin"/>
          <w:color w:val="111111"/>
          <w:sz w:val="28"/>
          <w:sz w:val="28"/>
          <w:szCs w:val="28"/>
          <w:rtl w:val="true"/>
          <w:lang w:bidi="fa-IR"/>
        </w:rPr>
        <w:t>،و لم یتضمّن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یهلّه الناس</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Style w:val="FootnoteAnchor"/>
          <w:rtl w:val="true"/>
        </w:rPr>
        <w:footnoteReference w:id="9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عندی و ما علیه الأکثر أن یسمّی هلالا</w:t>
      </w:r>
    </w:p>
    <w:p>
      <w:pPr>
        <w:pStyle w:val="BookText"/>
        <w:rPr/>
      </w:pPr>
      <w:r>
        <w:rPr>
          <w:rFonts w:ascii="IRNazanin" w:hAnsi="IRNazanin" w:eastAsia="IRNazanin"/>
          <w:color w:val="111111"/>
          <w:sz w:val="28"/>
          <w:sz w:val="28"/>
          <w:szCs w:val="28"/>
          <w:rtl w:val="true"/>
          <w:lang w:bidi="fa-IR"/>
        </w:rPr>
        <w:t xml:space="preserve">ابن لیلتین؛فإنّه فی الثالثة یتبیّن ضوؤه </w:t>
      </w:r>
      <w:r>
        <w:rPr>
          <w:rStyle w:val="FootnoteAnchor"/>
          <w:rtl w:val="true"/>
        </w:rPr>
        <w:footnoteReference w:id="9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الهلال صادق علی بدایة ضوء القمر الضعیف،فی حین أنّه لا یغلب علی ظلمة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صحاح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الهلال أوّل لیلة و الثانیة و الثالثة،ثمّ هو قمر </w:t>
      </w:r>
      <w:r>
        <w:rPr>
          <w:rStyle w:val="FootnoteAnchor"/>
          <w:rtl w:val="true"/>
        </w:rPr>
        <w:footnoteReference w:id="941"/>
      </w:r>
      <w:r>
        <w:rPr>
          <w:rFonts w:ascii="IRNazanin" w:hAnsi="IRNazanin" w:eastAsia="IRNazanin"/>
          <w:color w:val="111111"/>
          <w:sz w:val="28"/>
          <w:sz w:val="28"/>
          <w:szCs w:val="28"/>
          <w:rtl w:val="true"/>
          <w:lang w:bidi="fa-IR"/>
        </w:rPr>
        <w:t>،حیث اعتبر أوّل لیلة هلالا و یصدق علیها عنوان الهلال،و لیس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یهلّه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فإنّ للهلال معنی لغویّا بیّنا،و إن کان ثمّة مقولة معروفة عن أبی العبّاس بأنّه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سمّی الهلال هلالا لأنّ الناس یرفعون أصواتهم بالإخبار عنه </w:t>
      </w:r>
      <w:r>
        <w:rPr>
          <w:rStyle w:val="FootnoteAnchor"/>
          <w:rtl w:val="true"/>
        </w:rPr>
        <w:footnoteReference w:id="942"/>
      </w:r>
      <w:r>
        <w:rPr>
          <w:rFonts w:ascii="IRNazanin" w:hAnsi="IRNazanin" w:eastAsia="IRNazanin"/>
          <w:color w:val="111111"/>
          <w:sz w:val="28"/>
          <w:sz w:val="28"/>
          <w:szCs w:val="28"/>
          <w:rtl w:val="true"/>
          <w:lang w:bidi="fa-IR"/>
        </w:rPr>
        <w:t>،إلاّ أنّه لا یمکن اعتبار مثل هذا فی الهلال مورد البحث،أی الموضوع للحکم الشرعی،بعبارة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یمکن 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صیحة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ملاکا فی الهلال، و إن کان هو الغالب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نعم،ورد فی صحاح اللغة کما 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استهلّ هو بمعنی تبیّن، و 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أهلّ </w:t>
      </w:r>
      <w:r>
        <w:rPr>
          <w:rStyle w:val="FootnoteAnchor"/>
          <w:rtl w:val="true"/>
        </w:rPr>
        <w:footnoteReference w:id="9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فسّر الاستهلال بمعنی التبیّن و الظهور،و السبب فی ذلک هو أنّه لو استهلّ شخص و لم یر الهلال فلا یصدق علی ذلک الاستهلال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النقطة الجدیرة بالإشارة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الاستهلال فی الروایات لیس ملاکا للحکم و أنّ الملاک هو نفس الهلال و رؤیتة</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الاخری الجدیرة بالاهتمام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و لو فرضنا القبول بمدخلیّة الظهور و رؤیة الناس و صیحتهم لذلک فی تحقّق الهلال،إلاّ أنّه قد ثبت فی محلّه </w:t>
      </w:r>
      <w:r>
        <w:rPr>
          <w:rStyle w:val="FootnoteAnchor"/>
          <w:rtl w:val="true"/>
        </w:rPr>
        <w:footnoteReference w:id="944"/>
      </w:r>
      <w:r>
        <w:rPr>
          <w:rFonts w:ascii="IRNazanin" w:hAnsi="IRNazanin" w:eastAsia="IRNazanin"/>
          <w:color w:val="111111"/>
          <w:sz w:val="28"/>
          <w:sz w:val="28"/>
          <w:szCs w:val="28"/>
          <w:rtl w:val="true"/>
          <w:lang w:bidi="fa-IR"/>
        </w:rPr>
        <w:t>أنّه لا مدخلیّة تامّة لوجه التسمیة فی صدق العنوان؛بمعنی إمکانیّة أن یصدق العنوان</w:t>
      </w:r>
    </w:p>
    <w:p>
      <w:pPr>
        <w:pStyle w:val="BookText"/>
        <w:rPr/>
      </w:pPr>
      <w:r>
        <w:rPr>
          <w:rFonts w:ascii="IRNazanin" w:hAnsi="IRNazanin" w:eastAsia="IRNazanin"/>
          <w:color w:val="111111"/>
          <w:sz w:val="28"/>
          <w:sz w:val="28"/>
          <w:szCs w:val="28"/>
          <w:rtl w:val="true"/>
          <w:lang w:bidi="fa-IR"/>
        </w:rPr>
        <w:t>فی بعض الحالات من دون صدق وجه التسمیة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النتیجة 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الهلال یتحقّق بمجرّد ولادته،و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یَسْئَلُونَکَ عَنِ الْأَهِلَّةِ الآیة </w:t>
      </w:r>
      <w:r>
        <w:rPr>
          <w:rStyle w:val="FootnoteAnchor"/>
          <w:rtl w:val="true"/>
        </w:rPr>
        <w:footnoteReference w:id="945"/>
      </w:r>
      <w:r>
        <w:rPr>
          <w:rFonts w:ascii="IRNazanin" w:hAnsi="IRNazanin" w:eastAsia="IRNazanin"/>
          <w:color w:val="111111"/>
          <w:sz w:val="28"/>
          <w:sz w:val="28"/>
          <w:szCs w:val="28"/>
          <w:rtl w:val="true"/>
          <w:lang w:bidi="fa-IR"/>
        </w:rPr>
        <w:t>شامل أیضا لمثل هذا الهلال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للفلکیّین أن یسلکوا لتعیین ولادة الهلال طریق الحساب الدقیق کما سلکوه فی المقارنة،إلاّ أنّ المشکلة عدم حجّیة مثل هذه الحسابات بنفسها،و مع غضّ النظر عن إمکان إفادتها الاطمئنان و عدمه،هذا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الأدلّة </w:t>
      </w:r>
      <w:r>
        <w:rPr>
          <w:rStyle w:val="FootnoteAnchor"/>
          <w:rtl w:val="true"/>
        </w:rPr>
        <w:footnoteReference w:id="946"/>
      </w:r>
      <w:r>
        <w:rPr>
          <w:rFonts w:ascii="IRNazanin" w:hAnsi="IRNazanin" w:eastAsia="IRNazanin"/>
          <w:color w:val="111111"/>
          <w:sz w:val="28"/>
          <w:sz w:val="28"/>
          <w:szCs w:val="28"/>
          <w:rtl w:val="true"/>
          <w:lang w:bidi="fa-IR"/>
        </w:rPr>
        <w:t>نصّت علی اعتبار أنّ الرؤیة هی الملاک،و لذا لا یمکن الاعتماد علی الحسابات الفلکیّة،فالملاک إذا بحسب ظاهر الأدلّة هی رؤیة الهلال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وقع البحث فی أنّه لو کان الهلال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کان فی زمن الولادة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قابلا للرؤیة بالتلسکوب بنحو لا تستوجب الرؤیة به تغییرا فی الواقع،و لا تعکس إلاّ الهلال الواقعی،فهل مثل هذه الرؤیة حجّة أم لا؟</w:t>
      </w:r>
    </w:p>
    <w:p>
      <w:pPr>
        <w:pStyle w:val="BookText"/>
        <w:rPr/>
      </w:pPr>
      <w:r>
        <w:rPr>
          <w:rFonts w:ascii="IRNazanin" w:hAnsi="IRNazanin" w:eastAsia="IRNazanin"/>
          <w:color w:val="111111"/>
          <w:sz w:val="28"/>
          <w:sz w:val="28"/>
          <w:szCs w:val="28"/>
          <w:rtl w:val="true"/>
          <w:lang w:bidi="fa-IR"/>
        </w:rPr>
        <w:t>و الوارد فی کلمات بعض الأعاظم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کالمرحوم المحقّق الخوئی قدّس سرّه فیما یرتبط بالهلال محلّ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تکوّن الهلال عبارة عن خروجه عن تحت الشعاع بمقدار یکون قابلا للرؤیة و لو فی الجملة </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فهو یشترط فی تعریف الهلال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خروجه من تحت الشعاع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ینفصل قلیلا عن الشمس،و أن یخرج من تحت شعاعها حتّی یکون قابلا للرؤیة و لو فی بعض المناطق</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لکنّا لا نری وجها لإضافة مثل هذا القید فی تعریف الهلال،بل یلزم علی ذلک ألاّ تکون هناک ضابطة معیّنة و لو أردنا تعریف الهلال کذلک؛فإنّه یمکن اعتبار</w:t>
      </w:r>
    </w:p>
    <w:p>
      <w:pPr>
        <w:pStyle w:val="BookText"/>
        <w:rPr/>
      </w:pPr>
      <w:r>
        <w:rPr>
          <w:rFonts w:ascii="IRNazanin" w:hAnsi="IRNazanin" w:eastAsia="IRNazanin"/>
          <w:color w:val="111111"/>
          <w:sz w:val="28"/>
          <w:sz w:val="28"/>
          <w:szCs w:val="28"/>
          <w:rtl w:val="true"/>
          <w:lang w:bidi="fa-IR"/>
        </w:rPr>
        <w:t>النزاع حینئذ لفظیّا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لو التزمنا بهذا التعریف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خروج الهلال من تحت شعاع الشمس بحیث لا یکون قابلا للرؤیة بالعین الطبیعیّة فعلا لشدّة ضعف نوره،و لکنّه قابل للرؤیة من الناحیة العلمیّة،فیری بالتلسکوب أو الکامیرات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أن یفتی الجمیع فی هذه الصورة بکفایة ذلک و صحّته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کان ظاهر الفتاوی </w:t>
      </w:r>
      <w:r>
        <w:rPr>
          <w:rStyle w:val="FootnoteAnchor"/>
          <w:rtl w:val="true"/>
        </w:rPr>
        <w:footnoteReference w:id="948"/>
      </w:r>
      <w:r>
        <w:rPr>
          <w:rFonts w:ascii="IRNazanin" w:hAnsi="IRNazanin" w:eastAsia="IRNazanin"/>
          <w:color w:val="111111"/>
          <w:sz w:val="28"/>
          <w:sz w:val="28"/>
          <w:szCs w:val="28"/>
          <w:rtl w:val="true"/>
          <w:lang w:bidi="fa-IR"/>
        </w:rPr>
        <w:t>عدم کفایة ذلک فی مثل الفرض ما لم تتحقّق الرؤیة بالعین المجرّدة،إلاّ أنّ الواقع هو أنّه مع حصول الاطمئنان بخروج الهلال من تحت الشعاع لعدّة ساعات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مضیّ ساعات علی الهلال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تلک اللیلة هی أوّل لیلة للشهر القمری،و لا یکون مجال للتأمّل و التردّد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یوافق علی مثل هذه الدعوی،و قیل بأنّ هذه الصورة المفروضة داخلة فی محلّ النزاع أیضا،فلا بدّ حینئذ من البحث بصورة أوسع بما یشمل صورتین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یولد الهلال و لکن بنحو لا تمکن رؤیته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الحسابات الفلکیّة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بالعین المجرّدة،و ذلک حین خروجه فی اللحظات الاولی من تحت الشعاع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یخرج من تحت شعاع الشمس بمقدار تکون إمکانیّة الرؤیة بالعین المجرّدة من حیث الحسابات الفلکیّة ضعیفة جدّا،و لکن مع ذلک لا تستحیل الرؤیة و إن کانت بالفعل غیر متحقّقة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هاتین الصورتین لم یفکّک بینهما من تعرّض لبحث المسألة،مع أنّ الصورة الثانیة کما أسلفنا یمکن إخراجها عن محلّ النزاع،فحینئذ هل یمکن التعویل علی الرؤیة بالوسائل و التلسکوب،أم لا؟</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نسب إلی المشهور </w:t>
      </w:r>
      <w:r>
        <w:rPr>
          <w:rStyle w:val="FootnoteAnchor"/>
          <w:rtl w:val="true"/>
        </w:rPr>
        <w:footnoteReference w:id="949"/>
      </w:r>
      <w:r>
        <w:rPr>
          <w:rFonts w:ascii="IRNazanin" w:hAnsi="IRNazanin" w:eastAsia="IRNazanin"/>
          <w:color w:val="111111"/>
          <w:sz w:val="28"/>
          <w:sz w:val="28"/>
          <w:szCs w:val="28"/>
          <w:rtl w:val="true"/>
          <w:lang w:bidi="fa-IR"/>
        </w:rPr>
        <w:t>من الفقهاء عدم کفایة الرؤیة بالعین المسلّحة،و الحال أنّ</w:t>
      </w:r>
      <w:bookmarkStart w:id="737" w:name="pg5439_47061"/>
    </w:p>
    <w:p>
      <w:pPr>
        <w:pStyle w:val="BookText"/>
        <w:rPr/>
      </w:pPr>
      <w:bookmarkEnd w:id="737"/>
      <w:r>
        <w:rPr>
          <w:rFonts w:ascii="IRNazanin" w:hAnsi="IRNazanin" w:eastAsia="IRNazanin"/>
          <w:color w:val="111111"/>
          <w:sz w:val="28"/>
          <w:sz w:val="28"/>
          <w:szCs w:val="28"/>
          <w:rtl w:val="true"/>
          <w:lang w:bidi="fa-IR"/>
        </w:rPr>
        <w:t>المسألة هی من المسائل المستحدثة التی لا یرجع تأریخها إلی فترة قدیمة،بل یمکن القول بشکل أدّق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ورد ذلک فی بعض الکلمات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فترة الاستخدام المنضبط و المقنن لهذه الأجهزة و الوسائل لرؤیة الهلال لا تتجاوز بضعة عقود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یمکن دعوی الشهرة المعتبرة بین الفقهاء،و التی هی عبارة عن الشهرة بین المتقدّمین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نعم،الحکم مشهور بین المتأخّرین،و لکنّ الشهرة بینهم لیست حجّة کما هو معلوم</w:t>
      </w:r>
      <w:r>
        <w:rPr>
          <w:rFonts w:eastAsia="IRNazanin" w:cs="IRNazanin"/>
          <w:color w:val="111111"/>
          <w:sz w:val="28"/>
          <w:szCs w:val="28"/>
          <w:rtl w:val="true"/>
          <w:lang w:bidi="fa-IR"/>
        </w:rPr>
        <w:t>.</w:t>
      </w:r>
    </w:p>
    <w:p>
      <w:pPr>
        <w:pStyle w:val="Heading3"/>
        <w:numPr>
          <w:ilvl w:val="2"/>
          <w:numId w:val="1"/>
        </w:numPr>
        <w:rPr/>
      </w:pPr>
      <w:bookmarkStart w:id="738" w:name="__RefHeading___Toc1856378_581953129"/>
      <w:bookmarkStart w:id="739" w:name="_Toc274"/>
      <w:bookmarkEnd w:id="738"/>
      <w:r>
        <w:rPr>
          <w:rtl w:val="true"/>
        </w:rPr>
        <w:t>أدلّة الموافقین بالرؤیة بالعین المسلّحة</w:t>
      </w:r>
      <w:bookmarkEnd w:id="739"/>
    </w:p>
    <w:p>
      <w:pPr>
        <w:pStyle w:val="BookText"/>
        <w:rPr/>
      </w:pPr>
      <w:r>
        <w:rPr>
          <w:rFonts w:ascii="IRNazanin" w:hAnsi="IRNazanin" w:eastAsia="IRNazanin"/>
          <w:color w:val="111111"/>
          <w:sz w:val="28"/>
          <w:sz w:val="28"/>
          <w:szCs w:val="28"/>
          <w:rtl w:val="true"/>
          <w:lang w:bidi="fa-IR"/>
        </w:rPr>
        <w:t xml:space="preserve">و قد تمسّک القائلون </w:t>
      </w:r>
      <w:r>
        <w:rPr>
          <w:rStyle w:val="FootnoteAnchor"/>
          <w:rtl w:val="true"/>
        </w:rPr>
        <w:footnoteReference w:id="950"/>
      </w:r>
      <w:r>
        <w:rPr>
          <w:rFonts w:ascii="IRNazanin" w:hAnsi="IRNazanin" w:eastAsia="IRNazanin"/>
          <w:color w:val="111111"/>
          <w:sz w:val="28"/>
          <w:sz w:val="28"/>
          <w:szCs w:val="28"/>
          <w:rtl w:val="true"/>
          <w:lang w:bidi="fa-IR"/>
        </w:rPr>
        <w:t>بکفایة الرؤیة بالعین المسلّحة بأصالة الإطلاق فی المقام،و أنّه لم یرد أیّ دلیل أو قرینة تقیّد الرؤیة بغیر المسلّحة،و إن کانت أصل الرؤیة عندهم معتبرة،و الحسابات الفلکیّة و الامور الظنّیة غیر معتبرة عندهم، و لکنّهم یرون أنّ الرؤیة لمّا کانت مجزئة بالوسائل کالنظّارات مثلا؛فإنّها مجزئة أیضا إذا کانت بوسائل أقوی و أفضل إذا لم تحدث تغییرا فی الواقع المرئی،فالمهم من الناحیة الصناعیّة هو صدق استناد الرؤیة إلی الرائی،و من یری بالتلسکوب تسند إلیه الرؤیة قطعا،و هذا الاستناد 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صدق الرؤیة محرز و مسلّم فی الرؤیة بالتلسکوب، و الشاهد علی ذلک هو إمکانیّة الشهادة بالقتل إذا شوهد بالتلسکوب،و علی القاضی ترتیب الأثر علیه،مع أنّه یشترط فی باب الشهادات أن تکون مستندة إلی الرؤیة أیضا</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شاهد آخر علی هذا القول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یشترط فی حلیّة أکل السمک أن یکون</w:t>
      </w:r>
    </w:p>
    <w:p>
      <w:pPr>
        <w:pStyle w:val="BookText"/>
        <w:rPr/>
      </w:pPr>
      <w:r>
        <w:rPr>
          <w:rFonts w:ascii="IRNazanin" w:hAnsi="IRNazanin" w:eastAsia="IRNazanin"/>
          <w:color w:val="111111"/>
          <w:sz w:val="28"/>
          <w:sz w:val="28"/>
          <w:szCs w:val="28"/>
          <w:rtl w:val="true"/>
          <w:lang w:bidi="fa-IR"/>
        </w:rPr>
        <w:t xml:space="preserve">ذا فلس،فقد اعتبرت النصوص </w:t>
      </w:r>
      <w:r>
        <w:rPr>
          <w:rStyle w:val="FootnoteAnchor"/>
          <w:rtl w:val="true"/>
        </w:rPr>
        <w:footnoteReference w:id="951"/>
      </w:r>
      <w:r>
        <w:rPr>
          <w:rFonts w:ascii="IRNazanin" w:hAnsi="IRNazanin" w:eastAsia="IRNazanin"/>
          <w:color w:val="111111"/>
          <w:sz w:val="28"/>
          <w:sz w:val="28"/>
          <w:szCs w:val="28"/>
          <w:rtl w:val="true"/>
          <w:lang w:bidi="fa-IR"/>
        </w:rPr>
        <w:t xml:space="preserve">و الفتاوی </w:t>
      </w:r>
      <w:r>
        <w:rPr>
          <w:rStyle w:val="FootnoteAnchor"/>
          <w:rtl w:val="true"/>
        </w:rPr>
        <w:footnoteReference w:id="952"/>
      </w:r>
      <w:r>
        <w:rPr>
          <w:rFonts w:ascii="IRNazanin" w:hAnsi="IRNazanin" w:eastAsia="IRNazanin"/>
          <w:color w:val="111111"/>
          <w:sz w:val="28"/>
          <w:sz w:val="28"/>
          <w:szCs w:val="28"/>
          <w:rtl w:val="true"/>
          <w:lang w:bidi="fa-IR"/>
        </w:rPr>
        <w:t>الملاک فی حلّیة أکل السمک هو وجود الفلس،فلو تعذّرت رؤیة الفلس فی بعض أنواع السمک مثلا بالعین المجرّدة، و أمکنت بمثل الناظور،أو لم یتمکّن عامّة الناس من تشخیصه الفلس،و تمکّن اهل الخبرة من ذلک،فالظاهر کفایة هذا المقدار فی حلیّة أکله،و لا یمکن القول باشتراط کون الرؤیة بالعین المجرّدة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جواز الأکل منوط بوجود الفلس واقعا،و فیما نحن فیه و إن ذکرت الرؤیة فی الروایات،إلاّ أنّ المستفاد من الأدلّة هو الوجود الواقعی للهلال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بشکل عامّ 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هذین الشاهدین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إجمالا استدلال هذا الفریق بثلاثة أدلّة و مؤیّد 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إجراء أصالة الإطلاق بالنسبة لسبب الرؤیة،و عدم وجود قرینة علی الانصراف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استناد الرؤیة حقیقة إلی من یستخدم هذه الوسائل فی الرؤیة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شمول لفظ الأهلّة فی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یَسْئَلُونَکَ عَنِ الْأَهِلَّةِ الآیة </w:t>
      </w:r>
      <w:r>
        <w:rPr>
          <w:rStyle w:val="FootnoteAnchor"/>
          <w:rtl w:val="true"/>
        </w:rPr>
        <w:footnoteReference w:id="953"/>
      </w:r>
      <w:r>
        <w:rPr>
          <w:rFonts w:ascii="IRNazanin" w:hAnsi="IRNazanin" w:eastAsia="IRNazanin"/>
          <w:color w:val="111111"/>
          <w:sz w:val="28"/>
          <w:sz w:val="28"/>
          <w:szCs w:val="28"/>
          <w:rtl w:val="true"/>
          <w:lang w:bidi="fa-IR"/>
        </w:rPr>
        <w:t>، حیث یشمل بإطلاقه الهلال الذی لا یراه الناس بالعین غیر المسلّحة،و لکنّهم یرونه بالعین المسلّحة</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المؤیّدات لهذا الرأی بالإضافة إلی هذه الأدلّة الثلاثة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لم تمکن الرؤیة العادیة فی اللیلة الاولی،و تمّت رؤیته بالتلسکوب،فإذا لم نعتبر نهار تلک اللیلة الیوم الأوّل من الشهر،و اعتبرنا الیوم الذی بعده أوّل الشهر،فإذا کان ذلک</w:t>
      </w:r>
      <w:bookmarkStart w:id="740" w:name="pg5439_47063"/>
    </w:p>
    <w:p>
      <w:pPr>
        <w:pStyle w:val="BookText"/>
        <w:rPr/>
      </w:pPr>
      <w:bookmarkEnd w:id="740"/>
      <w:r>
        <w:rPr>
          <w:rFonts w:ascii="IRNazanin" w:hAnsi="IRNazanin" w:eastAsia="IRNazanin"/>
          <w:color w:val="111111"/>
          <w:sz w:val="28"/>
          <w:sz w:val="28"/>
          <w:szCs w:val="28"/>
          <w:rtl w:val="true"/>
          <w:lang w:bidi="fa-IR"/>
        </w:rPr>
        <w:t xml:space="preserve">الشهر ثمانیة و عشرین یوما؛فإنّه یجب قضاء یوم واحد طبقا لبعض الروایات </w:t>
      </w:r>
      <w:r>
        <w:rPr>
          <w:rStyle w:val="FootnoteAnchor"/>
          <w:rtl w:val="true"/>
        </w:rPr>
        <w:footnoteReference w:id="954"/>
      </w:r>
      <w:r>
        <w:rPr>
          <w:rFonts w:ascii="IRNazanin" w:hAnsi="IRNazanin" w:eastAsia="IRNazanin"/>
          <w:color w:val="111111"/>
          <w:sz w:val="28"/>
          <w:sz w:val="28"/>
          <w:szCs w:val="28"/>
          <w:rtl w:val="true"/>
          <w:lang w:bidi="fa-IR"/>
        </w:rPr>
        <w:t xml:space="preserve">و فتوی جمیع الفقهاء </w:t>
      </w:r>
      <w:r>
        <w:rPr>
          <w:rStyle w:val="FootnoteAnchor"/>
          <w:rtl w:val="true"/>
        </w:rPr>
        <w:footnoteReference w:id="955"/>
      </w:r>
      <w:r>
        <w:rPr>
          <w:rFonts w:ascii="IRNazanin" w:hAnsi="IRNazanin" w:eastAsia="IRNazanin"/>
          <w:color w:val="111111"/>
          <w:sz w:val="28"/>
          <w:sz w:val="28"/>
          <w:szCs w:val="28"/>
          <w:rtl w:val="true"/>
          <w:lang w:bidi="fa-IR"/>
        </w:rPr>
        <w:t>،و هذا یکشف عن أنّ ذلک الیوم هو الأوّل للشهر و لو لم تتمّ فیه الرؤیة بالعین الطبیعیّة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خیر شاهد علی أنّه لا موضوعیّة للرؤیة بالعین العادیة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فی مثل الفرض المذکور نستکشف أنّ الرؤیة بالعین المجرّدة فی اللیلة الاولی کانت ممکنة،إلاّ أنّها تعذّرت لبعض الموانع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قد یدّعی وجود ملازمة بین هذین الأمرین؛أی بین رؤیة الهلال فی اللیلة الثلاثین بالعین المجرّدة،و بین إمکانیّة رؤیته کذلک فی اللیلة الاولی </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لم یقم أیّ دلیل لا من الناحیة الفلکیّة،و لا غیرها من الطرق الاخری علی وجود هذه الملازمة،بل أنّا لو لاحظنا حالات الرؤیة لوجدنا فی بعض الموارد منها أنّ الفلکیّین یدّعون فیها عدم قابلیّة الرؤیة فی اللیلة الاولی بالعین المجرّدة،ثمّ یأتون و یدّعون بعد مضیّ تسعة و عشرین یوما إمکانیّة رؤیة الهلال الجدید بالعین المجرّدة،بل یمکن القول مع غضّ النظر عن هذا المطلب إنّه لا دلیل أساسا فی علم الفلک علی وجود مثل هذا الأمر</w:t>
      </w:r>
      <w:r>
        <w:rPr>
          <w:rFonts w:eastAsia="IRNazanin" w:cs="IRNazanin"/>
          <w:color w:val="111111"/>
          <w:sz w:val="28"/>
          <w:szCs w:val="28"/>
          <w:rtl w:val="true"/>
          <w:lang w:bidi="fa-IR"/>
        </w:rPr>
        <w:t>.</w:t>
      </w:r>
    </w:p>
    <w:p>
      <w:pPr>
        <w:pStyle w:val="Heading3"/>
        <w:numPr>
          <w:ilvl w:val="2"/>
          <w:numId w:val="1"/>
        </w:numPr>
        <w:rPr/>
      </w:pPr>
      <w:bookmarkStart w:id="741" w:name="__RefHeading___Toc1856380_581953129"/>
      <w:bookmarkStart w:id="742" w:name="_Toc275"/>
      <w:bookmarkEnd w:id="741"/>
      <w:r>
        <w:rPr>
          <w:rtl w:val="true"/>
        </w:rPr>
        <w:t>أدلّة المخالفین بالرؤیة بالعین المسلّحة</w:t>
      </w:r>
      <w:bookmarkEnd w:id="742"/>
    </w:p>
    <w:p>
      <w:pPr>
        <w:pStyle w:val="Heading4"/>
        <w:numPr>
          <w:ilvl w:val="3"/>
          <w:numId w:val="1"/>
        </w:numPr>
        <w:rPr/>
      </w:pPr>
      <w:bookmarkStart w:id="743" w:name="__RefHeading___Toc1856382_581953129"/>
      <w:bookmarkStart w:id="744" w:name="_Toc276"/>
      <w:bookmarkEnd w:id="743"/>
      <w:r>
        <w:rPr>
          <w:rtl w:val="true"/>
        </w:rPr>
        <w:t>و أمّا من استدلّ علی عدم کفایة الرؤیة بالعین المسلّحة فمجموع ما استدلّ به</w:t>
      </w:r>
      <w:bookmarkEnd w:id="744"/>
    </w:p>
    <w:p>
      <w:pPr>
        <w:pStyle w:val="Heading5"/>
        <w:numPr>
          <w:ilvl w:val="4"/>
          <w:numId w:val="1"/>
        </w:numPr>
        <w:rPr/>
      </w:pPr>
      <w:bookmarkStart w:id="745" w:name="__RefHeading___Toc1856384_581953129"/>
      <w:bookmarkStart w:id="746" w:name="_Toc277"/>
      <w:bookmarkEnd w:id="745"/>
      <w:r>
        <w:rPr>
          <w:rtl w:val="true"/>
        </w:rPr>
        <w:t>اشارة</w:t>
      </w:r>
      <w:bookmarkEnd w:id="746"/>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عبارة عن دعویین</w:t>
      </w:r>
      <w:r>
        <w:rPr>
          <w:rFonts w:eastAsia="IRNazanin" w:cs="IRNazanin"/>
          <w:color w:val="111111"/>
          <w:sz w:val="28"/>
          <w:szCs w:val="28"/>
          <w:rtl w:val="true"/>
          <w:lang w:bidi="fa-IR"/>
        </w:rPr>
        <w:t>:]</w:t>
      </w:r>
      <w:bookmarkStart w:id="747" w:name="pg5439_47064"/>
    </w:p>
    <w:p>
      <w:pPr>
        <w:pStyle w:val="BookText"/>
        <w:rPr/>
      </w:pPr>
      <w:bookmarkEnd w:id="747"/>
      <w:r>
        <w:rPr>
          <w:rFonts w:ascii="IRNazanin" w:hAnsi="IRNazanin" w:eastAsia="IRNazanin"/>
          <w:color w:val="111111"/>
          <w:sz w:val="28"/>
          <w:sz w:val="28"/>
          <w:szCs w:val="28"/>
          <w:rtl w:val="true"/>
          <w:lang w:bidi="fa-IR"/>
        </w:rPr>
        <w:t>الدعوی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دعوی انصراف الرؤیة إلی الرؤیة بالعین الطبیعیّة،قال بعض الأعلام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تکفی الرؤیة بعین ذات البصر الحادّ،کما لا تکفی الرؤیة بالآلات الرصدیّة،و ما هذا إلاّ للانصراف </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الدعوی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دعوی أخذ الرؤیة بنحو الطریقیّة لا الموضوعیّة،علی توضیح سیأتی</w:t>
      </w:r>
      <w:r>
        <w:rPr>
          <w:rFonts w:eastAsia="IRNazanin" w:cs="IRNazanin"/>
          <w:color w:val="111111"/>
          <w:sz w:val="28"/>
          <w:szCs w:val="28"/>
          <w:rtl w:val="true"/>
          <w:lang w:bidi="fa-IR"/>
        </w:rPr>
        <w:t>.</w:t>
      </w:r>
    </w:p>
    <w:p>
      <w:pPr>
        <w:pStyle w:val="Heading5"/>
        <w:numPr>
          <w:ilvl w:val="4"/>
          <w:numId w:val="1"/>
        </w:numPr>
        <w:rPr/>
      </w:pPr>
      <w:bookmarkStart w:id="748" w:name="__RefHeading___Toc1856386_581953129"/>
      <w:bookmarkStart w:id="749" w:name="_Toc278"/>
      <w:bookmarkEnd w:id="748"/>
      <w:r>
        <w:rPr>
          <w:rtl w:val="true"/>
        </w:rPr>
        <w:t>الدعوی الاولی</w:t>
      </w:r>
      <w:r>
        <w:rPr>
          <w:rtl w:val="true"/>
        </w:rPr>
        <w:t>:</w:t>
      </w:r>
      <w:r>
        <w:rPr>
          <w:rtl w:val="true"/>
        </w:rPr>
        <w:t>الانصراف</w:t>
      </w:r>
      <w:bookmarkEnd w:id="749"/>
    </w:p>
    <w:p>
      <w:pPr>
        <w:pStyle w:val="Heading6"/>
        <w:numPr>
          <w:ilvl w:val="5"/>
          <w:numId w:val="1"/>
        </w:numPr>
        <w:rPr/>
      </w:pPr>
      <w:bookmarkStart w:id="750" w:name="__RefHeading___Toc1856388_581953129"/>
      <w:bookmarkStart w:id="751" w:name="_Toc279"/>
      <w:bookmarkEnd w:id="750"/>
      <w:r>
        <w:rPr>
          <w:rtl w:val="true"/>
        </w:rPr>
        <w:t>اشارة</w:t>
      </w:r>
      <w:bookmarkEnd w:id="751"/>
    </w:p>
    <w:p>
      <w:pPr>
        <w:pStyle w:val="BookText"/>
        <w:rPr/>
      </w:pPr>
      <w:r>
        <w:rPr>
          <w:rFonts w:ascii="IRNazanin" w:hAnsi="IRNazanin" w:eastAsia="IRNazanin"/>
          <w:color w:val="111111"/>
          <w:sz w:val="28"/>
          <w:sz w:val="28"/>
          <w:szCs w:val="28"/>
          <w:rtl w:val="true"/>
          <w:lang w:bidi="fa-IR"/>
        </w:rPr>
        <w:t>قال بعض الأعاظم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عندما تطلق الرؤیة،فالمنصرف هو الرؤیة المتعارفة؛ و هی الرؤیة بالعین غیر المسلّحة؛لأنّ الفقهاء یصرفون الإطلاقات فی جمیع أبواب الفقه إلی الأفراد المتعارفة </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ثمّة امور جدیرة بالملاحظة فی هذا النصّ؛و هی کما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بدّ من ملاحظة ما هو المنشأ فی الانصراف؟قد ثبت فی علم الاصول </w:t>
      </w:r>
      <w:r>
        <w:rPr>
          <w:rStyle w:val="FootnoteAnchor"/>
          <w:rtl w:val="true"/>
        </w:rPr>
        <w:footnoteReference w:id="959"/>
      </w:r>
      <w:r>
        <w:rPr>
          <w:rFonts w:ascii="IRNazanin" w:hAnsi="IRNazanin" w:eastAsia="IRNazanin"/>
          <w:color w:val="111111"/>
          <w:sz w:val="28"/>
          <w:sz w:val="28"/>
          <w:szCs w:val="28"/>
          <w:rtl w:val="true"/>
          <w:lang w:bidi="fa-IR"/>
        </w:rPr>
        <w:t>صحّة الانصراف لو کان منشؤه غلبة الاستعمال،لا ما إذا کان من غلبة الوجود،و کما تستعمل الرؤیة فی الرؤیة بالعین غیر المسلّحة،فکذلک تستعمل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الرؤیة بالنظّارات أو المکبّرات أو المنظار</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ذکر دلیلا علی هذا المدّعی حقیق بالتأمّل؛لأنّ 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الفقهاء یصرفون الإطلاقات فی جمیع الأبواب الفقهیّة إلی المصادیق المتعارفة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فرض صحّته هل یمکن اعتبار عمل الفقهاء دلیلا و حجّة فی المقام؟فإذا کان الفقهاء</w:t>
      </w:r>
    </w:p>
    <w:p>
      <w:pPr>
        <w:pStyle w:val="BookText"/>
        <w:rPr/>
      </w:pPr>
      <w:r>
        <w:rPr>
          <w:rFonts w:ascii="IRNazanin" w:hAnsi="IRNazanin" w:eastAsia="IRNazanin"/>
          <w:color w:val="111111"/>
          <w:sz w:val="28"/>
          <w:sz w:val="28"/>
          <w:szCs w:val="28"/>
          <w:rtl w:val="true"/>
          <w:lang w:bidi="fa-IR"/>
        </w:rPr>
        <w:t>إلی ما قبل العلاّمة الحلّی یفتون بلزوم نزح المقدّرات فی البئر،فهل یکون هذا حجّة علی سائر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من الواضح لزوم البحث فی أدلّة الأقوال فی مثل هذه المسألة،و کذا الأمر فیما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کما یجب فی أمثال هذا المورد البحث و الفحص عن الدلیل، فکذا یجب فی هذا المورد الرجوع إلی أدلّة المسألة لکی یتمّ بحثها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تمامیّة مثل هذه النسبة إلی الفقهاء بمجرّد إحصاء موارد قلیلة، حیث توجد ثمّة موارد علی خلاف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سنشیر إلیها </w:t>
      </w:r>
      <w:r>
        <w:rPr>
          <w:rStyle w:val="FootnoteAnchor"/>
          <w:rtl w:val="true"/>
        </w:rPr>
        <w:footnoteReference w:id="9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تؤکّد عدم صحّة مثل هذه الدعوی علی إطلاقها و نسبتها إلی جمیع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نشیر قبل التعرّض للموارد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قبل الفقهاء بالانصراف فیها، أو لم یقبلوا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بعض النقاط التی ینبغی تدقیقها و تمحیصها من جهة صناعیّة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أصالة الإطلاق من الاصول اللفظیّة العقلائیّة،و الأصل الأوّلی فی الألفاظ هو الإطلاق بمقتضی مقدّمات الحکمة ما لم یتوفّر دلیل أو تقم قرینة علی التقیید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رفع الید عن الإطلاق و دعوی الانصراف بحاجة إلی قرینة دائما،و بدونها لا یمکن دعوی الانصراف،بل لو أردنا حمل المطلقات فی جمیع الموارد علی الفرد المتعارف لفقد الاجتهاد حیویّته و فاعلیّته،فالاجتهاد حی و فاعل ببرکة هذه الإطلاقات و العمومات</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توجد أیّة قرینة صارفة فی الروایات الواردة فی رؤیة الهلال أو غیرها من الأدلّة،و الرؤیة مطلقة من جهة الأسباب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رأیت الهلال فصم،و إذا رأیته فأفطر</w:t>
      </w:r>
      <w:r>
        <w:rPr>
          <w:rFonts w:eastAsia="IRNazanin" w:cs="IRNazanin"/>
          <w:color w:val="111111"/>
          <w:sz w:val="28"/>
          <w:szCs w:val="28"/>
          <w:rtl w:val="true"/>
          <w:lang w:bidi="fa-IR"/>
        </w:rPr>
        <w:t xml:space="preserve">» </w:t>
      </w:r>
      <w:r>
        <w:rPr>
          <w:rStyle w:val="FootnoteAnchor"/>
          <w:rtl w:val="true"/>
        </w:rPr>
        <w:footnoteReference w:id="961"/>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 للرؤیة و أفطر للرؤیة</w:t>
      </w:r>
      <w:r>
        <w:rPr>
          <w:rFonts w:eastAsia="IRNazanin" w:cs="IRNazanin"/>
          <w:color w:val="111111"/>
          <w:sz w:val="28"/>
          <w:szCs w:val="28"/>
          <w:rtl w:val="true"/>
          <w:lang w:bidi="fa-IR"/>
        </w:rPr>
        <w:t xml:space="preserve">» </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bookmarkStart w:id="752" w:name="pg5439_47066"/>
    </w:p>
    <w:p>
      <w:pPr>
        <w:pStyle w:val="BookText"/>
        <w:rPr/>
      </w:pPr>
      <w:bookmarkEnd w:id="752"/>
      <w:r>
        <w:rPr>
          <w:rFonts w:ascii="IRNazanin" w:hAnsi="IRNazanin" w:eastAsia="IRNazanin"/>
          <w:color w:val="111111"/>
          <w:sz w:val="28"/>
          <w:sz w:val="28"/>
          <w:szCs w:val="28"/>
          <w:rtl w:val="true"/>
          <w:lang w:bidi="fa-IR"/>
        </w:rPr>
        <w:t>لقد وردت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الروایات إمّا بصیغة الخطاب،أو بغیر صیغة الخطاب،و الخطاب إمّا بصورة المفرد،أو بصورة الجمع،إلاّ أنّه لم یرد فی جمیع هذه الروایات الثمانیة و العشرین فی الباب الثالث من أبواب شهر رمضان أیّة قرینة دالّة علی الانصراف،و بذلک نثبت الاکتفاء بالرؤیة بکلّ طریقة؛بمعنی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الملاک هو صدق الرؤیة بأیّ طریق اتّفق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جهة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من الواضح أنّه فی الموارد الاخر حتّی فی حالات کثیرة،بل فی جمیع موارد الإطلاق،عندما یتمّ الانصراف إلی الأفراد المتعارفة،لا بدّ من القول بأنّ مقتضی القاعدة و الصناعة توقّف دعوی الانصراف علی وجود القرینة،و بدونها لا یمکن القبول بدعوی الانصراف البتّة</w:t>
      </w:r>
      <w:r>
        <w:rPr>
          <w:rFonts w:eastAsia="IRNazanin" w:cs="IRNazanin"/>
          <w:color w:val="111111"/>
          <w:sz w:val="28"/>
          <w:szCs w:val="28"/>
          <w:rtl w:val="true"/>
          <w:lang w:bidi="fa-IR"/>
        </w:rPr>
        <w:t>.</w:t>
      </w:r>
    </w:p>
    <w:p>
      <w:pPr>
        <w:pStyle w:val="Heading6"/>
        <w:numPr>
          <w:ilvl w:val="5"/>
          <w:numId w:val="1"/>
        </w:numPr>
        <w:rPr/>
      </w:pPr>
      <w:bookmarkStart w:id="753" w:name="__RefHeading___Toc1856390_581953129"/>
      <w:bookmarkStart w:id="754" w:name="_Toc280"/>
      <w:bookmarkEnd w:id="753"/>
      <w:r>
        <w:rPr>
          <w:rtl w:val="true"/>
        </w:rPr>
        <w:t>تحلیل الروایات</w:t>
      </w:r>
      <w:bookmarkEnd w:id="754"/>
    </w:p>
    <w:p>
      <w:pPr>
        <w:pStyle w:val="BookText"/>
        <w:rPr/>
      </w:pPr>
      <w:r>
        <w:rPr>
          <w:rFonts w:ascii="IRNazanin" w:hAnsi="IRNazanin" w:eastAsia="IRNazanin"/>
          <w:color w:val="111111"/>
          <w:sz w:val="28"/>
          <w:sz w:val="28"/>
          <w:szCs w:val="28"/>
          <w:rtl w:val="true"/>
          <w:lang w:bidi="fa-IR"/>
        </w:rPr>
        <w:t>المستفاد من دراسة الروایات الواردة أنّ الرؤیة طریق و کاشف عن ثبوت الهلال،لکنّها طریق إلی الیقین و الاطمئنان بتحقّق الهلال فی السماء بعد خروجه عن المقارنة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الرؤیة الواردة فی الروایات قد وردت کمقدّمة للیقین،کما أنّ مفادها أیضا أنّ شهر رمضان لا یکون بالرأی و التظنّی</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بإسناده عن علی بن مهزیار عن محمّد بن أبی عمیر، عن أبی أیّوب و حمّاد،عن محمد بن مسلم،عن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رأیتم الهلال فصوموا،و إذا رأیتموه فأفطروا،و لیس بالرأی و لا بالتّظنّی،و لکن بالرؤیة، الحدیث </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عنه،عن عثمان بن عیسی،عن سماعة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صیام شهر رمضان بالرؤیة،و لیس بالظّن،الحدیث </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بإسناده عن الحسین بن سعید،عن فضالة،عن سیف بن عمیرة،عن إسحاق بن عمّار،عن أبی عبد اللّه علیه السّلام،أنّه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صم لرؤیته و أفطر لرؤیته،و إیّاک و الشکّ و الظنّ،الحدیث </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بإسناده عن سعد بن عبد اللّه،عن العبّاس بن موسی،عن یونس بن عبد الرحمن،عن أبی أیّوب إبراهیم بن عثمان الخزّاز،عن أبی عبد اللّه علیه السّلام فی حدیث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شهر رمضان فریضة من فرائض اللّه،فلا تؤدّوا بالتظنّی </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المستفاد بشکل واضح من هذه النصوص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المقصود بالرؤیة فی الروایات نفی الرأی و الظنّ،و التأکید علی لزوم حصول الیقین بالهلال فی وجوب 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تحصیل هذا الیقین غیر مختصّ بالرؤیة المجرّدة،بل یحصل من طریق الوسائل و الأجهزة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الملاک فی شروع شهر رمضان هو نفس الهلال،لا أصل وجود القمر،و إذا تیقّنّا من الهلال فلا بدّ من الصوم،و مع تجدّد الهلال یبدأ الشهر،و مع التیقّن من تحقّق الهلال یبدأ الشهر القمری</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محمّد بن الحسن بإسناده عن الحسین بن سعید،عن محمّد</w:t>
      </w:r>
    </w:p>
    <w:p>
      <w:pPr>
        <w:pStyle w:val="BookText"/>
        <w:rPr/>
      </w:pPr>
      <w:r>
        <w:rPr>
          <w:rFonts w:ascii="IRNazanin" w:hAnsi="IRNazanin" w:eastAsia="IRNazanin"/>
          <w:color w:val="111111"/>
          <w:sz w:val="28"/>
          <w:sz w:val="28"/>
          <w:szCs w:val="28"/>
          <w:rtl w:val="true"/>
          <w:lang w:bidi="fa-IR"/>
        </w:rPr>
        <w:t>ابن الفضیل،عن أبی الصباح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صفوان،عن ابن مسکان،عن الحلبی جمیعا، عن أبی عبد اللّه علیه السّلام،أنّه سئل عن الأهلّة؟فقال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 أهلّة الشهور،فإذا رأیت الهلال فصم،و إذا رأیته فأفطر،الحدیث </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المستفاد من هذا الحدیث أنّ الملاک فی بدایة الشهر القمری هو الهلال،و الرؤیة طریق للیقین بحصول الهلال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جهة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الهلال غیر مشروط بالرؤیة الطبیعیّة،و إلاّ لزم أن یکون هناک أهلّة متعدّدة بتعدّد الأفراد و اختلاف البلاد، و هو واضح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الشواهد و المؤیّدات علی اعتبار الرؤیة طریقا للیقین بحصول الهلال ما ورد فی بعض الروایات من أنّه لو استهل صباحا فی جهة المشرق و لم یر الهلال، فهو هلال جدید فی لیلة ذلک الیوم؛سواء رؤی أم لم 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الحسن بإسناده عن الصفّار،عن إبراهیم بن هاشم،عن زکریّا بن یحیی الکندی الرقّی،عن داود الرقّی،عن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طلب الهلال فی المشرق غدوة فلم یر فهو ههنا هلال جدید رؤی أو لم یر </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 کان صاحب الوسائل قد حمل هذه الروایة علی الغالب أو التقیّة،و لکن وجود ما یوافقها من الروایات یمنع من حملها علی التقیّة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بشکل عامّ فإنّ المستفاد أنّ الرؤیة طریق للیقین بحصول الهلال،و أنّها لا موضوعیّة لها</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المستفاد من تحلیل الروایات بطلان القول باحتمال أنّ الشارع الأقدس جعل الخروج عن المحاق بمقدار یراه الناس موضوعا لوجوب الصوم،فلا شاهد</w:t>
      </w:r>
    </w:p>
    <w:p>
      <w:pPr>
        <w:pStyle w:val="BookText"/>
        <w:rPr/>
      </w:pPr>
      <w:r>
        <w:rPr>
          <w:rFonts w:ascii="IRNazanin" w:hAnsi="IRNazanin" w:eastAsia="IRNazanin"/>
          <w:color w:val="111111"/>
          <w:sz w:val="28"/>
          <w:sz w:val="28"/>
          <w:szCs w:val="28"/>
          <w:rtl w:val="true"/>
          <w:lang w:bidi="fa-IR"/>
        </w:rPr>
        <w:t>و لا دلیل علی مثل هذا الاحتمال،بل الرؤیة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مسلّحة کانت أو غیر مسلّحة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للعلم بثبوت الهلال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المتلخّص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تردید فی أنّ الرؤیة الواردة فی الروایات لها دور الطریقیّة،و لا فرق بین أسباب حصول ذلک،بل الملاک هو الیقین بحصول الهلال و تحقّقه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ذکر بعض الأعاظم أنّ لرؤیة الهلال موضوعیّة؛بمعنی أنّه لا بدّ فی احتساب بدایة الشهر القمری من إمکانیّة الرؤیة بالعین غیر المسلّحة و إن کانت الرؤیة متعذّرة بالفعل بسبب المانع </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یظهر ممّا تقدّم بطلان هذه الدعوی؛و ذلک لخلوّ الروایات من أیّة قرینة دالّة علی الإمکان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نعم،قد یقال بعدم اعتبار الرؤیة بالفعل إذا کان هناک ما یمنع منها،إلاّ أنّ هذا لا یلازم القول بأنّ لإمکانیّة الرؤیة بالعین غیر المسلّحة موضوعیّة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المستفاد من الروایات بشکل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أسلفنا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اعتماد التظنّی فی بدایة الهلال،بل لا بدّ من حصول الیقین؛فإنّ الطریق الوحید فی ذلک الزمان لحصول الیقین هو الرؤیة فقط،و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للرؤیة طریقیّة لإثبات الهلال،و هذا الطریق هو طریق لحصول الیقین،و لا تطرّق فی الروایات للإمکان أو عدمه،بل إنّ المراد بالرؤیة هی الرؤیة الفعلیّة،کما هو مقرّر فی محلّه </w:t>
      </w:r>
      <w:r>
        <w:rPr>
          <w:rStyle w:val="FootnoteAnchor"/>
          <w:rtl w:val="true"/>
        </w:rPr>
        <w:footnoteReference w:id="970"/>
      </w:r>
      <w:r>
        <w:rPr>
          <w:rFonts w:ascii="IRNazanin" w:hAnsi="IRNazanin" w:eastAsia="IRNazanin"/>
          <w:color w:val="111111"/>
          <w:sz w:val="28"/>
          <w:sz w:val="28"/>
          <w:szCs w:val="28"/>
          <w:rtl w:val="true"/>
          <w:lang w:bidi="fa-IR"/>
        </w:rPr>
        <w:t>من أنّ العناوین ظاهرة فی الفعلیّة</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لیس من المستبعد استفادة هذا المطلب من مجموع الروایات الواردة فی المقام،و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طریق تحصیل الیقین فی الأزمنة السابقة کان ینحصر بالرؤیة، و لم تکن الحسابات الفلکیّة موجبة لحصول الیقین حتّی للفلکی نفسه فضلا عن</w:t>
      </w:r>
    </w:p>
    <w:p>
      <w:pPr>
        <w:pStyle w:val="BookText"/>
        <w:rPr/>
      </w:pPr>
      <w:r>
        <w:rPr>
          <w:rFonts w:ascii="IRNazanin" w:hAnsi="IRNazanin" w:eastAsia="IRNazanin"/>
          <w:color w:val="111111"/>
          <w:sz w:val="28"/>
          <w:sz w:val="28"/>
          <w:szCs w:val="28"/>
          <w:rtl w:val="true"/>
          <w:lang w:bidi="fa-IR"/>
        </w:rPr>
        <w:t>غیره،و قد نفت الروایات اعتماد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فی عصرنا الحاضر،فحیث إنّ الحسابات الفلکیّة الدقیقة تورث الاطمئنان و الوثوق،فهی قابلة للاعتماد أکثر ممّا سبق،فإذا ثبت بالحسابات الفلکیّة الدقیقة فی غروب یوم من الأیّام خروج الهلال من تحت الشعاع؛فإنّه یمکن اعتبار تلک اللیلة أوّل الشهر القمری؛و لأجل هذا یقول الفقهاء </w:t>
      </w:r>
      <w:r>
        <w:rPr>
          <w:rStyle w:val="FootnoteAnchor"/>
          <w:rtl w:val="true"/>
        </w:rPr>
        <w:footnoteReference w:id="971"/>
      </w:r>
      <w:r>
        <w:rPr>
          <w:rFonts w:ascii="IRNazanin" w:hAnsi="IRNazanin" w:eastAsia="IRNazanin"/>
          <w:color w:val="111111"/>
          <w:sz w:val="28"/>
          <w:sz w:val="28"/>
          <w:szCs w:val="28"/>
          <w:rtl w:val="true"/>
          <w:lang w:bidi="fa-IR"/>
        </w:rPr>
        <w:t>بکفایة الاطمئنان ببدایة الشهر الجدید إذا کان من طریق الحسابات المفیدة لمثل هذا الاطمئنان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یجدر ذکره أنّ الشارع لم یتعبّدنا البتّة بخصوص ثبوت الشهر القمری، بحیث یکون فرق بین الشهر القمری و الشهر الشرعی،و إنّما اشترط شیئا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هذا فی وجوب الصوم لا لبدایة الشهر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عدم الاعتماد علی الظنّ و الرأی، و لم یتعبّدنا بما سوی ذلک البتّة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هو المراد بالمتعارف؟و المتعارف فی أیّ زمان هو المقصود؟ نقل صاحب الجواهر عن الشیخ البهائی </w:t>
      </w:r>
      <w:r>
        <w:rPr>
          <w:rStyle w:val="FootnoteAnchor"/>
          <w:rtl w:val="true"/>
        </w:rPr>
        <w:footnoteReference w:id="972"/>
      </w:r>
      <w:r>
        <w:rPr>
          <w:rFonts w:ascii="IRNazanin" w:hAnsi="IRNazanin" w:eastAsia="IRNazanin"/>
          <w:color w:val="111111"/>
          <w:sz w:val="28"/>
          <w:sz w:val="28"/>
          <w:szCs w:val="28"/>
          <w:rtl w:val="true"/>
          <w:lang w:bidi="fa-IR"/>
        </w:rPr>
        <w:t xml:space="preserve">و عن اللّوامع </w:t>
      </w:r>
      <w:r>
        <w:rPr>
          <w:rStyle w:val="FootnoteAnchor"/>
          <w:rtl w:val="true"/>
        </w:rPr>
        <w:footnoteReference w:id="973"/>
      </w:r>
      <w:r>
        <w:rPr>
          <w:rFonts w:ascii="IRNazanin" w:hAnsi="IRNazanin" w:eastAsia="IRNazanin"/>
          <w:color w:val="111111"/>
          <w:sz w:val="28"/>
          <w:sz w:val="28"/>
          <w:szCs w:val="28"/>
          <w:rtl w:val="true"/>
          <w:lang w:bidi="fa-IR"/>
        </w:rPr>
        <w:t>أنّه یلزم حمل المتعارف علی ما کان متعارفا فی زمان النبیّ صلّی اللّه علیه و اله و إن لم یکن متعارفا فی زمان الأئمّة علیهم السّلام،ثمّ استدلّ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أحکامهم متلقّاة منه</w:t>
      </w:r>
      <w:r>
        <w:rPr>
          <w:rFonts w:eastAsia="IRNazanin" w:cs="IRNazanin"/>
          <w:color w:val="111111"/>
          <w:sz w:val="28"/>
          <w:szCs w:val="28"/>
          <w:rtl w:val="true"/>
          <w:lang w:bidi="fa-IR"/>
        </w:rPr>
        <w:t xml:space="preserve">» </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لا یمکن دعوی الانصراف إلی المتعارف؛لأنّ مسألة الرؤیة بالعین المسلّحة لم تکن مطروحة للبحث أساسا فی زمن صدور الأحادیث،و إذا کان فی</w:t>
      </w:r>
    </w:p>
    <w:p>
      <w:pPr>
        <w:pStyle w:val="BookText"/>
        <w:rPr/>
      </w:pPr>
      <w:r>
        <w:rPr>
          <w:rFonts w:ascii="IRNazanin" w:hAnsi="IRNazanin" w:eastAsia="IRNazanin"/>
          <w:color w:val="111111"/>
          <w:sz w:val="28"/>
          <w:sz w:val="28"/>
          <w:szCs w:val="28"/>
          <w:rtl w:val="true"/>
          <w:lang w:bidi="fa-IR"/>
        </w:rPr>
        <w:t>الزمان الحالی ثمّة عنوان غیر متعارف فهذا لا یبرّر انصراف الروایات السابقة عن هذا المورد و العنوان،کما أنّه لا یمکن اعتبار الرؤیة بالعین المسلّحة من الموارد غیر المتعارفة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نعم،لمّا کانت مثل هذه الوسائل لیست فی متناول أیدی الجمیع،فلا یتیسّر الإفادة منها و استخدامها من قبل الجمیع،و لکن هذا غیر مسألة أنّها غیر متعارفة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المراد من غیر المتعارف هو الندرة،کما هو کذلک فی جمیع الأزمنة، فیمکن أن یکون لذلک وجه مقبول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إذا کان نادرا فی زماننا مثلا،غیر نادر فی الأزمنة الآتیة،فلا وجه حینئذ لذلک؛لأنّ مثل هذا الانصراف سیستلزم انسداد باب الإطلاق فی الفقه،و هدم کثیر من الأحکام الفقهیّة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حقیقة الإطلاق کما یقتضیه التحقیق هی رفض القیود لا جمعها،فإذا کان الإطلاق کذلک فلا وجه حینئذ لهذه الدعوی إطلاقا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قلنا إنّه عبارة عن جمع القیود کان وجه لهذه الدعوی ثبوتا،و أمّا إثباتا فهی بحاجة إلی دلیل أو قرینة تدلّ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 ذلک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الإطلاق هو رفض القیود،فلا بدّ من الالتزام بأنّ الشارع اعتبر تمام الملاک فی الرؤیة،دون أن یلحظ أیّ قید آخر،بل لم یلتفت أساسا إلی الأفراد و المصادیق لیقال بالانصراف عن بعض،و عدم الانصراف عن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کان الإطلاق هو جمع القیود؛فإنّه یمکن القول بأنّ الشارع أخذ جمیع الأفراد و المصادیق و القیود بنظر الاعتبار،و قد أراد المعنی المطلق منها جمیعا، فهنا یمکن دعوی الانصراف بحقّ البعض منها</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بناء علی هذا المبنی لا یمکن دعوی الانصراف فی أیّ مورد من الموارد،و لا یمکن أن ینصرف اللفظ المطلق بذاته إلی فرد خاصّ بعینه و إن کان یمکن تشخیص ذلک الفرد بقیام القرینة علیه،إلاّ أنّ هذا بحث آخر غیر</w:t>
      </w:r>
    </w:p>
    <w:p>
      <w:pPr>
        <w:pStyle w:val="BookText"/>
        <w:rPr/>
      </w:pPr>
      <w:r>
        <w:rPr>
          <w:rFonts w:ascii="IRNazanin" w:hAnsi="IRNazanin" w:eastAsia="IRNazanin"/>
          <w:color w:val="111111"/>
          <w:sz w:val="28"/>
          <w:sz w:val="28"/>
          <w:szCs w:val="28"/>
          <w:rtl w:val="true"/>
          <w:lang w:bidi="fa-IR"/>
        </w:rPr>
        <w:t>الانصراف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 التی فی غایة الأهمّیة؛و هی عبارة عن أنّ الألفاظ یجب حملها علی معانیها المتعارفة،لا علی المعانی النادرة و غیر المشهورة،و لکن ثمّة فرق بین المعنی المتعارف،و بین المصداق المتعارف،و فی بحث رؤیة الهلال ینطبق علی الوسائل الجدیدة أنّها من المصادیق غیر المتعارفة،لا أنّها معنی غیر متعارف، فالعلاقة بین اللفظ و المعنی أمر واضح و صحیح،و لکنّ العلاقة بین اللفظ و الفرد أو المصداق هو أنّه لا یمکن تعیین المصداق فیها من خلال الوضع و اللغة؛لأنّ المصداق و الفرد یرتبطان بمقام التطبیق،و التطبیق أمر عقلیّ لا علاقة له بالواضع أو العرف </w:t>
      </w:r>
      <w:r>
        <w:rPr>
          <w:rStyle w:val="FootnoteAnchor"/>
          <w:rtl w:val="true"/>
        </w:rPr>
        <w:footnoteReference w:id="9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تأسیسا علی ذلک فإنّ الخلط بین المعنی المتعارف و المصداق المتعارف هو الذی سبّب الخلط عند البعض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نشیر فیما یلی إلی بعض النماذج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النموذج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الطواف بالبیت صلاة </w:t>
      </w:r>
      <w:r>
        <w:rPr>
          <w:rStyle w:val="FootnoteAnchor"/>
          <w:rtl w:val="true"/>
        </w:rPr>
        <w:footnoteReference w:id="976"/>
      </w:r>
      <w:r>
        <w:rPr>
          <w:rFonts w:ascii="IRNazanin" w:hAnsi="IRNazanin" w:eastAsia="IRNazanin"/>
          <w:color w:val="111111"/>
          <w:sz w:val="28"/>
          <w:sz w:val="28"/>
          <w:szCs w:val="28"/>
          <w:rtl w:val="true"/>
          <w:lang w:bidi="fa-IR"/>
        </w:rPr>
        <w:t>فإنّ المعنی المتعارف هو الصلاة الفعلیّة،بینما معناها النادر هو الدعاء،و لذا لا یمکن القول بأنّ المراد بالصلاة هنا الدعاء،بل لا بدّ من تنزیلها علی معناها المتعارف،قال صاحب المدارک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الألفاظ إنّما تحمل علی المعنی المتعارف،لا النادر غیر المشهور </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النموذج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وضوء ذی الوجه الطویل الخارج عن المتعارف،قال صاحب 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یجب علیه الغسل من القصاص إلی الذقن و إن طال وجهه بحیث خرج عن المتعارف؛لصدق اسم الوجه </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فیعلم من ذلک أنّ الموارد التی تکون ذات معنی واضح لا تأثیر للمصداق</w:t>
      </w:r>
    </w:p>
    <w:p>
      <w:pPr>
        <w:pStyle w:val="BookText"/>
        <w:rPr/>
      </w:pPr>
      <w:r>
        <w:rPr>
          <w:rFonts w:ascii="IRNazanin" w:hAnsi="IRNazanin" w:eastAsia="IRNazanin"/>
          <w:color w:val="111111"/>
          <w:sz w:val="28"/>
          <w:sz w:val="28"/>
          <w:szCs w:val="28"/>
          <w:rtl w:val="true"/>
          <w:lang w:bidi="fa-IR"/>
        </w:rPr>
        <w:t>فیها،و لا توجب المصادیق غیر المتعارفة تغییرا فی معنی اللفظ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نعم،بالنسبة إلی معنی الوجه و أنّه هل المراد منه المتعارف یمکن أن یدّعی ذلک؛و لذا قال صاحب الجواهر فی شرح قول المحقّق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عبرة بالأنزع،و لا بالأغمّ </w:t>
      </w:r>
      <w:r>
        <w:rPr>
          <w:rStyle w:val="FootnoteAnchor"/>
          <w:rtl w:val="true"/>
        </w:rPr>
        <w:footnoteReference w:id="9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یرجع کلّ منهما إلی الغالب فی أکثر الناس </w:t>
      </w:r>
      <w:r>
        <w:rPr>
          <w:rStyle w:val="FootnoteAnchor"/>
          <w:rtl w:val="true"/>
        </w:rPr>
        <w:footnoteReference w:id="980"/>
      </w:r>
      <w:r>
        <w:rPr>
          <w:rFonts w:ascii="IRNazanin" w:hAnsi="IRNazanin" w:eastAsia="IRNazanin"/>
          <w:color w:val="111111"/>
          <w:sz w:val="28"/>
          <w:sz w:val="28"/>
          <w:szCs w:val="28"/>
          <w:rtl w:val="true"/>
          <w:lang w:bidi="fa-IR"/>
        </w:rPr>
        <w:t>،لکن هذا من جهة أنّ المقصود بالوجه هو الوجه المتعارف،فیجب غسله ما دام یصدق علیه عنوان الوجه و لو لم یکن من المصادیق المتعارفة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النموذج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یدل علی أنّه إذا کان عامّ و مطلق لغویّ فجمیع الأفراد یتساوون بالنسبة إلیه،و لا فرق بین الأفراد الغالبة و غیر الغالبة،ما تعرّض له صاحب الجواهر فی غسل الوجه فی الوضوء بعد أن ذکر عدم وجوب غسل المسترسل من اللحیة و لا تخلیله،ثمّ نقل کلاما عن الشهید فی الدروس قال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یستحبّ التخلیل و إن کثف الشعر </w:t>
      </w:r>
      <w:r>
        <w:rPr>
          <w:rStyle w:val="FootnoteAnchor"/>
          <w:rtl w:val="true"/>
        </w:rPr>
        <w:footnoteReference w:id="981"/>
      </w:r>
      <w:r>
        <w:rPr>
          <w:rFonts w:ascii="IRNazanin" w:hAnsi="IRNazanin" w:eastAsia="IRNazanin"/>
          <w:color w:val="111111"/>
          <w:sz w:val="28"/>
          <w:sz w:val="28"/>
          <w:szCs w:val="28"/>
          <w:rtl w:val="true"/>
          <w:lang w:bidi="fa-IR"/>
        </w:rPr>
        <w:t>،ثمّ عقّب علیه معترضا بأنّه لم أعثر له علی دلیل یقتضیه،بل قد یظهر من ملاحظة الأدلّة خلافه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حیث اشتملت الروایة علی العموم اللغوی التی یتساوی جمیع الأفراد بالنسبة إلیه،لم یختلف الحال فی الموافق للغالب و عدمه،فالأغمّ مثلا إن کان کثیف الشعر اجتزأ بغسله </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فیظهر من ذلک انتفاء الفرق بین الفرد الغالب و غیر الغالب</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فی صورة ما إذا کان الانصراف مع القرینة؛فإنّ المستفاد مع ذلک من منهجیّة صاحب الجواهر عدم إمکان التعویل علیه لوحده</w:t>
      </w:r>
      <w:bookmarkStart w:id="755" w:name="pg5439_47074"/>
    </w:p>
    <w:p>
      <w:pPr>
        <w:pStyle w:val="BookText"/>
        <w:rPr/>
      </w:pPr>
      <w:bookmarkEnd w:id="755"/>
      <w:r>
        <w:rPr>
          <w:rFonts w:ascii="IRNazanin" w:hAnsi="IRNazanin" w:eastAsia="IRNazanin"/>
          <w:color w:val="111111"/>
          <w:sz w:val="28"/>
          <w:sz w:val="28"/>
          <w:szCs w:val="28"/>
          <w:rtl w:val="true"/>
          <w:lang w:bidi="fa-IR"/>
        </w:rPr>
        <w:t>لدی الفقیه،بل یجب ألاّ یکون معارضا لفهم الأصحاب أوّلا،و أن یدعم بالمؤیّدات ثانیا،و نشیر هنا إلی نموذجین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النموذج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 التطهیر بالماء القلیل،و أنّه هل یشترط ورود الماء علی النجاسة،أو لا؟خلاف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عالج صاحب الجواهر المسألة من خلال الانصراف إلی المتعارف و المعهود بین الناس،حیث یعتبرون ورود الماء مطهّرا، لکن قد أیّد قبل و بعد هذا الحکم بالإجماع و السیرة المستمرّة </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النموذج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أیضا قدّس سرّه فی صورة تکبیرة الإحرام،حیث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فصورتها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أکبر،و قد عدّ من أدلّتها أنّها هی المتعارفة و المعهودة من صاحب الشرع،لکن أورد شواهد اخری أیضا </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56" w:name="__RefHeading___Toc1856392_581953129"/>
      <w:bookmarkStart w:id="757" w:name="_Toc281"/>
      <w:bookmarkEnd w:id="756"/>
      <w:r>
        <w:rPr>
          <w:rtl w:val="true"/>
        </w:rPr>
        <w:t>و المتحصّل</w:t>
      </w:r>
      <w:r>
        <w:rPr>
          <w:rtl w:val="true"/>
        </w:rPr>
        <w:t>:</w:t>
      </w:r>
      <w:bookmarkEnd w:id="757"/>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بعد أن اتّضح أنّ الرؤیة بالآلات من مصادیق الرؤیة عرفا،و أنّه لا تردید فی صدق الرؤیة علیها عرفا،فلا بدّ من القول بأنّ الرؤیة الواردة فی الروایات مطلقة من جهة السبب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قرینة علی الانصراف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یمکن التعویل علیه کدلیل یعتمده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القرینة هی عبارة عن مناسبات الحکم و الموضوع </w:t>
      </w:r>
      <w:r>
        <w:rPr>
          <w:rStyle w:val="FootnoteAnchor"/>
          <w:rtl w:val="true"/>
        </w:rPr>
        <w:footnoteReference w:id="9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الصحیح عدم إمکان اعتبار ذلک قرینة؛لأنّ الهلال کما یناسب رؤیته بالعین غیر المسلّحة،یناسب أیضا رؤیته بالعین المسلّحة</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758" w:name="__RefHeading___Toc1856394_581953129"/>
      <w:bookmarkStart w:id="759" w:name="_Toc282"/>
      <w:bookmarkEnd w:id="758"/>
      <w:r>
        <w:rPr>
          <w:rtl w:val="true"/>
        </w:rPr>
        <w:t>موارد من عدم حمل الفقهاء المطلقات علی الفرد المتعارف فی الفقه</w:t>
      </w:r>
      <w:r>
        <w:rPr>
          <w:rtl w:val="true"/>
        </w:rPr>
        <w:t>:</w:t>
      </w:r>
      <w:bookmarkEnd w:id="759"/>
    </w:p>
    <w:p>
      <w:pPr>
        <w:pStyle w:val="BookText"/>
        <w:rPr/>
      </w:pPr>
      <w:r>
        <w:rPr>
          <w:rFonts w:ascii="IRNazanin" w:hAnsi="IRNazanin" w:eastAsia="IRNazanin"/>
          <w:color w:val="111111"/>
          <w:sz w:val="28"/>
          <w:sz w:val="28"/>
          <w:szCs w:val="28"/>
          <w:rtl w:val="true"/>
          <w:lang w:bidi="fa-IR"/>
        </w:rPr>
        <w:t>من خلال ملاحظة موارد عدیدة من الحالات التی لم یحمل فیها الفقهاء المطلقات علی الفرد المتعارف،و مع وجوده نصل إلی هذه النتیجة،و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الفقهاء لا یحملون المطلق علی الفرد المتعارف فی جمیع الموارد ما لم تکن هناک قرینة فی المقام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صاحب الذخیرة فی مسألة جواز تطهیر المخرج من الغائط إذا تعدّی بالماء فقط،أو بالأحجار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یخفی أنّ الأخبار </w:t>
      </w:r>
      <w:r>
        <w:rPr>
          <w:rStyle w:val="FootnoteAnchor"/>
          <w:rtl w:val="true"/>
        </w:rPr>
        <w:footnoteReference w:id="986"/>
      </w:r>
      <w:r>
        <w:rPr>
          <w:rFonts w:ascii="IRNazanin" w:hAnsi="IRNazanin" w:eastAsia="IRNazanin"/>
          <w:color w:val="111111"/>
          <w:sz w:val="28"/>
          <w:sz w:val="28"/>
          <w:szCs w:val="28"/>
          <w:rtl w:val="true"/>
          <w:lang w:bidi="fa-IR"/>
        </w:rPr>
        <w:t>الدالّة علی الاکتفاء بالأحجار مطلقة من غیر تفصیل بالمتعدّی و غیره،ثمّ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لم یکن إجماع علی الحکم المذکور کان للتأمّل مجال </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فمع أنّ المتعارف هو موضع الغائط،حتّی أنّ بعض الفقهاء کصاحب الحدائق قد عللّه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لبناء الأحکام الشرعیّة علی ما هو المتعارف المعتاد المتکرّر دون النادر </w:t>
      </w:r>
      <w:r>
        <w:rPr>
          <w:rStyle w:val="FootnoteAnchor"/>
          <w:rtl w:val="true"/>
        </w:rPr>
        <w:footnoteReference w:id="988"/>
      </w:r>
      <w:r>
        <w:rPr>
          <w:rFonts w:ascii="IRNazanin" w:hAnsi="IRNazanin" w:eastAsia="IRNazanin"/>
          <w:color w:val="111111"/>
          <w:sz w:val="28"/>
          <w:sz w:val="28"/>
          <w:szCs w:val="28"/>
          <w:rtl w:val="true"/>
          <w:lang w:bidi="fa-IR"/>
        </w:rPr>
        <w:t xml:space="preserve">،إلاّ أنّ صاحب المدارک استند إلی الإطلاق </w:t>
      </w:r>
      <w:r>
        <w:rPr>
          <w:rStyle w:val="FootnoteAnchor"/>
          <w:rtl w:val="true"/>
        </w:rPr>
        <w:footnoteReference w:id="989"/>
      </w:r>
      <w:r>
        <w:rPr>
          <w:rFonts w:ascii="IRNazanin" w:hAnsi="IRNazanin" w:eastAsia="IRNazanin"/>
          <w:color w:val="111111"/>
          <w:sz w:val="28"/>
          <w:sz w:val="28"/>
          <w:szCs w:val="28"/>
          <w:rtl w:val="true"/>
          <w:lang w:bidi="fa-IR"/>
        </w:rPr>
        <w:t>،فلو کان الحمل دائمیّا فی جمیع الموارد علی المتعارف حتّی المصداق المتعارف لما کان ثمّة مجال للنزاع إذا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صاحب الجواهر فی مسألة الوضوء للمرأة ذات اللحیة،و أنّه لا یجب تخلیلها،و نقل عن بعض العامّة حمله دلیل غسل الشعر أو التخلیل علی الغالب المتعارف؛و هو الرجل دون المرأة </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لکنّه قدّس سرّه ضعّف ذلک معلّلا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عرفت من العموم اللغوی فیه </w:t>
      </w:r>
      <w:r>
        <w:rPr>
          <w:rStyle w:val="FootnoteAnchor"/>
          <w:rtl w:val="true"/>
        </w:rPr>
        <w:footnoteReference w:id="991"/>
      </w: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فمع وجود العموم اللغوی لا مجال للانصراف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صاحب الجواهر فی مسألة اشتراط کون المسح علی الرأس بالید الیمنی کما هو المتعارف،أو لا؟أنّ مقتضی إطلاق الکتاب و السنّة و بعض الفتاوی عدم ذلک،و إن کان الظاهر من حسنة زرارة الوجوب؛لقوله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تمسح ببلّة یمناک ناصیتک </w:t>
      </w:r>
      <w:r>
        <w:rPr>
          <w:rStyle w:val="FootnoteAnchor"/>
          <w:rtl w:val="true"/>
        </w:rPr>
        <w:footnoteReference w:id="992"/>
      </w:r>
      <w:r>
        <w:rPr>
          <w:rFonts w:ascii="IRNazanin" w:hAnsi="IRNazanin" w:eastAsia="IRNazanin"/>
          <w:color w:val="111111"/>
          <w:sz w:val="28"/>
          <w:sz w:val="28"/>
          <w:szCs w:val="28"/>
          <w:rtl w:val="true"/>
          <w:lang w:bidi="fa-IR"/>
        </w:rPr>
        <w:t>،إلاّ أنّ تقیید تلک المطلقات من الکتاب و السنّة مع فتاوی الأصحاب بمجرّد هذه الروایة و إن کانت نقیّة السند لا یخلو من إشکال،خصوصا مع ظهور إعراض الأصحاب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فاحتمال صرف إطلاق النصّ و الفتوی إلی المسح بالید الیمنی لکونه الفرد المتعارف بعید جدّا </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لا یمکن فی مثل هذه الموارد تقیید الإطلاق مع وجود الفرد المتعارف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 الفقهاء فی حکم خروج المنی،و أنّ المراد هو الخروج من الموضع المتعارف،أو الملاک مطلق الخروج،و لا فرق بین الموضع المعتاد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استظهر صاحب الجواهر من کلام المحقّق الحلّی </w:t>
      </w:r>
      <w:r>
        <w:rPr>
          <w:rStyle w:val="FootnoteAnchor"/>
          <w:rtl w:val="true"/>
        </w:rPr>
        <w:footnoteReference w:id="994"/>
      </w:r>
      <w:r>
        <w:rPr>
          <w:rFonts w:ascii="IRNazanin" w:hAnsi="IRNazanin" w:eastAsia="IRNazanin"/>
          <w:color w:val="111111"/>
          <w:sz w:val="28"/>
          <w:sz w:val="28"/>
          <w:szCs w:val="28"/>
          <w:rtl w:val="true"/>
          <w:lang w:bidi="fa-IR"/>
        </w:rPr>
        <w:t>الإطلاق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المشهور فی الحدث الأصغر هو الخروج من الموضع المعتاد،و قد استبعد صاحب الجواهر تنزیل ما نحن فیه علی الحدث الأصغر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العلاّمة فی المنتهی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خرج المنیّ من ثقبة فی الإحلیل غیر المعتاد،أو فی خصیتیه،أو فی صلبه،فالأقرب وجوب الغسل </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خرج المنیّ من ثقبة فی الذکر،أو الانثیین،أو الصلب وجب الغسل </w:t>
      </w:r>
      <w:r>
        <w:rPr>
          <w:rStyle w:val="FootnoteAnchor"/>
          <w:rtl w:val="true"/>
        </w:rPr>
        <w:footnoteReference w:id="9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ثمّة تردّد فی وجود إطلاق شامل لما فوق الصلب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المحقق</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خرج من غیر الثلاثة المذکورة فی المنتهی،فاعتبار الاعتیاد حقیق بأن یکون مقطوعا به </w:t>
      </w:r>
      <w:r>
        <w:rPr>
          <w:rStyle w:val="FootnoteAnchor"/>
          <w:rtl w:val="true"/>
        </w:rPr>
        <w:footnoteReference w:id="9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صاحب 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الوجه خلافه؛و ذلک لاشتراک الدلیل بالنسبة للمجموع و هو الإطلاقات،کقوله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الماء من الماء </w:t>
      </w:r>
      <w:r>
        <w:rPr>
          <w:rStyle w:val="FootnoteAnchor"/>
          <w:rtl w:val="true"/>
        </w:rPr>
        <w:footnoteReference w:id="9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قوّی فی النهایة القول الثانی القائل بالإطلاق،مستضعفا دلیل القول الأوّل؛و هو انصراف المطلقات إلی المتعارف المعهود </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فهذا شاهد آخر علی عدم إمکان رفع الید عن العمومات و الإطلاقات حتّی مع وجود الفرد المتعارف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الفقهاء وجوها فی مسألة وجوب الغسل لو کان الدخول فی الدبر و لم یتحقّق الإنزال،منها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فی الجواهر،قال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إطلاق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أدخله و أولجه،أو غیّب الحشفة فقد وجب الغسل الشامل للدبر،ثمّ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المطلق ینصرف إلی المتعارف،یدفعه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تسلیم کون ذلک من المتعارف الذی یکون سببا لحمل اللّفظ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کذلک ما لم یعارضه فهم الأصحاب؛لانقلاب الظنّ حینئذ بخلافه </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المتحصّل من هذه العبارة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 فرد متعارف و معهود لا یمکن أن یکون سببا لحمل اللفظ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المتعارف لو کان صالحا للتقیید،فهو مشروط بعدم معارضته لفهم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مقامنا بالرغم من دعوی وجود الفرد المتعارف،إلاّ أنّه قدّس سرّه یری الإطلاق هو المحکّم فی المقام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بحث العصیر العنبی و أفراده نجد أنّ صاحب الجواهر و إن کان قد ذهب فی بدایة البحث إلی تنزیل العموم علی المتعارف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نقل بتنزیل عموم الصحیح علی المتعارف من أفراد العصیر،إلاّ أنّه ذهب فی الأخیر إلی ترجیح العمل بالعموم،قال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 ذا فهو لیس بأولی من حمله علی إرادة العموم بالنظر إلی أفراد العنب و أقسامه،و إلی ما ظهر إسکاره أو اتّخذ له،و عدمه،و إلی ما اخذ من کافر أو مسلم مستحلّ لما دون الثلثین و عدمه </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فیستنتج منه أن لا وجه لدعوی الانصراف مع وجود العموم اللغوی فی البین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قدّس سرّه فی بحث حرمة التغطیة من محرّمات الإحرام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لا فرق بین جمیع أفرادها،کالثوب و الطین و الدواء و الحنّاء و حمل المتاع أو طبق و نحوه،کما صرّح به غیر واحد،بل لا أجد فیه خلافا،بل عن التذکرة نسبته إلی علمائنا </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نعم،فی المدارک و هو غیر واضح؛لأنّ المنهیّ عنه فی الروایات المعتبرة تخمیر الرأس و وضع القناع علیه،و الستر بالثوب،لا مطلق الستر،مع أنّ النهی لو تعلّق به لوجب حمله علی ما هو المتعارف منه؛و هو الستر بالمعتاد </w:t>
      </w:r>
      <w:r>
        <w:rPr>
          <w:rStyle w:val="FootnoteAnchor"/>
          <w:rtl w:val="true"/>
        </w:rPr>
        <w:footnoteReference w:id="1003"/>
      </w:r>
      <w:r>
        <w:rPr>
          <w:rFonts w:ascii="IRNazanin" w:hAnsi="IRNazanin" w:eastAsia="IRNazanin"/>
          <w:color w:val="111111"/>
          <w:sz w:val="28"/>
          <w:sz w:val="28"/>
          <w:szCs w:val="28"/>
          <w:rtl w:val="true"/>
          <w:lang w:bidi="fa-IR"/>
        </w:rPr>
        <w:t xml:space="preserve">،و تبعه فی الذخیرة </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ناقشه فی الجواهر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إحرام الرجل فی رأسه </w:t>
      </w:r>
      <w:r>
        <w:rPr>
          <w:rStyle w:val="FootnoteAnchor"/>
          <w:rtl w:val="true"/>
        </w:rPr>
        <w:footnoteReference w:id="1005"/>
      </w:r>
    </w:p>
    <w:p>
      <w:pPr>
        <w:pStyle w:val="BookText"/>
        <w:rPr/>
      </w:pPr>
      <w:r>
        <w:rPr>
          <w:rFonts w:ascii="IRNazanin" w:hAnsi="IRNazanin" w:eastAsia="IRNazanin"/>
          <w:color w:val="111111"/>
          <w:sz w:val="28"/>
          <w:sz w:val="28"/>
          <w:szCs w:val="28"/>
          <w:rtl w:val="true"/>
          <w:lang w:bidi="fa-IR"/>
        </w:rPr>
        <w:t xml:space="preserve">و غیره من الإطلاقات </w:t>
      </w:r>
      <w:r>
        <w:rPr>
          <w:rStyle w:val="FootnoteAnchor"/>
          <w:rtl w:val="true"/>
        </w:rPr>
        <w:footnoteReference w:id="1006"/>
      </w:r>
      <w:r>
        <w:rPr>
          <w:rFonts w:ascii="IRNazanin" w:hAnsi="IRNazanin" w:eastAsia="IRNazanin"/>
          <w:color w:val="111111"/>
          <w:sz w:val="28"/>
          <w:sz w:val="28"/>
          <w:szCs w:val="28"/>
          <w:rtl w:val="true"/>
          <w:lang w:bidi="fa-IR"/>
        </w:rPr>
        <w:t xml:space="preserve">،و استثناء عصام القربة و غیر ذلک </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النتیجة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قدّم العمل بالإطلاق و ردّ الانصراف إلی المتعارف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فی أنّ من الأسباب المتعارفة و البیّنة للکسوف هو حیلولة القمر بین الأرض و الشمس،أو حیلولة الأرض بین القمر و الشمس،و هذا السبب موجب لصلاة الآیات،و لکنّ الخلاف فیما لو سبّبت بعض الکواکب للبعض الآخر کسوفا،أو فیما لو حصل خسوف أو کسوف للشمس أو القمر بالنسبة إلی الکواکب الاخری،بحیث یکون ذلک سببا غیر متعارف و غیر معهود،فهل تجب صلاة الآیات حینئذ؟</w:t>
      </w:r>
    </w:p>
    <w:p>
      <w:pPr>
        <w:pStyle w:val="BookText"/>
        <w:rPr/>
      </w:pPr>
      <w:r>
        <w:rPr>
          <w:rFonts w:ascii="IRNazanin" w:hAnsi="IRNazanin" w:eastAsia="IRNazanin"/>
          <w:color w:val="111111"/>
          <w:sz w:val="28"/>
          <w:sz w:val="28"/>
          <w:szCs w:val="28"/>
          <w:rtl w:val="true"/>
          <w:lang w:bidi="fa-IR"/>
        </w:rPr>
        <w:t>ذکر صاحب الجواهر أنّ الملاک فی تحقّق وجوب صلاة الآیات هو تحقّق الکسوف،و لا موضوعیّة لأیّ سبب من قبیل حیلولة الأرض،و استدلّ لذلک بإطلاق النصوص و الفتاوی،قال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فالمدار فی الوجوب تحقّق المصداق المزبور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الکسوف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مدخلیّة لسببه من حیلولة الأرض أو بعض الکواکب و غیرها؛لإطلاق النصوص و الفتاوی،و عدم مدخلیّة شیء من ذلک فی المفهوم لغة و عرفا و شرعا</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نعم،قد یتوقّف فی غیر المنساق منه عرفا کانکساف الشمس ببعض الکواکب،الذی لم یظهر إلاّ لبعض الناس؛لضعف الانطماس فیه،فالاصول حینئذ بحالها،فما فی کشف اللثام من أنّه لا إشکال فی وجوب الصلاة لهما و إن کان لحیلولة بعض الکواکب،جیّد إن کان الحاصل و المتعارف ممّا یتحقّق به صدق اسم الانکساف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مناط وجوبها الإحساس بالانطماس،فمن أحسّ به کلاّ أو بعضا وجبت علیه الصلاة،أحسّ به غیره أو لا،کان الانطماس علی قول أهل الهیئة لحیلولة کوکب أو الأرض أو لغیر ذلک،و إذا حکم المنجّمون بالانطماس بکوکب أو غیره و لم یحسّ به لم تجب الصلاة؛لعدم الوثوق بقولهم شرعا،فإن أحسّ به بعض دون بعض،فإنّما تجب الصلاة علی من أحسّ به،و من یثبت عنده بالبیّنة دون غیره، من غیر فرق فی جمیع ذلک بین أسباب الانطماس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وجه لما فی التذکرة و نهایة الإحکام من الاستشکال فی الکسف بشیء من الکواکب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عدم التنصیص،و أصالة البراءة،و خفائه؛لعدم دلالة الحسّ علیه، و إنّما یستند فیه إلی قول من لا یوثق به کالمنجّم،و من کونه آیة مخوفة </w:t>
      </w:r>
      <w:r>
        <w:rPr>
          <w:rStyle w:val="FootnoteAnchor"/>
          <w:rtl w:val="true"/>
        </w:rPr>
        <w:footnoteReference w:id="1008"/>
      </w:r>
      <w:r>
        <w:rPr>
          <w:rFonts w:ascii="IRNazanin" w:hAnsi="IRNazanin" w:eastAsia="IRNazanin"/>
          <w:color w:val="111111"/>
          <w:sz w:val="28"/>
          <w:sz w:val="28"/>
          <w:szCs w:val="28"/>
          <w:rtl w:val="true"/>
          <w:lang w:bidi="fa-IR"/>
        </w:rPr>
        <w:t>و ذلک لأنّ النصوص کلّها تشمله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الکلام فی الوجوب لما یحسّ به،لا ما یستند فیه إلی قول من لا یوثق به، و لا لما فی الذکری من منع کونه مخوفا؛فإنّ المراد بالمخوف ما خافه العامّة غالبا و هم لا یشعرون بذلک </w:t>
      </w:r>
      <w:r>
        <w:rPr>
          <w:rStyle w:val="FootnoteAnchor"/>
          <w:rtl w:val="true"/>
        </w:rPr>
        <w:footnoteReference w:id="1009"/>
      </w:r>
      <w:r>
        <w:rPr>
          <w:rFonts w:ascii="IRNazanin" w:hAnsi="IRNazanin" w:eastAsia="IRNazanin"/>
          <w:color w:val="111111"/>
          <w:sz w:val="28"/>
          <w:sz w:val="28"/>
          <w:szCs w:val="28"/>
          <w:rtl w:val="true"/>
          <w:lang w:bidi="fa-IR"/>
        </w:rPr>
        <w:t>،و ذلک لأنّ علی صلاة الکسوفین الإجماع و النصوص من غیر اشتراط بالخوف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نعم،قد یتّجه ما فیهما من الاستشکال فی انکساف بعض الکواکب من غیر ما ذکر،و الأقرب الوجوب فیه أیضا؛لکونه من الأخاویف لمن یحسّ به،و المخوف ما یخافه معظم من یحسّ به،لا معظم الناس مطلقا </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المدارک بعد نقل ذلک عنهما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الأجود إناطة الوجوب بما یحصل منه</w:t>
      </w:r>
    </w:p>
    <w:p>
      <w:pPr>
        <w:pStyle w:val="BookText"/>
        <w:rPr/>
      </w:pPr>
      <w:r>
        <w:rPr>
          <w:rFonts w:ascii="IRNazanin" w:hAnsi="IRNazanin" w:eastAsia="IRNazanin"/>
          <w:color w:val="111111"/>
          <w:sz w:val="28"/>
          <w:sz w:val="28"/>
          <w:szCs w:val="28"/>
          <w:rtl w:val="true"/>
          <w:lang w:bidi="fa-IR"/>
        </w:rPr>
        <w:t xml:space="preserve">الخوف،کما تضمّنته الروایة </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2"/>
      </w:r>
    </w:p>
    <w:p>
      <w:pPr>
        <w:pStyle w:val="BookText"/>
        <w:rPr/>
      </w:pPr>
      <w:r>
        <w:rPr>
          <w:rFonts w:ascii="IRNazanin" w:hAnsi="IRNazanin" w:eastAsia="IRNazanin"/>
          <w:color w:val="111111"/>
          <w:sz w:val="28"/>
          <w:sz w:val="28"/>
          <w:szCs w:val="28"/>
          <w:rtl w:val="true"/>
          <w:lang w:bidi="fa-IR"/>
        </w:rPr>
        <w:t xml:space="preserve">و لا یخفی علیک محالّ النظر من ذلک کلّه،خصوصا ما فی کشف اللثام؛لما عرفت من انصراف إطلاق أدلّة الکسوف إلی ما هو المتعارف منه کائنا ما کان سببه،أمّا غیره فلا یدخل تحت الإطلاق المزبور،بل ربما شکّ فی صدق الاسم علی بعض أفراده،فضلا عن انصراف الإطلاق إلیه </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المتحصّل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صاحب الجواهر لا یری انحصار سبب وجوب صلاة الآیات بسبب خاصّ و هو الحیلولة،بل إنّه یوسّع من دائرة ذلک إلی أسباب اخری فی الکسوف بأنّها توجب صلاة الآیات إذا کانت أسبابا متعارفة،بل إنّ کاشف اللثام قد توسّع إلی الأسباب غیر المتعارفة استنادا إلی الإطلاقات،فتجب صلاة الآیات مشترطا استناد الرؤیة إلی المکلّف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الملفت هنا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الملاک فی الکسوف فی الروایات و النصوص هو الرؤیة أیضا،کما هو الأمر فی تحدید بدایة الشهر القمری علی ما بیّناه فی تحریر محلّ النزاع </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عن الصادقین علیهما السّلام،إنّ اللّه إذا أراد تخویف عباده و تجدید الزجر لخلقه کسف الشمس و خسف القمر،فإذا رأیتم ذلک فافزعوا إلی اللّه بالصلاة </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فی خبر محمّد بن عمارة،عن أبیه،عن الصادق،عن أبیه علیهما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الزلازل و الکسوفین و الریاح الهائلة من علامات الساعة،فإذا رأیتم شیئا من ذلک</w:t>
      </w:r>
    </w:p>
    <w:p>
      <w:pPr>
        <w:pStyle w:val="BookText"/>
        <w:rPr/>
      </w:pPr>
      <w:r>
        <w:rPr>
          <w:rFonts w:ascii="IRNazanin" w:hAnsi="IRNazanin" w:eastAsia="IRNazanin"/>
          <w:color w:val="111111"/>
          <w:sz w:val="28"/>
          <w:sz w:val="28"/>
          <w:szCs w:val="28"/>
          <w:rtl w:val="true"/>
          <w:lang w:bidi="fa-IR"/>
        </w:rPr>
        <w:t xml:space="preserve">فتذکّروا قیام الساعة،و افزعوا إلی مساجدکم </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فالمستخلص من المورد الثامن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کان الانصراف إلی الفرد المتعارف أمرا متسالما علیه بین الفقهاء،لما کان هذا الاختلاف بینهم فی ذلک،و لکان الملاک فی الکسوف و وجوب صلاة الآیات هو الحیلولة لا غیر،و الحال أنّ صاحب الجواهر و غیره من الأکابر لم یوافقوا علی انصراف الإطلاق إلی الفرد المتعارف فی المورد المذکور طبعا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نعم،ثمّة تردّد من جهة اخری فی صدق عنوان الکسوف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تمسّک به بعض الأعاظم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کالمحقّق الخوئی </w:t>
      </w:r>
      <w:r>
        <w:rPr>
          <w:rStyle w:val="FootnoteAnchor"/>
          <w:rtl w:val="true"/>
        </w:rPr>
        <w:footnoteReference w:id="10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إطلاق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 الْمَوْلُودِ لَهُ رِزْقُهُنَّ وَ کِسْوَتُهُنَّ بِالْمَعْرُوفِ </w:t>
      </w:r>
      <w:r>
        <w:rPr>
          <w:rStyle w:val="FootnoteAnchor"/>
          <w:rtl w:val="true"/>
        </w:rPr>
        <w:footnoteReference w:id="1018"/>
      </w:r>
      <w:r>
        <w:rPr>
          <w:rFonts w:ascii="IRNazanin" w:hAnsi="IRNazanin" w:eastAsia="IRNazanin"/>
          <w:color w:val="111111"/>
          <w:sz w:val="28"/>
          <w:sz w:val="28"/>
          <w:szCs w:val="28"/>
          <w:rtl w:val="true"/>
          <w:lang w:bidi="fa-IR"/>
        </w:rPr>
        <w:t>لإثبات وجوب النفقة علی الصغیرة مع وضوح انصرافه إلی الکبیرة؛بمعنی أنّه لا اعتبار عندهم لهذا الانصراف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التمسّک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یُتَوَفَّوْنَ مِنْکُمْ وَ یَذَرُونَ أَزْواجاً یَتَرَبَّصْنَ بِأَنْفُسِهِنَّ أَرْبَعَةَ أَشْهُرٍ وَ عَشْراً </w:t>
      </w:r>
      <w:r>
        <w:rPr>
          <w:rStyle w:val="FootnoteAnchor"/>
          <w:rtl w:val="true"/>
        </w:rPr>
        <w:footnoteReference w:id="1019"/>
      </w:r>
      <w:r>
        <w:rPr>
          <w:rFonts w:ascii="IRNazanin" w:hAnsi="IRNazanin" w:eastAsia="IRNazanin"/>
          <w:color w:val="111111"/>
          <w:sz w:val="28"/>
          <w:sz w:val="28"/>
          <w:szCs w:val="28"/>
          <w:rtl w:val="true"/>
          <w:lang w:bidi="fa-IR"/>
        </w:rPr>
        <w:t xml:space="preserve">لإثبات العدّة علی الزوجة الصغیرة إذا مات عنها زوجها،مع أنّ الإطلاق فی الأزواج منصرف إلی الکبیرة </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تمسّک الفقهاء بشکل جلیّ بإطلاق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أَحَلَّ اللّهُ الْبَیْعَ </w:t>
      </w:r>
      <w:r>
        <w:rPr>
          <w:rStyle w:val="FootnoteAnchor"/>
          <w:rtl w:val="true"/>
        </w:rPr>
        <w:footnoteReference w:id="1021"/>
      </w:r>
      <w:r>
        <w:rPr>
          <w:rFonts w:ascii="IRNazanin" w:hAnsi="IRNazanin" w:eastAsia="IRNazanin"/>
          <w:color w:val="111111"/>
          <w:sz w:val="28"/>
          <w:sz w:val="28"/>
          <w:szCs w:val="28"/>
          <w:rtl w:val="true"/>
          <w:lang w:bidi="fa-IR"/>
        </w:rPr>
        <w:t>فی موارد البیع کافّة حتی فی المصادیق التی لم تکن فی السابق،کإنشاء البیع بالتلفون و الإنترنیت،فلم یدّع فقیه إلی الآن أنّ البیع ینصرف إلی خصوص البیع</w:t>
      </w:r>
    </w:p>
    <w:p>
      <w:pPr>
        <w:pStyle w:val="BookText"/>
        <w:rPr/>
      </w:pPr>
      <w:r>
        <w:rPr>
          <w:rFonts w:ascii="IRNazanin" w:hAnsi="IRNazanin" w:eastAsia="IRNazanin"/>
          <w:color w:val="111111"/>
          <w:sz w:val="28"/>
          <w:sz w:val="28"/>
          <w:szCs w:val="28"/>
          <w:rtl w:val="true"/>
          <w:lang w:bidi="fa-IR"/>
        </w:rPr>
        <w:t xml:space="preserve">المتعارف الموجود بین غالب الناس،بل قد تمسّک البعض بإطلاقها لإثبات صدق البیع فیما یشک فی صدقه </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الواضح أنّه لم یتمسّک أحد بحمل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ضَرَبْتُمْ فِی الْأَرْضِ </w:t>
      </w:r>
      <w:r>
        <w:rPr>
          <w:rStyle w:val="FootnoteAnchor"/>
          <w:rtl w:val="true"/>
        </w:rPr>
        <w:footnoteReference w:id="1023"/>
      </w:r>
      <w:r>
        <w:rPr>
          <w:rFonts w:ascii="IRNazanin" w:hAnsi="IRNazanin" w:eastAsia="IRNazanin"/>
          <w:color w:val="111111"/>
          <w:sz w:val="28"/>
          <w:sz w:val="28"/>
          <w:szCs w:val="28"/>
          <w:rtl w:val="true"/>
          <w:lang w:bidi="fa-IR"/>
        </w:rPr>
        <w:t xml:space="preserve">علی الفرد المتعارف للضرب الذی هو بمعنی المشی المعروف،أو المشی مع الحیوانات کالخیل و إن کان هناک شبهات قد طرحت أخیرا فی هذا المجال،إلاّ أنّ أکابر الفقهاء قد تمسّکوا بإطلاقها لکلّ أفراد الضرب و إن لم تکن من أفراده المتعارفة </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فسّر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منهم الشیخ الأنصاری </w:t>
      </w:r>
      <w:r>
        <w:rPr>
          <w:rStyle w:val="FootnoteAnchor"/>
          <w:rtl w:val="true"/>
        </w:rPr>
        <w:footnoteReference w:id="10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الباطل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تَأْکُلُوا أَمْوالَکُمْ بَیْنَکُمْ بِالْباطِلِ </w:t>
      </w:r>
      <w:r>
        <w:rPr>
          <w:rStyle w:val="FootnoteAnchor"/>
          <w:rtl w:val="true"/>
        </w:rPr>
        <w:footnoteReference w:id="1026"/>
      </w:r>
      <w:r>
        <w:rPr>
          <w:rFonts w:ascii="IRNazanin" w:hAnsi="IRNazanin" w:eastAsia="IRNazanin"/>
          <w:color w:val="111111"/>
          <w:sz w:val="28"/>
          <w:sz w:val="28"/>
          <w:szCs w:val="28"/>
          <w:rtl w:val="true"/>
          <w:lang w:bidi="fa-IR"/>
        </w:rPr>
        <w:t>بالباطل العرفی،و قد طبّق ذلک علی مصادیق للباطل سیّما فی عصرنا هذا استنادا إلی الآیة الکریمة،کالمعاملات المعبّر عنها بالمعاملات الهرمیّة،فهی و إن کانت قد لا تعدّ باطلا بحسب الظاهر لدی العرف،و لکن حقیقتها باطلة،و لو کان العرف یقف علی حقیقتها واقعا لحکم بکونها باطلا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 للأجنبیّة حرام مطلقا من غیر تقیید بالعین مباشرة،و لم یذهب فقیه واحد إلی تقییده بذلک،فلو تمّ النظر إلی الأجنبیّة علی بعد عدّة کیلومترات بواسطة الکامیرات القویّة لکان مصداقا للنظر المحرّم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ورد فی بعض الروایات فی نفس مقامنا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مسألة الهلال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لو رؤی الهلال قبل الزوال نهارا فذاک هو أوّل شوّال،و إن کان بعده فهو من رمضان </w:t>
      </w:r>
      <w:r>
        <w:rPr>
          <w:rStyle w:val="FootnoteAnchor"/>
          <w:rtl w:val="true"/>
        </w:rPr>
        <w:footnoteReference w:id="1027"/>
      </w:r>
      <w:r>
        <w:rPr>
          <w:rFonts w:ascii="IRNazanin" w:hAnsi="IRNazanin" w:eastAsia="IRNazanin"/>
          <w:color w:val="111111"/>
          <w:sz w:val="28"/>
          <w:sz w:val="28"/>
          <w:szCs w:val="28"/>
          <w:rtl w:val="true"/>
          <w:lang w:bidi="fa-IR"/>
        </w:rPr>
        <w:t>،مع أنّ القائلین بالانصراف ینبغی أن یصرفوا الرؤیة للرؤیة لیلا، و الحال أنّ الرؤیة نهارا قد اعتبرت جزءا من الرؤیة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یستدلّ </w:t>
      </w:r>
      <w:r>
        <w:rPr>
          <w:rStyle w:val="FootnoteAnchor"/>
          <w:rtl w:val="true"/>
        </w:rPr>
        <w:footnoteReference w:id="1028"/>
      </w:r>
      <w:r>
        <w:rPr>
          <w:rFonts w:ascii="IRNazanin" w:hAnsi="IRNazanin" w:eastAsia="IRNazanin"/>
          <w:color w:val="111111"/>
          <w:sz w:val="28"/>
          <w:sz w:val="28"/>
          <w:szCs w:val="28"/>
          <w:rtl w:val="true"/>
          <w:lang w:bidi="fa-IR"/>
        </w:rPr>
        <w:t>علی حرمة النظر إلی الطفل الممیّز بمثل قوله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عورة المؤمن علی المؤمن حرام </w:t>
      </w:r>
      <w:r>
        <w:rPr>
          <w:rStyle w:val="FootnoteAnchor"/>
          <w:rtl w:val="true"/>
        </w:rPr>
        <w:footnoteReference w:id="1029"/>
      </w:r>
      <w:r>
        <w:rPr>
          <w:rStyle w:val="FootnoteAnchor"/>
          <w:rtl w:val="true"/>
        </w:rPr>
        <w:footnoteReference w:id="1030"/>
      </w:r>
      <w:r>
        <w:rPr>
          <w:rFonts w:ascii="IRNazanin" w:hAnsi="IRNazanin" w:eastAsia="IRNazanin"/>
          <w:color w:val="111111"/>
          <w:sz w:val="28"/>
          <w:sz w:val="28"/>
          <w:szCs w:val="28"/>
          <w:rtl w:val="true"/>
          <w:lang w:bidi="fa-IR"/>
        </w:rPr>
        <w:t>،و لم یصرفوا الأحادیث إلی خصوص البالغ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فالمتحصّل من جمیع هذه الموارد عدم صحّة ما ذکره البعض؛من أنّا لا یمکننا الأخذ بالأفراد المتعارفة فی سائر المطلقات فی الفقه،و لکن عندما نصل إلی رؤیة الهلال نرجع إلی الأفراد غیر المتعارفة </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لعلّ المتتبّع یظفر بالمزید من الموارد الاخری التی لم یرتّب فیها الفقهاء الحکم علی الفرد المتعارف</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ورد فی 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نکته مهم دربارۀ رؤیت هلال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الموارد التی حمل فیها الفقهاء المطلقات علی الفرد المتعارف،إلاّ أنّ العجیب أنّ فی بعض تلک</w:t>
      </w:r>
      <w:bookmarkStart w:id="760" w:name="pg5439_47085"/>
    </w:p>
    <w:p>
      <w:pPr>
        <w:pStyle w:val="BookText"/>
        <w:rPr/>
      </w:pPr>
      <w:bookmarkEnd w:id="760"/>
      <w:r>
        <w:rPr>
          <w:rFonts w:ascii="IRNazanin" w:hAnsi="IRNazanin" w:eastAsia="IRNazanin"/>
          <w:color w:val="111111"/>
          <w:sz w:val="28"/>
          <w:sz w:val="28"/>
          <w:szCs w:val="28"/>
          <w:rtl w:val="true"/>
          <w:lang w:bidi="fa-IR"/>
        </w:rPr>
        <w:t>الموارد ما لا علاقة له بالمطلوب إطلاقا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فمثلا جاء فی المورد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الکثیر من الفقهاء یجعلون الملاک فی المناطق القطبیّة أو القریبة من القطب التی یکون فیها اللیل أو النهار قصیرا جدّا و خارجا عن المتعارف هو المناطق المتعارفة </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أیّة علاقة لهذا المورد بالمدّعی؟فهل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المتعارف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وردت فی الفقه فهی ترتبط بمحلّ الکلام؟و هل ثمّة إطلاق فی هذا المورد حتّی یحمل علی الفرد المتعارف؟</w:t>
      </w:r>
    </w:p>
    <w:p>
      <w:pPr>
        <w:pStyle w:val="BookText"/>
        <w:rPr/>
      </w:pPr>
      <w:r>
        <w:rPr>
          <w:rFonts w:ascii="Amiri" w:hAnsi="Amiri" w:eastAsia="Amiri" w:cs="Amiri"/>
          <w:color w:val="111111"/>
          <w:sz w:val="28"/>
          <w:sz w:val="28"/>
          <w:szCs w:val="28"/>
          <w:rtl w:val="true"/>
          <w:lang w:bidi="ar-SA"/>
        </w:rPr>
        <w:t>و من الواضح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المراد بالمتعارف هنا هو ما کان جهة اشتراک المکلّفین فی أصل التکلیف فی أیّة منطقة و مکان کانوا،فلا بدّ أن یأتوا بأعمالهم العبادیّة کسائر المکلّفین،فالمناسب أداء أعمالهم فی الأوقات الخمسة کالمناطق المتعارفة الاخری، و إلاّ لم یلتزم فقیه بأنّ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 الصَّلاةَ لِدُلُوکِ الشَّمْسِ إِلی غَسَقِ اللَّیْلِ </w:t>
      </w:r>
      <w:r>
        <w:rPr>
          <w:rStyle w:val="FootnoteAnchor"/>
          <w:rtl w:val="true"/>
        </w:rPr>
        <w:footnoteReference w:id="1033"/>
      </w:r>
      <w:r>
        <w:rPr>
          <w:rFonts w:ascii="IRNazanin" w:hAnsi="IRNazanin" w:eastAsia="IRNazanin"/>
          <w:color w:val="111111"/>
          <w:sz w:val="28"/>
          <w:sz w:val="28"/>
          <w:szCs w:val="28"/>
          <w:rtl w:val="true"/>
          <w:lang w:bidi="fa-IR"/>
        </w:rPr>
        <w:t>یجب حمله علی الطلوع أو الغروب المتعارف للشمس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هکذا الکلام فیما ذکره فی المورد السادس،حیث ذکر أنّ المتعارف فی موارد الجلد بالسوط المتعارف منه </w:t>
      </w:r>
      <w:r>
        <w:rPr>
          <w:rStyle w:val="FootnoteAnchor"/>
          <w:rtl w:val="true"/>
        </w:rPr>
        <w:footnoteReference w:id="1034"/>
      </w:r>
      <w:r>
        <w:rPr>
          <w:rFonts w:ascii="IRNazanin" w:hAnsi="IRNazanin" w:eastAsia="IRNazanin"/>
          <w:color w:val="111111"/>
          <w:sz w:val="28"/>
          <w:sz w:val="28"/>
          <w:szCs w:val="28"/>
          <w:rtl w:val="true"/>
          <w:lang w:bidi="fa-IR"/>
        </w:rPr>
        <w:t>إذ من الواضح عدم استفادة ذلک من الإطلاق،بل من القرائن المتوفّرة الدالّة علی الفرد المتعارف</w:t>
      </w:r>
      <w:r>
        <w:rPr>
          <w:rFonts w:eastAsia="IRNazanin" w:cs="IRNazanin"/>
          <w:color w:val="111111"/>
          <w:sz w:val="28"/>
          <w:szCs w:val="28"/>
          <w:rtl w:val="true"/>
          <w:lang w:bidi="fa-IR"/>
        </w:rPr>
        <w:t>.</w:t>
      </w:r>
    </w:p>
    <w:p>
      <w:pPr>
        <w:pStyle w:val="Heading6"/>
        <w:numPr>
          <w:ilvl w:val="5"/>
          <w:numId w:val="1"/>
        </w:numPr>
        <w:rPr/>
      </w:pPr>
      <w:bookmarkStart w:id="761" w:name="__RefHeading___Toc1856396_581953129"/>
      <w:bookmarkStart w:id="762" w:name="_Toc283"/>
      <w:bookmarkEnd w:id="761"/>
      <w:r>
        <w:rPr>
          <w:rtl w:val="true"/>
        </w:rPr>
        <w:t>نتائج البحث</w:t>
      </w:r>
      <w:r>
        <w:rPr>
          <w:rtl w:val="true"/>
        </w:rPr>
        <w:t>:</w:t>
      </w:r>
      <w:bookmarkEnd w:id="762"/>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الأصل الأوّلی هو أصالة الإطلاق،فیجب التمسّک بها</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الانصراف إلی فرد معیّن بحاجة إلی قرینة خاصّة،و قد لوحظ أنّ الفقهاء یتمسّکون فی موارد عدیدة من الفقه بالإطلاق فیما لو فقدت هذه القرینة،</w:t>
      </w:r>
      <w:bookmarkStart w:id="763" w:name="pg5439_47086"/>
    </w:p>
    <w:p>
      <w:pPr>
        <w:pStyle w:val="BookText"/>
        <w:rPr/>
      </w:pPr>
      <w:bookmarkEnd w:id="763"/>
      <w:r>
        <w:rPr>
          <w:rFonts w:ascii="IRNazanin" w:hAnsi="IRNazanin" w:eastAsia="IRNazanin"/>
          <w:color w:val="111111"/>
          <w:sz w:val="28"/>
          <w:sz w:val="28"/>
          <w:szCs w:val="28"/>
          <w:rtl w:val="true"/>
          <w:lang w:bidi="fa-IR"/>
        </w:rPr>
        <w:t>و لا قرینة فیما نحن فیه علی الانصراف،و مناسبات الحکم و الموضوع لا تصلح للقرینیّة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کفایة القرینة الدالّة علی الانصراف لو کانت لوحدها،بل لا بدّ من توفّر القرائن و الشواهد الاخری التی یمکن أن یستند إلیها 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کان الشارع الأقدس یعتبر الرؤیة بالعین غیر المسلّحة لوحدها شرطا فی ثبوت الهلال،لأکّد ذلک ببیان أوضح و أجلی ممّا هو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یمکن الالتزام بأنّ الشارع قد اکتفی بالانصراف فی مثل هذا الأمر المهمّ الذی هو مورد ابتلاء المسلمین فی کلّ سنة،بل و فی کلّ شهر من الشهور القمریّة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قلنا بالانصراف لوجب الالتزام بأنّ الرؤیة المعتبرة هی خصوص ما کان علی سطح الأرض المستوی دون ما کان منه علی رأس جبل أو بنایة شاهقة،مع أنّه ممّا لا یمکن الالتزام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نعم،قد ورد النهی فی بعض الروایات </w:t>
      </w:r>
      <w:r>
        <w:rPr>
          <w:rStyle w:val="FootnoteAnchor"/>
          <w:rtl w:val="true"/>
        </w:rPr>
        <w:footnoteReference w:id="1035"/>
      </w:r>
      <w:r>
        <w:rPr>
          <w:rFonts w:ascii="IRNazanin" w:hAnsi="IRNazanin" w:eastAsia="IRNazanin"/>
          <w:color w:val="111111"/>
          <w:sz w:val="28"/>
          <w:sz w:val="28"/>
          <w:szCs w:val="28"/>
          <w:rtl w:val="true"/>
          <w:lang w:bidi="fa-IR"/>
        </w:rPr>
        <w:t>من الصعود علی الجبل لرؤیة غروب الشمس،إلاّ أنّه خارج عمّا نحن فیه؛لاختلاف الموضوع بین المقامین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یمکن المصیر إلی جواز رؤیة الهلال بالعین المسلّحة کالعین غیر المسلّحة تماما،و الأدلّة و الضوابط الشرعیّة تساعد علی إثبات ذلک</w:t>
      </w:r>
      <w:r>
        <w:rPr>
          <w:rFonts w:eastAsia="IRNazanin" w:cs="IRNazanin"/>
          <w:color w:val="111111"/>
          <w:sz w:val="28"/>
          <w:szCs w:val="28"/>
          <w:rtl w:val="true"/>
          <w:lang w:bidi="fa-IR"/>
        </w:rPr>
        <w:t>.</w:t>
      </w:r>
    </w:p>
    <w:p>
      <w:pPr>
        <w:pStyle w:val="Heading5"/>
        <w:numPr>
          <w:ilvl w:val="4"/>
          <w:numId w:val="1"/>
        </w:numPr>
        <w:rPr/>
      </w:pPr>
      <w:bookmarkStart w:id="764" w:name="__RefHeading___Toc1856398_581953129"/>
      <w:bookmarkStart w:id="765" w:name="_Toc284"/>
      <w:bookmarkEnd w:id="764"/>
      <w:r>
        <w:rPr>
          <w:rtl w:val="true"/>
        </w:rPr>
        <w:t>الدعوی الثانیة</w:t>
      </w:r>
      <w:r>
        <w:rPr>
          <w:rtl w:val="true"/>
        </w:rPr>
        <w:t>:</w:t>
      </w:r>
      <w:r>
        <w:rPr>
          <w:rtl w:val="true"/>
        </w:rPr>
        <w:t>الطریقیّة و الموضوعیّة</w:t>
      </w:r>
      <w:bookmarkEnd w:id="765"/>
    </w:p>
    <w:p>
      <w:pPr>
        <w:pStyle w:val="Heading6"/>
        <w:numPr>
          <w:ilvl w:val="5"/>
          <w:numId w:val="1"/>
        </w:numPr>
        <w:rPr/>
      </w:pPr>
      <w:bookmarkStart w:id="766" w:name="__RefHeading___Toc1856400_581953129"/>
      <w:bookmarkStart w:id="767" w:name="_Toc285"/>
      <w:bookmarkEnd w:id="766"/>
      <w:r>
        <w:rPr>
          <w:rtl w:val="true"/>
        </w:rPr>
        <w:t>اشارة</w:t>
      </w:r>
      <w:bookmarkEnd w:id="767"/>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طرح البعض </w:t>
      </w:r>
      <w:r>
        <w:rPr>
          <w:rStyle w:val="FootnoteAnchor"/>
          <w:rtl w:val="true"/>
        </w:rPr>
        <w:footnoteReference w:id="1036"/>
      </w:r>
      <w:r>
        <w:rPr>
          <w:rFonts w:ascii="IRNazanin" w:hAnsi="IRNazanin" w:eastAsia="IRNazanin"/>
          <w:color w:val="111111"/>
          <w:sz w:val="28"/>
          <w:sz w:val="28"/>
          <w:szCs w:val="28"/>
          <w:rtl w:val="true"/>
          <w:lang w:bidi="fa-IR"/>
        </w:rPr>
        <w:t>فی بعض بحوثه حول هذه المسألة مسألة الطریقیّة و الموضوعیّة و أنّ الرؤیة فی باب الهلال ذات عنوان طریقیّ،و فی باب النظر</w:t>
      </w:r>
    </w:p>
    <w:p>
      <w:pPr>
        <w:pStyle w:val="BookText"/>
        <w:rPr/>
      </w:pPr>
      <w:r>
        <w:rPr>
          <w:rFonts w:ascii="IRNazanin" w:hAnsi="IRNazanin" w:eastAsia="IRNazanin"/>
          <w:color w:val="111111"/>
          <w:sz w:val="28"/>
          <w:sz w:val="28"/>
          <w:szCs w:val="28"/>
          <w:rtl w:val="true"/>
          <w:lang w:bidi="fa-IR"/>
        </w:rPr>
        <w:t>للأجنبیّة ذات عنوان موضوعیّ،و لذا حاولوا حلّ الإشکال عن هذا الطریق؛أی بما أنّ الرؤیة فی باب النظر إلی الأجنبیّة مأخوذة علی نحو الموضوعیّة،فلذا لا فرق حینئذ بین أقسامها و أسبابها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الکلام فی غایة الإشکال،حیث یرد علیه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أنّ الرؤیة فی أوّل الشهر القمری قد اخذت علی نحو الطریقیّة،و أنّ البیّنة أو العلم الشخصی یمکن أن تقوم مقامها،إلاّ أنّ نزاعنا لیس فی أنّ الرؤیة مأخوذة بنحو الطریقیّة أو الموضوعیّة؛لأنّه یمکن بناء النزاع علی کلا القولین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الطریقیّة و الموضوعیّة،بل النزاع فی أنّه هل مطلق الرؤیة طریق،أو الطریق هو خصوص الرؤیة الاعتیادیّة؟ و هل أنّ مطلق الرؤیة مأخوذة علی نحو الموضوعیّة،أو خصوص الرؤیة الاعتیادیّة؟</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یمکن إثبات انحصار الرؤیة بالاعتیادیّة من خلال نفی الموضوعیّة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ورد فی بعض المقالات </w:t>
      </w:r>
      <w:r>
        <w:rPr>
          <w:rStyle w:val="FootnoteAnchor"/>
          <w:rtl w:val="true"/>
        </w:rPr>
        <w:footnoteReference w:id="1037"/>
      </w:r>
      <w:r>
        <w:rPr>
          <w:rFonts w:ascii="IRNazanin" w:hAnsi="IRNazanin" w:eastAsia="IRNazanin"/>
          <w:color w:val="111111"/>
          <w:sz w:val="28"/>
          <w:sz w:val="28"/>
          <w:szCs w:val="28"/>
          <w:rtl w:val="true"/>
          <w:lang w:bidi="fa-IR"/>
        </w:rPr>
        <w:t>من أنّه بناء علی التفریق بین موارد الطریقیّة و الموضوعیّة یمکن القول بأنّ الملاک لیس هو إلاّ الرؤیة الاعتیادیّة فی غایة الغرابة؛إذ کیف یمکن للتمییز بین الموضوعیّة و الطریقیّة أن ینتج القول بأنّ مجرّد نفی الموضوعیّة یثبت أصالة الطریقیّة،و أنّ مجرّد نفی الطریقیّة یثبت أصالة الموضوعیّة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الإطلاق و عدم الإطلاق،فلا ربط لأحدهما بالآخر؟</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ذهب بعض آخر فی بعض المقالات </w:t>
      </w:r>
      <w:r>
        <w:rPr>
          <w:rStyle w:val="FootnoteAnchor"/>
          <w:rtl w:val="true"/>
        </w:rPr>
        <w:footnoteReference w:id="1038"/>
      </w:r>
      <w:r>
        <w:rPr>
          <w:rFonts w:ascii="IRNazanin" w:hAnsi="IRNazanin" w:eastAsia="IRNazanin"/>
          <w:color w:val="111111"/>
          <w:sz w:val="28"/>
          <w:sz w:val="28"/>
          <w:szCs w:val="28"/>
          <w:rtl w:val="true"/>
          <w:lang w:bidi="fa-IR"/>
        </w:rPr>
        <w:t>إلی أنّه کلّما ورد السمع أو النظر فی الروایات فی تحدید شیء معیّن فإنّهما مأخوذان علی نحو الطریقیّة،و لا یمکن أن یقوم مقامهما شیء آخر حتی لو کان النظر و السمع حادّین و خارقین للعادة، لا خصوص الرؤیة و السماع بالوسائل و الأجهزة الحدیثة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الطریقیّة لا تعنی عدم قیام شیء مقامها،بل یراد بها العکس؛أی إمکانیّة قیام شیء مقامها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التأمّل فیما تقدّم من البحث یکشف وقوع خلط بین أن یؤخذ عنوان ما طریقا،و بین أن یؤخذ ملاکا و موضوعا للحکم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الممکن القول فی مثل هذه الموارد أنّ رؤیة الموضوع و سماعه إنّما هو للتحدید،و قرینیّة مناسبات الحکم و الموضوع تقتضی عدم إمکانیّة أن یقوم مقامهما أیّ بدیل آخر،بل الذی یقوم هو خصوص ما کان متناسبا مع التحدید دون ما کان منافیا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کاتب المقال أنّ رؤیة الهلال تشبه مسألة حدّ الترخّص،فکما أنّ الشارع فی حدّ الترخّص هو فی مقام التحدید،فکذلک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هذه مجرّد دعوی لا دلیل علیها؛و ذلک أنّا لا نجیز استعمال الوسائل بدل الرؤیة فی حدّ الترخّص؛لتوفّر قرینیّة مناسبات الحکم و الموضوع؛و ذلک باعتبار أنّ الملاک هو الابتعاد عن البلد بحیث لا یسمع أذانه،فی حین أنّ مقامنا هو فی قیام الوسائل مقام الرؤیة الاعتیادیّة،و ذلک لا ینافی بدایة الشهر القمری و تحدیده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أخیرا،فالمهمّ عند من یناقش فی کفایة الرؤیة بالوسائل هو دفع جمیع الأقوال المقابلة حتی القول بأنّ بدایة الشهر هی بخروج الهلال من المحاق،فهل یمکن أن ندّعی فی قبال من یری أنّ بدایة الشهر بالخروج من المحاق،أنّ هذا الرأی یتنافی مع کون المسألة فی مقام التحدید؟و إذا أجابکم صاحب هذا القول بأنّ الرؤیة المأخوذة فی النصوص هی علی نحو الطریقیّة لإثبات خروج الهلال من المحاق،لا لإثبات إمکانیّة الرؤیة الاعتیادیّة،فما هو الجواب علی ذلک؟</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دعوی کون الرؤیة هی خصوص الرؤیة الاعتیادیّة لیس إلاّ مصادرة واضحة علی المطلوب،حیث أخذ القائل بذلک فی ذهنه مسبقا هذا المعنی ثمّ حمل الرؤیة الواردة فی الأخبار علیها بما یشبه أن تکون قضیّة ضروریّة بشرط المحمول</w:t>
      </w:r>
      <w:r>
        <w:rPr>
          <w:rFonts w:eastAsia="IRNazanin" w:cs="IRNazanin"/>
          <w:color w:val="111111"/>
          <w:sz w:val="28"/>
          <w:szCs w:val="28"/>
          <w:rtl w:val="true"/>
          <w:lang w:bidi="fa-IR"/>
        </w:rPr>
        <w:t>.</w:t>
      </w:r>
      <w:bookmarkStart w:id="768" w:name="pg5439_47089"/>
    </w:p>
    <w:p>
      <w:pPr>
        <w:pStyle w:val="BookText"/>
        <w:rPr/>
      </w:pPr>
      <w:bookmarkEnd w:id="768"/>
      <w:r>
        <w:rPr>
          <w:rFonts w:ascii="IRNazanin" w:hAnsi="IRNazanin" w:eastAsia="IRNazanin"/>
          <w:color w:val="111111"/>
          <w:sz w:val="28"/>
          <w:sz w:val="28"/>
          <w:szCs w:val="28"/>
          <w:rtl w:val="true"/>
          <w:lang w:bidi="fa-IR"/>
        </w:rPr>
        <w:t>و بعبارة أوضح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لمسألة حدّ الترخّص خصوصیّات،و هی عبارة عن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العرف یری أنّ ثمّة حدّ معیّن یسمّی بحدّ الترخّص،و ما ذکره الشارع یمکن أن یکون طریقا لإحراز ذلک الحدّ العرفی لیس إلاّ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 شیء یراد له أن یکون طریقا إلی حدّ الترخّص لا بدّ أن یکون موائما و منسجما مع عنوان التحدید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فی مقامنا،فالتحدید تکوینیّ و واقعیّ، فالشهر له بدایة و نهایة محدّدة تستغرق فترة من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یوما،و هذا أمر تکوینیّ و لیس عنوانا عرفیّا،فالحدّ إذن فی مسألة حدّ الترخّص له عنوان عرفیّ، بینما فی مقامنا له عنوان 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فبعد أن اعتبر الشارع الرؤیة طریقا یطرح التساؤل فی أنّه طریق لأیّ شیء؟إذا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طریق للهلال فی حال خروجه من المحاق،حیث لا تتیسّر رؤیته بالعین الاعتیادیّة،فهذا إضافة إلی بعده،فهو عین المدّعی</w:t>
      </w:r>
      <w:r>
        <w:rPr>
          <w:rFonts w:eastAsia="IRNazanin" w:cs="IRNazanin"/>
          <w:color w:val="111111"/>
          <w:sz w:val="28"/>
          <w:szCs w:val="28"/>
          <w:rtl w:val="true"/>
          <w:lang w:bidi="fa-IR"/>
        </w:rPr>
        <w:t>.</w:t>
      </w:r>
    </w:p>
    <w:p>
      <w:pPr>
        <w:pStyle w:val="Heading6"/>
        <w:numPr>
          <w:ilvl w:val="5"/>
          <w:numId w:val="1"/>
        </w:numPr>
        <w:rPr/>
      </w:pPr>
      <w:bookmarkStart w:id="769" w:name="__RefHeading___Toc1856402_581953129"/>
      <w:bookmarkStart w:id="770" w:name="_Toc286"/>
      <w:bookmarkEnd w:id="769"/>
      <w:r>
        <w:rPr>
          <w:rtl w:val="true"/>
        </w:rPr>
        <w:t>موضوع الرؤیة</w:t>
      </w:r>
      <w:bookmarkEnd w:id="770"/>
    </w:p>
    <w:p>
      <w:pPr>
        <w:pStyle w:val="BookText"/>
        <w:rPr/>
      </w:pP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یقتضیه البحث العلمی لیس الترکیز علی کون الرؤیة بنحو الطریقیّة،أو لا،بل لا بدّ من البحث عن نفس الشیء الذی تقع الرؤیة موضوعا له، فهل هو صرف الخروج من المحاق؟لیجاب بما أنّ الخروج من المحاق أمر عقلیّ دقیق خارج عن الفهم العرفی،فلا یمکن أن یکون هو الملاک،هذا الاحتمال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یخرج من المحاق بمقدار معیّن،و أن یخرج من تحت شعاع الشمس،و لا تمکن رؤیته إلاّ بالعین المسلّحة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یخرج و تمکن رؤیته بالعین الاعتیادیّة</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یقع البحث فی الصحیح من هذین الاحتمالین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 أو الثالث،و فی الدلیل علی ذلک،و صرف الادّعاء بأنّ الرؤیة مأخذوة بنحو الطریقیّة لا یعیّن الصحیح</w:t>
      </w:r>
      <w:bookmarkStart w:id="771" w:name="pg5439_47090"/>
    </w:p>
    <w:p>
      <w:pPr>
        <w:pStyle w:val="BookText"/>
        <w:rPr/>
      </w:pPr>
      <w:bookmarkEnd w:id="771"/>
      <w:r>
        <w:rPr>
          <w:rFonts w:ascii="IRNazanin" w:hAnsi="IRNazanin" w:eastAsia="IRNazanin"/>
          <w:color w:val="111111"/>
          <w:sz w:val="28"/>
          <w:sz w:val="28"/>
          <w:szCs w:val="28"/>
          <w:rtl w:val="true"/>
          <w:lang w:bidi="fa-IR"/>
        </w:rPr>
        <w:t>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الطریقیّة تنسجم مع کلا الاحتمالین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نعم،یمکن إثبات أحدهما أو نفیه بواسطة الإطلاق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من مجموع ما تقدّم عدم صحّة شیء من هاتین الدعویین فی عدم حجّیة الرؤیة بالعین المسلّحة،فنستنتج أنّ الملاک لمّا کان هو ثبوت الهلال، و الرؤیة لیست إلاّ طریقا مؤدّیا إلیه لتحصیل الیقین بثبوته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 لیس الملاک فی بدایة الشهر و وجوب الصیام إلاّ الیقین بثبوت الهلال،و قد سبقت الإشارة إلی أنّ الهلال أمر واقعیّ تکوینیّ یتعلّق باللیلة الاولی من الشهر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فالرؤیة بالوسائل و الأجهزة الحدیثة هی معتبرة شرعا و مجزئة فی ثبوت الهلال</w:t>
      </w:r>
      <w:r>
        <w:rPr>
          <w:rFonts w:eastAsia="IRNazanin" w:cs="IRNazanin"/>
          <w:color w:val="111111"/>
          <w:sz w:val="28"/>
          <w:szCs w:val="28"/>
          <w:rtl w:val="true"/>
          <w:lang w:bidi="fa-IR"/>
        </w:rPr>
        <w:t>.</w:t>
      </w:r>
    </w:p>
    <w:p>
      <w:pPr>
        <w:pStyle w:val="Heading6"/>
        <w:numPr>
          <w:ilvl w:val="5"/>
          <w:numId w:val="1"/>
        </w:numPr>
        <w:rPr/>
      </w:pPr>
      <w:bookmarkStart w:id="772" w:name="__RefHeading___Toc1856404_581953129"/>
      <w:bookmarkStart w:id="773" w:name="_Toc287"/>
      <w:bookmarkEnd w:id="772"/>
      <w:r>
        <w:rPr>
          <w:rtl w:val="true"/>
        </w:rPr>
        <w:t>إیرادات و توهّمات</w:t>
      </w:r>
      <w:r>
        <w:rPr>
          <w:rtl w:val="true"/>
        </w:rPr>
        <w:t>:</w:t>
      </w:r>
      <w:bookmarkEnd w:id="773"/>
    </w:p>
    <w:p>
      <w:pPr>
        <w:pStyle w:val="BookText"/>
        <w:rPr/>
      </w:pPr>
      <w:r>
        <w:rPr>
          <w:rFonts w:ascii="IRNazanin" w:hAnsi="IRNazanin" w:eastAsia="IRNazanin"/>
          <w:color w:val="111111"/>
          <w:sz w:val="28"/>
          <w:sz w:val="28"/>
          <w:szCs w:val="28"/>
          <w:rtl w:val="true"/>
          <w:lang w:bidi="fa-IR"/>
        </w:rPr>
        <w:t>الإیراد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لو کانت الرؤیة بالوسائل الحدیثة حجّة معتبرة شرعا، للزم ثبوت النجاسة و الطهارة بالمیکروسکوب؛بمعنی وجوب غسل الثوب من الذرّات التی یمکن مشاهدتها بالمیکروسکوب،مع أنّه یشکل الالتزام بذلک فقهیّا، بل هو غیر صحیح </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الجواب علی ذلک واضح جدّا،و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المعیار فی باب النجاسات و لزوم تطهیرها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الیقین بالنجاسة؛أی یجب التطهیر فی صورة التیقّن بالنجاسة،کما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کان استبان من أثره شیء فاغسله،و إلاّ لا بأس </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طبعا هذه الروایات واردة فی مقام الشکّ،فالشارع لا یوجب التفحّص عن الواقع فی حالات الشکّ،بل یجب الاجتناب و التطهیر عند تیقّن النجاسة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بعبارة</w:t>
      </w:r>
    </w:p>
    <w:p>
      <w:pPr>
        <w:pStyle w:val="BookText"/>
        <w:rPr/>
      </w:pPr>
      <w:r>
        <w:rPr>
          <w:rFonts w:ascii="IRNazanin" w:hAnsi="IRNazanin" w:eastAsia="IRNazanin"/>
          <w:color w:val="111111"/>
          <w:sz w:val="28"/>
          <w:sz w:val="28"/>
          <w:szCs w:val="28"/>
          <w:rtl w:val="true"/>
          <w:lang w:bidi="fa-IR"/>
        </w:rPr>
        <w:t>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لو کان التفحّص عن النجاسة هو الأصل لقلنا بأنّ من طرق ثبوتها هو النظر بالمیکروسکوب أو المکبّرة،و لکنّ الشارع لمّا وسّع علی المکلّفین فی ذلک نستنتج عدم وجوب الفحص،بل لو حصل القطع بالنجاسة بشکل عادیّ لوجب التطهیر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یطرح التساؤل التالی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و إن لم یجب الفحص و لو بالآلات و الوسائل، و لکن لو اتّفق ذلک صدفة و تمّ رؤیة ذرّات النجاسة بالمکبّرة أو المیکروسکوب علی الثوب فما حکم ذلک؟</w:t>
      </w:r>
    </w:p>
    <w:p>
      <w:pPr>
        <w:pStyle w:val="BookText"/>
        <w:rPr/>
      </w:pPr>
      <w:r>
        <w:rPr>
          <w:rFonts w:ascii="IRNazanin" w:hAnsi="IRNazanin" w:eastAsia="IRNazanin"/>
          <w:color w:val="111111"/>
          <w:sz w:val="28"/>
          <w:sz w:val="28"/>
          <w:szCs w:val="28"/>
          <w:rtl w:val="true"/>
          <w:lang w:bidi="fa-IR"/>
        </w:rPr>
        <w:t>یمکن القول بأنّ هذا من مصادیق الاستبانة استنادا إلی الإطلاقات،و بما أنّه حصل الیقین بالنجاسة فیشترک هذا المورد مع سائر الموارد فی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من المحتمل أیضا أن یستفاد من مجموع الأدلّة الواردة فی باب الطهارة و النجاسة أنّ الشارع لم یجعل هذا المقدار موضوعا للحکم،و أنّه قد تلقّی ذلک بمنزلة العدم،و لکن هذا لا یعنی إسناد ذلک إلی الانصراف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الإیراد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فی حدّ الترخّص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المکان الذی یتواری فیه الجدران و یخفی فیه الأذان،فلو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المعیار هو مطلق الرؤیة و مطلق السماع،لکان اللازم اعتبار المکان الذی یبعد عشرین کیلومترا حدّا للترخّص فیما لو کان یری منه الجدران بواسطة التسلکوب مثلا،و الحال أنّ الفقهاء اعتبروا المعیار هو الحالة العادیّة </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الواضح أنّ حدّ الترخّص لا یختلف باختلاف الأفراد،بل هو أمر عرفیّ،و تحدید الشرع له لیس تحدیدا تعبّدیا محضا،بل هو کاشف عن ضابطة عرفیّة،فالعرف یعتبر الرؤیة و السماع الطبیعیّین هما المقیاس،و لا یقیم اعتبارا</w:t>
      </w:r>
    </w:p>
    <w:p>
      <w:pPr>
        <w:pStyle w:val="BookText"/>
        <w:rPr/>
      </w:pPr>
      <w:r>
        <w:rPr>
          <w:rFonts w:ascii="IRNazanin" w:hAnsi="IRNazanin" w:eastAsia="IRNazanin"/>
          <w:color w:val="111111"/>
          <w:sz w:val="28"/>
          <w:sz w:val="28"/>
          <w:szCs w:val="28"/>
          <w:rtl w:val="true"/>
          <w:lang w:bidi="fa-IR"/>
        </w:rPr>
        <w:t>للأجهزة و الوسائل؛و ذلک لأنّه لو اخذ مثل هذه الوسائل بنظر الاعتبار لاختلف حدّ الترخّص باختلاف هذه الوسائل،و لخرج عن حقیقة الحدّ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الملاک لحدّ الترخّص هو الابتعاد عن البلد بحیث تخفی الجدران و لا یسمع الأذان،و هذا الابتعاد نفسه هو أفضل قرینة علی وجود حدّ معیّن له فی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الإیراد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لو شهد اثنان حادّی البصر لا تکفی شهادتهم، فتلحق الرؤیة بالوسائل بذلک فی عدم الاعتبار </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الجواب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حدّة البصر فی نفسها یحتمل معها قویّا وقوع الخطأ فیه، فی حال أنّ مثل هذا الخطأ فی التلسکوب إمّا معدوم أو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إمکانیّة الرؤیة بالتلسکوب أو المکبّرات لکلّ أحد،و هذا بعکس هؤلاء ذوی البصر الحادّ،فإنّ ذلک خاصّ بهم،و لذا لا یمکن قیاس النظر بالتلسکوب علی حادّ النظر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الاستدلال لا یعدو أن یکون قیاسا،فلا یمکن أن یقال مثلا فی باب النجاسات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لو رأی النجاسة شخص حادّ البصر بما لا یراها غیره لم یجب علیه الاجتناب،بل یجب علیه الاجتناب عند التیقّن بالنجاسة و إن لم یجب علی الآخرین الاجتناب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المستفاد من هذه الفتوی عدم حجّیة مثل هذه الشهادة للغیر،لکن هی حجّة فی حقّهم و یجب علیهم ترتیب آثارها</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الإیراد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لازم اعتبار الشارع للرؤیة بالعین المسلّحة معناه تخطئة المسلمین لأکثر من ألف سنة،حیث إنّ هذه الوسائل لم تکن فی السابق،فمعناه أنّ الشهر کان یتأخّر عندهم إمّا دائما أو غالبا </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القول بهذا الإشکال ینحصر بصورة منع الشارع الناس من هذه الوسائل،و الحال أنّه لم یمنع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تمامیّة هذا الإشکال تتوقّف علی أن تکون الرؤیة بالعین المسلّحة هی المتعیّنة و المعیار الحقیقی،مع أنّه قد تقدّم أنّ القائلین بها یذهبون إلیها علی نحو مانعة الخلوّ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تمّت رؤیته فی منطقة ما بالعین غیر المسلّحة،فهذا لا یعنی أبدا عدم إمکانیّة رؤیته فی اللیلة السابقة،و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یمکن مناقشة هذا الرأی من خلال الإیراد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اعتبار الرؤیة بالعین المسلّحة کافیة أو غیر کافیة لا یؤثّر فی الواقع شیئا،کما هو الحال فی الرؤیة بالعین غیر المسلّحة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الإیراد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القول بحجّیة الرؤیة بالعین المسلّحة یستتبع إشکالیات عدیدة،و هو قابل للنقض ببرهان الخلف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حجّیة هذا القول تستلزم القول بأنّ الأحکام الشرعیّة و المصالح و المفاسد هی تابعة لتطوّر الحیاة و الأجهزة الحدیثة،فإذا تمّ اختراع التلسکوب مثلا،و أمکن من خلاله رؤیة الهلال الذی لم یکن یر بدونه،فهذا معناه أن تتقدّم لیلة القدر و أن تعجّل الملائکة بنزولها فی تلک اللیلة التی رؤی فیها الهلال </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هذه الإشکالیات یمکن أن تکون مشترکة؛بمعنی أنّه حتّی لو کان المعیار هو الرؤیة بالعین الاعتیادیّة؛فإنّ مثل هذه الإشکالات موجودة أیضا فی البلاد التی لم یر فیها الهلال و لیست قریبة الافق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الاشکالات لیست ناشئة من استعمال الوسائل الحدیثة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أنّنا ندّعی أساسا أنّ اعتماد الرؤیة بالعین غیر المسلّحة تحول دون وقوع مثل هذه الإشکالات،فهذا الطریق أسلم من الرؤیة بالعین الطبیعیّة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العمدة فی الجواب،و 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قد ثبت فی علم الاصول أنّ الأحکام الواقعیّة و الظاهریّة هی التابعة للمصالح و المفاسد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الأحکام الفعلیّة التی تحمل العنوان الظاهری فلها ملاکاتها الخاصّة بها المذکورة فی علم الاصول </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الوارد فی الروایات </w:t>
      </w:r>
      <w:r>
        <w:rPr>
          <w:rStyle w:val="FootnoteAnchor"/>
          <w:rtl w:val="true"/>
        </w:rPr>
        <w:footnoteReference w:id="1046"/>
      </w:r>
      <w:r>
        <w:rPr>
          <w:rFonts w:ascii="IRNazanin" w:hAnsi="IRNazanin" w:eastAsia="IRNazanin"/>
          <w:color w:val="111111"/>
          <w:sz w:val="28"/>
          <w:sz w:val="28"/>
          <w:szCs w:val="28"/>
          <w:rtl w:val="true"/>
          <w:lang w:bidi="fa-IR"/>
        </w:rPr>
        <w:t xml:space="preserve">و الفتاوی </w:t>
      </w:r>
      <w:r>
        <w:rPr>
          <w:rStyle w:val="FootnoteAnchor"/>
          <w:rtl w:val="true"/>
        </w:rPr>
        <w:footnoteReference w:id="1047"/>
      </w:r>
      <w:r>
        <w:rPr>
          <w:rFonts w:ascii="IRNazanin" w:hAnsi="IRNazanin" w:eastAsia="IRNazanin"/>
          <w:color w:val="111111"/>
          <w:sz w:val="28"/>
          <w:sz w:val="28"/>
          <w:szCs w:val="28"/>
          <w:rtl w:val="true"/>
          <w:lang w:bidi="fa-IR"/>
        </w:rPr>
        <w:t>أنّه لو رأی شخص الهلال لوحده دون سواه،و اطمأنّ إلی رؤیته من غیر شکّ فیها وجب علیه الصوم وحده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کان شاکّا صام مع سائر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کلّ حال،فإنّ وظیفته تختلف عن غیره، فهل تلتزمون فی مثل هذه الصورة بالإشکالات المذکورة؟أم أنّ العلاج هو طرق الجمع المذکورة فی محلّها </w:t>
      </w:r>
      <w:r>
        <w:rPr>
          <w:rStyle w:val="FootnoteAnchor"/>
          <w:rtl w:val="true"/>
        </w:rPr>
        <w:footnoteReference w:id="1048"/>
      </w:r>
      <w:r>
        <w:rPr>
          <w:rFonts w:ascii="IRNazanin" w:hAnsi="IRNazanin" w:eastAsia="IRNazanin"/>
          <w:color w:val="111111"/>
          <w:sz w:val="28"/>
          <w:sz w:val="28"/>
          <w:szCs w:val="28"/>
          <w:rtl w:val="true"/>
          <w:lang w:bidi="fa-IR"/>
        </w:rPr>
        <w:t>بین الحکم الواقعی و الظاهری؟</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هی عدم ترتّب شیء من هذه التوالی الفاسدة علی الرأی المختار القاضی بجواز استعمال الأجهزة الحدیثة لرؤیة الهلال</w:t>
      </w:r>
      <w:r>
        <w:rPr>
          <w:rFonts w:eastAsia="IRNazanin" w:cs="IRNazanin"/>
          <w:color w:val="111111"/>
          <w:sz w:val="28"/>
          <w:szCs w:val="28"/>
          <w:rtl w:val="true"/>
          <w:lang w:bidi="fa-IR"/>
        </w:rPr>
        <w:t>.</w:t>
      </w:r>
      <w:bookmarkStart w:id="774" w:name="pg5439_47095"/>
    </w:p>
    <w:p>
      <w:pPr>
        <w:pStyle w:val="Heading2"/>
        <w:numPr>
          <w:ilvl w:val="1"/>
          <w:numId w:val="1"/>
        </w:numPr>
        <w:rPr/>
      </w:pPr>
      <w:bookmarkStart w:id="775" w:name="__RefHeading___Toc1856406_581953129"/>
      <w:bookmarkStart w:id="776" w:name="_Toc288"/>
      <w:bookmarkEnd w:id="774"/>
      <w:bookmarkEnd w:id="775"/>
      <w:r>
        <w:rPr>
          <w:rtl w:val="true"/>
        </w:rPr>
        <w:t>فهرس مصادر التحقیق</w:t>
      </w:r>
      <w:bookmarkEnd w:id="776"/>
    </w:p>
    <w:p>
      <w:pPr>
        <w:pStyle w:val="Heading3"/>
        <w:numPr>
          <w:ilvl w:val="2"/>
          <w:numId w:val="1"/>
        </w:numPr>
        <w:rPr/>
      </w:pPr>
      <w:bookmarkStart w:id="777" w:name="__RefHeading___Toc1856408_581953129"/>
      <w:bookmarkStart w:id="778" w:name="_Toc289"/>
      <w:bookmarkEnd w:id="777"/>
      <w:r>
        <w:rPr>
          <w:rtl w:val="true"/>
        </w:rPr>
        <w:t>-</w:t>
      </w:r>
      <w:r>
        <w:rPr>
          <w:rtl w:val="true"/>
        </w:rPr>
        <w:t>أ</w:t>
      </w:r>
      <w:r>
        <w:rPr>
          <w:rtl w:val="true"/>
        </w:rPr>
        <w:t>-</w:t>
      </w:r>
      <w:bookmarkEnd w:id="77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آراء السیّد علی الفانی الاصفهانی حول القرآن</w:t>
      </w:r>
      <w:r>
        <w:rPr>
          <w:rFonts w:eastAsia="IRNazanin" w:cs="IRNazanin"/>
          <w:color w:val="111111"/>
          <w:sz w:val="28"/>
          <w:szCs w:val="28"/>
          <w:rtl w:val="true"/>
          <w:lang w:bidi="fa-IR"/>
        </w:rPr>
        <w:t>(</w:t>
      </w:r>
      <w:r>
        <w:rPr>
          <w:rFonts w:eastAsia="IRNazanin" w:cs="IRNazanin"/>
          <w:color w:val="111111"/>
          <w:sz w:val="28"/>
          <w:szCs w:val="28"/>
          <w:lang w:bidi="fa-IR"/>
        </w:rPr>
        <w:t>1332</w:t>
      </w:r>
      <w:r>
        <w:rPr>
          <w:rFonts w:eastAsia="IRNazanin" w:cs="IRNazanin"/>
          <w:color w:val="111111"/>
          <w:sz w:val="28"/>
          <w:szCs w:val="28"/>
          <w:rtl w:val="true"/>
          <w:lang w:bidi="fa-IR"/>
        </w:rPr>
        <w:t>-</w:t>
      </w:r>
      <w:r>
        <w:rPr>
          <w:rFonts w:eastAsia="IRNazanin" w:cs="IRNazanin"/>
          <w:color w:val="111111"/>
          <w:sz w:val="28"/>
          <w:szCs w:val="28"/>
          <w:lang w:bidi="fa-IR"/>
        </w:rPr>
        <w:t>1409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المقدّسة،</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آلاء الرحمن فی تفسیر القرآن،للشیخ محمد جواد بن حسن بن طالب بن عبّاس بن إبراهیم ابن حسین البلاغی الربعی</w:t>
      </w:r>
      <w:r>
        <w:rPr>
          <w:rFonts w:eastAsia="IRNazanin" w:cs="IRNazanin"/>
          <w:color w:val="111111"/>
          <w:sz w:val="28"/>
          <w:szCs w:val="28"/>
          <w:rtl w:val="true"/>
          <w:lang w:bidi="fa-IR"/>
        </w:rPr>
        <w:t>(</w:t>
      </w:r>
      <w:r>
        <w:rPr>
          <w:rFonts w:eastAsia="IRNazanin" w:cs="IRNazanin"/>
          <w:color w:val="111111"/>
          <w:sz w:val="28"/>
          <w:szCs w:val="28"/>
          <w:lang w:bidi="fa-IR"/>
        </w:rPr>
        <w:t>1282</w:t>
      </w:r>
      <w:r>
        <w:rPr>
          <w:rFonts w:eastAsia="IRNazanin" w:cs="IRNazanin"/>
          <w:color w:val="111111"/>
          <w:sz w:val="28"/>
          <w:szCs w:val="28"/>
          <w:rtl w:val="true"/>
          <w:lang w:bidi="fa-IR"/>
        </w:rPr>
        <w:t>-</w:t>
      </w:r>
      <w:r>
        <w:rPr>
          <w:rFonts w:eastAsia="IRNazanin" w:cs="IRNazanin"/>
          <w:color w:val="111111"/>
          <w:sz w:val="28"/>
          <w:szCs w:val="28"/>
          <w:lang w:bidi="fa-IR"/>
        </w:rPr>
        <w:t>1352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البعثة،قم،الطبعة الاولی،</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التطهیر رؤیة مبتکرة،لآیة اللّه العظمی الشیخ محمّد الفاضل اللنکرانی قدّس سرّه،و آیة اللّه الشیخ شهاب الدّین الإشراقی قدّس سرّه،مرکز فقه الأئمّة الأطهار علیهم السّلام،قم،الطبعة الثانیة،</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أجود التقریرات،تقریرات أبحاث المیرزا محمد حسین الغروی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للسیّد أبو القاسم بن علی أکبر بن هاشم الموسوی الخوئی</w:t>
      </w:r>
      <w:r>
        <w:rPr>
          <w:rFonts w:eastAsia="IRNazanin" w:cs="IRNazanin"/>
          <w:color w:val="111111"/>
          <w:sz w:val="28"/>
          <w:szCs w:val="28"/>
          <w:rtl w:val="true"/>
          <w:lang w:bidi="fa-IR"/>
        </w:rPr>
        <w:t>(</w:t>
      </w:r>
      <w:r>
        <w:rPr>
          <w:rFonts w:eastAsia="IRNazanin" w:cs="IRNazanin"/>
          <w:color w:val="111111"/>
          <w:sz w:val="28"/>
          <w:szCs w:val="28"/>
          <w:lang w:bidi="fa-IR"/>
        </w:rPr>
        <w:t>1317</w:t>
      </w:r>
      <w:r>
        <w:rPr>
          <w:rFonts w:eastAsia="IRNazanin" w:cs="IRNazanin"/>
          <w:color w:val="111111"/>
          <w:sz w:val="28"/>
          <w:szCs w:val="28"/>
          <w:rtl w:val="true"/>
          <w:lang w:bidi="fa-IR"/>
        </w:rPr>
        <w:t>-</w:t>
      </w:r>
      <w:r>
        <w:rPr>
          <w:rFonts w:eastAsia="IRNazanin" w:cs="IRNazanin"/>
          <w:color w:val="111111"/>
          <w:sz w:val="28"/>
          <w:szCs w:val="28"/>
          <w:lang w:bidi="fa-IR"/>
        </w:rPr>
        <w:t>1413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مطبعة ستارة،قم،</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الاحتجاج،لأبی منصور أحمد بن علیّ بن أبی طالب الطبرسی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أعلام القرن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الاسوة،قم،الطبعة الثالثة،</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الإحکام فی اصول الأحکام،لأبی الحسن علیّ بن أبی محمّد بن سالم الثعلبی،أو التغلبی، الملقّب سیف الدّین الآمدی</w:t>
      </w:r>
      <w:r>
        <w:rPr>
          <w:rFonts w:eastAsia="IRNazanin" w:cs="IRNazanin"/>
          <w:color w:val="111111"/>
          <w:sz w:val="28"/>
          <w:szCs w:val="28"/>
          <w:rtl w:val="true"/>
          <w:lang w:bidi="fa-IR"/>
        </w:rPr>
        <w:t>(</w:t>
      </w:r>
      <w:r>
        <w:rPr>
          <w:rFonts w:eastAsia="IRNazanin" w:cs="IRNazanin"/>
          <w:color w:val="111111"/>
          <w:sz w:val="28"/>
          <w:szCs w:val="28"/>
          <w:lang w:bidi="fa-IR"/>
        </w:rPr>
        <w:t>551</w:t>
      </w:r>
      <w:r>
        <w:rPr>
          <w:rFonts w:eastAsia="IRNazanin" w:cs="IRNazanin"/>
          <w:color w:val="111111"/>
          <w:sz w:val="28"/>
          <w:szCs w:val="28"/>
          <w:rtl w:val="true"/>
          <w:lang w:bidi="fa-IR"/>
        </w:rPr>
        <w:t>-</w:t>
      </w:r>
      <w:r>
        <w:rPr>
          <w:rFonts w:eastAsia="IRNazanin" w:cs="IRNazanin"/>
          <w:color w:val="111111"/>
          <w:sz w:val="28"/>
          <w:szCs w:val="28"/>
          <w:lang w:bidi="fa-IR"/>
        </w:rPr>
        <w:t>631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الکتاب العربی،بیروت،الطبعة الثالثة،</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معرفة الرجال،المعروف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لشیخ الطائفة أبی جعفر محمّد بن الحسن بن علیّ الطوسی</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مشهد،</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أخلاق ناصری،لمحمّد بن محمّد بن الحسن،الفیلسوف،المحقّق الخواجة نصیر الدّین الطوسی </w:t>
      </w:r>
      <w:r>
        <w:rPr>
          <w:rFonts w:eastAsia="IRNazanin" w:cs="IRNazanin"/>
          <w:color w:val="111111"/>
          <w:sz w:val="28"/>
          <w:szCs w:val="28"/>
          <w:rtl w:val="true"/>
          <w:lang w:bidi="fa-IR"/>
        </w:rPr>
        <w:t>(</w:t>
      </w:r>
      <w:r>
        <w:rPr>
          <w:rFonts w:eastAsia="IRNazanin" w:cs="IRNazanin"/>
          <w:color w:val="111111"/>
          <w:sz w:val="28"/>
          <w:szCs w:val="28"/>
          <w:lang w:bidi="fa-IR"/>
        </w:rPr>
        <w:t>597</w:t>
      </w:r>
      <w:r>
        <w:rPr>
          <w:rFonts w:eastAsia="IRNazanin" w:cs="IRNazanin"/>
          <w:color w:val="111111"/>
          <w:sz w:val="28"/>
          <w:szCs w:val="28"/>
          <w:rtl w:val="true"/>
          <w:lang w:bidi="fa-IR"/>
        </w:rPr>
        <w:t>-</w:t>
      </w:r>
      <w:r>
        <w:rPr>
          <w:rFonts w:eastAsia="IRNazanin" w:cs="IRNazanin"/>
          <w:color w:val="111111"/>
          <w:sz w:val="28"/>
          <w:szCs w:val="28"/>
          <w:lang w:bidi="fa-IR"/>
        </w:rPr>
        <w:t>672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سهامی انتشارات خوارزمی،طهران،الطبعة الثانیة،</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 الأذهان إلی أحکام الإیمان،لأبی منصور الحسن بن یوسف بن علیّ بن المطهّر الأسدی،المعروف بالعلاّمة</w:t>
      </w:r>
      <w:r>
        <w:rPr>
          <w:rFonts w:eastAsia="IRNazanin" w:cs="IRNazanin"/>
          <w:color w:val="111111"/>
          <w:sz w:val="28"/>
          <w:szCs w:val="28"/>
          <w:rtl w:val="true"/>
          <w:lang w:bidi="fa-IR"/>
        </w:rPr>
        <w:t>(</w:t>
      </w:r>
      <w:r>
        <w:rPr>
          <w:rFonts w:eastAsia="IRNazanin" w:cs="IRNazanin"/>
          <w:color w:val="111111"/>
          <w:sz w:val="28"/>
          <w:szCs w:val="28"/>
          <w:lang w:bidi="fa-IR"/>
        </w:rPr>
        <w:t>648</w:t>
      </w:r>
      <w:r>
        <w:rPr>
          <w:rFonts w:eastAsia="IRNazanin" w:cs="IRNazanin"/>
          <w:color w:val="111111"/>
          <w:sz w:val="28"/>
          <w:szCs w:val="28"/>
          <w:rtl w:val="true"/>
          <w:lang w:bidi="fa-IR"/>
        </w:rPr>
        <w:t>-</w:t>
      </w:r>
      <w:r>
        <w:rPr>
          <w:rFonts w:eastAsia="IRNazanin" w:cs="IRNazanin"/>
          <w:color w:val="111111"/>
          <w:sz w:val="28"/>
          <w:szCs w:val="28"/>
          <w:lang w:bidi="fa-IR"/>
        </w:rPr>
        <w:t>726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النشر الإسلامی،قم،الطبعة الاولی،</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أساس البلاغة،لجار اللّه أبی القاسم محمود بن عمر بن محمد بن عمر الخوارزمی الزمخشری </w:t>
      </w:r>
      <w:r>
        <w:rPr>
          <w:rFonts w:eastAsia="IRNazanin" w:cs="IRNazanin"/>
          <w:color w:val="111111"/>
          <w:sz w:val="28"/>
          <w:szCs w:val="28"/>
          <w:rtl w:val="true"/>
          <w:lang w:bidi="fa-IR"/>
        </w:rPr>
        <w:t>(</w:t>
      </w:r>
      <w:r>
        <w:rPr>
          <w:rFonts w:eastAsia="IRNazanin" w:cs="IRNazanin"/>
          <w:color w:val="111111"/>
          <w:sz w:val="28"/>
          <w:szCs w:val="28"/>
          <w:lang w:bidi="fa-IR"/>
        </w:rPr>
        <w:t>467</w:t>
      </w:r>
      <w:r>
        <w:rPr>
          <w:rFonts w:eastAsia="IRNazanin" w:cs="IRNazanin"/>
          <w:color w:val="111111"/>
          <w:sz w:val="28"/>
          <w:szCs w:val="28"/>
          <w:rtl w:val="true"/>
          <w:lang w:bidi="fa-IR"/>
        </w:rPr>
        <w:t>-</w:t>
      </w:r>
      <w:r>
        <w:rPr>
          <w:rFonts w:eastAsia="IRNazanin" w:cs="IRNazanin"/>
          <w:color w:val="111111"/>
          <w:sz w:val="28"/>
          <w:szCs w:val="28"/>
          <w:lang w:bidi="fa-IR"/>
        </w:rPr>
        <w:t>538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بیروت للطباعة و النشر،بیروت،</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 فیما اختلف من الأخبار،لشیخ الطائفة أبی جعفر محمد بن الحسن بن علیّ الطوسی</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الکتب الإسلامیّة،طهران،الطبعة الثالثة،</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الإشارات و التنبیهات،لأبی علی حسین بن عبد اللّه بن الحسن بن علی بن سینا،ثمّ البخاری، الملقّب بالشیخ الرئیس</w:t>
      </w:r>
      <w:r>
        <w:rPr>
          <w:rFonts w:eastAsia="IRNazanin" w:cs="IRNazanin"/>
          <w:color w:val="111111"/>
          <w:sz w:val="28"/>
          <w:szCs w:val="28"/>
          <w:rtl w:val="true"/>
          <w:lang w:bidi="fa-IR"/>
        </w:rPr>
        <w:t>(</w:t>
      </w:r>
      <w:r>
        <w:rPr>
          <w:rFonts w:eastAsia="IRNazanin" w:cs="IRNazanin"/>
          <w:color w:val="111111"/>
          <w:sz w:val="28"/>
          <w:szCs w:val="28"/>
          <w:lang w:bidi="fa-IR"/>
        </w:rPr>
        <w:t>370</w:t>
      </w:r>
      <w:r>
        <w:rPr>
          <w:rFonts w:eastAsia="IRNazanin" w:cs="IRNazanin"/>
          <w:color w:val="111111"/>
          <w:sz w:val="28"/>
          <w:szCs w:val="28"/>
          <w:rtl w:val="true"/>
          <w:lang w:bidi="fa-IR"/>
        </w:rPr>
        <w:t>-</w:t>
      </w:r>
      <w:r>
        <w:rPr>
          <w:rFonts w:eastAsia="IRNazanin" w:cs="IRNazanin"/>
          <w:color w:val="111111"/>
          <w:sz w:val="28"/>
          <w:szCs w:val="28"/>
          <w:lang w:bidi="fa-IR"/>
        </w:rPr>
        <w:t>428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المطبعة الحیدریّة،طهران،الطبعة الثانیة،</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الاصول العامّة للفقه المقارن،للسیّد محمد تقی بن سعید الحکیم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تولّد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آل البیت علیهم السّلام،قم،الطبعة الثانیة،</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الفقه،للشیخ محمّد رضا بن محمّد بن عبد اللّه بن محمد المظفّر النجفی</w:t>
      </w:r>
      <w:r>
        <w:rPr>
          <w:rFonts w:eastAsia="IRNazanin" w:cs="IRNazanin"/>
          <w:color w:val="111111"/>
          <w:sz w:val="28"/>
          <w:szCs w:val="28"/>
          <w:rtl w:val="true"/>
          <w:lang w:bidi="fa-IR"/>
        </w:rPr>
        <w:t>(</w:t>
      </w:r>
      <w:r>
        <w:rPr>
          <w:rFonts w:eastAsia="IRNazanin" w:cs="IRNazanin"/>
          <w:color w:val="111111"/>
          <w:sz w:val="28"/>
          <w:szCs w:val="28"/>
          <w:lang w:bidi="fa-IR"/>
        </w:rPr>
        <w:t>1322</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الإعلام الإسلامی،قم،الطبعة الثانیة،</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الاعتقادات،سلسلة مؤلّفات الشیخ المفید،لأبی جعفر محمد بن علیّ بن الحسین بن موسی ابن بابویه القمّی،المعروف بالشیخ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المفید،بیروت،الطبعة الثانیة،</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 فی فصح العربیة و الشوارد،لسعید بن عبد اللّه بن میخائیل بن إلیاس بن یوسف الخوری الشرتونی</w:t>
      </w:r>
      <w:r>
        <w:rPr>
          <w:rFonts w:eastAsia="IRNazanin" w:cs="IRNazanin"/>
          <w:color w:val="111111"/>
          <w:sz w:val="28"/>
          <w:szCs w:val="28"/>
          <w:rtl w:val="true"/>
          <w:lang w:bidi="fa-IR"/>
        </w:rPr>
        <w:t>(</w:t>
      </w:r>
      <w:r>
        <w:rPr>
          <w:rFonts w:eastAsia="IRNazanin" w:cs="IRNazanin"/>
          <w:color w:val="111111"/>
          <w:sz w:val="28"/>
          <w:szCs w:val="28"/>
          <w:lang w:bidi="fa-IR"/>
        </w:rPr>
        <w:t>1265</w:t>
      </w:r>
      <w:r>
        <w:rPr>
          <w:rFonts w:eastAsia="IRNazanin" w:cs="IRNazanin"/>
          <w:color w:val="111111"/>
          <w:sz w:val="28"/>
          <w:szCs w:val="28"/>
          <w:rtl w:val="true"/>
          <w:lang w:bidi="fa-IR"/>
        </w:rPr>
        <w:t>-</w:t>
      </w:r>
      <w:r>
        <w:rPr>
          <w:rFonts w:eastAsia="IRNazanin" w:cs="IRNazanin"/>
          <w:color w:val="111111"/>
          <w:sz w:val="28"/>
          <w:szCs w:val="28"/>
          <w:lang w:bidi="fa-IR"/>
        </w:rPr>
        <w:t>1330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لبنان،بیروت،الطبعة الثانیة،</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اکذوبة تحریف القرآن،للشیخ رسول جعفریان،معاونیّة العلاقات الدولیّة فی منظمة الإعلام الإسلامی،طهران،الطبعة الاولی،</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الأمالی،لأبی جعفر محمد بن علیّ بن الحسین بن موسی بن بابویه القمّی،المعروف بالشیخ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البعثة،قم،الطبعة الاولی،</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bookmarkStart w:id="779" w:name="pg5439_47097"/>
    </w:p>
    <w:p>
      <w:pPr>
        <w:pStyle w:val="BookText"/>
        <w:rPr/>
      </w:pPr>
      <w:bookmarkEnd w:id="779"/>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الأمالی،لشیخ الطائفة أبی جعفر محمد بن الحسن بن علیّ بن الحسن الطوسی</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البعثة،قم،الطبعة الاولی،</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الأمالی،لأبی عبد اللّه محمّد بن محمّد بن النعمان العکبری البغدادی،الملقّب بالشیخ المفید </w:t>
      </w:r>
      <w:r>
        <w:rPr>
          <w:rFonts w:eastAsia="IRNazanin" w:cs="IRNazanin"/>
          <w:color w:val="111111"/>
          <w:sz w:val="28"/>
          <w:szCs w:val="28"/>
          <w:rtl w:val="true"/>
          <w:lang w:bidi="fa-IR"/>
        </w:rPr>
        <w:t>(</w:t>
      </w:r>
      <w:r>
        <w:rPr>
          <w:rFonts w:eastAsia="IRNazanin" w:cs="IRNazanin"/>
          <w:color w:val="111111"/>
          <w:sz w:val="28"/>
          <w:szCs w:val="28"/>
          <w:lang w:bidi="fa-IR"/>
        </w:rPr>
        <w:t>338</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منشورات جماعة المدرّسین،قم المقدّسة،</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الانتصار،لعلیّ بن الحسین بن موسی بن محمد بن موسی بن إبراهیم بن الإمام موسی بن جعفر علیهما السّلام،المعروف بالشریف المرتضی و علم الهدی</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w:t>
      </w:r>
      <w:r>
        <w:rPr>
          <w:rFonts w:eastAsia="IRNazanin" w:cs="IRNazanin"/>
          <w:color w:val="111111"/>
          <w:sz w:val="28"/>
          <w:szCs w:val="28"/>
          <w:lang w:bidi="fa-IR"/>
        </w:rPr>
        <w:t>436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النشر الإسلامی،قم المشرّفة،</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أنوار الاصول،تقریرا لأبحاث الشیخ ناصر مکارم الشیرازی،لأحمد القدسی،مدرسة الإمام أمیر المؤمنین علیه السّلام،قم،الطبعة الثانیة،</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أوثق الوسائل فی شرح الرسائل،لموسی بن جعفر بن أحمد بن لطف علی بن محمد صادق التبریزی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انتشارات کتبی نجفی،قم،بالافست عن الطبعة فی سنة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الإیضاح،لفضل بن شاذان بن الخلیل الأزدی النیسابوری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الأعلمی،بیروت، الطبعة الاولی،</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إیضاح الفوائد فی شرح مشکلات القواعد،لفخر المحقّقین محمد بن الحسن بن یوسف بن المطهّر الحلّی</w:t>
      </w:r>
      <w:r>
        <w:rPr>
          <w:rFonts w:eastAsia="IRNazanin" w:cs="IRNazanin"/>
          <w:color w:val="111111"/>
          <w:sz w:val="28"/>
          <w:szCs w:val="28"/>
          <w:rtl w:val="true"/>
          <w:lang w:bidi="fa-IR"/>
        </w:rPr>
        <w:t>(</w:t>
      </w:r>
      <w:r>
        <w:rPr>
          <w:rFonts w:eastAsia="IRNazanin" w:cs="IRNazanin"/>
          <w:color w:val="111111"/>
          <w:sz w:val="28"/>
          <w:szCs w:val="28"/>
          <w:lang w:bidi="fa-IR"/>
        </w:rPr>
        <w:t>682</w:t>
      </w:r>
      <w:r>
        <w:rPr>
          <w:rFonts w:eastAsia="IRNazanin" w:cs="IRNazanin"/>
          <w:color w:val="111111"/>
          <w:sz w:val="28"/>
          <w:szCs w:val="28"/>
          <w:rtl w:val="true"/>
          <w:lang w:bidi="fa-IR"/>
        </w:rPr>
        <w:t>-</w:t>
      </w:r>
      <w:r>
        <w:rPr>
          <w:rFonts w:eastAsia="IRNazanin" w:cs="IRNazanin"/>
          <w:color w:val="111111"/>
          <w:sz w:val="28"/>
          <w:szCs w:val="28"/>
          <w:lang w:bidi="fa-IR"/>
        </w:rPr>
        <w:t>771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المطبعة العلمیّة،قم،الطبعة الاولی،</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3"/>
        <w:numPr>
          <w:ilvl w:val="2"/>
          <w:numId w:val="1"/>
        </w:numPr>
        <w:rPr/>
      </w:pPr>
      <w:bookmarkStart w:id="780" w:name="__RefHeading___Toc1856410_581953129"/>
      <w:bookmarkStart w:id="781" w:name="_Toc290"/>
      <w:bookmarkEnd w:id="780"/>
      <w:r>
        <w:rPr>
          <w:rtl w:val="true"/>
        </w:rPr>
        <w:t>-</w:t>
      </w:r>
      <w:r>
        <w:rPr>
          <w:rtl w:val="true"/>
        </w:rPr>
        <w:t>ب</w:t>
      </w:r>
      <w:r>
        <w:rPr>
          <w:rtl w:val="true"/>
        </w:rPr>
        <w:t>-</w:t>
      </w:r>
      <w:bookmarkEnd w:id="781"/>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 الجامعة لدرر أخبار الأئمّة الأطهار علیهم السّلام،للعلاّمة المولی محمد باقر بن محمد تقی المجلسی</w:t>
      </w:r>
      <w:r>
        <w:rPr>
          <w:rFonts w:eastAsia="IRNazanin" w:cs="IRNazanin"/>
          <w:color w:val="111111"/>
          <w:sz w:val="28"/>
          <w:szCs w:val="28"/>
          <w:rtl w:val="true"/>
          <w:lang w:bidi="fa-IR"/>
        </w:rPr>
        <w:t>(</w:t>
      </w:r>
      <w:r>
        <w:rPr>
          <w:rFonts w:eastAsia="IRNazanin" w:cs="IRNazanin"/>
          <w:color w:val="111111"/>
          <w:sz w:val="28"/>
          <w:szCs w:val="28"/>
          <w:lang w:bidi="fa-IR"/>
        </w:rPr>
        <w:t>1037</w:t>
      </w:r>
      <w:r>
        <w:rPr>
          <w:rFonts w:eastAsia="IRNazanin" w:cs="IRNazanin"/>
          <w:color w:val="111111"/>
          <w:sz w:val="28"/>
          <w:szCs w:val="28"/>
          <w:rtl w:val="true"/>
          <w:lang w:bidi="fa-IR"/>
        </w:rPr>
        <w:t>-</w:t>
      </w:r>
      <w:r>
        <w:rPr>
          <w:rFonts w:eastAsia="IRNazanin" w:cs="IRNazanin"/>
          <w:color w:val="111111"/>
          <w:sz w:val="28"/>
          <w:szCs w:val="28"/>
          <w:lang w:bidi="fa-IR"/>
        </w:rPr>
        <w:t>1110</w:t>
      </w:r>
      <w:r>
        <w:rPr>
          <w:rFonts w:ascii="IRNazanin" w:hAnsi="IRNazanin" w:eastAsia="IRNazanin"/>
          <w:color w:val="111111"/>
          <w:sz w:val="28"/>
          <w:sz w:val="28"/>
          <w:szCs w:val="28"/>
          <w:lang w:bidi="fa-IR"/>
        </w:rPr>
        <w:t>،</w:t>
      </w:r>
      <w:r>
        <w:rPr>
          <w:rFonts w:eastAsia="IRNazanin" w:cs="IRNazanin"/>
          <w:color w:val="111111"/>
          <w:sz w:val="28"/>
          <w:szCs w:val="28"/>
          <w:lang w:bidi="fa-IR"/>
        </w:rPr>
        <w:t>1111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الکتب الإسلامیة،طهران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الفوائد فی شرح الفرائد،لمحمّد حسن بن جعفر بن محمّد الآشتیانی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1248</w:t>
      </w:r>
      <w:r>
        <w:rPr>
          <w:rFonts w:eastAsia="IRNazanin" w:cs="IRNazanin"/>
          <w:color w:val="111111"/>
          <w:sz w:val="28"/>
          <w:szCs w:val="28"/>
          <w:rtl w:val="true"/>
          <w:lang w:bidi="fa-IR"/>
        </w:rPr>
        <w:t>-</w:t>
      </w:r>
      <w:r>
        <w:rPr>
          <w:rFonts w:eastAsia="IRNazanin" w:cs="IRNazanin"/>
          <w:color w:val="111111"/>
          <w:sz w:val="28"/>
          <w:szCs w:val="28"/>
          <w:lang w:bidi="fa-IR"/>
        </w:rPr>
        <w:t>1319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آیة اللّه المرعشی النجفی،</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بحوث فی علم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 الدلیل اللفظی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تقریرا لأبحاث السیّد محمد باقر الصدر</w:t>
      </w:r>
      <w:bookmarkStart w:id="782" w:name="pg5439_47098"/>
    </w:p>
    <w:p>
      <w:pPr>
        <w:pStyle w:val="BookText"/>
        <w:rPr/>
      </w:pPr>
      <w:bookmarkEnd w:id="782"/>
      <w:r>
        <w:rPr>
          <w:rFonts w:eastAsia="IRNazanin" w:cs="IRNazanin"/>
          <w:color w:val="111111"/>
          <w:sz w:val="28"/>
          <w:szCs w:val="28"/>
          <w:rtl w:val="true"/>
          <w:lang w:bidi="fa-IR"/>
        </w:rPr>
        <w:t>(</w:t>
      </w:r>
      <w:r>
        <w:rPr>
          <w:rFonts w:eastAsia="IRNazanin" w:cs="IRNazanin"/>
          <w:color w:val="111111"/>
          <w:sz w:val="28"/>
          <w:szCs w:val="28"/>
          <w:lang w:bidi="fa-IR"/>
        </w:rPr>
        <w:t>1353-1400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للسیّد محمود الهاشمی،مکتب الإعلام الإسلامی،قم،الطبعة الثانیة،</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بدائع الأفکار فی الاصول،تقریر بحث الشیخ ضیاء الدّین ابن المولی محمد العراقی </w:t>
      </w:r>
      <w:r>
        <w:rPr>
          <w:rFonts w:eastAsia="IRNazanin" w:cs="IRNazanin"/>
          <w:color w:val="111111"/>
          <w:sz w:val="28"/>
          <w:szCs w:val="28"/>
          <w:rtl w:val="true"/>
          <w:lang w:bidi="fa-IR"/>
        </w:rPr>
        <w:t>(</w:t>
      </w:r>
      <w:r>
        <w:rPr>
          <w:rFonts w:eastAsia="IRNazanin" w:cs="IRNazanin"/>
          <w:color w:val="111111"/>
          <w:sz w:val="28"/>
          <w:szCs w:val="28"/>
          <w:lang w:bidi="fa-IR"/>
        </w:rPr>
        <w:t>1278</w:t>
      </w:r>
      <w:r>
        <w:rPr>
          <w:rFonts w:eastAsia="IRNazanin" w:cs="IRNazanin"/>
          <w:color w:val="111111"/>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للشیخ هاشم بن محمّد الآملی</w:t>
      </w:r>
      <w:r>
        <w:rPr>
          <w:rFonts w:eastAsia="IRNazanin" w:cs="IRNazanin"/>
          <w:color w:val="111111"/>
          <w:sz w:val="28"/>
          <w:szCs w:val="28"/>
          <w:rtl w:val="true"/>
          <w:lang w:bidi="fa-IR"/>
        </w:rPr>
        <w:t>(</w:t>
      </w:r>
      <w:r>
        <w:rPr>
          <w:rFonts w:eastAsia="IRNazanin" w:cs="IRNazanin"/>
          <w:color w:val="111111"/>
          <w:sz w:val="28"/>
          <w:szCs w:val="28"/>
          <w:lang w:bidi="fa-IR"/>
        </w:rPr>
        <w:t>1322</w:t>
      </w:r>
      <w:r>
        <w:rPr>
          <w:rFonts w:eastAsia="IRNazanin" w:cs="IRNazanin"/>
          <w:color w:val="111111"/>
          <w:sz w:val="28"/>
          <w:szCs w:val="28"/>
          <w:rtl w:val="true"/>
          <w:lang w:bidi="fa-IR"/>
        </w:rPr>
        <w:t>-</w:t>
      </w:r>
      <w:r>
        <w:rPr>
          <w:rFonts w:eastAsia="IRNazanin" w:cs="IRNazanin"/>
          <w:color w:val="111111"/>
          <w:sz w:val="28"/>
          <w:szCs w:val="28"/>
          <w:lang w:bidi="fa-IR"/>
        </w:rPr>
        <w:t>1413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المطبعة العلمیّة،النجف الأشرف،</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 فی تفسیر القرآن،للسیّد هاشم بن سلیمان بن إسماعیل بن عبد الجواد بن علیّ بن سلیمان ابن السیّد ناصر الحسینی البحرانی،التوبلی الکتکتانی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البعثة،قم،الطبعة الاولی،</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بصائر الدرجات فی فضائل آل محمّد صلّی اللّه علیه و اله،لأبی جعفر محمد بن الحسن بن فرّوخ الصفّار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آیة اللّه المرعشی النجفی،قم المقدّسة،</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 الأمین،لتقیّ الدین إبراهیم بن علیّ بن الحسن بن محمّد بن صالح بن إسماعیل الحارثی الکفعمی العاملی</w:t>
      </w:r>
      <w:r>
        <w:rPr>
          <w:rFonts w:eastAsia="IRNazanin" w:cs="IRNazanin"/>
          <w:color w:val="111111"/>
          <w:sz w:val="28"/>
          <w:szCs w:val="28"/>
          <w:rtl w:val="true"/>
          <w:lang w:bidi="fa-IR"/>
        </w:rPr>
        <w:t>(</w:t>
      </w:r>
      <w:r>
        <w:rPr>
          <w:rFonts w:eastAsia="IRNazanin" w:cs="IRNazanin"/>
          <w:color w:val="111111"/>
          <w:sz w:val="28"/>
          <w:szCs w:val="28"/>
          <w:lang w:bidi="fa-IR"/>
        </w:rPr>
        <w:t>840</w:t>
      </w:r>
      <w:r>
        <w:rPr>
          <w:rFonts w:eastAsia="IRNazanin" w:cs="IRNazanin"/>
          <w:color w:val="111111"/>
          <w:sz w:val="28"/>
          <w:szCs w:val="28"/>
          <w:rtl w:val="true"/>
          <w:lang w:bidi="fa-IR"/>
        </w:rPr>
        <w:t>-</w:t>
      </w:r>
      <w:r>
        <w:rPr>
          <w:rFonts w:eastAsia="IRNazanin" w:cs="IRNazanin"/>
          <w:color w:val="111111"/>
          <w:sz w:val="28"/>
          <w:szCs w:val="28"/>
          <w:lang w:bidi="fa-IR"/>
        </w:rPr>
        <w:t>905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الحجری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البیان،للشیخ أبی عبد اللّه شمس الدین محمد بن جمال الدین مکّی بن محمد بن حامد بن أحمد المطّلبی العاملیّ النباطی،المشتهر بالشهید الأوّل</w:t>
      </w:r>
      <w:r>
        <w:rPr>
          <w:rFonts w:eastAsia="IRNazanin" w:cs="IRNazanin"/>
          <w:color w:val="111111"/>
          <w:sz w:val="28"/>
          <w:szCs w:val="28"/>
          <w:rtl w:val="true"/>
          <w:lang w:bidi="fa-IR"/>
        </w:rPr>
        <w:t>(</w:t>
      </w:r>
      <w:r>
        <w:rPr>
          <w:rFonts w:eastAsia="IRNazanin" w:cs="IRNazanin"/>
          <w:color w:val="111111"/>
          <w:sz w:val="28"/>
          <w:szCs w:val="28"/>
          <w:lang w:bidi="fa-IR"/>
        </w:rPr>
        <w:t>734</w:t>
      </w:r>
      <w:r>
        <w:rPr>
          <w:rFonts w:eastAsia="IRNazanin" w:cs="IRNazanin"/>
          <w:color w:val="111111"/>
          <w:sz w:val="28"/>
          <w:szCs w:val="28"/>
          <w:rtl w:val="true"/>
          <w:lang w:bidi="fa-IR"/>
        </w:rPr>
        <w:t>-</w:t>
      </w:r>
      <w:r>
        <w:rPr>
          <w:rFonts w:eastAsia="IRNazanin" w:cs="IRNazanin"/>
          <w:color w:val="111111"/>
          <w:sz w:val="28"/>
          <w:szCs w:val="28"/>
          <w:lang w:bidi="fa-IR"/>
        </w:rPr>
        <w:t>786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 فرهنگی الإمام المهدی علیه السّلام، قم،الطبعة الاولی،</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البیان فی تفسیر القرآن،للسیّد أبو القاسم بن علی أکبر بن هاشم الموسوی الخوئی </w:t>
      </w:r>
      <w:r>
        <w:rPr>
          <w:rFonts w:eastAsia="IRNazanin" w:cs="IRNazanin"/>
          <w:color w:val="111111"/>
          <w:sz w:val="28"/>
          <w:szCs w:val="28"/>
          <w:rtl w:val="true"/>
          <w:lang w:bidi="fa-IR"/>
        </w:rPr>
        <w:t>(</w:t>
      </w:r>
      <w:r>
        <w:rPr>
          <w:rFonts w:eastAsia="IRNazanin" w:cs="IRNazanin"/>
          <w:color w:val="111111"/>
          <w:sz w:val="28"/>
          <w:szCs w:val="28"/>
          <w:lang w:bidi="fa-IR"/>
        </w:rPr>
        <w:t>1317</w:t>
      </w:r>
      <w:r>
        <w:rPr>
          <w:rFonts w:eastAsia="IRNazanin" w:cs="IRNazanin"/>
          <w:color w:val="111111"/>
          <w:sz w:val="28"/>
          <w:szCs w:val="28"/>
          <w:rtl w:val="true"/>
          <w:lang w:bidi="fa-IR"/>
        </w:rPr>
        <w:t>-</w:t>
      </w:r>
      <w:r>
        <w:rPr>
          <w:rFonts w:eastAsia="IRNazanin" w:cs="IRNazanin"/>
          <w:color w:val="111111"/>
          <w:sz w:val="28"/>
          <w:szCs w:val="28"/>
          <w:lang w:bidi="fa-IR"/>
        </w:rPr>
        <w:t>1413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إحیاء آثار الإمام الخوئی،قم،الطبعة الثلاثون،</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3"/>
        <w:numPr>
          <w:ilvl w:val="2"/>
          <w:numId w:val="1"/>
        </w:numPr>
        <w:rPr/>
      </w:pPr>
      <w:bookmarkStart w:id="783" w:name="__RefHeading___Toc1856412_581953129"/>
      <w:bookmarkStart w:id="784" w:name="_Toc291"/>
      <w:bookmarkEnd w:id="783"/>
      <w:r>
        <w:rPr>
          <w:rtl w:val="true"/>
        </w:rPr>
        <w:t>-</w:t>
      </w:r>
      <w:r>
        <w:rPr>
          <w:rtl w:val="true"/>
        </w:rPr>
        <w:t>ت</w:t>
      </w:r>
      <w:r>
        <w:rPr>
          <w:rtl w:val="true"/>
        </w:rPr>
        <w:t>-</w:t>
      </w:r>
      <w:bookmarkEnd w:id="784"/>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التاج المذهّب لأحکام المذهب،لأحمد بن قاسم العنسی الیمانی الصنعانی</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الحکمة الیمانیّة،صنعاء،</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التشریع الإسلامی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التشریع و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لمنّاع خلیل القطّان،مؤسّسة الرسالة،ناشرون، بیروت،الطبعة السادسة و العشرون،</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الفقه الإسلامی،أفکار و رجال،لمحمّد کمال الدین،منشأة المعارف،الاسکندریّة، الطبعة الاولی،</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فقه أهل البیت علیهم السّلام،للشیخ محمد مهدی الآصفی،مقدّمة ریاض المسائل،مؤسّسة النشر الإسلامی،قم،الطبعة الثانیة،</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المذاهب الإسلامیّة فی السیاسة و العقائد و تاریخ المذاهب الفقهیّة،لمحمّد بن أحمد بن مصطفی بن أحمد بن عبد اللّه،المعروف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زهرة</w:t>
      </w:r>
      <w:r>
        <w:rPr>
          <w:rFonts w:eastAsia="IRNazanin" w:cs="IRNazanin"/>
          <w:color w:val="111111"/>
          <w:sz w:val="28"/>
          <w:szCs w:val="28"/>
          <w:rtl w:val="true"/>
          <w:lang w:bidi="fa-IR"/>
        </w:rPr>
        <w:t>»(</w:t>
      </w:r>
      <w:r>
        <w:rPr>
          <w:rFonts w:eastAsia="IRNazanin" w:cs="IRNazanin"/>
          <w:color w:val="111111"/>
          <w:sz w:val="28"/>
          <w:szCs w:val="28"/>
          <w:lang w:bidi="fa-IR"/>
        </w:rPr>
        <w:t>1316</w:t>
      </w: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الفکر العربی،القاهرة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 الآیات الظاهرة فی فضائل العترة الطاهرة،للسیّد شرف الدّین علیّ الحسینی الأستراباذی الغروی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علماء النصف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القرن العاشر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النشر الإسلامی،قم، الطبعة الاولی،</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تبصرة المتعلّمین فی أحکام الدین،لأبی منصور جمال الدین الحسن بن یوسف بن علیّ بن المطهّر الأسدی،المعروف بالعلاّمة الحلّی</w:t>
      </w:r>
      <w:r>
        <w:rPr>
          <w:rFonts w:eastAsia="IRNazanin" w:cs="IRNazanin"/>
          <w:color w:val="111111"/>
          <w:sz w:val="28"/>
          <w:szCs w:val="28"/>
          <w:rtl w:val="true"/>
          <w:lang w:bidi="fa-IR"/>
        </w:rPr>
        <w:t>(</w:t>
      </w:r>
      <w:r>
        <w:rPr>
          <w:rFonts w:eastAsia="IRNazanin" w:cs="IRNazanin"/>
          <w:color w:val="111111"/>
          <w:sz w:val="28"/>
          <w:szCs w:val="28"/>
          <w:lang w:bidi="fa-IR"/>
        </w:rPr>
        <w:t>648</w:t>
      </w:r>
      <w:r>
        <w:rPr>
          <w:rFonts w:eastAsia="IRNazanin" w:cs="IRNazanin"/>
          <w:color w:val="111111"/>
          <w:sz w:val="28"/>
          <w:szCs w:val="28"/>
          <w:rtl w:val="true"/>
          <w:lang w:bidi="fa-IR"/>
        </w:rPr>
        <w:t>-</w:t>
      </w:r>
      <w:r>
        <w:rPr>
          <w:rFonts w:eastAsia="IRNazanin" w:cs="IRNazanin"/>
          <w:color w:val="111111"/>
          <w:sz w:val="28"/>
          <w:szCs w:val="28"/>
          <w:lang w:bidi="fa-IR"/>
        </w:rPr>
        <w:t>726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وزارة الثقافة و الإرشاد الإسلامی، طهران،الطبعة الاولی،</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التبیان فی تفسیر القرآن،لشیخ الطائفة أبی جعفر محمد بن الحسن بن علی الطوسی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الأعلمی للمطبوعات،بیروت،بالافست عن مکتبة الأمین فی النجف الأشرف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 الأحکام الشرعیّة علی مذهب الإمامیّة،لأبی منصور الحسن بن یوسف بن علیّ بن المطهّر الأسدی،المعروف بالعلاّمة الحلّی</w:t>
      </w:r>
      <w:r>
        <w:rPr>
          <w:rFonts w:eastAsia="IRNazanin" w:cs="IRNazanin"/>
          <w:color w:val="111111"/>
          <w:sz w:val="28"/>
          <w:szCs w:val="28"/>
          <w:rtl w:val="true"/>
          <w:lang w:bidi="fa-IR"/>
        </w:rPr>
        <w:t>(</w:t>
      </w:r>
      <w:r>
        <w:rPr>
          <w:rFonts w:eastAsia="IRNazanin" w:cs="IRNazanin"/>
          <w:color w:val="111111"/>
          <w:sz w:val="28"/>
          <w:szCs w:val="28"/>
          <w:lang w:bidi="fa-IR"/>
        </w:rPr>
        <w:t>648</w:t>
      </w:r>
      <w:r>
        <w:rPr>
          <w:rFonts w:eastAsia="IRNazanin" w:cs="IRNazanin"/>
          <w:color w:val="111111"/>
          <w:sz w:val="28"/>
          <w:szCs w:val="28"/>
          <w:rtl w:val="true"/>
          <w:lang w:bidi="fa-IR"/>
        </w:rPr>
        <w:t>-</w:t>
      </w:r>
      <w:r>
        <w:rPr>
          <w:rFonts w:eastAsia="IRNazanin" w:cs="IRNazanin"/>
          <w:color w:val="111111"/>
          <w:sz w:val="28"/>
          <w:szCs w:val="28"/>
          <w:lang w:bidi="fa-IR"/>
        </w:rPr>
        <w:t>726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الإمام الصادق علیه السّلام،قم،الطبعة الاولی،</w:t>
      </w:r>
      <w:r>
        <w:rPr>
          <w:rFonts w:eastAsia="IRNazanin" w:cs="IRNazanin"/>
          <w:color w:val="111111"/>
          <w:sz w:val="28"/>
          <w:szCs w:val="28"/>
          <w:lang w:bidi="fa-IR"/>
        </w:rPr>
        <w:t>1420</w:t>
      </w:r>
      <w:r>
        <w:rPr>
          <w:rFonts w:eastAsia="IRNazanin" w:cs="IRNazanin"/>
          <w:color w:val="111111"/>
          <w:sz w:val="28"/>
          <w:szCs w:val="28"/>
          <w:rtl w:val="true"/>
          <w:lang w:bidi="fa-IR"/>
        </w:rPr>
        <w:t>-</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 الوسیلة،للإمام الراحل السیّد روح اللّه الموسوی الخمینی قدّس سرّه</w:t>
      </w:r>
      <w:r>
        <w:rPr>
          <w:rFonts w:eastAsia="IRNazanin" w:cs="IRNazanin"/>
          <w:color w:val="111111"/>
          <w:sz w:val="28"/>
          <w:szCs w:val="28"/>
          <w:rtl w:val="true"/>
          <w:lang w:bidi="fa-IR"/>
        </w:rPr>
        <w:t>(</w:t>
      </w:r>
      <w:r>
        <w:rPr>
          <w:rFonts w:eastAsia="IRNazanin" w:cs="IRNazanin"/>
          <w:color w:val="111111"/>
          <w:sz w:val="28"/>
          <w:szCs w:val="28"/>
          <w:lang w:bidi="fa-IR"/>
        </w:rPr>
        <w:t>1281</w:t>
      </w:r>
      <w:r>
        <w:rPr>
          <w:rFonts w:eastAsia="IRNazanin" w:cs="IRNazanin"/>
          <w:color w:val="111111"/>
          <w:sz w:val="28"/>
          <w:szCs w:val="28"/>
          <w:rtl w:val="true"/>
          <w:lang w:bidi="fa-IR"/>
        </w:rPr>
        <w:t>-</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تنظیم و نشر آثار الإمام الخمینی،قم،الطبعة الاولی،</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 عن آل الرسول صلّی اللّه علیه و اله،لأبی محمد الحسن بن علیّ بن الحسین بن شعبة الحرّانی</w:t>
      </w:r>
    </w:p>
    <w:p>
      <w:pPr>
        <w:pStyle w:val="BookText"/>
        <w:rPr/>
      </w:pPr>
      <w:r>
        <w:rPr>
          <w:rFonts w:ascii="IRNazanin" w:hAnsi="IRNazanin" w:eastAsia="IRNazanin"/>
          <w:color w:val="111111"/>
          <w:sz w:val="28"/>
          <w:sz w:val="28"/>
          <w:szCs w:val="28"/>
          <w:rtl w:val="true"/>
          <w:lang w:bidi="fa-IR"/>
        </w:rPr>
        <w:t>الحلبی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أعلام القرن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النشر الإسلامی،قم،الطبعة الخامسة،</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الفقهاء،لأبی منصور الحسن بن یوسف بن علیّ بن المطهّر الأسدی،المعروف بالعلاّمة الحلّی</w:t>
      </w:r>
      <w:r>
        <w:rPr>
          <w:rFonts w:eastAsia="IRNazanin" w:cs="IRNazanin"/>
          <w:color w:val="111111"/>
          <w:sz w:val="28"/>
          <w:szCs w:val="28"/>
          <w:rtl w:val="true"/>
          <w:lang w:bidi="fa-IR"/>
        </w:rPr>
        <w:t>(</w:t>
      </w:r>
      <w:r>
        <w:rPr>
          <w:rFonts w:eastAsia="IRNazanin" w:cs="IRNazanin"/>
          <w:color w:val="111111"/>
          <w:sz w:val="28"/>
          <w:szCs w:val="28"/>
          <w:lang w:bidi="fa-IR"/>
        </w:rPr>
        <w:t>648</w:t>
      </w:r>
      <w:r>
        <w:rPr>
          <w:rFonts w:eastAsia="IRNazanin" w:cs="IRNazanin"/>
          <w:color w:val="111111"/>
          <w:sz w:val="28"/>
          <w:szCs w:val="28"/>
          <w:rtl w:val="true"/>
          <w:lang w:bidi="fa-IR"/>
        </w:rPr>
        <w:t>-</w:t>
      </w:r>
      <w:r>
        <w:rPr>
          <w:rFonts w:eastAsia="IRNazanin" w:cs="IRNazanin"/>
          <w:color w:val="111111"/>
          <w:sz w:val="28"/>
          <w:szCs w:val="28"/>
          <w:lang w:bidi="fa-IR"/>
        </w:rPr>
        <w:t>726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آل البیت علیهم السّلام لإحیاء التراث،قم،الطبعة الاولی،</w:t>
      </w:r>
      <w:r>
        <w:rPr>
          <w:rFonts w:eastAsia="IRNazanin" w:cs="IRNazanin"/>
          <w:color w:val="111111"/>
          <w:sz w:val="28"/>
          <w:szCs w:val="28"/>
          <w:lang w:bidi="fa-IR"/>
        </w:rPr>
        <w:t>1414</w:t>
      </w:r>
      <w:r>
        <w:rPr>
          <w:rFonts w:eastAsia="IRNazanin" w:cs="IRNazanin"/>
          <w:color w:val="111111"/>
          <w:sz w:val="28"/>
          <w:szCs w:val="28"/>
          <w:rtl w:val="true"/>
          <w:lang w:bidi="fa-IR"/>
        </w:rPr>
        <w:t>-</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مکتبة المرتضویّة لإحیاء الآثار الجعفریّة،طهران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تشریح الاصول،لملاّ علی بن فتح اللّه النهاوندی النجفی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1242</w:t>
      </w:r>
      <w:r>
        <w:rPr>
          <w:rFonts w:eastAsia="IRNazanin" w:cs="IRNazanin"/>
          <w:color w:val="111111"/>
          <w:sz w:val="28"/>
          <w:szCs w:val="28"/>
          <w:rtl w:val="true"/>
          <w:lang w:bidi="fa-IR"/>
        </w:rPr>
        <w:t>-</w:t>
      </w:r>
      <w:r>
        <w:rPr>
          <w:rFonts w:eastAsia="IRNazanin" w:cs="IRNazanin"/>
          <w:color w:val="111111"/>
          <w:sz w:val="28"/>
          <w:szCs w:val="28"/>
          <w:lang w:bidi="fa-IR"/>
        </w:rPr>
        <w:t>1322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تصحیح اعتقادات الإمامیّة،سلسلة مؤلّفات الشیخ المفید،لأبی عبد اللّه محمد بن محمد بن النعمان العکبری،الملقّب بالشیخ المفید</w:t>
      </w: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المفید،بیروت،الطبعة الثانیة،</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الصافی،لمحمد بن المرتضی بن محمود،المدعوّ بالمولی محسن،و المشتهر بالفیض الکاشانی </w:t>
      </w:r>
      <w:r>
        <w:rPr>
          <w:rFonts w:eastAsia="IRNazanin" w:cs="IRNazanin"/>
          <w:color w:val="111111"/>
          <w:sz w:val="28"/>
          <w:szCs w:val="28"/>
          <w:rtl w:val="true"/>
          <w:lang w:bidi="fa-IR"/>
        </w:rPr>
        <w:t>(</w:t>
      </w:r>
      <w:r>
        <w:rPr>
          <w:rFonts w:eastAsia="IRNazanin" w:cs="IRNazanin"/>
          <w:color w:val="111111"/>
          <w:sz w:val="28"/>
          <w:szCs w:val="28"/>
          <w:lang w:bidi="fa-IR"/>
        </w:rPr>
        <w:t>1007</w:t>
      </w:r>
      <w:r>
        <w:rPr>
          <w:rFonts w:eastAsia="IRNazanin" w:cs="IRNazanin"/>
          <w:color w:val="111111"/>
          <w:sz w:val="28"/>
          <w:szCs w:val="28"/>
          <w:rtl w:val="true"/>
          <w:lang w:bidi="fa-IR"/>
        </w:rPr>
        <w:t>-</w:t>
      </w:r>
      <w:r>
        <w:rPr>
          <w:rFonts w:eastAsia="IRNazanin" w:cs="IRNazanin"/>
          <w:color w:val="111111"/>
          <w:sz w:val="28"/>
          <w:szCs w:val="28"/>
          <w:lang w:bidi="fa-IR"/>
        </w:rPr>
        <w:t>1091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الإسلامیّة،طهران،</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العیّاشی،لأبی النضر محمّد بن مسعود بن محمّد بن عیّاش السلمی السمرقندی،المعروف بالعیّاشی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أعلام القرن الثالث الهجری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المکتبة العلمیّة الإسلامیّة،طهران،الطبعة الاولی، </w:t>
      </w:r>
      <w:r>
        <w:rPr>
          <w:rFonts w:eastAsia="IRNazanin" w:cs="IRNazanin"/>
          <w:color w:val="111111"/>
          <w:sz w:val="28"/>
          <w:szCs w:val="28"/>
          <w:lang w:bidi="fa-IR"/>
        </w:rPr>
        <w:t>1380</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القمّی،لأبی الحسن علیّ بن إبراهیم بن هاشم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أعلام قرنی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مطبعة النجف،النجف،الطبعة الثانیة،بیروت،</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الکبیر،المسمّی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،لأبی عبد اللّه محمّد بن عمر بن الحسن بن الحسین بن علی التیمی البکری الطبرستانی،المعروف بالفخر الرازی</w:t>
      </w:r>
      <w:r>
        <w:rPr>
          <w:rFonts w:eastAsia="IRNazanin" w:cs="IRNazanin"/>
          <w:color w:val="111111"/>
          <w:sz w:val="28"/>
          <w:szCs w:val="28"/>
          <w:rtl w:val="true"/>
          <w:lang w:bidi="fa-IR"/>
        </w:rPr>
        <w:t>(</w:t>
      </w:r>
      <w:r>
        <w:rPr>
          <w:rFonts w:eastAsia="IRNazanin" w:cs="IRNazanin"/>
          <w:color w:val="111111"/>
          <w:sz w:val="28"/>
          <w:szCs w:val="28"/>
          <w:lang w:bidi="fa-IR"/>
        </w:rPr>
        <w:t>543</w:t>
      </w:r>
      <w:r>
        <w:rPr>
          <w:rFonts w:eastAsia="IRNazanin" w:cs="IRNazanin"/>
          <w:color w:val="111111"/>
          <w:sz w:val="28"/>
          <w:szCs w:val="28"/>
          <w:rtl w:val="true"/>
          <w:lang w:bidi="fa-IR"/>
        </w:rPr>
        <w:t>-</w:t>
      </w:r>
      <w:r>
        <w:rPr>
          <w:rFonts w:eastAsia="IRNazanin" w:cs="IRNazanin"/>
          <w:color w:val="111111"/>
          <w:sz w:val="28"/>
          <w:szCs w:val="28"/>
          <w:lang w:bidi="fa-IR"/>
        </w:rPr>
        <w:t>606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إحیاء التراث العربی،بیروت،الطبعة الثالثة،</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کنز الدقائق و بحر الرغائب،لمیرزا محمد المشهدی ابن محمد رضا بن إسماعیل بن جمال الدین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حدود </w:t>
      </w:r>
      <w:r>
        <w:rPr>
          <w:rFonts w:eastAsia="IRNazanin" w:cs="IRNazanin"/>
          <w:color w:val="111111"/>
          <w:sz w:val="28"/>
          <w:szCs w:val="28"/>
          <w:lang w:bidi="fa-IR"/>
        </w:rPr>
        <w:t>1125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النشر الإسلامی،قم،الطبعة الاولی،</w:t>
      </w:r>
      <w:r>
        <w:rPr>
          <w:rFonts w:eastAsia="IRNazanin" w:cs="IRNazanin"/>
          <w:color w:val="111111"/>
          <w:sz w:val="28"/>
          <w:szCs w:val="28"/>
          <w:lang w:bidi="fa-IR"/>
        </w:rPr>
        <w:t>1407</w:t>
      </w:r>
      <w:r>
        <w:rPr>
          <w:rFonts w:eastAsia="IRNazanin" w:cs="IRNazanin"/>
          <w:color w:val="111111"/>
          <w:sz w:val="28"/>
          <w:szCs w:val="28"/>
          <w:rtl w:val="true"/>
          <w:lang w:bidi="fa-IR"/>
        </w:rPr>
        <w:t>-</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أبی محمّد الحسن بن علیّ العسکری علیهما السّلام،مدرسة الإمام المهدی عجّل اللّه تعالی فرجه الشریف،قم،الطبعة الاولی،</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نمونة،لآیة اللّه العظمی ناصر مکارم الشیرازی،دار الکتب الإسلامیّة،طهران،</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 الشریعة فی شرح تحریر الوسیلة،کتاب الصوم،لآیة اللّه العظمی الشیخ محمّد الفاضل اللنکرانی قدّس سرّه</w:t>
      </w:r>
      <w:r>
        <w:rPr>
          <w:rFonts w:eastAsia="IRNazanin" w:cs="IRNazanin"/>
          <w:color w:val="111111"/>
          <w:sz w:val="28"/>
          <w:szCs w:val="28"/>
          <w:rtl w:val="true"/>
          <w:lang w:bidi="fa-IR"/>
        </w:rPr>
        <w:t>(</w:t>
      </w:r>
      <w:r>
        <w:rPr>
          <w:rFonts w:eastAsia="IRNazanin" w:cs="IRNazanin"/>
          <w:color w:val="111111"/>
          <w:sz w:val="28"/>
          <w:szCs w:val="28"/>
          <w:lang w:bidi="fa-IR"/>
        </w:rPr>
        <w:t>1350</w:t>
      </w:r>
      <w:r>
        <w:rPr>
          <w:rFonts w:eastAsia="IRNazanin" w:cs="IRNazanin"/>
          <w:color w:val="111111"/>
          <w:sz w:val="28"/>
          <w:szCs w:val="28"/>
          <w:rtl w:val="true"/>
          <w:lang w:bidi="fa-IR"/>
        </w:rPr>
        <w:t>-</w:t>
      </w:r>
      <w:r>
        <w:rPr>
          <w:rFonts w:eastAsia="IRNazanin" w:cs="IRNazanin"/>
          <w:color w:val="111111"/>
          <w:sz w:val="28"/>
          <w:szCs w:val="28"/>
          <w:lang w:bidi="fa-IR"/>
        </w:rPr>
        <w:t>1428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فقه الأئمّة الأطهار علیهم السّلام،قم،الطبعة الاولی،</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 الشریعة فی شرح تحریر الوسیلة،کتاب الحجّ،لسماحة الفقیه المحقّق آیة اللّه العظمی الحاجّ الشیخ محمّد الفاضل اللنکرانی قدّس سرّه</w:t>
      </w:r>
      <w:r>
        <w:rPr>
          <w:rFonts w:eastAsia="IRNazanin" w:cs="IRNazanin"/>
          <w:color w:val="111111"/>
          <w:sz w:val="28"/>
          <w:szCs w:val="28"/>
          <w:rtl w:val="true"/>
          <w:lang w:bidi="fa-IR"/>
        </w:rPr>
        <w:t>(</w:t>
      </w:r>
      <w:r>
        <w:rPr>
          <w:rFonts w:eastAsia="IRNazanin" w:cs="IRNazanin"/>
          <w:color w:val="111111"/>
          <w:sz w:val="28"/>
          <w:szCs w:val="28"/>
          <w:lang w:bidi="fa-IR"/>
        </w:rPr>
        <w:t>1350</w:t>
      </w:r>
      <w:r>
        <w:rPr>
          <w:rFonts w:eastAsia="IRNazanin" w:cs="IRNazanin"/>
          <w:color w:val="111111"/>
          <w:sz w:val="28"/>
          <w:szCs w:val="28"/>
          <w:rtl w:val="true"/>
          <w:lang w:bidi="fa-IR"/>
        </w:rPr>
        <w:t>-</w:t>
      </w:r>
      <w:r>
        <w:rPr>
          <w:rFonts w:eastAsia="IRNazanin" w:cs="IRNazanin"/>
          <w:color w:val="111111"/>
          <w:sz w:val="28"/>
          <w:szCs w:val="28"/>
          <w:lang w:bidi="fa-IR"/>
        </w:rPr>
        <w:t>1428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التعارف للمطبوعات، الطبعة الثانیة،</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 الشریعة فی شرح تحریر الوسیلة،کتاب الحدود،لسماحة الفقیه آیة اللّه العظمی الحاجّ الشیخ محمد الفاضل اللنکرانی قدّس سرّه</w:t>
      </w:r>
      <w:r>
        <w:rPr>
          <w:rFonts w:eastAsia="IRNazanin" w:cs="IRNazanin"/>
          <w:color w:val="111111"/>
          <w:sz w:val="28"/>
          <w:szCs w:val="28"/>
          <w:rtl w:val="true"/>
          <w:lang w:bidi="fa-IR"/>
        </w:rPr>
        <w:t>(</w:t>
      </w:r>
      <w:r>
        <w:rPr>
          <w:rFonts w:eastAsia="IRNazanin" w:cs="IRNazanin"/>
          <w:color w:val="111111"/>
          <w:sz w:val="28"/>
          <w:szCs w:val="28"/>
          <w:lang w:bidi="fa-IR"/>
        </w:rPr>
        <w:t>1350</w:t>
      </w:r>
      <w:r>
        <w:rPr>
          <w:rFonts w:eastAsia="IRNazanin" w:cs="IRNazanin"/>
          <w:color w:val="111111"/>
          <w:sz w:val="28"/>
          <w:szCs w:val="28"/>
          <w:rtl w:val="true"/>
          <w:lang w:bidi="fa-IR"/>
        </w:rPr>
        <w:t>-</w:t>
      </w:r>
      <w:r>
        <w:rPr>
          <w:rFonts w:eastAsia="IRNazanin" w:cs="IRNazanin"/>
          <w:color w:val="111111"/>
          <w:sz w:val="28"/>
          <w:szCs w:val="28"/>
          <w:lang w:bidi="fa-IR"/>
        </w:rPr>
        <w:t>1428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فقه الأئمّة الأطهار علیهم السّلام،قم، الطبعة الثانیة،</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المرام فی معرفة الأحکام،لأبی منصور جمال الدین الحسن بن یوسف بن علیّ بن المطهّر الأسدی،المعروف بالعلاّمة الحلّی</w:t>
      </w:r>
      <w:r>
        <w:rPr>
          <w:rFonts w:eastAsia="IRNazanin" w:cs="IRNazanin"/>
          <w:color w:val="111111"/>
          <w:sz w:val="28"/>
          <w:szCs w:val="28"/>
          <w:rtl w:val="true"/>
          <w:lang w:bidi="fa-IR"/>
        </w:rPr>
        <w:t>(</w:t>
      </w:r>
      <w:r>
        <w:rPr>
          <w:rFonts w:eastAsia="IRNazanin" w:cs="IRNazanin"/>
          <w:color w:val="111111"/>
          <w:sz w:val="28"/>
          <w:szCs w:val="28"/>
          <w:lang w:bidi="fa-IR"/>
        </w:rPr>
        <w:t>648</w:t>
      </w:r>
      <w:r>
        <w:rPr>
          <w:rFonts w:eastAsia="IRNazanin" w:cs="IRNazanin"/>
          <w:color w:val="111111"/>
          <w:sz w:val="28"/>
          <w:szCs w:val="28"/>
          <w:rtl w:val="true"/>
          <w:lang w:bidi="fa-IR"/>
        </w:rPr>
        <w:t>-</w:t>
      </w:r>
      <w:r>
        <w:rPr>
          <w:rFonts w:eastAsia="IRNazanin" w:cs="IRNazanin"/>
          <w:color w:val="111111"/>
          <w:sz w:val="28"/>
          <w:szCs w:val="28"/>
          <w:lang w:bidi="fa-IR"/>
        </w:rPr>
        <w:t>726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الأبحاث و الدراسات الإسلامیّة، قم،الطبعة الاولی،</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تمهید القواعد،لزین الدین بن علیّ بن أحمد العاملی،المعروف بالشهید الثانی</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الإعلام الإسلامی،قم،الطبعة الاولی،</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التنقیح الرائع لمختصر الشرائع،لجمال الدین أبی عبد اللّه المقداد بن عبد اللّه بن محمد بن الحسین بن محمد السیوری،المعروف بالفاضل المقداد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آیة اللّه المرعشی النجفی،قم، الطبعة الاولی،</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التنقیح فی شرح العروة الوثقی،تقریرا لأبحاث السیّد أبو القاسم بن علی أکبر بن هاشم الموسوی الخوئی</w:t>
      </w:r>
      <w:r>
        <w:rPr>
          <w:rFonts w:eastAsia="IRNazanin" w:cs="IRNazanin"/>
          <w:color w:val="111111"/>
          <w:sz w:val="28"/>
          <w:szCs w:val="28"/>
          <w:rtl w:val="true"/>
          <w:lang w:bidi="fa-IR"/>
        </w:rPr>
        <w:t>(</w:t>
      </w:r>
      <w:r>
        <w:rPr>
          <w:rFonts w:eastAsia="IRNazanin" w:cs="IRNazanin"/>
          <w:color w:val="111111"/>
          <w:sz w:val="28"/>
          <w:szCs w:val="28"/>
          <w:lang w:bidi="fa-IR"/>
        </w:rPr>
        <w:t>1317</w:t>
      </w:r>
      <w:r>
        <w:rPr>
          <w:rFonts w:eastAsia="IRNazanin" w:cs="IRNazanin"/>
          <w:color w:val="111111"/>
          <w:sz w:val="28"/>
          <w:szCs w:val="28"/>
          <w:rtl w:val="true"/>
          <w:lang w:bidi="fa-IR"/>
        </w:rPr>
        <w:t>-</w:t>
      </w:r>
      <w:r>
        <w:rPr>
          <w:rFonts w:eastAsia="IRNazanin" w:cs="IRNazanin"/>
          <w:color w:val="111111"/>
          <w:sz w:val="28"/>
          <w:szCs w:val="28"/>
          <w:lang w:bidi="fa-IR"/>
        </w:rPr>
        <w:t>1413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للمیرزا علیّ الغروی التبریزی</w:t>
      </w:r>
      <w:r>
        <w:rPr>
          <w:rFonts w:eastAsia="IRNazanin" w:cs="IRNazanin"/>
          <w:color w:val="111111"/>
          <w:sz w:val="28"/>
          <w:szCs w:val="28"/>
          <w:rtl w:val="true"/>
          <w:lang w:bidi="fa-IR"/>
        </w:rPr>
        <w:t>(</w:t>
      </w:r>
      <w:r>
        <w:rPr>
          <w:rFonts w:eastAsia="IRNazanin" w:cs="IRNazanin"/>
          <w:color w:val="111111"/>
          <w:sz w:val="28"/>
          <w:szCs w:val="28"/>
          <w:lang w:bidi="fa-IR"/>
        </w:rPr>
        <w:t>1349</w:t>
      </w:r>
      <w:r>
        <w:rPr>
          <w:rFonts w:eastAsia="IRNazanin" w:cs="IRNazanin"/>
          <w:color w:val="111111"/>
          <w:sz w:val="28"/>
          <w:szCs w:val="28"/>
          <w:rtl w:val="true"/>
          <w:lang w:bidi="fa-IR"/>
        </w:rPr>
        <w:t>-</w:t>
      </w:r>
      <w:r>
        <w:rPr>
          <w:rFonts w:eastAsia="IRNazanin" w:cs="IRNazanin"/>
          <w:color w:val="111111"/>
          <w:sz w:val="28"/>
          <w:szCs w:val="28"/>
          <w:lang w:bidi="fa-IR"/>
        </w:rPr>
        <w:t>1418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إحیاء آثار الإمام الخوئی،قم،الطبعة الثانیة،</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التنقیح فی شرح المکاسب،تقریرا لأبحاث السیّد أبو القاسم بن علی أکبر بن هاشم الموسوی الخوئی</w:t>
      </w:r>
      <w:r>
        <w:rPr>
          <w:rFonts w:eastAsia="IRNazanin" w:cs="IRNazanin"/>
          <w:color w:val="111111"/>
          <w:sz w:val="28"/>
          <w:szCs w:val="28"/>
          <w:rtl w:val="true"/>
          <w:lang w:bidi="fa-IR"/>
        </w:rPr>
        <w:t>(</w:t>
      </w:r>
      <w:r>
        <w:rPr>
          <w:rFonts w:eastAsia="IRNazanin" w:cs="IRNazanin"/>
          <w:color w:val="111111"/>
          <w:sz w:val="28"/>
          <w:szCs w:val="28"/>
          <w:lang w:bidi="fa-IR"/>
        </w:rPr>
        <w:t>1317</w:t>
      </w:r>
      <w:r>
        <w:rPr>
          <w:rFonts w:eastAsia="IRNazanin" w:cs="IRNazanin"/>
          <w:color w:val="111111"/>
          <w:sz w:val="28"/>
          <w:szCs w:val="28"/>
          <w:rtl w:val="true"/>
          <w:lang w:bidi="fa-IR"/>
        </w:rPr>
        <w:t>-</w:t>
      </w:r>
      <w:r>
        <w:rPr>
          <w:rFonts w:eastAsia="IRNazanin" w:cs="IRNazanin"/>
          <w:color w:val="111111"/>
          <w:sz w:val="28"/>
          <w:szCs w:val="28"/>
          <w:lang w:bidi="fa-IR"/>
        </w:rPr>
        <w:t>1413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للمیرزا علیّ الغروی التبریزی</w:t>
      </w:r>
      <w:r>
        <w:rPr>
          <w:rFonts w:eastAsia="IRNazanin" w:cs="IRNazanin"/>
          <w:color w:val="111111"/>
          <w:sz w:val="28"/>
          <w:szCs w:val="28"/>
          <w:rtl w:val="true"/>
          <w:lang w:bidi="fa-IR"/>
        </w:rPr>
        <w:t>(</w:t>
      </w:r>
      <w:r>
        <w:rPr>
          <w:rFonts w:eastAsia="IRNazanin" w:cs="IRNazanin"/>
          <w:color w:val="111111"/>
          <w:sz w:val="28"/>
          <w:szCs w:val="28"/>
          <w:lang w:bidi="fa-IR"/>
        </w:rPr>
        <w:t>1349</w:t>
      </w:r>
      <w:r>
        <w:rPr>
          <w:rFonts w:eastAsia="IRNazanin" w:cs="IRNazanin"/>
          <w:color w:val="111111"/>
          <w:sz w:val="28"/>
          <w:szCs w:val="28"/>
          <w:rtl w:val="true"/>
          <w:lang w:bidi="fa-IR"/>
        </w:rPr>
        <w:t>-</w:t>
      </w:r>
      <w:r>
        <w:rPr>
          <w:rFonts w:eastAsia="IRNazanin" w:cs="IRNazanin"/>
          <w:color w:val="111111"/>
          <w:sz w:val="28"/>
          <w:szCs w:val="28"/>
          <w:lang w:bidi="fa-IR"/>
        </w:rPr>
        <w:t>1418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إحیاء آثار الإمام الخوئی،قم،الطبعة الاولی،</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bookmarkStart w:id="785" w:name="pg5439_47102"/>
    </w:p>
    <w:p>
      <w:pPr>
        <w:pStyle w:val="BookText"/>
        <w:rPr/>
      </w:pPr>
      <w:bookmarkEnd w:id="785"/>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تهذیب الأحکام فی شرح المقنعة،لشیخ الطائفة أبی جعفر محمد بن الحسن بن علی الطوسی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الکتب الإسلامیّة،طهران،</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تهذیب الاصول،تقریر أبحاث آیة اللّه العظمی السیّد روح اللّه الموسوی الخمینی </w:t>
      </w:r>
      <w:r>
        <w:rPr>
          <w:rFonts w:eastAsia="IRNazanin" w:cs="IRNazanin"/>
          <w:color w:val="111111"/>
          <w:sz w:val="28"/>
          <w:szCs w:val="28"/>
          <w:rtl w:val="true"/>
          <w:lang w:bidi="fa-IR"/>
        </w:rPr>
        <w:t>(</w:t>
      </w:r>
      <w:r>
        <w:rPr>
          <w:rFonts w:eastAsia="IRNazanin" w:cs="IRNazanin"/>
          <w:color w:val="111111"/>
          <w:sz w:val="28"/>
          <w:szCs w:val="28"/>
          <w:lang w:bidi="fa-IR"/>
        </w:rPr>
        <w:t>1281</w:t>
      </w:r>
      <w:r>
        <w:rPr>
          <w:rFonts w:eastAsia="IRNazanin" w:cs="IRNazanin"/>
          <w:color w:val="111111"/>
          <w:sz w:val="28"/>
          <w:szCs w:val="28"/>
          <w:rtl w:val="true"/>
          <w:lang w:bidi="fa-IR"/>
        </w:rPr>
        <w:t>-</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للشیخ جعفر السبحانی،مؤسّسة تنظیم و نشر آثار الإمام الخمینی قدّس سرّه،قم، الطبعة الاولی،</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تواتر القرآن،للشیخ محمد بن الحسن بن علیّ بن محمّد بن الحسین،المعروف بالحرّ العاملی </w:t>
      </w:r>
      <w:r>
        <w:rPr>
          <w:rFonts w:eastAsia="IRNazanin" w:cs="IRNazanin"/>
          <w:color w:val="111111"/>
          <w:sz w:val="28"/>
          <w:szCs w:val="28"/>
          <w:rtl w:val="true"/>
          <w:lang w:bidi="fa-IR"/>
        </w:rPr>
        <w:t>(</w:t>
      </w:r>
      <w:r>
        <w:rPr>
          <w:rFonts w:eastAsia="IRNazanin" w:cs="IRNazanin"/>
          <w:color w:val="111111"/>
          <w:sz w:val="28"/>
          <w:szCs w:val="28"/>
          <w:lang w:bidi="fa-IR"/>
        </w:rPr>
        <w:t>1033</w:t>
      </w:r>
      <w:r>
        <w:rPr>
          <w:rFonts w:eastAsia="IRNazanin" w:cs="IRNazanin"/>
          <w:color w:val="111111"/>
          <w:sz w:val="28"/>
          <w:szCs w:val="28"/>
          <w:rtl w:val="true"/>
          <w:lang w:bidi="fa-IR"/>
        </w:rPr>
        <w:t>-</w:t>
      </w:r>
      <w:r>
        <w:rPr>
          <w:rFonts w:eastAsia="IRNazanin" w:cs="IRNazanin"/>
          <w:color w:val="111111"/>
          <w:sz w:val="28"/>
          <w:szCs w:val="28"/>
          <w:lang w:bidi="fa-IR"/>
        </w:rPr>
        <w:t>1104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الکتب الإسلامیّة،طهران،الطبعة الاولی،</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التوحید،لأبی جعفر محمد بن علیّ بن الحسین بن موسی بن بابویه القمّی،المعروف بالشیخ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منشورات جماعة المدرّسین،قم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المسائل مراجع،دفتر انتشارات اسلامی قم،الطبعة الرابعة،</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786" w:name="__RefHeading___Toc1856414_581953129"/>
      <w:bookmarkStart w:id="787" w:name="_Toc292"/>
      <w:bookmarkEnd w:id="786"/>
      <w:r>
        <w:rPr>
          <w:rtl w:val="true"/>
        </w:rPr>
        <w:t>-</w:t>
      </w:r>
      <w:r>
        <w:rPr>
          <w:rtl w:val="true"/>
        </w:rPr>
        <w:t>ث</w:t>
      </w:r>
      <w:r>
        <w:rPr>
          <w:rtl w:val="true"/>
        </w:rPr>
        <w:t>-</w:t>
      </w:r>
      <w:bookmarkEnd w:id="787"/>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ثابتها و متغیّرها،لمحمد تقی جعفری</w:t>
      </w:r>
      <w:r>
        <w:rPr>
          <w:rFonts w:eastAsia="IRNazanin" w:cs="IRNazanin"/>
          <w:color w:val="111111"/>
          <w:sz w:val="28"/>
          <w:szCs w:val="28"/>
          <w:rtl w:val="true"/>
          <w:lang w:bidi="fa-IR"/>
        </w:rPr>
        <w:t>(</w:t>
      </w:r>
      <w:r>
        <w:rPr>
          <w:rFonts w:eastAsia="IRNazanin" w:cs="IRNazanin"/>
          <w:color w:val="111111"/>
          <w:sz w:val="28"/>
          <w:szCs w:val="28"/>
          <w:lang w:bidi="fa-IR"/>
        </w:rPr>
        <w:t>1304</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کیهان اندیشه،العدد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،السنة التاسعة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الأعمال،لأبی جعفر محمّد بن علیّ بن الحسین بن موسی بن بابویه القمّی،المعروف بالشیخ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الصدوق،طهران،</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3"/>
        <w:numPr>
          <w:ilvl w:val="2"/>
          <w:numId w:val="1"/>
        </w:numPr>
        <w:rPr/>
      </w:pPr>
      <w:bookmarkStart w:id="788" w:name="__RefHeading___Toc1856416_581953129"/>
      <w:bookmarkStart w:id="789" w:name="_Toc293"/>
      <w:bookmarkEnd w:id="788"/>
      <w:r>
        <w:rPr>
          <w:rtl w:val="true"/>
        </w:rPr>
        <w:t>-</w:t>
      </w:r>
      <w:r>
        <w:rPr>
          <w:rtl w:val="true"/>
        </w:rPr>
        <w:t>ج</w:t>
      </w:r>
      <w:r>
        <w:rPr>
          <w:rtl w:val="true"/>
        </w:rPr>
        <w:t>-</w:t>
      </w:r>
      <w:bookmarkEnd w:id="789"/>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الأخبار،أو معارج الیقین فی اصول الدّین،للشیخ محمد بن محمد الشعیری السبزواری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أعلام القرن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آل البیت علیهم السّلام لإحیاء التراث،قم،الطبعة الاولی،</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البیان عن تأویل آی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لأبی جعفر محمّد بن جریر بن یزید بن کثیر بن غالب</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ابن حزم،بیروت،الطبعة الاولی،</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لأحکام القرآن،لأبی عبد اللّه محمد بن أحمد بن أبی بکر بن فرح الأنصاری الخزرجی</w:t>
      </w:r>
      <w:bookmarkStart w:id="790" w:name="pg5439_47103"/>
    </w:p>
    <w:p>
      <w:pPr>
        <w:pStyle w:val="BookText"/>
        <w:rPr/>
      </w:pPr>
      <w:bookmarkEnd w:id="790"/>
      <w:r>
        <w:rPr>
          <w:rFonts w:ascii="IRNazanin" w:hAnsi="IRNazanin" w:eastAsia="IRNazanin"/>
          <w:color w:val="111111"/>
          <w:sz w:val="28"/>
          <w:sz w:val="28"/>
          <w:szCs w:val="28"/>
          <w:rtl w:val="true"/>
          <w:lang w:bidi="fa-IR"/>
        </w:rPr>
        <w:t>الأندلسی القرطبی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إحیاء التراث العربی،بیروت،</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المسائل،استفتاءات،لآیة اللّه العظمی الشیخ محمد الفاضل اللنکرانی قدّس سرّه </w:t>
      </w:r>
      <w:r>
        <w:rPr>
          <w:rFonts w:eastAsia="IRNazanin" w:cs="IRNazanin"/>
          <w:color w:val="111111"/>
          <w:sz w:val="28"/>
          <w:szCs w:val="28"/>
          <w:rtl w:val="true"/>
          <w:lang w:bidi="fa-IR"/>
        </w:rPr>
        <w:t>(</w:t>
      </w:r>
      <w:r>
        <w:rPr>
          <w:rFonts w:eastAsia="IRNazanin" w:cs="IRNazanin"/>
          <w:color w:val="111111"/>
          <w:sz w:val="28"/>
          <w:szCs w:val="28"/>
          <w:lang w:bidi="fa-IR"/>
        </w:rPr>
        <w:t>1350</w:t>
      </w:r>
      <w:r>
        <w:rPr>
          <w:rFonts w:eastAsia="IRNazanin" w:cs="IRNazanin"/>
          <w:color w:val="111111"/>
          <w:sz w:val="28"/>
          <w:szCs w:val="28"/>
          <w:rtl w:val="true"/>
          <w:lang w:bidi="fa-IR"/>
        </w:rPr>
        <w:t>-</w:t>
      </w:r>
      <w:r>
        <w:rPr>
          <w:rFonts w:eastAsia="IRNazanin" w:cs="IRNazanin"/>
          <w:color w:val="111111"/>
          <w:sz w:val="28"/>
          <w:szCs w:val="28"/>
          <w:lang w:bidi="fa-IR"/>
        </w:rPr>
        <w:t>1428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مطبعة مهر،قم،الطبعة الثانیة،</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 فی شرح القواعد،لنور الدین أبی الحسن علیّ بن الحسین بن علیّ بن عبد العالی الکرکی،المعروف بالمحقّق الثانی</w:t>
      </w:r>
      <w:r>
        <w:rPr>
          <w:rFonts w:eastAsia="IRNazanin" w:cs="IRNazanin"/>
          <w:color w:val="111111"/>
          <w:sz w:val="28"/>
          <w:szCs w:val="28"/>
          <w:rtl w:val="true"/>
          <w:lang w:bidi="fa-IR"/>
        </w:rPr>
        <w:t>(</w:t>
      </w:r>
      <w:r>
        <w:rPr>
          <w:rFonts w:eastAsia="IRNazanin" w:cs="IRNazanin"/>
          <w:color w:val="111111"/>
          <w:sz w:val="28"/>
          <w:szCs w:val="28"/>
          <w:lang w:bidi="fa-IR"/>
        </w:rPr>
        <w:t>868</w:t>
      </w:r>
      <w:r>
        <w:rPr>
          <w:rFonts w:eastAsia="IRNazanin" w:cs="IRNazanin"/>
          <w:color w:val="111111"/>
          <w:sz w:val="28"/>
          <w:szCs w:val="28"/>
          <w:rtl w:val="true"/>
          <w:lang w:bidi="fa-IR"/>
        </w:rPr>
        <w:t>-</w:t>
      </w:r>
      <w:r>
        <w:rPr>
          <w:rFonts w:eastAsia="IRNazanin" w:cs="IRNazanin"/>
          <w:color w:val="111111"/>
          <w:sz w:val="28"/>
          <w:szCs w:val="28"/>
          <w:lang w:bidi="fa-IR"/>
        </w:rPr>
        <w:t>940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آل البیت علیهم السّلام لإحیاء التراث، قم،الطبعة الثانیة،</w:t>
      </w:r>
      <w:r>
        <w:rPr>
          <w:rFonts w:eastAsia="IRNazanin" w:cs="IRNazanin"/>
          <w:color w:val="111111"/>
          <w:sz w:val="28"/>
          <w:szCs w:val="28"/>
          <w:lang w:bidi="fa-IR"/>
        </w:rPr>
        <w:t>1414</w:t>
      </w:r>
      <w:r>
        <w:rPr>
          <w:rFonts w:eastAsia="IRNazanin" w:cs="IRNazanin"/>
          <w:color w:val="111111"/>
          <w:sz w:val="28"/>
          <w:szCs w:val="28"/>
          <w:rtl w:val="true"/>
          <w:lang w:bidi="fa-IR"/>
        </w:rPr>
        <w:t>-</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جواهر الکلام فی شرح شرائع الإسلام،للشیخ محمد حسن بن باقر بن عبد الرحیم النجفی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إحیاء التراث العربی،بیروت،الطبعة السابعة،و مؤسّسة النشر الإسلامی،قم، الطبعة الاولی</w:t>
      </w:r>
      <w:r>
        <w:rPr>
          <w:rFonts w:eastAsia="IRNazanin" w:cs="IRNazanin"/>
          <w:color w:val="111111"/>
          <w:sz w:val="28"/>
          <w:szCs w:val="28"/>
          <w:rtl w:val="true"/>
          <w:lang w:bidi="fa-IR"/>
        </w:rPr>
        <w:t>.</w:t>
      </w:r>
    </w:p>
    <w:p>
      <w:pPr>
        <w:pStyle w:val="Heading3"/>
        <w:numPr>
          <w:ilvl w:val="2"/>
          <w:numId w:val="1"/>
        </w:numPr>
        <w:rPr/>
      </w:pPr>
      <w:bookmarkStart w:id="791" w:name="__RefHeading___Toc1856418_581953129"/>
      <w:bookmarkStart w:id="792" w:name="_Toc294"/>
      <w:bookmarkEnd w:id="791"/>
      <w:r>
        <w:rPr>
          <w:rtl w:val="true"/>
        </w:rPr>
        <w:t>-</w:t>
      </w:r>
      <w:r>
        <w:rPr>
          <w:rtl w:val="true"/>
        </w:rPr>
        <w:t>ح</w:t>
      </w:r>
      <w:r>
        <w:rPr>
          <w:rtl w:val="true"/>
        </w:rPr>
        <w:t>-</w:t>
      </w:r>
      <w:bookmarkEnd w:id="792"/>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فوائد الاصول،للشیخ ضیاء الدّین ابن المولی محمد العراقی</w:t>
      </w:r>
      <w:r>
        <w:rPr>
          <w:rFonts w:eastAsia="IRNazanin" w:cs="IRNazanin"/>
          <w:color w:val="111111"/>
          <w:sz w:val="28"/>
          <w:szCs w:val="28"/>
          <w:rtl w:val="true"/>
          <w:lang w:bidi="fa-IR"/>
        </w:rPr>
        <w:t>(</w:t>
      </w:r>
      <w:r>
        <w:rPr>
          <w:rFonts w:eastAsia="IRNazanin" w:cs="IRNazanin"/>
          <w:color w:val="111111"/>
          <w:sz w:val="28"/>
          <w:szCs w:val="28"/>
          <w:lang w:bidi="fa-IR"/>
        </w:rPr>
        <w:t>1278</w:t>
      </w:r>
      <w:r>
        <w:rPr>
          <w:rFonts w:eastAsia="IRNazanin" w:cs="IRNazanin"/>
          <w:color w:val="111111"/>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النشر الإسلامی،قم المقدّسة،</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الکفایة،للعلاّمة السیّد محمّد حسین الطباطبائی التبریزی</w:t>
      </w:r>
      <w:r>
        <w:rPr>
          <w:rFonts w:eastAsia="IRNazanin" w:cs="IRNazanin"/>
          <w:color w:val="111111"/>
          <w:sz w:val="28"/>
          <w:szCs w:val="28"/>
          <w:rtl w:val="true"/>
          <w:lang w:bidi="fa-IR"/>
        </w:rPr>
        <w:t>(</w:t>
      </w:r>
      <w:r>
        <w:rPr>
          <w:rFonts w:eastAsia="IRNazanin" w:cs="IRNazanin"/>
          <w:color w:val="111111"/>
          <w:sz w:val="28"/>
          <w:szCs w:val="28"/>
          <w:lang w:bidi="fa-IR"/>
        </w:rPr>
        <w:t>1321</w:t>
      </w:r>
      <w:r>
        <w:rPr>
          <w:rFonts w:eastAsia="IRNazanin" w:cs="IRNazanin"/>
          <w:color w:val="111111"/>
          <w:sz w:val="28"/>
          <w:szCs w:val="28"/>
          <w:rtl w:val="true"/>
          <w:lang w:bidi="fa-IR"/>
        </w:rPr>
        <w:t>-</w:t>
      </w:r>
      <w:r>
        <w:rPr>
          <w:rFonts w:eastAsia="IRNazanin" w:cs="IRNazanin"/>
          <w:color w:val="111111"/>
          <w:sz w:val="28"/>
          <w:szCs w:val="28"/>
          <w:lang w:bidi="fa-IR"/>
        </w:rPr>
        <w:t>1402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 علمی و فکری مؤلّف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المکاسب،لمیرزا علیّ بن عبد الحسین بن المولی علی أصغر بن محمّد باقر الإیروانی الغروی</w:t>
      </w:r>
      <w:r>
        <w:rPr>
          <w:rFonts w:eastAsia="IRNazanin" w:cs="IRNazanin"/>
          <w:color w:val="111111"/>
          <w:sz w:val="28"/>
          <w:szCs w:val="28"/>
          <w:rtl w:val="true"/>
          <w:lang w:bidi="fa-IR"/>
        </w:rPr>
        <w:t>(</w:t>
      </w:r>
      <w:r>
        <w:rPr>
          <w:rFonts w:eastAsia="IRNazanin" w:cs="IRNazanin"/>
          <w:color w:val="111111"/>
          <w:sz w:val="28"/>
          <w:szCs w:val="28"/>
          <w:lang w:bidi="fa-IR"/>
        </w:rPr>
        <w:t>1301</w:t>
      </w:r>
      <w:r>
        <w:rPr>
          <w:rFonts w:eastAsia="IRNazanin" w:cs="IRNazanin"/>
          <w:color w:val="111111"/>
          <w:sz w:val="28"/>
          <w:szCs w:val="28"/>
          <w:rtl w:val="true"/>
          <w:lang w:bidi="fa-IR"/>
        </w:rPr>
        <w:t>-</w:t>
      </w:r>
      <w:r>
        <w:rPr>
          <w:rFonts w:eastAsia="IRNazanin" w:cs="IRNazanin"/>
          <w:color w:val="111111"/>
          <w:sz w:val="28"/>
          <w:szCs w:val="28"/>
          <w:lang w:bidi="fa-IR"/>
        </w:rPr>
        <w:t>1354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ذوی القربی،قم،الطبعة الاولی،</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المکاسب،للشیخ محمد حسین بن محمد حسن بن علی أکبر بن آقا بابا بن آقا کوچک النخجوانی،المعروف بالمحقّق الاصفهانی</w:t>
      </w:r>
      <w:r>
        <w:rPr>
          <w:rFonts w:eastAsia="IRNazanin" w:cs="IRNazanin"/>
          <w:color w:val="111111"/>
          <w:sz w:val="28"/>
          <w:szCs w:val="28"/>
          <w:rtl w:val="true"/>
          <w:lang w:bidi="fa-IR"/>
        </w:rPr>
        <w:t>(</w:t>
      </w:r>
      <w:r>
        <w:rPr>
          <w:rFonts w:eastAsia="IRNazanin" w:cs="IRNazanin"/>
          <w:color w:val="111111"/>
          <w:sz w:val="28"/>
          <w:szCs w:val="28"/>
          <w:lang w:bidi="fa-IR"/>
        </w:rPr>
        <w:t>1296</w:t>
      </w:r>
      <w:r>
        <w:rPr>
          <w:rFonts w:eastAsia="IRNazanin" w:cs="IRNazanin"/>
          <w:color w:val="111111"/>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المصطفی صلّی اللّه علیه و اله لإحیاء التراث،قم، الطبعة الاولی،</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المکاسب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التعلیقة علی المکاسب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للشیخ محمد کاظم ابن المولی حسین الهروی الخراسانی،المعروف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الآخوند الخراسانی</w:t>
      </w:r>
      <w:r>
        <w:rPr>
          <w:rFonts w:eastAsia="IRNazanin" w:cs="IRNazanin"/>
          <w:color w:val="111111"/>
          <w:sz w:val="28"/>
          <w:szCs w:val="28"/>
          <w:rtl w:val="true"/>
          <w:lang w:bidi="fa-IR"/>
        </w:rPr>
        <w:t>»(</w:t>
      </w:r>
      <w:r>
        <w:rPr>
          <w:rFonts w:eastAsia="IRNazanin" w:cs="IRNazanin"/>
          <w:color w:val="111111"/>
          <w:sz w:val="28"/>
          <w:szCs w:val="28"/>
          <w:lang w:bidi="fa-IR"/>
        </w:rPr>
        <w:t>1255</w:t>
      </w:r>
      <w:r>
        <w:rPr>
          <w:rFonts w:eastAsia="IRNazanin" w:cs="IRNazanin"/>
          <w:color w:val="111111"/>
          <w:sz w:val="28"/>
          <w:szCs w:val="28"/>
          <w:rtl w:val="true"/>
          <w:lang w:bidi="fa-IR"/>
        </w:rPr>
        <w:t>-</w:t>
      </w:r>
      <w:r>
        <w:rPr>
          <w:rFonts w:eastAsia="IRNazanin" w:cs="IRNazanin"/>
          <w:color w:val="111111"/>
          <w:sz w:val="28"/>
          <w:szCs w:val="28"/>
          <w:lang w:bidi="fa-IR"/>
        </w:rPr>
        <w:t>1329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وزارة الإرشاد الإسلامی،</w:t>
      </w:r>
      <w:bookmarkStart w:id="793" w:name="pg5439_47104"/>
    </w:p>
    <w:p>
      <w:pPr>
        <w:pStyle w:val="BookText"/>
        <w:rPr/>
      </w:pPr>
      <w:bookmarkEnd w:id="793"/>
      <w:r>
        <w:rPr>
          <w:rFonts w:ascii="IRNazanin" w:hAnsi="IRNazanin" w:eastAsia="IRNazanin"/>
          <w:color w:val="111111"/>
          <w:sz w:val="28"/>
          <w:sz w:val="28"/>
          <w:szCs w:val="28"/>
          <w:rtl w:val="true"/>
          <w:lang w:bidi="fa-IR"/>
        </w:rPr>
        <w:t>طهران،الطبعة الاولی،</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المکاسب،لمحمد کاظم ابن السیّد عبد العظیم الکسنوی النجفی الطباطبائی،الشهیر بالسیّد الیزدی</w:t>
      </w:r>
      <w:r>
        <w:rPr>
          <w:rFonts w:eastAsia="IRNazanin" w:cs="IRNazanin"/>
          <w:color w:val="111111"/>
          <w:sz w:val="28"/>
          <w:szCs w:val="28"/>
          <w:rtl w:val="true"/>
          <w:lang w:bidi="fa-IR"/>
        </w:rPr>
        <w:t>(</w:t>
      </w:r>
      <w:r>
        <w:rPr>
          <w:rFonts w:eastAsia="IRNazanin" w:cs="IRNazanin"/>
          <w:color w:val="111111"/>
          <w:sz w:val="28"/>
          <w:szCs w:val="28"/>
          <w:lang w:bidi="fa-IR"/>
        </w:rPr>
        <w:t>1247</w:t>
      </w:r>
      <w:r>
        <w:rPr>
          <w:rFonts w:eastAsia="IRNazanin" w:cs="IRNazanin"/>
          <w:color w:val="111111"/>
          <w:sz w:val="28"/>
          <w:szCs w:val="28"/>
          <w:rtl w:val="true"/>
          <w:lang w:bidi="fa-IR"/>
        </w:rPr>
        <w:t>-</w:t>
      </w:r>
      <w:r>
        <w:rPr>
          <w:rFonts w:eastAsia="IRNazanin" w:cs="IRNazanin"/>
          <w:color w:val="111111"/>
          <w:sz w:val="28"/>
          <w:szCs w:val="28"/>
          <w:lang w:bidi="fa-IR"/>
        </w:rPr>
        <w:t>1337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المصطفی صلّی اللّه علیه و اله لإحیاء التراث،قم،الطبعة الاولی،</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الحبل المتین فی إحکام أحکام الدّین،للشیخ بهاء الدین محمد بن عزّ الدین حسین بن عبد الصمد بن شمس الدین محمد بن علیّ بن الحسین بن محمد بن صالح بن إسماعیل العاملیّ الجبعی الحارثی الهمدانی،الملقّب بالشیخ البهائی</w:t>
      </w:r>
      <w:r>
        <w:rPr>
          <w:rFonts w:eastAsia="IRNazanin" w:cs="IRNazanin"/>
          <w:color w:val="111111"/>
          <w:sz w:val="28"/>
          <w:szCs w:val="28"/>
          <w:rtl w:val="true"/>
          <w:lang w:bidi="fa-IR"/>
        </w:rPr>
        <w:t>(</w:t>
      </w:r>
      <w:r>
        <w:rPr>
          <w:rFonts w:eastAsia="IRNazanin" w:cs="IRNazanin"/>
          <w:color w:val="111111"/>
          <w:sz w:val="28"/>
          <w:szCs w:val="28"/>
          <w:lang w:bidi="fa-IR"/>
        </w:rPr>
        <w:t>953</w:t>
      </w:r>
      <w:r>
        <w:rPr>
          <w:rFonts w:eastAsia="IRNazanin" w:cs="IRNazanin"/>
          <w:color w:val="111111"/>
          <w:sz w:val="28"/>
          <w:szCs w:val="28"/>
          <w:rtl w:val="true"/>
          <w:lang w:bidi="fa-IR"/>
        </w:rPr>
        <w:t>-</w:t>
      </w:r>
      <w:r>
        <w:rPr>
          <w:rFonts w:eastAsia="IRNazanin" w:cs="IRNazanin"/>
          <w:color w:val="111111"/>
          <w:sz w:val="28"/>
          <w:szCs w:val="28"/>
          <w:lang w:bidi="fa-IR"/>
        </w:rPr>
        <w:t>1030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البحوث الإسلامیّة،مشهد،الطبعة الاولی،</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 الناضرة فی أحکام العترة الطاهرة،للشیخ یوسف بن أحمد بن إبراهیم بن أحمد بن صالح بن أحمد بن عصفور البحرانی</w:t>
      </w:r>
      <w:r>
        <w:rPr>
          <w:rFonts w:eastAsia="IRNazanin" w:cs="IRNazanin"/>
          <w:color w:val="111111"/>
          <w:sz w:val="28"/>
          <w:szCs w:val="28"/>
          <w:rtl w:val="true"/>
          <w:lang w:bidi="fa-IR"/>
        </w:rPr>
        <w:t>(</w:t>
      </w:r>
      <w:r>
        <w:rPr>
          <w:rFonts w:eastAsia="IRNazanin" w:cs="IRNazanin"/>
          <w:color w:val="111111"/>
          <w:sz w:val="28"/>
          <w:szCs w:val="28"/>
          <w:lang w:bidi="fa-IR"/>
        </w:rPr>
        <w:t>1107</w:t>
      </w:r>
      <w:r>
        <w:rPr>
          <w:rFonts w:eastAsia="IRNazanin" w:cs="IRNazanin"/>
          <w:color w:val="111111"/>
          <w:sz w:val="28"/>
          <w:szCs w:val="28"/>
          <w:rtl w:val="true"/>
          <w:lang w:bidi="fa-IR"/>
        </w:rPr>
        <w:t>-</w:t>
      </w:r>
      <w:r>
        <w:rPr>
          <w:rFonts w:eastAsia="IRNazanin" w:cs="IRNazanin"/>
          <w:color w:val="111111"/>
          <w:sz w:val="28"/>
          <w:szCs w:val="28"/>
          <w:lang w:bidi="fa-IR"/>
        </w:rPr>
        <w:t>1186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النشر الإسلامی،قم،</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حقائق الاصول،للسیّد محسن بن مهدی بن صالح بن أحمد بن محمود الطباطبائی الحکیم </w:t>
      </w:r>
      <w:r>
        <w:rPr>
          <w:rFonts w:eastAsia="IRNazanin" w:cs="IRNazanin"/>
          <w:color w:val="111111"/>
          <w:sz w:val="28"/>
          <w:szCs w:val="28"/>
          <w:rtl w:val="true"/>
          <w:lang w:bidi="fa-IR"/>
        </w:rPr>
        <w:t>(</w:t>
      </w:r>
      <w:r>
        <w:rPr>
          <w:rFonts w:eastAsia="IRNazanin" w:cs="IRNazanin"/>
          <w:color w:val="111111"/>
          <w:sz w:val="28"/>
          <w:szCs w:val="28"/>
          <w:lang w:bidi="fa-IR"/>
        </w:rPr>
        <w:t>1306</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المطبعة العلمیّة،النجف،</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حقائق التأویل فی متشابه التنزیل،لأبی الحسن محمّد بن الحسین بن موسی بن محمد بن موسی بن إبراهیم المجاب بن الإمام موسی بن جعفر الصادق علیهما السّلام،المعروف بالشریف الرضی </w:t>
      </w:r>
      <w:r>
        <w:rPr>
          <w:rFonts w:eastAsia="IRNazanin" w:cs="IRNazanin"/>
          <w:color w:val="111111"/>
          <w:sz w:val="28"/>
          <w:szCs w:val="28"/>
          <w:rtl w:val="true"/>
          <w:lang w:bidi="fa-IR"/>
        </w:rPr>
        <w:t>(</w:t>
      </w:r>
      <w:r>
        <w:rPr>
          <w:rFonts w:eastAsia="IRNazanin" w:cs="IRNazanin"/>
          <w:color w:val="111111"/>
          <w:sz w:val="28"/>
          <w:szCs w:val="28"/>
          <w:lang w:bidi="fa-IR"/>
        </w:rPr>
        <w:t>359</w:t>
      </w:r>
      <w:r>
        <w:rPr>
          <w:rFonts w:eastAsia="IRNazanin" w:cs="IRNazanin"/>
          <w:color w:val="111111"/>
          <w:sz w:val="28"/>
          <w:szCs w:val="28"/>
          <w:rtl w:val="true"/>
          <w:lang w:bidi="fa-IR"/>
        </w:rPr>
        <w:t>-</w:t>
      </w:r>
      <w:r>
        <w:rPr>
          <w:rFonts w:eastAsia="IRNazanin" w:cs="IRNazanin"/>
          <w:color w:val="111111"/>
          <w:sz w:val="28"/>
          <w:szCs w:val="28"/>
          <w:lang w:bidi="fa-IR"/>
        </w:rPr>
        <w:t>406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المهاجر،بیروت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و حکومت،للدکتر مهدی الحائری،انتشارات شادی،الطبعة الاولی،</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3"/>
        <w:numPr>
          <w:ilvl w:val="2"/>
          <w:numId w:val="1"/>
        </w:numPr>
        <w:rPr/>
      </w:pPr>
      <w:bookmarkStart w:id="794" w:name="__RefHeading___Toc1856420_581953129"/>
      <w:bookmarkStart w:id="795" w:name="_Toc295"/>
      <w:bookmarkEnd w:id="794"/>
      <w:r>
        <w:rPr>
          <w:rtl w:val="true"/>
        </w:rPr>
        <w:t>-</w:t>
      </w:r>
      <w:r>
        <w:rPr>
          <w:rtl w:val="true"/>
        </w:rPr>
        <w:t>خ</w:t>
      </w:r>
      <w:r>
        <w:rPr>
          <w:rtl w:val="true"/>
        </w:rPr>
        <w:t>-</w:t>
      </w:r>
      <w:bookmarkEnd w:id="795"/>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الخصال،لأبی جعفر محمد بن علیّ بن الحسین بن موسی بن بابویه القمّی،المعروف بالشیخ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النشر الإسلامی،قم،الطبعة الخامسة،</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الأقوال فی معرفة الرجال،لأبی منصور الحسن بن یوسف بن علیّ بن المطهّر الأسدی،المعروف بالعلاّمة الحلّی</w:t>
      </w:r>
      <w:r>
        <w:rPr>
          <w:rFonts w:eastAsia="IRNazanin" w:cs="IRNazanin"/>
          <w:color w:val="111111"/>
          <w:sz w:val="28"/>
          <w:szCs w:val="28"/>
          <w:rtl w:val="true"/>
          <w:lang w:bidi="fa-IR"/>
        </w:rPr>
        <w:t>(</w:t>
      </w:r>
      <w:r>
        <w:rPr>
          <w:rFonts w:eastAsia="IRNazanin" w:cs="IRNazanin"/>
          <w:color w:val="111111"/>
          <w:sz w:val="28"/>
          <w:szCs w:val="28"/>
          <w:lang w:bidi="fa-IR"/>
        </w:rPr>
        <w:t>648</w:t>
      </w:r>
      <w:r>
        <w:rPr>
          <w:rFonts w:eastAsia="IRNazanin" w:cs="IRNazanin"/>
          <w:color w:val="111111"/>
          <w:sz w:val="28"/>
          <w:szCs w:val="28"/>
          <w:rtl w:val="true"/>
          <w:lang w:bidi="fa-IR"/>
        </w:rPr>
        <w:t>-</w:t>
      </w:r>
      <w:r>
        <w:rPr>
          <w:rFonts w:eastAsia="IRNazanin" w:cs="IRNazanin"/>
          <w:color w:val="111111"/>
          <w:sz w:val="28"/>
          <w:szCs w:val="28"/>
          <w:lang w:bidi="fa-IR"/>
        </w:rPr>
        <w:t>726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الفقاهة،قم،الطبعة الاولی،</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الخلاف،لشیخ الطائفة أبی جعفر محمد بن الحسن بن علی الطوسی</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النشر الإسلامی،قم،الطبعة الخامسة،</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bookmarkStart w:id="796" w:name="pg5439_47105"/>
    </w:p>
    <w:p>
      <w:pPr>
        <w:pStyle w:val="Heading3"/>
        <w:numPr>
          <w:ilvl w:val="2"/>
          <w:numId w:val="1"/>
        </w:numPr>
        <w:rPr/>
      </w:pPr>
      <w:bookmarkStart w:id="797" w:name="__RefHeading___Toc1856422_581953129"/>
      <w:bookmarkStart w:id="798" w:name="_Toc296"/>
      <w:bookmarkEnd w:id="796"/>
      <w:bookmarkEnd w:id="797"/>
      <w:r>
        <w:rPr>
          <w:rtl w:val="true"/>
        </w:rPr>
        <w:t>-</w:t>
      </w:r>
      <w:r>
        <w:rPr>
          <w:rtl w:val="true"/>
        </w:rPr>
        <w:t>د</w:t>
      </w:r>
      <w:r>
        <w:rPr>
          <w:rtl w:val="true"/>
        </w:rPr>
        <w:t>-</w:t>
      </w:r>
      <w:bookmarkEnd w:id="798"/>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دراسات فی الاصول،لآیة اللّه العظمی الشیخ محمد الفاضل اللنکرانی قدّس سرّه</w:t>
      </w:r>
      <w:r>
        <w:rPr>
          <w:rFonts w:eastAsia="IRNazanin" w:cs="IRNazanin"/>
          <w:color w:val="111111"/>
          <w:sz w:val="28"/>
          <w:szCs w:val="28"/>
          <w:rtl w:val="true"/>
          <w:lang w:bidi="fa-IR"/>
        </w:rPr>
        <w:t>(</w:t>
      </w:r>
      <w:r>
        <w:rPr>
          <w:rFonts w:eastAsia="IRNazanin" w:cs="IRNazanin"/>
          <w:color w:val="111111"/>
          <w:sz w:val="28"/>
          <w:szCs w:val="28"/>
          <w:lang w:bidi="fa-IR"/>
        </w:rPr>
        <w:t>1350</w:t>
      </w:r>
      <w:r>
        <w:rPr>
          <w:rFonts w:eastAsia="IRNazanin" w:cs="IRNazanin"/>
          <w:color w:val="111111"/>
          <w:sz w:val="28"/>
          <w:szCs w:val="28"/>
          <w:rtl w:val="true"/>
          <w:lang w:bidi="fa-IR"/>
        </w:rPr>
        <w:t>-</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دار التفسیر،قم،الطبعة الاولی،</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دراسات موسّعة حول المسائل المستحدثة،للشیخ علی آزاد القزوینی،مطبعة سیّد الشهداء علیه السّلام،قم،الطبعة الاولی،</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الدرّة الباهرة فی الأصداف الطاهرة،لأبی عبد اللّه شمس الدّین محمّد بن جمال الدّین مکّی بن محمّد بن حامد بن أحمد العاملی النباطی،المشتهر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الشهید الأوّل</w:t>
      </w:r>
      <w:r>
        <w:rPr>
          <w:rFonts w:eastAsia="IRNazanin" w:cs="IRNazanin"/>
          <w:color w:val="111111"/>
          <w:sz w:val="28"/>
          <w:szCs w:val="28"/>
          <w:rtl w:val="true"/>
          <w:lang w:bidi="fa-IR"/>
        </w:rPr>
        <w:t>»(</w:t>
      </w:r>
      <w:r>
        <w:rPr>
          <w:rFonts w:eastAsia="IRNazanin" w:cs="IRNazanin"/>
          <w:color w:val="111111"/>
          <w:sz w:val="28"/>
          <w:szCs w:val="28"/>
          <w:lang w:bidi="fa-IR"/>
        </w:rPr>
        <w:t>734</w:t>
      </w:r>
      <w:r>
        <w:rPr>
          <w:rFonts w:eastAsia="IRNazanin" w:cs="IRNazanin"/>
          <w:color w:val="111111"/>
          <w:sz w:val="28"/>
          <w:szCs w:val="28"/>
          <w:rtl w:val="true"/>
          <w:lang w:bidi="fa-IR"/>
        </w:rPr>
        <w:t>-</w:t>
      </w:r>
      <w:r>
        <w:rPr>
          <w:rFonts w:eastAsia="IRNazanin" w:cs="IRNazanin"/>
          <w:color w:val="111111"/>
          <w:sz w:val="28"/>
          <w:szCs w:val="28"/>
          <w:lang w:bidi="fa-IR"/>
        </w:rPr>
        <w:t>786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الآستانة الرضویّة المقدّسة،مشهد،</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درر الفوائد،للشیخ عبد الکریم بن محمّد جعفر مهرجردی الحائری الیزدی</w:t>
      </w:r>
      <w:r>
        <w:rPr>
          <w:rFonts w:eastAsia="IRNazanin" w:cs="IRNazanin"/>
          <w:color w:val="111111"/>
          <w:sz w:val="28"/>
          <w:szCs w:val="28"/>
          <w:rtl w:val="true"/>
          <w:lang w:bidi="fa-IR"/>
        </w:rPr>
        <w:t>(</w:t>
      </w:r>
      <w:r>
        <w:rPr>
          <w:rFonts w:eastAsia="IRNazanin" w:cs="IRNazanin"/>
          <w:color w:val="111111"/>
          <w:sz w:val="28"/>
          <w:szCs w:val="28"/>
          <w:lang w:bidi="fa-IR"/>
        </w:rPr>
        <w:t>1276</w:t>
      </w:r>
      <w:r>
        <w:rPr>
          <w:rFonts w:eastAsia="IRNazanin" w:cs="IRNazanin"/>
          <w:color w:val="111111"/>
          <w:sz w:val="28"/>
          <w:szCs w:val="28"/>
          <w:rtl w:val="true"/>
          <w:lang w:bidi="fa-IR"/>
        </w:rPr>
        <w:t>-</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الإسلامی،قم،الطبعة الخامسة،</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 فی التفسیر بالمأثور،لجلال الدّین أبی الفضل عبد الرحمن بن أبی بکر بن محمّد ابن سابق الدّین أبی بکر بن عثمان بن محمّد بن خضر بن أیّوب بن محمد بن همام الدین الأسیوطی، المعروف بالسیوطی</w:t>
      </w:r>
      <w:r>
        <w:rPr>
          <w:rFonts w:eastAsia="IRNazanin" w:cs="IRNazanin"/>
          <w:color w:val="111111"/>
          <w:sz w:val="28"/>
          <w:szCs w:val="28"/>
          <w:rtl w:val="true"/>
          <w:lang w:bidi="fa-IR"/>
        </w:rPr>
        <w:t>(</w:t>
      </w:r>
      <w:r>
        <w:rPr>
          <w:rFonts w:eastAsia="IRNazanin" w:cs="IRNazanin"/>
          <w:color w:val="111111"/>
          <w:sz w:val="28"/>
          <w:szCs w:val="28"/>
          <w:lang w:bidi="fa-IR"/>
        </w:rPr>
        <w:t>849</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إحیاء التراث العربی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بیروت،الطبعة الاولی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 الشرعیة فی فقه الإمامیّة،للشیخ شمس الدین محمد بن مکّی العاملی،الشهیر بالشهید الأوّل</w:t>
      </w:r>
      <w:r>
        <w:rPr>
          <w:rFonts w:eastAsia="IRNazanin" w:cs="IRNazanin"/>
          <w:color w:val="111111"/>
          <w:sz w:val="28"/>
          <w:szCs w:val="28"/>
          <w:rtl w:val="true"/>
          <w:lang w:bidi="fa-IR"/>
        </w:rPr>
        <w:t>(</w:t>
      </w:r>
      <w:r>
        <w:rPr>
          <w:rFonts w:eastAsia="IRNazanin" w:cs="IRNazanin"/>
          <w:color w:val="111111"/>
          <w:sz w:val="28"/>
          <w:szCs w:val="28"/>
          <w:lang w:bidi="fa-IR"/>
        </w:rPr>
        <w:t>734</w:t>
      </w:r>
      <w:r>
        <w:rPr>
          <w:rFonts w:eastAsia="IRNazanin" w:cs="IRNazanin"/>
          <w:color w:val="111111"/>
          <w:sz w:val="28"/>
          <w:szCs w:val="28"/>
          <w:rtl w:val="true"/>
          <w:lang w:bidi="fa-IR"/>
        </w:rPr>
        <w:t>-</w:t>
      </w:r>
      <w:r>
        <w:rPr>
          <w:rFonts w:eastAsia="IRNazanin" w:cs="IRNazanin"/>
          <w:color w:val="111111"/>
          <w:sz w:val="28"/>
          <w:szCs w:val="28"/>
          <w:lang w:bidi="fa-IR"/>
        </w:rPr>
        <w:t>786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النشر الإسلامی،قم،الطبعة الثانیة،</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 فی علم الاصول،للسیّد الشهید محمد باقر الصدر</w:t>
      </w:r>
      <w:r>
        <w:rPr>
          <w:rFonts w:eastAsia="IRNazanin" w:cs="IRNazanin"/>
          <w:color w:val="111111"/>
          <w:sz w:val="28"/>
          <w:szCs w:val="28"/>
          <w:rtl w:val="true"/>
          <w:lang w:bidi="fa-IR"/>
        </w:rPr>
        <w:t>(</w:t>
      </w:r>
      <w:r>
        <w:rPr>
          <w:rFonts w:eastAsia="IRNazanin" w:cs="IRNazanin"/>
          <w:color w:val="111111"/>
          <w:sz w:val="28"/>
          <w:szCs w:val="28"/>
          <w:lang w:bidi="fa-IR"/>
        </w:rPr>
        <w:t>1353</w:t>
      </w:r>
      <w:r>
        <w:rPr>
          <w:rFonts w:eastAsia="IRNazanin" w:cs="IRNazanin"/>
          <w:color w:val="111111"/>
          <w:sz w:val="28"/>
          <w:szCs w:val="28"/>
          <w:rtl w:val="true"/>
          <w:lang w:bidi="fa-IR"/>
        </w:rPr>
        <w:t>-</w:t>
      </w:r>
      <w:r>
        <w:rPr>
          <w:rFonts w:eastAsia="IRNazanin" w:cs="IRNazanin"/>
          <w:color w:val="111111"/>
          <w:sz w:val="28"/>
          <w:szCs w:val="28"/>
          <w:lang w:bidi="fa-IR"/>
        </w:rPr>
        <w:t>1400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الشهید آیة اللّه الصدر العلمی،قم،الطبعة الثانیة،</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 فی مسائل علم الاصول،للمیرزا جواد التبریزی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معظّم له،ستارة،قم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الإسلام و ذکر الحلال و الحرام،و القضایا و الأحکام،عن أهل بیت رسول اللّه علیه و علیهم أفضل السلام،لنعمان بن محمّد بن منصور بن أحمد بن حیّون التمیمی المغربی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المعارف بمصر،القاهرة الطبعة الثانیة،</w:t>
      </w:r>
      <w:r>
        <w:rPr>
          <w:rFonts w:eastAsia="IRNazanin" w:cs="IRNazanin"/>
          <w:color w:val="111111"/>
          <w:sz w:val="28"/>
          <w:szCs w:val="28"/>
          <w:lang w:bidi="fa-IR"/>
        </w:rPr>
        <w:t>1383</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دلیل الناسک،للسیّد محسن بن مهدی بن صالح بن أحمد بن محمود الطباطبائی الحکیم </w:t>
      </w:r>
      <w:r>
        <w:rPr>
          <w:rFonts w:eastAsia="IRNazanin" w:cs="IRNazanin"/>
          <w:color w:val="111111"/>
          <w:sz w:val="28"/>
          <w:szCs w:val="28"/>
          <w:rtl w:val="true"/>
          <w:lang w:bidi="fa-IR"/>
        </w:rPr>
        <w:t>(</w:t>
      </w:r>
      <w:r>
        <w:rPr>
          <w:rFonts w:eastAsia="IRNazanin" w:cs="IRNazanin"/>
          <w:color w:val="111111"/>
          <w:sz w:val="28"/>
          <w:szCs w:val="28"/>
          <w:lang w:bidi="fa-IR"/>
        </w:rPr>
        <w:t>1306</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مدرسة دار الحکمة،الطبعة الثالثة،</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bookmarkStart w:id="799" w:name="pg5439_47106"/>
    </w:p>
    <w:p>
      <w:pPr>
        <w:pStyle w:val="Heading3"/>
        <w:numPr>
          <w:ilvl w:val="2"/>
          <w:numId w:val="1"/>
        </w:numPr>
        <w:rPr/>
      </w:pPr>
      <w:bookmarkStart w:id="800" w:name="__RefHeading___Toc1856424_581953129"/>
      <w:bookmarkStart w:id="801" w:name="_Toc297"/>
      <w:bookmarkEnd w:id="799"/>
      <w:bookmarkEnd w:id="800"/>
      <w:r>
        <w:rPr>
          <w:rtl w:val="true"/>
        </w:rPr>
        <w:t>-</w:t>
      </w:r>
      <w:r>
        <w:rPr>
          <w:rtl w:val="true"/>
        </w:rPr>
        <w:t>ذ</w:t>
      </w:r>
      <w:r>
        <w:rPr>
          <w:rtl w:val="true"/>
        </w:rPr>
        <w:t>-</w:t>
      </w:r>
      <w:bookmarkEnd w:id="801"/>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ذخیرة المعاد فی شرح الإرشاد،للمحقّق المولی محمد باقر بن محمد مؤمن الخراسانی السبزواری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آل البیت علیهم السّلام لإحیاء التراث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ذکری الشیعة فی أحکام الشریعة،للشیخ شمس الدین محمد بن مکّی العاملی،الشهیر بالشهید الأوّل</w:t>
      </w:r>
      <w:r>
        <w:rPr>
          <w:rFonts w:eastAsia="IRNazanin" w:cs="IRNazanin"/>
          <w:color w:val="111111"/>
          <w:sz w:val="28"/>
          <w:szCs w:val="28"/>
          <w:rtl w:val="true"/>
          <w:lang w:bidi="fa-IR"/>
        </w:rPr>
        <w:t>(</w:t>
      </w:r>
      <w:r>
        <w:rPr>
          <w:rFonts w:eastAsia="IRNazanin" w:cs="IRNazanin"/>
          <w:color w:val="111111"/>
          <w:sz w:val="28"/>
          <w:szCs w:val="28"/>
          <w:lang w:bidi="fa-IR"/>
        </w:rPr>
        <w:t>734</w:t>
      </w:r>
      <w:r>
        <w:rPr>
          <w:rFonts w:eastAsia="IRNazanin" w:cs="IRNazanin"/>
          <w:color w:val="111111"/>
          <w:sz w:val="28"/>
          <w:szCs w:val="28"/>
          <w:rtl w:val="true"/>
          <w:lang w:bidi="fa-IR"/>
        </w:rPr>
        <w:t>-</w:t>
      </w:r>
      <w:r>
        <w:rPr>
          <w:rFonts w:eastAsia="IRNazanin" w:cs="IRNazanin"/>
          <w:color w:val="111111"/>
          <w:sz w:val="28"/>
          <w:szCs w:val="28"/>
          <w:lang w:bidi="fa-IR"/>
        </w:rPr>
        <w:t>786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آل البیت علیهم السّلام لإحیاء التراث،قم،الطبعة الاولی،</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3"/>
        <w:numPr>
          <w:ilvl w:val="2"/>
          <w:numId w:val="1"/>
        </w:numPr>
        <w:rPr/>
      </w:pPr>
      <w:bookmarkStart w:id="802" w:name="__RefHeading___Toc1856426_581953129"/>
      <w:bookmarkStart w:id="803" w:name="_Toc298"/>
      <w:bookmarkEnd w:id="802"/>
      <w:r>
        <w:rPr>
          <w:rtl w:val="true"/>
        </w:rPr>
        <w:t>-</w:t>
      </w:r>
      <w:r>
        <w:rPr>
          <w:rtl w:val="true"/>
        </w:rPr>
        <w:t>ر</w:t>
      </w:r>
      <w:r>
        <w:rPr>
          <w:rtl w:val="true"/>
        </w:rPr>
        <w:t>-</w:t>
      </w:r>
      <w:bookmarkEnd w:id="803"/>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النجاشی،لأبی العبّاس أحمد بن علی بن أحمد بن العبّاس النجاشی الأسدی الکوفی </w:t>
      </w:r>
      <w:r>
        <w:rPr>
          <w:rFonts w:eastAsia="IRNazanin" w:cs="IRNazanin"/>
          <w:color w:val="111111"/>
          <w:sz w:val="28"/>
          <w:szCs w:val="28"/>
          <w:rtl w:val="true"/>
          <w:lang w:bidi="fa-IR"/>
        </w:rPr>
        <w:t>(</w:t>
      </w:r>
      <w:r>
        <w:rPr>
          <w:rFonts w:eastAsia="IRNazanin" w:cs="IRNazanin"/>
          <w:color w:val="111111"/>
          <w:sz w:val="28"/>
          <w:szCs w:val="28"/>
          <w:lang w:bidi="fa-IR"/>
        </w:rPr>
        <w:t>372</w:t>
      </w:r>
      <w:r>
        <w:rPr>
          <w:rFonts w:eastAsia="IRNazanin" w:cs="IRNazanin"/>
          <w:color w:val="111111"/>
          <w:sz w:val="28"/>
          <w:szCs w:val="28"/>
          <w:rtl w:val="true"/>
          <w:lang w:bidi="fa-IR"/>
        </w:rPr>
        <w:t>-</w:t>
      </w:r>
      <w:r>
        <w:rPr>
          <w:rFonts w:eastAsia="IRNazanin" w:cs="IRNazanin"/>
          <w:color w:val="111111"/>
          <w:sz w:val="28"/>
          <w:szCs w:val="28"/>
          <w:lang w:bidi="fa-IR"/>
        </w:rPr>
        <w:t>450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النشر الإسلامی،قم،الطبعة السادسة،</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الرسائل،لآیة اللّه العظمی السیّد روح اللّه الموسوی الخمینی قدّس سرّه</w:t>
      </w:r>
      <w:r>
        <w:rPr>
          <w:rFonts w:eastAsia="IRNazanin" w:cs="IRNazanin"/>
          <w:color w:val="111111"/>
          <w:sz w:val="28"/>
          <w:szCs w:val="28"/>
          <w:rtl w:val="true"/>
          <w:lang w:bidi="fa-IR"/>
        </w:rPr>
        <w:t>(</w:t>
      </w:r>
      <w:r>
        <w:rPr>
          <w:rFonts w:eastAsia="IRNazanin" w:cs="IRNazanin"/>
          <w:color w:val="111111"/>
          <w:sz w:val="28"/>
          <w:szCs w:val="28"/>
          <w:lang w:bidi="fa-IR"/>
        </w:rPr>
        <w:t>1281</w:t>
      </w:r>
      <w:r>
        <w:rPr>
          <w:rFonts w:eastAsia="IRNazanin" w:cs="IRNazanin"/>
          <w:color w:val="111111"/>
          <w:sz w:val="28"/>
          <w:szCs w:val="28"/>
          <w:rtl w:val="true"/>
          <w:lang w:bidi="fa-IR"/>
        </w:rPr>
        <w:t>-</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مطبوعاتی إسماعیلیان،قم،الطبعة الثالثة،</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 فقهیّة،للشیخ مرتضی بن محمد أمین الأنصاری</w:t>
      </w:r>
      <w:r>
        <w:rPr>
          <w:rFonts w:eastAsia="IRNazanin" w:cs="IRNazanin"/>
          <w:color w:val="111111"/>
          <w:sz w:val="28"/>
          <w:szCs w:val="28"/>
          <w:rtl w:val="true"/>
          <w:lang w:bidi="fa-IR"/>
        </w:rPr>
        <w:t>(</w:t>
      </w:r>
      <w:r>
        <w:rPr>
          <w:rFonts w:eastAsia="IRNazanin" w:cs="IRNazanin"/>
          <w:color w:val="111111"/>
          <w:sz w:val="28"/>
          <w:szCs w:val="28"/>
          <w:lang w:bidi="fa-IR"/>
        </w:rPr>
        <w:t>1214</w:t>
      </w:r>
      <w:r>
        <w:rPr>
          <w:rFonts w:eastAsia="IRNazanin" w:cs="IRNazanin"/>
          <w:color w:val="111111"/>
          <w:sz w:val="28"/>
          <w:szCs w:val="28"/>
          <w:rtl w:val="true"/>
          <w:lang w:bidi="fa-IR"/>
        </w:rPr>
        <w:t>-</w:t>
      </w:r>
      <w:r>
        <w:rPr>
          <w:rFonts w:eastAsia="IRNazanin" w:cs="IRNazanin"/>
          <w:color w:val="111111"/>
          <w:sz w:val="28"/>
          <w:szCs w:val="28"/>
          <w:lang w:bidi="fa-IR"/>
        </w:rPr>
        <w:t>1281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تراث الشیخ الأعظم، قم،الطبعة الاولی،</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 المحقّق الکرکی،لنور الدین أبی الحسن علی بن الحسین بن علی بن عبد العالی الکرکی، المعروف بالمحقّق الثانی</w:t>
      </w:r>
      <w:r>
        <w:rPr>
          <w:rFonts w:eastAsia="IRNazanin" w:cs="IRNazanin"/>
          <w:color w:val="111111"/>
          <w:sz w:val="28"/>
          <w:szCs w:val="28"/>
          <w:rtl w:val="true"/>
          <w:lang w:bidi="fa-IR"/>
        </w:rPr>
        <w:t>(</w:t>
      </w:r>
      <w:r>
        <w:rPr>
          <w:rFonts w:eastAsia="IRNazanin" w:cs="IRNazanin"/>
          <w:color w:val="111111"/>
          <w:sz w:val="28"/>
          <w:szCs w:val="28"/>
          <w:lang w:bidi="fa-IR"/>
        </w:rPr>
        <w:t>868</w:t>
      </w:r>
      <w:r>
        <w:rPr>
          <w:rFonts w:eastAsia="IRNazanin" w:cs="IRNazanin"/>
          <w:color w:val="111111"/>
          <w:sz w:val="28"/>
          <w:szCs w:val="28"/>
          <w:rtl w:val="true"/>
          <w:lang w:bidi="fa-IR"/>
        </w:rPr>
        <w:t>-</w:t>
      </w:r>
      <w:r>
        <w:rPr>
          <w:rFonts w:eastAsia="IRNazanin" w:cs="IRNazanin"/>
          <w:color w:val="111111"/>
          <w:sz w:val="28"/>
          <w:szCs w:val="28"/>
          <w:lang w:bidi="fa-IR"/>
        </w:rPr>
        <w:t>940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آیة اللّه المرعشی النجفی،قم،الطبعة الاولی،</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الإثبات،لأحمد نشأت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السابعة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رسالة المحکم و المتشابه نقلا من تفسیر النعمانی،المطبوع مع جامع الأخبار و الآثار عن النبیّ و الأئمّة الأطهار علیهم السّلام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،لعلیّ بن الحسین بن موسی بن محمد بن موسی بن إبراهیم بن الإمام موسی بن جعفر علیهما السّلام،المعروف بالشریف المرتضی و علم الهدی</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w:t>
      </w:r>
      <w:r>
        <w:rPr>
          <w:rFonts w:eastAsia="IRNazanin" w:cs="IRNazanin"/>
          <w:color w:val="111111"/>
          <w:sz w:val="28"/>
          <w:szCs w:val="28"/>
          <w:lang w:bidi="fa-IR"/>
        </w:rPr>
        <w:t>436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الإمام المهدی علیه السّلام،قم المقدّسة،الطبعة الثانیة،</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المعانی فی تفسیر القرآن العظیم و السبع المثانی،لشهاب الدّین أبی الفضائل محمد بن عبد اللّه الحسینی الآلوسی</w:t>
      </w:r>
      <w:r>
        <w:rPr>
          <w:rFonts w:eastAsia="IRNazanin" w:cs="IRNazanin"/>
          <w:color w:val="111111"/>
          <w:sz w:val="28"/>
          <w:szCs w:val="28"/>
          <w:rtl w:val="true"/>
          <w:lang w:bidi="fa-IR"/>
        </w:rPr>
        <w:t>(</w:t>
      </w:r>
      <w:r>
        <w:rPr>
          <w:rFonts w:eastAsia="IRNazanin" w:cs="IRNazanin"/>
          <w:color w:val="111111"/>
          <w:sz w:val="28"/>
          <w:szCs w:val="28"/>
          <w:lang w:bidi="fa-IR"/>
        </w:rPr>
        <w:t>1217</w:t>
      </w:r>
      <w:r>
        <w:rPr>
          <w:rFonts w:eastAsia="IRNazanin" w:cs="IRNazanin"/>
          <w:color w:val="111111"/>
          <w:sz w:val="28"/>
          <w:szCs w:val="28"/>
          <w:rtl w:val="true"/>
          <w:lang w:bidi="fa-IR"/>
        </w:rPr>
        <w:t>-</w:t>
      </w:r>
      <w:r>
        <w:rPr>
          <w:rFonts w:eastAsia="IRNazanin" w:cs="IRNazanin"/>
          <w:color w:val="111111"/>
          <w:sz w:val="28"/>
          <w:szCs w:val="28"/>
          <w:lang w:bidi="fa-IR"/>
        </w:rPr>
        <w:t>1270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إحیاء التراث العربی،بیروت،الطبعة الاولی،</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bookmarkStart w:id="804" w:name="pg5439_47107"/>
    </w:p>
    <w:p>
      <w:pPr>
        <w:pStyle w:val="BookText"/>
        <w:rPr/>
      </w:pPr>
      <w:bookmarkEnd w:id="804"/>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 البهیّة فی شرح اللمعة الدمشقیّة،لزین الدین بن علیّ بن أحمد العاملی،المعروف بالشهید الثانی</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w:t>
      </w:r>
      <w:r>
        <w:rPr>
          <w:rFonts w:eastAsia="IRNazanin" w:cs="IRNazanin"/>
          <w:color w:val="111111"/>
          <w:sz w:val="28"/>
          <w:szCs w:val="28"/>
          <w:lang w:bidi="fa-IR"/>
        </w:rPr>
        <w:t>965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إحیاء التراث العربی،بیروت،الطبعة الثانیة،</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 الجنان فی شرح إرشاد الأذهان،لزین الدین بن علیّ بن أحمد العاملی،المعروف بالشهید الثانی</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w:t>
      </w:r>
      <w:r>
        <w:rPr>
          <w:rFonts w:eastAsia="IRNazanin" w:cs="IRNazanin"/>
          <w:color w:val="111111"/>
          <w:sz w:val="28"/>
          <w:szCs w:val="28"/>
          <w:lang w:bidi="fa-IR"/>
        </w:rPr>
        <w:t>965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الأبحاث و الدراسات الإسلامیّة،قم،الطبعة الاولی،</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 الجنان و روح الجنان فی تفسیر القرآن،المشهور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الشیخ أبو الفتوح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،لجمال الدّین أبی الفتوح الحسین بن علیّ بن محمّد بن أحمد بن الحسین بن أحمد الخزاعی الرازی النیسابوری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حدود </w:t>
      </w:r>
      <w:r>
        <w:rPr>
          <w:rFonts w:eastAsia="IRNazanin" w:cs="IRNazanin"/>
          <w:color w:val="111111"/>
          <w:sz w:val="28"/>
          <w:szCs w:val="28"/>
          <w:lang w:bidi="fa-IR"/>
        </w:rPr>
        <w:t>554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 پژوهشهای اسلامی آستان قدس رضوی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الدراسات الإسلامیّة التابعة للروضة الرضویّة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رؤیت هلال،رضا مختاری و محمد رضا نعمتی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بوستان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النشر الإسلامی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قم،الطبعة الاولی،</w:t>
      </w:r>
      <w:r>
        <w:rPr>
          <w:rFonts w:eastAsia="IRNazanin" w:cs="IRNazanin"/>
          <w:color w:val="111111"/>
          <w:sz w:val="28"/>
          <w:szCs w:val="28"/>
          <w:lang w:bidi="fa-IR"/>
        </w:rPr>
        <w:t>1425</w:t>
      </w:r>
      <w:r>
        <w:rPr>
          <w:rFonts w:eastAsia="IRNazanin" w:cs="IRNazanin"/>
          <w:color w:val="111111"/>
          <w:sz w:val="28"/>
          <w:szCs w:val="28"/>
          <w:rtl w:val="true"/>
          <w:lang w:bidi="fa-IR"/>
        </w:rPr>
        <w:t>-</w:t>
      </w:r>
      <w:r>
        <w:rPr>
          <w:rFonts w:eastAsia="IRNazanin" w:cs="IRNazanin"/>
          <w:color w:val="111111"/>
          <w:sz w:val="28"/>
          <w:szCs w:val="28"/>
          <w:lang w:bidi="fa-IR"/>
        </w:rPr>
        <w:t>1426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المسائل فی بیان أحکام الشرع بالدلائل،للسیّد علیّ بن محمد بن علیّ بن أبی المعالی الطباطبائی الحسینی الحائری</w:t>
      </w:r>
      <w:r>
        <w:rPr>
          <w:rFonts w:eastAsia="IRNazanin" w:cs="IRNazanin"/>
          <w:color w:val="111111"/>
          <w:sz w:val="28"/>
          <w:szCs w:val="28"/>
          <w:rtl w:val="true"/>
          <w:lang w:bidi="fa-IR"/>
        </w:rPr>
        <w:t>(</w:t>
      </w:r>
      <w:r>
        <w:rPr>
          <w:rFonts w:eastAsia="IRNazanin" w:cs="IRNazanin"/>
          <w:color w:val="111111"/>
          <w:sz w:val="28"/>
          <w:szCs w:val="28"/>
          <w:lang w:bidi="fa-IR"/>
        </w:rPr>
        <w:t>1161</w:t>
      </w:r>
      <w:r>
        <w:rPr>
          <w:rFonts w:eastAsia="IRNazanin" w:cs="IRNazanin"/>
          <w:color w:val="111111"/>
          <w:sz w:val="28"/>
          <w:szCs w:val="28"/>
          <w:rtl w:val="true"/>
          <w:lang w:bidi="fa-IR"/>
        </w:rPr>
        <w:t>-</w:t>
      </w:r>
      <w:r>
        <w:rPr>
          <w:rFonts w:eastAsia="IRNazanin" w:cs="IRNazanin"/>
          <w:color w:val="111111"/>
          <w:sz w:val="28"/>
          <w:szCs w:val="28"/>
          <w:lang w:bidi="fa-IR"/>
        </w:rPr>
        <w:t>1231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النشر الإسلامی،قم،الطبعة الثانیة،</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3"/>
        <w:numPr>
          <w:ilvl w:val="2"/>
          <w:numId w:val="1"/>
        </w:numPr>
        <w:rPr/>
      </w:pPr>
      <w:bookmarkStart w:id="805" w:name="__RefHeading___Toc1856428_581953129"/>
      <w:bookmarkStart w:id="806" w:name="_Toc299"/>
      <w:bookmarkEnd w:id="805"/>
      <w:r>
        <w:rPr>
          <w:rtl w:val="true"/>
        </w:rPr>
        <w:t>-</w:t>
      </w:r>
      <w:r>
        <w:rPr>
          <w:rtl w:val="true"/>
        </w:rPr>
        <w:t>ز</w:t>
      </w:r>
      <w:r>
        <w:rPr>
          <w:rtl w:val="true"/>
        </w:rPr>
        <w:t>-</w:t>
      </w:r>
      <w:bookmarkEnd w:id="806"/>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زبدة البیان فی براهین أحکام القرآن،للمولی أحمد بن محمد،الشهیر بالمحقّق و المقدّس الأردبیلی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مؤمنین،قم،الطبعة الثانیة،</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3"/>
        <w:numPr>
          <w:ilvl w:val="2"/>
          <w:numId w:val="1"/>
        </w:numPr>
        <w:rPr/>
      </w:pPr>
      <w:bookmarkStart w:id="807" w:name="__RefHeading___Toc1856430_581953129"/>
      <w:bookmarkStart w:id="808" w:name="_Toc300"/>
      <w:bookmarkEnd w:id="807"/>
      <w:r>
        <w:rPr>
          <w:rtl w:val="true"/>
        </w:rPr>
        <w:t>-</w:t>
      </w:r>
      <w:r>
        <w:rPr>
          <w:rtl w:val="true"/>
        </w:rPr>
        <w:t>س</w:t>
      </w:r>
      <w:r>
        <w:rPr>
          <w:rtl w:val="true"/>
        </w:rPr>
        <w:t>-</w:t>
      </w:r>
      <w:bookmarkEnd w:id="808"/>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 الحاوی لتحریر الفتاوی،لمحمد بن منصور بن أحمد بن إدریس بن الحسین بن القاسم ابن عیسی العجلی</w:t>
      </w:r>
      <w:r>
        <w:rPr>
          <w:rFonts w:eastAsia="IRNazanin" w:cs="IRNazanin"/>
          <w:color w:val="111111"/>
          <w:sz w:val="28"/>
          <w:szCs w:val="28"/>
          <w:rtl w:val="true"/>
          <w:lang w:bidi="fa-IR"/>
        </w:rPr>
        <w:t>(</w:t>
      </w:r>
      <w:r>
        <w:rPr>
          <w:rFonts w:eastAsia="IRNazanin" w:cs="IRNazanin"/>
          <w:color w:val="111111"/>
          <w:sz w:val="28"/>
          <w:szCs w:val="28"/>
          <w:lang w:bidi="fa-IR"/>
        </w:rPr>
        <w:t>543</w:t>
      </w:r>
      <w:r>
        <w:rPr>
          <w:rFonts w:eastAsia="IRNazanin" w:cs="IRNazanin"/>
          <w:color w:val="111111"/>
          <w:sz w:val="28"/>
          <w:szCs w:val="28"/>
          <w:rtl w:val="true"/>
          <w:lang w:bidi="fa-IR"/>
        </w:rPr>
        <w:t>-</w:t>
      </w:r>
      <w:r>
        <w:rPr>
          <w:rFonts w:eastAsia="IRNazanin" w:cs="IRNazanin"/>
          <w:color w:val="111111"/>
          <w:sz w:val="28"/>
          <w:szCs w:val="28"/>
          <w:lang w:bidi="fa-IR"/>
        </w:rPr>
        <w:t>598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النشر الإسلامی،قم،الطبعة الثانیة،</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السعود للنفوس،للسیّد رضیّ الدّین أبی القاسم علیّ بن موسی بن جعفر بن محمّد بن</w:t>
      </w:r>
      <w:bookmarkStart w:id="809" w:name="pg5439_47108"/>
    </w:p>
    <w:p>
      <w:pPr>
        <w:pStyle w:val="BookText"/>
        <w:rPr/>
      </w:pPr>
      <w:bookmarkEnd w:id="809"/>
      <w:r>
        <w:rPr>
          <w:rFonts w:ascii="IRNazanin" w:hAnsi="IRNazanin" w:eastAsia="IRNazanin"/>
          <w:color w:val="111111"/>
          <w:sz w:val="28"/>
          <w:sz w:val="28"/>
          <w:szCs w:val="28"/>
          <w:rtl w:val="true"/>
          <w:lang w:bidi="fa-IR"/>
        </w:rPr>
        <w:t>أحمد بن محمّد بن أحمد بن محمّد العلوی الحسنی،الحسینی،المعروف بابن طاووس</w:t>
      </w:r>
      <w:r>
        <w:rPr>
          <w:rFonts w:eastAsia="IRNazanin" w:cs="IRNazanin"/>
          <w:color w:val="111111"/>
          <w:sz w:val="28"/>
          <w:szCs w:val="28"/>
          <w:rtl w:val="true"/>
          <w:lang w:bidi="fa-IR"/>
        </w:rPr>
        <w:t>(</w:t>
      </w:r>
      <w:r>
        <w:rPr>
          <w:rFonts w:eastAsia="IRNazanin" w:cs="IRNazanin"/>
          <w:color w:val="111111"/>
          <w:sz w:val="28"/>
          <w:szCs w:val="28"/>
          <w:lang w:bidi="fa-IR"/>
        </w:rPr>
        <w:t>589</w:t>
      </w:r>
      <w:r>
        <w:rPr>
          <w:rFonts w:eastAsia="IRNazanin" w:cs="IRNazanin"/>
          <w:color w:val="111111"/>
          <w:sz w:val="28"/>
          <w:szCs w:val="28"/>
          <w:rtl w:val="true"/>
          <w:lang w:bidi="fa-IR"/>
        </w:rPr>
        <w:t>-</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الأبحاث و الدراسات الإسلامیّة،قم،الطبعة الاولی،</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سلسلة الأحادیث الصحیحة،لمحمّد ناصر الدّین الألبانی،مکتبة المعارف،الریاض،الطبعة الاولی،</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ابن ماجة،لأبی عبد اللّه محمد بن یزید بن ماجة الربعی القزوینی</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w:t>
      </w:r>
      <w:r>
        <w:rPr>
          <w:rFonts w:eastAsia="IRNazanin" w:cs="IRNazanin"/>
          <w:color w:val="111111"/>
          <w:sz w:val="28"/>
          <w:szCs w:val="28"/>
          <w:lang w:bidi="fa-IR"/>
        </w:rPr>
        <w:t>273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الکتب العلمیّة،بیروت،الطبعة الاولی،</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الترمذی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لأبی عیسی محمد بن عیسی بن سورة بن موسی بن الضحّاک السلمی</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إحیاء التراث العربی،بیروت،</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الدارمی،لأبی محمّد عبد اللّه بن عبد الرحمن بن الفضل بن بهرام بن عبد الصمد التمیمی الدارمی السمرقندی</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الفکر،بیروت،</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السنن الکبری،لأبی بکر أحمد بن الحسین بن علی بن موسی البیهقی الخسروجردی </w:t>
      </w:r>
      <w:r>
        <w:rPr>
          <w:rFonts w:eastAsia="IRNazanin" w:cs="IRNazanin"/>
          <w:color w:val="111111"/>
          <w:sz w:val="28"/>
          <w:szCs w:val="28"/>
          <w:rtl w:val="true"/>
          <w:lang w:bidi="fa-IR"/>
        </w:rPr>
        <w:t>(</w:t>
      </w:r>
      <w:r>
        <w:rPr>
          <w:rFonts w:eastAsia="IRNazanin" w:cs="IRNazanin"/>
          <w:color w:val="111111"/>
          <w:sz w:val="28"/>
          <w:szCs w:val="28"/>
          <w:lang w:bidi="fa-IR"/>
        </w:rPr>
        <w:t>384</w:t>
      </w:r>
      <w:r>
        <w:rPr>
          <w:rFonts w:eastAsia="IRNazanin" w:cs="IRNazanin"/>
          <w:color w:val="111111"/>
          <w:sz w:val="28"/>
          <w:szCs w:val="28"/>
          <w:rtl w:val="true"/>
          <w:lang w:bidi="fa-IR"/>
        </w:rPr>
        <w:t>-</w:t>
      </w:r>
      <w:r>
        <w:rPr>
          <w:rFonts w:eastAsia="IRNazanin" w:cs="IRNazanin"/>
          <w:color w:val="111111"/>
          <w:sz w:val="28"/>
          <w:szCs w:val="28"/>
          <w:lang w:bidi="fa-IR"/>
        </w:rPr>
        <w:t>458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الفکر،بیروت،الطبعة الاولی،</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النسائی،لأحمد بن شعیب بن علیّ بن سنان بن بحر بن دینار النسائی،أبو عبد الرحمان </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w:t>
      </w:r>
      <w:r>
        <w:rPr>
          <w:rFonts w:eastAsia="IRNazanin" w:cs="IRNazanin"/>
          <w:color w:val="111111"/>
          <w:sz w:val="28"/>
          <w:szCs w:val="28"/>
          <w:lang w:bidi="fa-IR"/>
        </w:rPr>
        <w:t>303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الجیل،بیروت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سیری کامل در اصول فقه،لآیة اللّه العظمی الشیخ محمد الفاضل اللنکرانی قدّس سرّه،انتشارات فیضیّة،قم،الطبعة الاولی،</w:t>
      </w:r>
      <w:r>
        <w:rPr>
          <w:rFonts w:eastAsia="IRNazanin" w:cs="IRNazanin"/>
          <w:color w:val="111111"/>
          <w:sz w:val="28"/>
          <w:szCs w:val="28"/>
          <w:lang w:bidi="fa-IR"/>
        </w:rPr>
        <w:t>1377</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810" w:name="__RefHeading___Toc1856432_581953129"/>
      <w:bookmarkStart w:id="811" w:name="_Toc301"/>
      <w:bookmarkEnd w:id="810"/>
      <w:r>
        <w:rPr>
          <w:rtl w:val="true"/>
        </w:rPr>
        <w:t>-</w:t>
      </w:r>
      <w:r>
        <w:rPr>
          <w:rtl w:val="true"/>
        </w:rPr>
        <w:t>ش</w:t>
      </w:r>
      <w:r>
        <w:rPr>
          <w:rtl w:val="true"/>
        </w:rPr>
        <w:t>-</w:t>
      </w:r>
      <w:bookmarkEnd w:id="811"/>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شرائع الإسلام فی مسائل الحلال و الحرام،لأبی القاسم نجم الدین جعفر بن الحسن بن أبی زکریّا یحیی بن الحسن بن سعید الهذلی،المعروف بالمحقّق الحلّی</w:t>
      </w:r>
      <w:r>
        <w:rPr>
          <w:rFonts w:eastAsia="IRNazanin" w:cs="IRNazanin"/>
          <w:color w:val="111111"/>
          <w:sz w:val="28"/>
          <w:szCs w:val="28"/>
          <w:rtl w:val="true"/>
          <w:lang w:bidi="fa-IR"/>
        </w:rPr>
        <w:t>(</w:t>
      </w:r>
      <w:r>
        <w:rPr>
          <w:rFonts w:eastAsia="IRNazanin" w:cs="IRNazanin"/>
          <w:color w:val="111111"/>
          <w:sz w:val="28"/>
          <w:szCs w:val="28"/>
          <w:lang w:bidi="fa-IR"/>
        </w:rPr>
        <w:t>602</w:t>
      </w:r>
      <w:r>
        <w:rPr>
          <w:rFonts w:eastAsia="IRNazanin" w:cs="IRNazanin"/>
          <w:color w:val="111111"/>
          <w:sz w:val="28"/>
          <w:szCs w:val="28"/>
          <w:rtl w:val="true"/>
          <w:lang w:bidi="fa-IR"/>
        </w:rPr>
        <w:t>-</w:t>
      </w:r>
      <w:r>
        <w:rPr>
          <w:rFonts w:eastAsia="IRNazanin" w:cs="IRNazanin"/>
          <w:color w:val="111111"/>
          <w:sz w:val="28"/>
          <w:szCs w:val="28"/>
          <w:lang w:bidi="fa-IR"/>
        </w:rPr>
        <w:t>676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مطبعة الآداب، النجف الأشرف،الطبعة الاولی،</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الإشارات و التنبیهات،لمحمّد بن محمّد بن الحسن،الفیلسوف،المحقّق الخواجه</w:t>
      </w:r>
      <w:bookmarkStart w:id="812" w:name="pg5439_47109"/>
    </w:p>
    <w:p>
      <w:pPr>
        <w:pStyle w:val="BookText"/>
        <w:rPr/>
      </w:pPr>
      <w:bookmarkEnd w:id="812"/>
      <w:r>
        <w:rPr>
          <w:rFonts w:ascii="IRNazanin" w:hAnsi="IRNazanin" w:eastAsia="IRNazanin"/>
          <w:color w:val="111111"/>
          <w:sz w:val="28"/>
          <w:sz w:val="28"/>
          <w:szCs w:val="28"/>
          <w:rtl w:val="true"/>
          <w:lang w:bidi="fa-IR"/>
        </w:rPr>
        <w:t>نصیر الدّین الطوسی</w:t>
      </w:r>
      <w:r>
        <w:rPr>
          <w:rFonts w:eastAsia="IRNazanin" w:cs="IRNazanin"/>
          <w:color w:val="111111"/>
          <w:sz w:val="28"/>
          <w:szCs w:val="28"/>
          <w:rtl w:val="true"/>
          <w:lang w:bidi="fa-IR"/>
        </w:rPr>
        <w:t>(</w:t>
      </w:r>
      <w:r>
        <w:rPr>
          <w:rFonts w:eastAsia="IRNazanin" w:cs="IRNazanin"/>
          <w:color w:val="111111"/>
          <w:sz w:val="28"/>
          <w:szCs w:val="28"/>
          <w:lang w:bidi="fa-IR"/>
        </w:rPr>
        <w:t>597</w:t>
      </w:r>
      <w:r>
        <w:rPr>
          <w:rFonts w:eastAsia="IRNazanin" w:cs="IRNazanin"/>
          <w:color w:val="111111"/>
          <w:sz w:val="28"/>
          <w:szCs w:val="28"/>
          <w:rtl w:val="true"/>
          <w:lang w:bidi="fa-IR"/>
        </w:rPr>
        <w:t>-</w:t>
      </w:r>
      <w:r>
        <w:rPr>
          <w:rFonts w:eastAsia="IRNazanin" w:cs="IRNazanin"/>
          <w:color w:val="111111"/>
          <w:sz w:val="28"/>
          <w:szCs w:val="28"/>
          <w:lang w:bidi="fa-IR"/>
        </w:rPr>
        <w:t>672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المطبعة الحیدریّة،طهران،الطبعة الثانیة،</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الشرح الکبیر،لشمس الدّین أبی محمّد عبد الرحمن بن محمد بن أحمد بن قدامة المقدسی </w:t>
      </w:r>
      <w:r>
        <w:rPr>
          <w:rFonts w:eastAsia="IRNazanin" w:cs="IRNazanin"/>
          <w:color w:val="111111"/>
          <w:sz w:val="28"/>
          <w:szCs w:val="28"/>
          <w:rtl w:val="true"/>
          <w:lang w:bidi="fa-IR"/>
        </w:rPr>
        <w:t>(</w:t>
      </w:r>
      <w:r>
        <w:rPr>
          <w:rFonts w:eastAsia="IRNazanin" w:cs="IRNazanin"/>
          <w:color w:val="111111"/>
          <w:sz w:val="28"/>
          <w:szCs w:val="28"/>
          <w:lang w:bidi="fa-IR"/>
        </w:rPr>
        <w:t>597</w:t>
      </w:r>
      <w:r>
        <w:rPr>
          <w:rFonts w:eastAsia="IRNazanin" w:cs="IRNazanin"/>
          <w:color w:val="111111"/>
          <w:sz w:val="28"/>
          <w:szCs w:val="28"/>
          <w:rtl w:val="true"/>
          <w:lang w:bidi="fa-IR"/>
        </w:rPr>
        <w:t>-</w:t>
      </w:r>
      <w:r>
        <w:rPr>
          <w:rFonts w:eastAsia="IRNazanin" w:cs="IRNazanin"/>
          <w:color w:val="111111"/>
          <w:sz w:val="28"/>
          <w:szCs w:val="28"/>
          <w:lang w:bidi="fa-IR"/>
        </w:rPr>
        <w:t>682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الکتب العلمیّة،بیروت</w:t>
      </w:r>
      <w:r>
        <w:rPr>
          <w:rFonts w:eastAsia="IRNazanin" w:cs="IRNazanin"/>
          <w:color w:val="111111"/>
          <w:sz w:val="28"/>
          <w:szCs w:val="28"/>
          <w:rtl w:val="true"/>
          <w:lang w:bidi="fa-IR"/>
        </w:rPr>
        <w:t>.</w:t>
      </w:r>
    </w:p>
    <w:p>
      <w:pPr>
        <w:pStyle w:val="Heading3"/>
        <w:numPr>
          <w:ilvl w:val="2"/>
          <w:numId w:val="1"/>
        </w:numPr>
        <w:rPr/>
      </w:pPr>
      <w:bookmarkStart w:id="813" w:name="__RefHeading___Toc1856434_581953129"/>
      <w:bookmarkStart w:id="814" w:name="_Toc302"/>
      <w:bookmarkEnd w:id="813"/>
      <w:r>
        <w:rPr>
          <w:rtl w:val="true"/>
        </w:rPr>
        <w:t>-</w:t>
      </w:r>
      <w:r>
        <w:rPr>
          <w:rtl w:val="true"/>
        </w:rPr>
        <w:t>ص</w:t>
      </w:r>
      <w:r>
        <w:rPr>
          <w:rtl w:val="true"/>
        </w:rPr>
        <w:t>-</w:t>
      </w:r>
      <w:bookmarkEnd w:id="814"/>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الصحاح،المسمّی تاج اللغة و صحاح العربیّة،لأبی نصر إسماعیل بن حمّاد الجوهری الفارابی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حدود </w:t>
      </w:r>
      <w:r>
        <w:rPr>
          <w:rFonts w:eastAsia="IRNazanin" w:cs="IRNazanin"/>
          <w:color w:val="111111"/>
          <w:sz w:val="28"/>
          <w:szCs w:val="28"/>
          <w:lang w:bidi="fa-IR"/>
        </w:rPr>
        <w:t>400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الفکر،بیروت،الطبعة الاولی،</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مسلم،لأبی الحسین مسلم بن الحجّاج بن مسلم القشیری النیسابوری</w:t>
      </w: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ابن حزم،بیروت،الطبعة الاولی،</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صحیفۀ إمام،للإمام الراحل السیّد روح اللّه الموسوی الخمینی قدّس سرّه</w:t>
      </w:r>
      <w:r>
        <w:rPr>
          <w:rFonts w:eastAsia="IRNazanin" w:cs="IRNazanin"/>
          <w:color w:val="111111"/>
          <w:sz w:val="28"/>
          <w:szCs w:val="28"/>
          <w:rtl w:val="true"/>
          <w:lang w:bidi="fa-IR"/>
        </w:rPr>
        <w:t>(</w:t>
      </w:r>
      <w:r>
        <w:rPr>
          <w:rFonts w:eastAsia="IRNazanin" w:cs="IRNazanin"/>
          <w:color w:val="111111"/>
          <w:sz w:val="28"/>
          <w:szCs w:val="28"/>
          <w:lang w:bidi="fa-IR"/>
        </w:rPr>
        <w:t>1281</w:t>
      </w:r>
      <w:r>
        <w:rPr>
          <w:rFonts w:eastAsia="IRNazanin" w:cs="IRNazanin"/>
          <w:color w:val="111111"/>
          <w:sz w:val="28"/>
          <w:szCs w:val="28"/>
          <w:rtl w:val="true"/>
          <w:lang w:bidi="fa-IR"/>
        </w:rPr>
        <w:t>-</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تنظیم و نشر آثار الإمام الخمینی،قم،الطبعة الاولی،</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الصوم فی الشریعة الإسلامیّة الغرّاء،لآیة اللّه الشیخ جعفر السبحانی،مؤسّسة الإمام الصادق علیه السّلام،قم،الطبعة الاولی،</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صیانة القرآن من التحریف،للشیخ محمد هادی معرفة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النشر الإسلامی، قم،الطبعة الثانیة،</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3"/>
        <w:numPr>
          <w:ilvl w:val="2"/>
          <w:numId w:val="1"/>
        </w:numPr>
        <w:rPr/>
      </w:pPr>
      <w:bookmarkStart w:id="815" w:name="__RefHeading___Toc1856436_581953129"/>
      <w:bookmarkStart w:id="816" w:name="_Toc303"/>
      <w:bookmarkEnd w:id="815"/>
      <w:r>
        <w:rPr>
          <w:rtl w:val="true"/>
        </w:rPr>
        <w:t>-</w:t>
      </w:r>
      <w:r>
        <w:rPr>
          <w:rtl w:val="true"/>
        </w:rPr>
        <w:t>ع</w:t>
      </w:r>
      <w:r>
        <w:rPr>
          <w:rtl w:val="true"/>
        </w:rPr>
        <w:t>-</w:t>
      </w:r>
      <w:bookmarkEnd w:id="816"/>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 الوثقی،للسیّد محمّد کاظم الطباطبائی الیزدی</w:t>
      </w:r>
      <w:r>
        <w:rPr>
          <w:rFonts w:eastAsia="IRNazanin" w:cs="IRNazanin"/>
          <w:color w:val="111111"/>
          <w:sz w:val="28"/>
          <w:szCs w:val="28"/>
          <w:rtl w:val="true"/>
          <w:lang w:bidi="fa-IR"/>
        </w:rPr>
        <w:t>(</w:t>
      </w:r>
      <w:r>
        <w:rPr>
          <w:rFonts w:eastAsia="IRNazanin" w:cs="IRNazanin"/>
          <w:color w:val="111111"/>
          <w:sz w:val="28"/>
          <w:szCs w:val="28"/>
          <w:lang w:bidi="fa-IR"/>
        </w:rPr>
        <w:t>1247</w:t>
      </w:r>
      <w:r>
        <w:rPr>
          <w:rFonts w:eastAsia="IRNazanin" w:cs="IRNazanin"/>
          <w:color w:val="111111"/>
          <w:sz w:val="28"/>
          <w:szCs w:val="28"/>
          <w:rtl w:val="true"/>
          <w:lang w:bidi="fa-IR"/>
        </w:rPr>
        <w:t>-</w:t>
      </w:r>
      <w:r>
        <w:rPr>
          <w:rFonts w:eastAsia="IRNazanin" w:cs="IRNazanin"/>
          <w:color w:val="111111"/>
          <w:sz w:val="28"/>
          <w:szCs w:val="28"/>
          <w:lang w:bidi="fa-IR"/>
        </w:rPr>
        <w:t>1337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فقه الأئمّة الأطهار علیهم السّلام،قم،الطبعة الاولی،</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مؤسّسة النشر الإسلامی،قم،الطبعة الاولی،</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1420</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العزیز شرح الوجیز،المعروف بالشرح الکبیر،لأبی القاسم عبد الکریم بن محمّد بن عبد الکریم بن الفضل بن الحسین بن الحسن القزوینی الرافعی الشافعی</w:t>
      </w:r>
      <w:r>
        <w:rPr>
          <w:rFonts w:eastAsia="IRNazanin" w:cs="IRNazanin"/>
          <w:color w:val="111111"/>
          <w:sz w:val="28"/>
          <w:szCs w:val="28"/>
          <w:rtl w:val="true"/>
          <w:lang w:bidi="fa-IR"/>
        </w:rPr>
        <w:t>(</w:t>
      </w:r>
      <w:r>
        <w:rPr>
          <w:rFonts w:eastAsia="IRNazanin" w:cs="IRNazanin"/>
          <w:color w:val="111111"/>
          <w:sz w:val="28"/>
          <w:szCs w:val="28"/>
          <w:lang w:bidi="fa-IR"/>
        </w:rPr>
        <w:t>555</w:t>
      </w:r>
      <w:r>
        <w:rPr>
          <w:rFonts w:eastAsia="IRNazanin" w:cs="IRNazanin"/>
          <w:color w:val="111111"/>
          <w:sz w:val="28"/>
          <w:szCs w:val="28"/>
          <w:rtl w:val="true"/>
          <w:lang w:bidi="fa-IR"/>
        </w:rPr>
        <w:t>-</w:t>
      </w:r>
      <w:r>
        <w:rPr>
          <w:rFonts w:eastAsia="IRNazanin" w:cs="IRNazanin"/>
          <w:color w:val="111111"/>
          <w:sz w:val="28"/>
          <w:szCs w:val="28"/>
          <w:lang w:bidi="fa-IR"/>
        </w:rPr>
        <w:t>623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الکتب</w:t>
      </w:r>
      <w:bookmarkStart w:id="817" w:name="pg5439_47110"/>
    </w:p>
    <w:p>
      <w:pPr>
        <w:pStyle w:val="BookText"/>
        <w:rPr/>
      </w:pPr>
      <w:bookmarkEnd w:id="817"/>
      <w:r>
        <w:rPr>
          <w:rFonts w:ascii="IRNazanin" w:hAnsi="IRNazanin" w:eastAsia="IRNazanin"/>
          <w:color w:val="111111"/>
          <w:sz w:val="28"/>
          <w:sz w:val="28"/>
          <w:szCs w:val="28"/>
          <w:rtl w:val="true"/>
          <w:lang w:bidi="fa-IR"/>
        </w:rPr>
        <w:t>العلمیّة،بیروت،الطبعة الاولی،</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الشرائع،لأبی جعفر محمد بن علیّ بن الحسین بن موسی بن بابویه القمّی،المعروف بالشیخ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الحیدریّة و مطبعتها،النجف،</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العناوین،للسیّد میر عبد الفتاح بن علی الحسینی المراغی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النشر الإسلامی، قم،الطبعة الاولی،</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عوائد الأیّام،للمولی أحمد بن المولی محمد مهدی بن أبی ذرّ،المعروف بالفاضل النراقی </w:t>
      </w:r>
      <w:r>
        <w:rPr>
          <w:rFonts w:eastAsia="IRNazanin" w:cs="IRNazanin"/>
          <w:color w:val="111111"/>
          <w:sz w:val="28"/>
          <w:szCs w:val="28"/>
          <w:rtl w:val="true"/>
          <w:lang w:bidi="fa-IR"/>
        </w:rPr>
        <w:t>(</w:t>
      </w:r>
      <w:r>
        <w:rPr>
          <w:rFonts w:eastAsia="IRNazanin" w:cs="IRNazanin"/>
          <w:color w:val="111111"/>
          <w:sz w:val="28"/>
          <w:szCs w:val="28"/>
          <w:lang w:bidi="fa-IR"/>
        </w:rPr>
        <w:t>1185</w:t>
      </w:r>
      <w:r>
        <w:rPr>
          <w:rFonts w:eastAsia="IRNazanin" w:cs="IRNazanin"/>
          <w:color w:val="111111"/>
          <w:sz w:val="28"/>
          <w:szCs w:val="28"/>
          <w:rtl w:val="true"/>
          <w:lang w:bidi="fa-IR"/>
        </w:rPr>
        <w:t>-</w:t>
      </w:r>
      <w:r>
        <w:rPr>
          <w:rFonts w:eastAsia="IRNazanin" w:cs="IRNazanin"/>
          <w:color w:val="111111"/>
          <w:sz w:val="28"/>
          <w:szCs w:val="28"/>
          <w:lang w:bidi="fa-IR"/>
        </w:rPr>
        <w:t>1245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الأبحاث و الدراسات الإسلامیّة،قم،الطبعة الاولی،</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عوالم العلوم و المعارف و الأحوال من الآیات و الأخبار و الأقوال،للشیخ عبد اللّه بن نور اللّه البحرانی الاصفهانی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أعلام تلامذة المجلسی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الإمام المهدی علیه السّلام،قم المقدّسة، الطبعة الاولی،</w:t>
      </w:r>
      <w:r>
        <w:rPr>
          <w:rFonts w:eastAsia="IRNazanin" w:cs="IRNazanin"/>
          <w:color w:val="111111"/>
          <w:sz w:val="28"/>
          <w:szCs w:val="28"/>
          <w:lang w:bidi="fa-IR"/>
        </w:rPr>
        <w:t>1405</w:t>
      </w:r>
      <w:r>
        <w:rPr>
          <w:rFonts w:eastAsia="IRNazanin" w:cs="IRNazanin"/>
          <w:color w:val="111111"/>
          <w:sz w:val="28"/>
          <w:szCs w:val="28"/>
          <w:rtl w:val="true"/>
          <w:lang w:bidi="fa-IR"/>
        </w:rPr>
        <w:t>-</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عوالی اللئالی العزیزیّة فی الأحادیث الدینیّة،لمحمد بن علیّ بن إبراهیم الإحسائی،المعروف بابن أبی جمهور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مطبعة سیّد الشهداء علیه السّلام،قم،الطبعة الاولی،</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العین،لأبی عبد الرحمن الخلیل بن أحمد بن عمرو بن تمیم الفراهیدی الأزدی</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اسوة التابعة لمنظمة الأوقاف و الامور الخیریّة،قم،الطبعة الاولی،</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 علیه السّلام،لأبی جعفر محمد بن علیّ بن الحسین بن موسی بن بابویه القمّی، المعروف بالشیخ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العلم،قم،</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3"/>
        <w:numPr>
          <w:ilvl w:val="2"/>
          <w:numId w:val="1"/>
        </w:numPr>
        <w:rPr/>
      </w:pPr>
      <w:bookmarkStart w:id="818" w:name="__RefHeading___Toc1856438_581953129"/>
      <w:bookmarkStart w:id="819" w:name="_Toc304"/>
      <w:bookmarkEnd w:id="818"/>
      <w:r>
        <w:rPr>
          <w:rtl w:val="true"/>
        </w:rPr>
        <w:t>-</w:t>
      </w:r>
      <w:r>
        <w:rPr>
          <w:rtl w:val="true"/>
        </w:rPr>
        <w:t>غ</w:t>
      </w:r>
      <w:r>
        <w:rPr>
          <w:rtl w:val="true"/>
        </w:rPr>
        <w:t>-</w:t>
      </w:r>
      <w:bookmarkEnd w:id="819"/>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 فی الکتاب و السنّة و الأدب،للشیخ عبد الحسین بن أحمد بن نجف علی بن اللّه یار بن محمّد التبریزی النجفی،الشهیر بالعلاّمة الأمینی</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الغدیر للدراسات الإسلامیّة،قم الطبعة الاولی،</w:t>
      </w:r>
      <w:r>
        <w:rPr>
          <w:rFonts w:eastAsia="IRNazanin" w:cs="IRNazanin"/>
          <w:color w:val="111111"/>
          <w:sz w:val="28"/>
          <w:szCs w:val="28"/>
          <w:lang w:bidi="fa-IR"/>
        </w:rPr>
        <w:t>1416</w:t>
      </w:r>
      <w:r>
        <w:rPr>
          <w:rFonts w:eastAsia="IRNazanin" w:cs="IRNazanin"/>
          <w:color w:val="111111"/>
          <w:sz w:val="28"/>
          <w:szCs w:val="28"/>
          <w:rtl w:val="true"/>
          <w:lang w:bidi="fa-IR"/>
        </w:rPr>
        <w:t>-</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غنائم الأیّام فی مسائل الحلال و الحرام،لأبی القاسم بن محمد حسن بن نظر علیّ الجیلانی</w:t>
      </w:r>
      <w:bookmarkStart w:id="820" w:name="pg5439_47111"/>
    </w:p>
    <w:p>
      <w:pPr>
        <w:pStyle w:val="BookText"/>
        <w:rPr/>
      </w:pPr>
      <w:bookmarkEnd w:id="820"/>
      <w:r>
        <w:rPr>
          <w:rFonts w:ascii="IRNazanin" w:hAnsi="IRNazanin" w:eastAsia="IRNazanin"/>
          <w:color w:val="111111"/>
          <w:sz w:val="28"/>
          <w:sz w:val="28"/>
          <w:szCs w:val="28"/>
          <w:rtl w:val="true"/>
          <w:lang w:bidi="fa-IR"/>
        </w:rPr>
        <w:t xml:space="preserve">الشفتی الجابلاقی القمّی،المعروف بصاحب القوانین،و یعرف بالمحقّق و المیرزا القمّی </w:t>
      </w:r>
      <w:r>
        <w:rPr>
          <w:rFonts w:eastAsia="IRNazanin" w:cs="IRNazanin"/>
          <w:color w:val="111111"/>
          <w:sz w:val="28"/>
          <w:szCs w:val="28"/>
          <w:rtl w:val="true"/>
          <w:lang w:bidi="fa-IR"/>
        </w:rPr>
        <w:t>(</w:t>
      </w:r>
      <w:r>
        <w:rPr>
          <w:rFonts w:eastAsia="IRNazanin" w:cs="IRNazanin"/>
          <w:color w:val="111111"/>
          <w:sz w:val="28"/>
          <w:szCs w:val="28"/>
          <w:lang w:bidi="fa-IR"/>
        </w:rPr>
        <w:t>1152</w:t>
      </w:r>
      <w:r>
        <w:rPr>
          <w:rFonts w:eastAsia="IRNazanin" w:cs="IRNazanin"/>
          <w:color w:val="111111"/>
          <w:sz w:val="28"/>
          <w:szCs w:val="28"/>
          <w:rtl w:val="true"/>
          <w:lang w:bidi="fa-IR"/>
        </w:rPr>
        <w:t>-</w:t>
      </w:r>
      <w:r>
        <w:rPr>
          <w:rFonts w:eastAsia="IRNazanin" w:cs="IRNazanin"/>
          <w:color w:val="111111"/>
          <w:sz w:val="28"/>
          <w:szCs w:val="28"/>
          <w:lang w:bidi="fa-IR"/>
        </w:rPr>
        <w:t>1221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النشر التابع لمکتب الإعلام الإسلامی،الطبعة الاولی،</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غنیة النزوع إلی علمی الاصول و الفروع،للسیّد أبی المکارم حمزة بن علیّ بن زهرة الحلبی، المعروف بابن زهرة</w:t>
      </w:r>
      <w:r>
        <w:rPr>
          <w:rFonts w:eastAsia="IRNazanin" w:cs="IRNazanin"/>
          <w:color w:val="111111"/>
          <w:sz w:val="28"/>
          <w:szCs w:val="28"/>
          <w:rtl w:val="true"/>
          <w:lang w:bidi="fa-IR"/>
        </w:rPr>
        <w:t>(</w:t>
      </w:r>
      <w:r>
        <w:rPr>
          <w:rFonts w:eastAsia="IRNazanin" w:cs="IRNazanin"/>
          <w:color w:val="111111"/>
          <w:sz w:val="28"/>
          <w:szCs w:val="28"/>
          <w:lang w:bidi="fa-IR"/>
        </w:rPr>
        <w:t>511</w:t>
      </w:r>
      <w:r>
        <w:rPr>
          <w:rFonts w:eastAsia="IRNazanin" w:cs="IRNazanin"/>
          <w:color w:val="111111"/>
          <w:sz w:val="28"/>
          <w:szCs w:val="28"/>
          <w:rtl w:val="true"/>
          <w:lang w:bidi="fa-IR"/>
        </w:rPr>
        <w:t>-</w:t>
      </w:r>
      <w:r>
        <w:rPr>
          <w:rFonts w:eastAsia="IRNazanin" w:cs="IRNazanin"/>
          <w:color w:val="111111"/>
          <w:sz w:val="28"/>
          <w:szCs w:val="28"/>
          <w:lang w:bidi="fa-IR"/>
        </w:rPr>
        <w:t>585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الإمام الصادق علیه السّلام،قم،الطبعة الاولی،</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الغیبة،لأبی عبد اللّه محمّد بن إبراهیم بن جعفر الکاتب النعمانی،یعرف بابن أبی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أعلام القرن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الصدوق،طهران،</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الغیبة،لشیخ الطائفة أبی جعفر محمّد بن الحسن بن علیّ الطوسی</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المعارف الإسلامیّة،قم،الطبعة الثانیة،</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3"/>
        <w:numPr>
          <w:ilvl w:val="2"/>
          <w:numId w:val="1"/>
        </w:numPr>
        <w:rPr/>
      </w:pPr>
      <w:bookmarkStart w:id="821" w:name="__RefHeading___Toc1856440_581953129"/>
      <w:bookmarkStart w:id="822" w:name="_Toc305"/>
      <w:bookmarkEnd w:id="821"/>
      <w:r>
        <w:rPr>
          <w:rtl w:val="true"/>
        </w:rPr>
        <w:t>-</w:t>
      </w:r>
      <w:r>
        <w:rPr>
          <w:rtl w:val="true"/>
        </w:rPr>
        <w:t>ف</w:t>
      </w:r>
      <w:r>
        <w:rPr>
          <w:rtl w:val="true"/>
        </w:rPr>
        <w:t>-</w:t>
      </w:r>
      <w:bookmarkEnd w:id="822"/>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المنّان فی نسخ القرآن،للشیخ علی حسن،مکتبة الخانجی بمصر،الطبعة الاولی،</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الاصول،المعروف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،للشیخ مرتضی بن محمد أمین الأنصاری </w:t>
      </w:r>
      <w:r>
        <w:rPr>
          <w:rFonts w:eastAsia="IRNazanin" w:cs="IRNazanin"/>
          <w:color w:val="111111"/>
          <w:sz w:val="28"/>
          <w:szCs w:val="28"/>
          <w:rtl w:val="true"/>
          <w:lang w:bidi="fa-IR"/>
        </w:rPr>
        <w:t>(</w:t>
      </w:r>
      <w:r>
        <w:rPr>
          <w:rFonts w:eastAsia="IRNazanin" w:cs="IRNazanin"/>
          <w:color w:val="111111"/>
          <w:sz w:val="28"/>
          <w:szCs w:val="28"/>
          <w:lang w:bidi="fa-IR"/>
        </w:rPr>
        <w:t>1214</w:t>
      </w:r>
      <w:r>
        <w:rPr>
          <w:rFonts w:eastAsia="IRNazanin" w:cs="IRNazanin"/>
          <w:color w:val="111111"/>
          <w:sz w:val="28"/>
          <w:szCs w:val="28"/>
          <w:rtl w:val="true"/>
          <w:lang w:bidi="fa-IR"/>
        </w:rPr>
        <w:t>-</w:t>
      </w:r>
      <w:r>
        <w:rPr>
          <w:rFonts w:eastAsia="IRNazanin" w:cs="IRNazanin"/>
          <w:color w:val="111111"/>
          <w:sz w:val="28"/>
          <w:szCs w:val="28"/>
          <w:lang w:bidi="fa-IR"/>
        </w:rPr>
        <w:t>1281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تراث الشیخ الأعظم،قم،الطبعة الاولی،</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الخطاب،للمیرزا حسین بن المیرزا محمّد تقیّ بن المیرزا علی محمّد بن تقی النوری الطبرسی</w:t>
      </w:r>
      <w:r>
        <w:rPr>
          <w:rFonts w:eastAsia="IRNazanin" w:cs="IRNazanin"/>
          <w:color w:val="111111"/>
          <w:sz w:val="28"/>
          <w:szCs w:val="28"/>
          <w:rtl w:val="true"/>
          <w:lang w:bidi="fa-IR"/>
        </w:rPr>
        <w:t>(</w:t>
      </w:r>
      <w:r>
        <w:rPr>
          <w:rFonts w:eastAsia="IRNazanin" w:cs="IRNazanin"/>
          <w:color w:val="111111"/>
          <w:sz w:val="28"/>
          <w:szCs w:val="28"/>
          <w:lang w:bidi="fa-IR"/>
        </w:rPr>
        <w:t>1254</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الحجریّة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الغرویّة فی الاصول الفقهیّة،للشیخ محمد حسین بن عبد الرحیم الطهرانی الاصفهانی الحائری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إحیاء العلوم الإسلامیّة،قم،</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 الإسلامی و أدلّته،للدکتور وهبة الزحیلی،دار الفکر،بیروت،الطبعة الثالثة،</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أهل البیت علیهم السّلام،سنة إحدی عشر،الرقم ثلاثة و أربعون،قم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 و مسائل طبّیة،لمحمّد آصف المحسنی،مکتب الإعلام الإسلامی،قم،الطبعة الاولی،</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الفقیه،لأبی جعفر محمّد بن علی بن الحسین بن موسی بن بابویه القمّی، المعروف بالشیخ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الکتب الإسلامیّة،طهران،الطبعة الخامسة،</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bookmarkStart w:id="823" w:name="pg5439_47112"/>
    </w:p>
    <w:p>
      <w:pPr>
        <w:pStyle w:val="BookText"/>
        <w:rPr/>
      </w:pPr>
      <w:bookmarkEnd w:id="823"/>
      <w:r>
        <w:rPr>
          <w:rFonts w:eastAsia="IRNazanin" w:cs="IRNazanin"/>
          <w:color w:val="111111"/>
          <w:sz w:val="28"/>
          <w:szCs w:val="28"/>
          <w:lang w:bidi="fa-IR"/>
        </w:rPr>
        <w:t>155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الفهرست،لأبی الفرج محمّد بن إسحاق بن محمّد بن إسحاق الورّاق،المعروف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الندیم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الفهرست،لشیخ الطائفة أبی جعفر محمّد بن الحسن بن علیّ الطوسی</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نشر الفقاهة،قم،الطبعة الاولی،</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الاصول،من إفادات المیرزا محمد حسین بن عبد الرحیم بن محمد سعید بن عبد الرحیم الغروی النائینی</w:t>
      </w:r>
      <w:r>
        <w:rPr>
          <w:rFonts w:eastAsia="IRNazanin" w:cs="IRNazanin"/>
          <w:color w:val="111111"/>
          <w:sz w:val="28"/>
          <w:szCs w:val="28"/>
          <w:rtl w:val="true"/>
          <w:lang w:bidi="fa-IR"/>
        </w:rPr>
        <w:t>(</w:t>
      </w:r>
      <w:r>
        <w:rPr>
          <w:rFonts w:eastAsia="IRNazanin" w:cs="IRNazanin"/>
          <w:color w:val="111111"/>
          <w:sz w:val="28"/>
          <w:szCs w:val="28"/>
          <w:lang w:bidi="fa-IR"/>
        </w:rPr>
        <w:t>1276</w:t>
      </w:r>
      <w:r>
        <w:rPr>
          <w:rFonts w:eastAsia="IRNazanin" w:cs="IRNazanin"/>
          <w:color w:val="111111"/>
          <w:sz w:val="28"/>
          <w:szCs w:val="28"/>
          <w:rtl w:val="true"/>
          <w:lang w:bidi="fa-IR"/>
        </w:rPr>
        <w:t>-</w:t>
      </w:r>
      <w:r>
        <w:rPr>
          <w:rFonts w:eastAsia="IRNazanin" w:cs="IRNazanin"/>
          <w:color w:val="111111"/>
          <w:sz w:val="28"/>
          <w:szCs w:val="28"/>
          <w:lang w:bidi="fa-IR"/>
        </w:rPr>
        <w:t>1355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للشیخ محمد علی بن حسن بن محمّد القابچی الکاظمی النجفی، المعروف بالجمالی</w:t>
      </w:r>
      <w:r>
        <w:rPr>
          <w:rFonts w:eastAsia="IRNazanin" w:cs="IRNazanin"/>
          <w:color w:val="111111"/>
          <w:sz w:val="28"/>
          <w:szCs w:val="28"/>
          <w:rtl w:val="true"/>
          <w:lang w:bidi="fa-IR"/>
        </w:rPr>
        <w:t>(</w:t>
      </w:r>
      <w:r>
        <w:rPr>
          <w:rFonts w:eastAsia="IRNazanin" w:cs="IRNazanin"/>
          <w:color w:val="111111"/>
          <w:sz w:val="28"/>
          <w:szCs w:val="28"/>
          <w:lang w:bidi="fa-IR"/>
        </w:rPr>
        <w:t>1309</w:t>
      </w:r>
      <w:r>
        <w:rPr>
          <w:rFonts w:eastAsia="IRNazanin" w:cs="IRNazanin"/>
          <w:color w:val="111111"/>
          <w:sz w:val="28"/>
          <w:szCs w:val="28"/>
          <w:rtl w:val="true"/>
          <w:lang w:bidi="fa-IR"/>
        </w:rPr>
        <w:t>-</w:t>
      </w:r>
      <w:r>
        <w:rPr>
          <w:rFonts w:eastAsia="IRNazanin" w:cs="IRNazanin"/>
          <w:color w:val="111111"/>
          <w:sz w:val="28"/>
          <w:szCs w:val="28"/>
          <w:lang w:bidi="fa-IR"/>
        </w:rPr>
        <w:t>1365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النشر الإسلامی،قم المقدّسة،الطبعة الثامنة،</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الاصول،للشیخ محمد کاظم بن حسین الهروی الخراسانی،المعروف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الآخوند الخراسانی</w:t>
      </w:r>
      <w:r>
        <w:rPr>
          <w:rFonts w:eastAsia="IRNazanin" w:cs="IRNazanin"/>
          <w:color w:val="111111"/>
          <w:sz w:val="28"/>
          <w:szCs w:val="28"/>
          <w:rtl w:val="true"/>
          <w:lang w:bidi="fa-IR"/>
        </w:rPr>
        <w:t>»(</w:t>
      </w:r>
      <w:r>
        <w:rPr>
          <w:rFonts w:eastAsia="IRNazanin" w:cs="IRNazanin"/>
          <w:color w:val="111111"/>
          <w:sz w:val="28"/>
          <w:szCs w:val="28"/>
          <w:lang w:bidi="fa-IR"/>
        </w:rPr>
        <w:t>1255</w:t>
      </w:r>
      <w:r>
        <w:rPr>
          <w:rFonts w:eastAsia="IRNazanin" w:cs="IRNazanin"/>
          <w:color w:val="111111"/>
          <w:sz w:val="28"/>
          <w:szCs w:val="28"/>
          <w:rtl w:val="true"/>
          <w:lang w:bidi="fa-IR"/>
        </w:rPr>
        <w:t>-</w:t>
      </w:r>
      <w:r>
        <w:rPr>
          <w:rFonts w:eastAsia="IRNazanin" w:cs="IRNazanin"/>
          <w:color w:val="111111"/>
          <w:sz w:val="28"/>
          <w:szCs w:val="28"/>
          <w:lang w:bidi="fa-IR"/>
        </w:rPr>
        <w:t>1329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وزارة الإرشاد الإسلامی،الطبعة الاولی،</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فوائد القواعد،لزین الدّین بن علیّ بن أحمد العاملی الشامی،المعروف بالشهید الثانی </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w:t>
      </w:r>
      <w:r>
        <w:rPr>
          <w:rFonts w:eastAsia="IRNazanin" w:cs="IRNazanin"/>
          <w:color w:val="111111"/>
          <w:sz w:val="28"/>
          <w:szCs w:val="28"/>
          <w:lang w:bidi="fa-IR"/>
        </w:rPr>
        <w:t>965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النشر التابع لمکتب الإعلام الإسلامی،قم،</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3"/>
        <w:numPr>
          <w:ilvl w:val="2"/>
          <w:numId w:val="1"/>
        </w:numPr>
        <w:rPr/>
      </w:pPr>
      <w:bookmarkStart w:id="824" w:name="__RefHeading___Toc1856442_581953129"/>
      <w:bookmarkStart w:id="825" w:name="_Toc306"/>
      <w:bookmarkEnd w:id="824"/>
      <w:r>
        <w:rPr>
          <w:rtl w:val="true"/>
        </w:rPr>
        <w:t>-</w:t>
      </w:r>
      <w:r>
        <w:rPr>
          <w:rtl w:val="true"/>
        </w:rPr>
        <w:t>ق</w:t>
      </w:r>
      <w:r>
        <w:rPr>
          <w:rtl w:val="true"/>
        </w:rPr>
        <w:t>-</w:t>
      </w:r>
      <w:bookmarkEnd w:id="825"/>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 المحیط،لمجد الدین أبی طاهر محمد بن یعقوب بن محمد بن إبراهیم الفیروزآبادی الشافعی</w:t>
      </w:r>
      <w:r>
        <w:rPr>
          <w:rFonts w:eastAsia="IRNazanin" w:cs="IRNazanin"/>
          <w:color w:val="111111"/>
          <w:sz w:val="28"/>
          <w:szCs w:val="28"/>
          <w:rtl w:val="true"/>
          <w:lang w:bidi="fa-IR"/>
        </w:rPr>
        <w:t>(</w:t>
      </w:r>
      <w:r>
        <w:rPr>
          <w:rFonts w:eastAsia="IRNazanin" w:cs="IRNazanin"/>
          <w:color w:val="111111"/>
          <w:sz w:val="28"/>
          <w:szCs w:val="28"/>
          <w:lang w:bidi="fa-IR"/>
        </w:rPr>
        <w:t>729</w:t>
      </w:r>
      <w:r>
        <w:rPr>
          <w:rFonts w:eastAsia="IRNazanin" w:cs="IRNazanin"/>
          <w:color w:val="111111"/>
          <w:sz w:val="28"/>
          <w:szCs w:val="28"/>
          <w:rtl w:val="true"/>
          <w:lang w:bidi="fa-IR"/>
        </w:rPr>
        <w:t>-</w:t>
      </w:r>
      <w:r>
        <w:rPr>
          <w:rFonts w:eastAsia="IRNazanin" w:cs="IRNazanin"/>
          <w:color w:val="111111"/>
          <w:sz w:val="28"/>
          <w:szCs w:val="28"/>
          <w:lang w:bidi="fa-IR"/>
        </w:rPr>
        <w:t>817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الکتب العلمیّة،بیروت،الطبعة الاولی،</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قراءات فقهیّة معاصرة فی الاقتصاد الإسلامی،الغدیر للدراسات الإسلامیّة،بیروت، الطبعة الاولی،</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الإسناد،لأبی العبّاس عبد اللّه بن جعفر بن الحسین بن مالک بن جامع الحمیری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أعلام القرن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آل البیت علیهم السّلام لإحیاء التراث،بیروت،الطبعة الاولی،</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القضاء فی الفقه الإسلامی،للسیّد کاظم الحسینی الحائری،مجمع الفکر الإسلامی،الطبعة الاولی،</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قلائد الدرر فی بیان آیات الأحکام بالأثر،لأحمد بن إسماعیل بن عبد النبی بن سعد</w:t>
      </w:r>
      <w:bookmarkStart w:id="826" w:name="pg5439_47113"/>
    </w:p>
    <w:p>
      <w:pPr>
        <w:pStyle w:val="BookText"/>
        <w:rPr/>
      </w:pPr>
      <w:bookmarkEnd w:id="826"/>
      <w:r>
        <w:rPr>
          <w:rFonts w:ascii="IRNazanin" w:hAnsi="IRNazanin" w:eastAsia="IRNazanin"/>
          <w:color w:val="111111"/>
          <w:sz w:val="28"/>
          <w:sz w:val="28"/>
          <w:szCs w:val="28"/>
          <w:rtl w:val="true"/>
          <w:lang w:bidi="fa-IR"/>
        </w:rPr>
        <w:t>الجزائری،النجفی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مطبعة الآداب،النجف الأشرف،</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الأحکام،لأبی منصور الحسن بن یوسف بن علیّ بن المطهّر الأسدی،المعروف بالعلاّمة الحلّی</w:t>
      </w:r>
      <w:r>
        <w:rPr>
          <w:rFonts w:eastAsia="IRNazanin" w:cs="IRNazanin"/>
          <w:color w:val="111111"/>
          <w:sz w:val="28"/>
          <w:szCs w:val="28"/>
          <w:rtl w:val="true"/>
          <w:lang w:bidi="fa-IR"/>
        </w:rPr>
        <w:t>(</w:t>
      </w:r>
      <w:r>
        <w:rPr>
          <w:rFonts w:eastAsia="IRNazanin" w:cs="IRNazanin"/>
          <w:color w:val="111111"/>
          <w:sz w:val="28"/>
          <w:szCs w:val="28"/>
          <w:lang w:bidi="fa-IR"/>
        </w:rPr>
        <w:t>648</w:t>
      </w:r>
      <w:r>
        <w:rPr>
          <w:rFonts w:eastAsia="IRNazanin" w:cs="IRNazanin"/>
          <w:color w:val="111111"/>
          <w:sz w:val="28"/>
          <w:szCs w:val="28"/>
          <w:rtl w:val="true"/>
          <w:lang w:bidi="fa-IR"/>
        </w:rPr>
        <w:t>-</w:t>
      </w:r>
      <w:r>
        <w:rPr>
          <w:rFonts w:eastAsia="IRNazanin" w:cs="IRNazanin"/>
          <w:color w:val="111111"/>
          <w:sz w:val="28"/>
          <w:szCs w:val="28"/>
          <w:lang w:bidi="fa-IR"/>
        </w:rPr>
        <w:t>726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النشر الإسلامی،قم،الطبعة الاولی،</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 الفقهیّة،للمیرزا السیّد محمد حسن البجنوردی</w:t>
      </w:r>
      <w:r>
        <w:rPr>
          <w:rFonts w:eastAsia="IRNazanin" w:cs="IRNazanin"/>
          <w:color w:val="111111"/>
          <w:sz w:val="28"/>
          <w:szCs w:val="28"/>
          <w:rtl w:val="true"/>
          <w:lang w:bidi="fa-IR"/>
        </w:rPr>
        <w:t>(</w:t>
      </w:r>
      <w:r>
        <w:rPr>
          <w:rFonts w:eastAsia="IRNazanin" w:cs="IRNazanin"/>
          <w:color w:val="111111"/>
          <w:sz w:val="28"/>
          <w:szCs w:val="28"/>
          <w:lang w:bidi="fa-IR"/>
        </w:rPr>
        <w:t>1316</w:t>
      </w:r>
      <w:r>
        <w:rPr>
          <w:rFonts w:eastAsia="IRNazanin" w:cs="IRNazanin"/>
          <w:color w:val="111111"/>
          <w:sz w:val="28"/>
          <w:szCs w:val="28"/>
          <w:rtl w:val="true"/>
          <w:lang w:bidi="fa-IR"/>
        </w:rPr>
        <w:t>-</w:t>
      </w:r>
      <w:r>
        <w:rPr>
          <w:rFonts w:eastAsia="IRNazanin" w:cs="IRNazanin"/>
          <w:color w:val="111111"/>
          <w:sz w:val="28"/>
          <w:szCs w:val="28"/>
          <w:lang w:bidi="fa-IR"/>
        </w:rPr>
        <w:t>1396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الهادی،قم، الطبعة الاولی،</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القواعد الفقهیّة،لسماحة الفقیه المحقّق آیة اللّه العظمی الحاج الشیخ محمد الفاضل اللنکرانی قدّس سرّه </w:t>
      </w:r>
      <w:r>
        <w:rPr>
          <w:rFonts w:eastAsia="IRNazanin" w:cs="IRNazanin"/>
          <w:color w:val="111111"/>
          <w:sz w:val="28"/>
          <w:szCs w:val="28"/>
          <w:rtl w:val="true"/>
          <w:lang w:bidi="fa-IR"/>
        </w:rPr>
        <w:t>(</w:t>
      </w:r>
      <w:r>
        <w:rPr>
          <w:rFonts w:eastAsia="IRNazanin" w:cs="IRNazanin"/>
          <w:color w:val="111111"/>
          <w:sz w:val="28"/>
          <w:szCs w:val="28"/>
          <w:lang w:bidi="fa-IR"/>
        </w:rPr>
        <w:t>1350</w:t>
      </w:r>
      <w:r>
        <w:rPr>
          <w:rFonts w:eastAsia="IRNazanin" w:cs="IRNazanin"/>
          <w:color w:val="111111"/>
          <w:sz w:val="28"/>
          <w:szCs w:val="28"/>
          <w:rtl w:val="true"/>
          <w:lang w:bidi="fa-IR"/>
        </w:rPr>
        <w:t>-</w:t>
      </w:r>
      <w:r>
        <w:rPr>
          <w:rFonts w:eastAsia="IRNazanin" w:cs="IRNazanin"/>
          <w:color w:val="111111"/>
          <w:sz w:val="28"/>
          <w:szCs w:val="28"/>
          <w:lang w:bidi="fa-IR"/>
        </w:rPr>
        <w:t>1428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فقه الأئمّة الأطهار علیهم السّلام،قم،الطبعة الثانیة،</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 و الفوائد فی الفقه و الاصول و العربیّة،لأبی عبد اللّه شمس الدین محمد بن جمال الدین مکّی العاملی،المعروف بالشهید الأوّل</w:t>
      </w:r>
      <w:r>
        <w:rPr>
          <w:rFonts w:eastAsia="IRNazanin" w:cs="IRNazanin"/>
          <w:color w:val="111111"/>
          <w:sz w:val="28"/>
          <w:szCs w:val="28"/>
          <w:rtl w:val="true"/>
          <w:lang w:bidi="fa-IR"/>
        </w:rPr>
        <w:t>(</w:t>
      </w:r>
      <w:r>
        <w:rPr>
          <w:rFonts w:eastAsia="IRNazanin" w:cs="IRNazanin"/>
          <w:color w:val="111111"/>
          <w:sz w:val="28"/>
          <w:szCs w:val="28"/>
          <w:lang w:bidi="fa-IR"/>
        </w:rPr>
        <w:t>734</w:t>
      </w:r>
      <w:r>
        <w:rPr>
          <w:rFonts w:eastAsia="IRNazanin" w:cs="IRNazanin"/>
          <w:color w:val="111111"/>
          <w:sz w:val="28"/>
          <w:szCs w:val="28"/>
          <w:rtl w:val="true"/>
          <w:lang w:bidi="fa-IR"/>
        </w:rPr>
        <w:t>-</w:t>
      </w:r>
      <w:r>
        <w:rPr>
          <w:rFonts w:eastAsia="IRNazanin" w:cs="IRNazanin"/>
          <w:color w:val="111111"/>
          <w:sz w:val="28"/>
          <w:szCs w:val="28"/>
          <w:lang w:bidi="fa-IR"/>
        </w:rPr>
        <w:t>786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المفید،قم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 الاصول،لأبی القاسم بن محمد بن نظر علیّ الجیلانی،الرشتی الأصل،المعروف بالمیرزا و المحقّق القمّی</w:t>
      </w:r>
      <w:r>
        <w:rPr>
          <w:rFonts w:eastAsia="IRNazanin" w:cs="IRNazanin"/>
          <w:color w:val="111111"/>
          <w:sz w:val="28"/>
          <w:szCs w:val="28"/>
          <w:rtl w:val="true"/>
          <w:lang w:bidi="fa-IR"/>
        </w:rPr>
        <w:t>(</w:t>
      </w:r>
      <w:r>
        <w:rPr>
          <w:rFonts w:eastAsia="IRNazanin" w:cs="IRNazanin"/>
          <w:color w:val="111111"/>
          <w:sz w:val="28"/>
          <w:szCs w:val="28"/>
          <w:lang w:bidi="fa-IR"/>
        </w:rPr>
        <w:t>1152</w:t>
      </w:r>
      <w:r>
        <w:rPr>
          <w:rFonts w:eastAsia="IRNazanin" w:cs="IRNazanin"/>
          <w:color w:val="111111"/>
          <w:sz w:val="28"/>
          <w:szCs w:val="28"/>
          <w:rtl w:val="true"/>
          <w:lang w:bidi="fa-IR"/>
        </w:rPr>
        <w:t>-</w:t>
      </w:r>
      <w:r>
        <w:rPr>
          <w:rFonts w:eastAsia="IRNazanin" w:cs="IRNazanin"/>
          <w:color w:val="111111"/>
          <w:sz w:val="28"/>
          <w:szCs w:val="28"/>
          <w:lang w:bidi="fa-IR"/>
        </w:rPr>
        <w:t>1221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المکتبة العلمیّة،طهران،بالافست عن الطبعة فی سنة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3"/>
        <w:numPr>
          <w:ilvl w:val="2"/>
          <w:numId w:val="1"/>
        </w:numPr>
        <w:rPr/>
      </w:pPr>
      <w:bookmarkStart w:id="827" w:name="__RefHeading___Toc1856444_581953129"/>
      <w:bookmarkStart w:id="828" w:name="_Toc307"/>
      <w:bookmarkEnd w:id="827"/>
      <w:r>
        <w:rPr>
          <w:rtl w:val="true"/>
        </w:rPr>
        <w:t>-</w:t>
      </w:r>
      <w:r>
        <w:rPr>
          <w:rtl w:val="true"/>
        </w:rPr>
        <w:t>ک</w:t>
      </w:r>
      <w:r>
        <w:rPr>
          <w:rtl w:val="true"/>
        </w:rPr>
        <w:t>-</w:t>
      </w:r>
      <w:bookmarkEnd w:id="828"/>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الکافی،لثقة الإسلام أبی جعفر محمد بن یعقوب بن إسحاق الکلینی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الکتب الإسلامیّة،طهران،الطبعة الثالثة،</w:t>
      </w:r>
      <w:r>
        <w:rPr>
          <w:rFonts w:eastAsia="IRNazanin" w:cs="IRNazanin"/>
          <w:color w:val="111111"/>
          <w:sz w:val="28"/>
          <w:szCs w:val="28"/>
          <w:lang w:bidi="fa-IR"/>
        </w:rPr>
        <w:t>1388</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الکافی فی الفقه،لأبی الصلاح تقیّ الدین بن نجم الدین بن عبید اللّه بن عبد اللّه بن محمد الحلبی </w:t>
      </w:r>
      <w:r>
        <w:rPr>
          <w:rFonts w:eastAsia="IRNazanin" w:cs="IRNazanin"/>
          <w:color w:val="111111"/>
          <w:sz w:val="28"/>
          <w:szCs w:val="28"/>
          <w:rtl w:val="true"/>
          <w:lang w:bidi="fa-IR"/>
        </w:rPr>
        <w:t>(</w:t>
      </w:r>
      <w:r>
        <w:rPr>
          <w:rFonts w:eastAsia="IRNazanin" w:cs="IRNazanin"/>
          <w:color w:val="111111"/>
          <w:sz w:val="28"/>
          <w:szCs w:val="28"/>
          <w:lang w:bidi="fa-IR"/>
        </w:rPr>
        <w:t>374</w:t>
      </w:r>
      <w:r>
        <w:rPr>
          <w:rFonts w:eastAsia="IRNazanin" w:cs="IRNazanin"/>
          <w:color w:val="111111"/>
          <w:sz w:val="28"/>
          <w:szCs w:val="28"/>
          <w:rtl w:val="true"/>
          <w:lang w:bidi="fa-IR"/>
        </w:rPr>
        <w:t>-</w:t>
      </w:r>
      <w:r>
        <w:rPr>
          <w:rFonts w:eastAsia="IRNazanin" w:cs="IRNazanin"/>
          <w:color w:val="111111"/>
          <w:sz w:val="28"/>
          <w:szCs w:val="28"/>
          <w:lang w:bidi="fa-IR"/>
        </w:rPr>
        <w:t>447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الإمام أمیر المؤمنین علیه السّلام،اصفهان،</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الزیارات،لأبی القاسم جعفر بن محمد بن جعفر بن موسی بن قولویه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الفقاهة،قم،الطبعة الاولی،</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الکامل فی ضعفاء الرجال،لأبی أحمد عبد اللّه بن عدی بن عبد اللّه بن محمّد الجرجانی </w:t>
      </w:r>
      <w:r>
        <w:rPr>
          <w:rFonts w:eastAsia="IRNazanin" w:cs="IRNazanin"/>
          <w:color w:val="111111"/>
          <w:sz w:val="28"/>
          <w:szCs w:val="28"/>
          <w:rtl w:val="true"/>
          <w:lang w:bidi="fa-IR"/>
        </w:rPr>
        <w:t>(</w:t>
      </w:r>
      <w:r>
        <w:rPr>
          <w:rFonts w:eastAsia="IRNazanin" w:cs="IRNazanin"/>
          <w:color w:val="111111"/>
          <w:sz w:val="28"/>
          <w:szCs w:val="28"/>
          <w:lang w:bidi="fa-IR"/>
        </w:rPr>
        <w:t>277</w:t>
      </w:r>
      <w:r>
        <w:rPr>
          <w:rFonts w:eastAsia="IRNazanin" w:cs="IRNazanin"/>
          <w:color w:val="111111"/>
          <w:sz w:val="28"/>
          <w:szCs w:val="28"/>
          <w:rtl w:val="true"/>
          <w:lang w:bidi="fa-IR"/>
        </w:rPr>
        <w:t>-</w:t>
      </w:r>
      <w:r>
        <w:rPr>
          <w:rFonts w:eastAsia="IRNazanin" w:cs="IRNazanin"/>
          <w:color w:val="111111"/>
          <w:sz w:val="28"/>
          <w:szCs w:val="28"/>
          <w:lang w:bidi="fa-IR"/>
        </w:rPr>
        <w:t>365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الفکر،بیروت،الطبعة الثالثة،</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البیع،لآیة اللّه العظمی السیّد روح اللّه الموسوی الخمینی قدّس سرّه</w:t>
      </w:r>
      <w:r>
        <w:rPr>
          <w:rFonts w:eastAsia="IRNazanin" w:cs="IRNazanin"/>
          <w:color w:val="111111"/>
          <w:sz w:val="28"/>
          <w:szCs w:val="28"/>
          <w:rtl w:val="true"/>
          <w:lang w:bidi="fa-IR"/>
        </w:rPr>
        <w:t>(</w:t>
      </w:r>
      <w:r>
        <w:rPr>
          <w:rFonts w:eastAsia="IRNazanin" w:cs="IRNazanin"/>
          <w:color w:val="111111"/>
          <w:sz w:val="28"/>
          <w:szCs w:val="28"/>
          <w:lang w:bidi="fa-IR"/>
        </w:rPr>
        <w:t>1281</w:t>
      </w:r>
      <w:r>
        <w:rPr>
          <w:rFonts w:eastAsia="IRNazanin" w:cs="IRNazanin"/>
          <w:color w:val="111111"/>
          <w:sz w:val="28"/>
          <w:szCs w:val="28"/>
          <w:rtl w:val="true"/>
          <w:lang w:bidi="fa-IR"/>
        </w:rPr>
        <w:t>-</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w:t>
      </w:r>
    </w:p>
    <w:p>
      <w:pPr>
        <w:pStyle w:val="BookText"/>
        <w:rPr/>
      </w:pPr>
      <w:r>
        <w:rPr>
          <w:rFonts w:ascii="IRNazanin" w:hAnsi="IRNazanin" w:eastAsia="IRNazanin"/>
          <w:color w:val="111111"/>
          <w:sz w:val="28"/>
          <w:sz w:val="28"/>
          <w:szCs w:val="28"/>
          <w:rtl w:val="true"/>
          <w:lang w:bidi="fa-IR"/>
        </w:rPr>
        <w:t>تنظیم و نشر آثار الإمام الخمینی،قم،الطبعة الاولی،</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الصلاة،تقریرات بحث العلاّمة الفذّ المیرزا محمد حسین بن عبد الرحیم بن محمد سعید بن عبد الرحیم النائینی النجفی</w:t>
      </w:r>
      <w:r>
        <w:rPr>
          <w:rFonts w:eastAsia="IRNazanin" w:cs="IRNazanin"/>
          <w:color w:val="111111"/>
          <w:sz w:val="28"/>
          <w:szCs w:val="28"/>
          <w:rtl w:val="true"/>
          <w:lang w:bidi="fa-IR"/>
        </w:rPr>
        <w:t>(</w:t>
      </w:r>
      <w:r>
        <w:rPr>
          <w:rFonts w:eastAsia="IRNazanin" w:cs="IRNazanin"/>
          <w:color w:val="111111"/>
          <w:sz w:val="28"/>
          <w:szCs w:val="28"/>
          <w:lang w:bidi="fa-IR"/>
        </w:rPr>
        <w:t>1277</w:t>
      </w:r>
      <w:r>
        <w:rPr>
          <w:rFonts w:eastAsia="IRNazanin" w:cs="IRNazanin"/>
          <w:color w:val="111111"/>
          <w:sz w:val="28"/>
          <w:szCs w:val="28"/>
          <w:rtl w:val="true"/>
          <w:lang w:bidi="fa-IR"/>
        </w:rPr>
        <w:t>-</w:t>
      </w:r>
      <w:r>
        <w:rPr>
          <w:rFonts w:eastAsia="IRNazanin" w:cs="IRNazanin"/>
          <w:color w:val="111111"/>
          <w:sz w:val="28"/>
          <w:szCs w:val="28"/>
          <w:lang w:bidi="fa-IR"/>
        </w:rPr>
        <w:t>1355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لمحمد تقی بن محمّد بن علی بن محمّد بن علی الآملی، الطهرانی</w:t>
      </w:r>
      <w:r>
        <w:rPr>
          <w:rFonts w:eastAsia="IRNazanin" w:cs="IRNazanin"/>
          <w:color w:val="111111"/>
          <w:sz w:val="28"/>
          <w:szCs w:val="28"/>
          <w:rtl w:val="true"/>
          <w:lang w:bidi="fa-IR"/>
        </w:rPr>
        <w:t>(</w:t>
      </w:r>
      <w:r>
        <w:rPr>
          <w:rFonts w:eastAsia="IRNazanin" w:cs="IRNazanin"/>
          <w:color w:val="111111"/>
          <w:sz w:val="28"/>
          <w:szCs w:val="28"/>
          <w:lang w:bidi="fa-IR"/>
        </w:rPr>
        <w:t>1304</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آل البیت علیهم السّلام للطباعة و النشر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الکشّاف عن حقائق غوامض التنزیل و عیون الأقاویل فی وجوه التأویل،لأبی القاسم جار اللّه محمود بن عمر بن محمّد بن عمر الخوارزمی الزمخشری</w:t>
      </w:r>
      <w:r>
        <w:rPr>
          <w:rFonts w:eastAsia="IRNazanin" w:cs="IRNazanin"/>
          <w:color w:val="111111"/>
          <w:sz w:val="28"/>
          <w:szCs w:val="28"/>
          <w:rtl w:val="true"/>
          <w:lang w:bidi="fa-IR"/>
        </w:rPr>
        <w:t>(</w:t>
      </w:r>
      <w:r>
        <w:rPr>
          <w:rFonts w:eastAsia="IRNazanin" w:cs="IRNazanin"/>
          <w:color w:val="111111"/>
          <w:sz w:val="28"/>
          <w:szCs w:val="28"/>
          <w:lang w:bidi="fa-IR"/>
        </w:rPr>
        <w:t>467</w:t>
      </w:r>
      <w:r>
        <w:rPr>
          <w:rFonts w:eastAsia="IRNazanin" w:cs="IRNazanin"/>
          <w:color w:val="111111"/>
          <w:sz w:val="28"/>
          <w:szCs w:val="28"/>
          <w:rtl w:val="true"/>
          <w:lang w:bidi="fa-IR"/>
        </w:rPr>
        <w:t>-</w:t>
      </w:r>
      <w:r>
        <w:rPr>
          <w:rFonts w:eastAsia="IRNazanin" w:cs="IRNazanin"/>
          <w:color w:val="111111"/>
          <w:sz w:val="28"/>
          <w:szCs w:val="28"/>
          <w:lang w:bidi="fa-IR"/>
        </w:rPr>
        <w:t>538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الکتاب العربی، بیروت،</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الغطاء عن مبهمات الشریعة الغرّاء،للشیخ جعفر بن خضر بن یحیی بن مطر بن سیف الدّین الجناجی النجفی،المعروف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r>
        <w:rPr>
          <w:rFonts w:eastAsia="IRNazanin" w:cs="IRNazanin"/>
          <w:color w:val="111111"/>
          <w:sz w:val="28"/>
          <w:szCs w:val="28"/>
          <w:lang w:bidi="fa-IR"/>
        </w:rPr>
        <w:t>1156</w:t>
      </w:r>
      <w:r>
        <w:rPr>
          <w:rFonts w:eastAsia="IRNazanin" w:cs="IRNazanin"/>
          <w:color w:val="111111"/>
          <w:sz w:val="28"/>
          <w:szCs w:val="28"/>
          <w:rtl w:val="true"/>
          <w:lang w:bidi="fa-IR"/>
        </w:rPr>
        <w:t>-</w:t>
      </w:r>
      <w:r>
        <w:rPr>
          <w:rFonts w:eastAsia="IRNazanin" w:cs="IRNazanin"/>
          <w:color w:val="111111"/>
          <w:sz w:val="28"/>
          <w:szCs w:val="28"/>
          <w:lang w:bidi="fa-IR"/>
        </w:rPr>
        <w:t>1228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الإعلام الإسلامی،قم،الطبعة الاولی،</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 عن قواعد الأحکام،لأبی الفضل بهاء الدین محمد بن الحسن الاصفهانی، المشهور بالفاضل الهندی</w:t>
      </w:r>
      <w:r>
        <w:rPr>
          <w:rFonts w:eastAsia="IRNazanin" w:cs="IRNazanin"/>
          <w:color w:val="111111"/>
          <w:sz w:val="28"/>
          <w:szCs w:val="28"/>
          <w:rtl w:val="true"/>
          <w:lang w:bidi="fa-IR"/>
        </w:rPr>
        <w:t>(</w:t>
      </w:r>
      <w:r>
        <w:rPr>
          <w:rFonts w:eastAsia="IRNazanin" w:cs="IRNazanin"/>
          <w:color w:val="111111"/>
          <w:sz w:val="28"/>
          <w:szCs w:val="28"/>
          <w:lang w:bidi="fa-IR"/>
        </w:rPr>
        <w:t>1062</w:t>
      </w:r>
      <w:r>
        <w:rPr>
          <w:rFonts w:eastAsia="IRNazanin" w:cs="IRNazanin"/>
          <w:color w:val="111111"/>
          <w:sz w:val="28"/>
          <w:szCs w:val="28"/>
          <w:rtl w:val="true"/>
          <w:lang w:bidi="fa-IR"/>
        </w:rPr>
        <w:t>-</w:t>
      </w:r>
      <w:r>
        <w:rPr>
          <w:rFonts w:eastAsia="IRNazanin" w:cs="IRNazanin"/>
          <w:color w:val="111111"/>
          <w:sz w:val="28"/>
          <w:szCs w:val="28"/>
          <w:lang w:bidi="fa-IR"/>
        </w:rPr>
        <w:t>1137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مؤسّسة النشر الإسلامی،قم،الطبعة الاولی </w:t>
      </w:r>
      <w:r>
        <w:rPr>
          <w:rFonts w:eastAsia="IRNazanin" w:cs="IRNazanin"/>
          <w:color w:val="111111"/>
          <w:sz w:val="28"/>
          <w:szCs w:val="28"/>
          <w:rtl w:val="true"/>
          <w:lang w:bidi="fa-IR"/>
        </w:rPr>
        <w:t>(</w:t>
      </w:r>
      <w:r>
        <w:rPr>
          <w:rFonts w:eastAsia="IRNazanin" w:cs="IRNazanin"/>
          <w:color w:val="111111"/>
          <w:sz w:val="28"/>
          <w:szCs w:val="28"/>
          <w:lang w:bidi="fa-IR"/>
        </w:rPr>
        <w:t>1416</w:t>
      </w:r>
      <w:r>
        <w:rPr>
          <w:rFonts w:eastAsia="IRNazanin" w:cs="IRNazanin"/>
          <w:color w:val="111111"/>
          <w:sz w:val="28"/>
          <w:szCs w:val="28"/>
          <w:rtl w:val="true"/>
          <w:lang w:bidi="fa-IR"/>
        </w:rPr>
        <w:t>-</w:t>
      </w:r>
      <w:r>
        <w:rPr>
          <w:rFonts w:eastAsia="IRNazanin" w:cs="IRNazanin"/>
          <w:color w:val="111111"/>
          <w:sz w:val="28"/>
          <w:szCs w:val="28"/>
          <w:lang w:bidi="fa-IR"/>
        </w:rPr>
        <w:t>1424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الاصول،للشیخ محمد کاظم ابن المولی حسین الهروی الخراسانی،المعروف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الآخوند الخراسانی</w:t>
      </w:r>
      <w:r>
        <w:rPr>
          <w:rFonts w:eastAsia="IRNazanin" w:cs="IRNazanin"/>
          <w:color w:val="111111"/>
          <w:sz w:val="28"/>
          <w:szCs w:val="28"/>
          <w:rtl w:val="true"/>
          <w:lang w:bidi="fa-IR"/>
        </w:rPr>
        <w:t>»(</w:t>
      </w:r>
      <w:r>
        <w:rPr>
          <w:rFonts w:eastAsia="IRNazanin" w:cs="IRNazanin"/>
          <w:color w:val="111111"/>
          <w:sz w:val="28"/>
          <w:szCs w:val="28"/>
          <w:lang w:bidi="fa-IR"/>
        </w:rPr>
        <w:t>1255</w:t>
      </w:r>
      <w:r>
        <w:rPr>
          <w:rFonts w:eastAsia="IRNazanin" w:cs="IRNazanin"/>
          <w:color w:val="111111"/>
          <w:sz w:val="28"/>
          <w:szCs w:val="28"/>
          <w:rtl w:val="true"/>
          <w:lang w:bidi="fa-IR"/>
        </w:rPr>
        <w:t>-</w:t>
      </w:r>
      <w:r>
        <w:rPr>
          <w:rFonts w:eastAsia="IRNazanin" w:cs="IRNazanin"/>
          <w:color w:val="111111"/>
          <w:sz w:val="28"/>
          <w:szCs w:val="28"/>
          <w:lang w:bidi="fa-IR"/>
        </w:rPr>
        <w:t>1329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النشر الإسلامی،قم،الطبعة الرابعة،</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الفقه،المشتهر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للمحقّق المولی محمد باقر بن محمد مؤمن الخراسانی السبزواری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النشر الإسلامی،قم،الطبعة الاولی،</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 و تمام النعمة،لأبی جعفر محمّد بن علی بن الحسین بن موسی بن بابویه القمّی، المعروف بالشیخ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النشر الإسلامی،قم،الطبعة الثالثة،</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 فی سنن الأقوال و الأفعال،لعلیّ بن حسام الدین بن عبد الملک الجونبوری، المشهور بالمتّقی الهندی</w:t>
      </w:r>
      <w:r>
        <w:rPr>
          <w:rFonts w:eastAsia="IRNazanin" w:cs="IRNazanin"/>
          <w:color w:val="111111"/>
          <w:sz w:val="28"/>
          <w:szCs w:val="28"/>
          <w:rtl w:val="true"/>
          <w:lang w:bidi="fa-IR"/>
        </w:rPr>
        <w:t>(</w:t>
      </w:r>
      <w:r>
        <w:rPr>
          <w:rFonts w:eastAsia="IRNazanin" w:cs="IRNazanin"/>
          <w:color w:val="111111"/>
          <w:sz w:val="28"/>
          <w:szCs w:val="28"/>
          <w:lang w:bidi="fa-IR"/>
        </w:rPr>
        <w:t>885</w:t>
      </w:r>
      <w:r>
        <w:rPr>
          <w:rFonts w:eastAsia="IRNazanin" w:cs="IRNazanin"/>
          <w:color w:val="111111"/>
          <w:sz w:val="28"/>
          <w:szCs w:val="28"/>
          <w:rtl w:val="true"/>
          <w:lang w:bidi="fa-IR"/>
        </w:rPr>
        <w:t>-</w:t>
      </w:r>
      <w:r>
        <w:rPr>
          <w:rFonts w:eastAsia="IRNazanin" w:cs="IRNazanin"/>
          <w:color w:val="111111"/>
          <w:sz w:val="28"/>
          <w:szCs w:val="28"/>
          <w:lang w:bidi="fa-IR"/>
        </w:rPr>
        <w:t>975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الرسالة،بیروت،</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کیهان اندیشه،العدد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،آیة اللّه إبراهیم جنّاتی</w:t>
      </w:r>
      <w:r>
        <w:rPr>
          <w:rFonts w:eastAsia="IRNazanin" w:cs="IRNazanin"/>
          <w:color w:val="111111"/>
          <w:sz w:val="28"/>
          <w:szCs w:val="28"/>
          <w:rtl w:val="true"/>
          <w:lang w:bidi="fa-IR"/>
        </w:rPr>
        <w:t>.</w:t>
      </w:r>
      <w:bookmarkStart w:id="829" w:name="pg5439_47115"/>
    </w:p>
    <w:p>
      <w:pPr>
        <w:pStyle w:val="Heading3"/>
        <w:numPr>
          <w:ilvl w:val="2"/>
          <w:numId w:val="1"/>
        </w:numPr>
        <w:rPr/>
      </w:pPr>
      <w:bookmarkStart w:id="830" w:name="__RefHeading___Toc1856446_581953129"/>
      <w:bookmarkStart w:id="831" w:name="_Toc308"/>
      <w:bookmarkEnd w:id="829"/>
      <w:bookmarkEnd w:id="830"/>
      <w:r>
        <w:rPr>
          <w:rtl w:val="true"/>
        </w:rPr>
        <w:t>-</w:t>
      </w:r>
      <w:r>
        <w:rPr>
          <w:rtl w:val="true"/>
        </w:rPr>
        <w:t>ل</w:t>
      </w:r>
      <w:r>
        <w:rPr>
          <w:rtl w:val="true"/>
        </w:rPr>
        <w:t>-</w:t>
      </w:r>
      <w:bookmarkEnd w:id="831"/>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العرب،لأبی الفضل جمال الدین محمد بن مکرم بن علیّ بن أحمد بن أبی القاسم بن حبقة ابن منظور الأنصاری المصری</w:t>
      </w:r>
      <w:r>
        <w:rPr>
          <w:rFonts w:eastAsia="IRNazanin" w:cs="IRNazanin"/>
          <w:color w:val="111111"/>
          <w:sz w:val="28"/>
          <w:szCs w:val="28"/>
          <w:rtl w:val="true"/>
          <w:lang w:bidi="fa-IR"/>
        </w:rPr>
        <w:t>(</w:t>
      </w:r>
      <w:r>
        <w:rPr>
          <w:rFonts w:eastAsia="IRNazanin" w:cs="IRNazanin"/>
          <w:color w:val="111111"/>
          <w:sz w:val="28"/>
          <w:szCs w:val="28"/>
          <w:lang w:bidi="fa-IR"/>
        </w:rPr>
        <w:t>630</w:t>
      </w:r>
      <w:r>
        <w:rPr>
          <w:rFonts w:eastAsia="IRNazanin" w:cs="IRNazanin"/>
          <w:color w:val="111111"/>
          <w:sz w:val="28"/>
          <w:szCs w:val="28"/>
          <w:rtl w:val="true"/>
          <w:lang w:bidi="fa-IR"/>
        </w:rPr>
        <w:t>-</w:t>
      </w:r>
      <w:r>
        <w:rPr>
          <w:rFonts w:eastAsia="IRNazanin" w:cs="IRNazanin"/>
          <w:color w:val="111111"/>
          <w:sz w:val="28"/>
          <w:szCs w:val="28"/>
          <w:lang w:bidi="fa-IR"/>
        </w:rPr>
        <w:t>711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صادر،بیروت،الطبعة الاولی،</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اللمعة الدمشقیّة فی فقه الإمامیّة،للشیخ أبی عبد اللّه شمس الدین محمد بن مکّی بن محمد بن حامد بن أحمد المطّلبی العاملیّ النباطی،المشتهر بالشهید الأوّل</w:t>
      </w:r>
      <w:r>
        <w:rPr>
          <w:rFonts w:eastAsia="IRNazanin" w:cs="IRNazanin"/>
          <w:color w:val="111111"/>
          <w:sz w:val="28"/>
          <w:szCs w:val="28"/>
          <w:rtl w:val="true"/>
          <w:lang w:bidi="fa-IR"/>
        </w:rPr>
        <w:t>(</w:t>
      </w:r>
      <w:r>
        <w:rPr>
          <w:rFonts w:eastAsia="IRNazanin" w:cs="IRNazanin"/>
          <w:color w:val="111111"/>
          <w:sz w:val="28"/>
          <w:szCs w:val="28"/>
          <w:lang w:bidi="fa-IR"/>
        </w:rPr>
        <w:t>734</w:t>
      </w:r>
      <w:r>
        <w:rPr>
          <w:rFonts w:eastAsia="IRNazanin" w:cs="IRNazanin"/>
          <w:color w:val="111111"/>
          <w:sz w:val="28"/>
          <w:szCs w:val="28"/>
          <w:rtl w:val="true"/>
          <w:lang w:bidi="fa-IR"/>
        </w:rPr>
        <w:t>-</w:t>
      </w:r>
      <w:r>
        <w:rPr>
          <w:rFonts w:eastAsia="IRNazanin" w:cs="IRNazanin"/>
          <w:color w:val="111111"/>
          <w:sz w:val="28"/>
          <w:szCs w:val="28"/>
          <w:lang w:bidi="fa-IR"/>
        </w:rPr>
        <w:t>786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بحوث الحجّ و العمرة،طهران،الطبعة الاولی،</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لوامع صاحبقرانی،المشتهر بشرح الفقیه،للعلامّة محمّد تقی بن مقصود علی،الملقّب بالمجلسی الأوّل</w:t>
      </w:r>
      <w:r>
        <w:rPr>
          <w:rFonts w:eastAsia="IRNazanin" w:cs="IRNazanin"/>
          <w:color w:val="111111"/>
          <w:sz w:val="28"/>
          <w:szCs w:val="28"/>
          <w:rtl w:val="true"/>
          <w:lang w:bidi="fa-IR"/>
        </w:rPr>
        <w:t>(</w:t>
      </w:r>
      <w:r>
        <w:rPr>
          <w:rFonts w:eastAsia="IRNazanin" w:cs="IRNazanin"/>
          <w:color w:val="111111"/>
          <w:sz w:val="28"/>
          <w:szCs w:val="28"/>
          <w:lang w:bidi="fa-IR"/>
        </w:rPr>
        <w:t>1003</w:t>
      </w:r>
      <w:r>
        <w:rPr>
          <w:rFonts w:eastAsia="IRNazanin" w:cs="IRNazanin"/>
          <w:color w:val="111111"/>
          <w:sz w:val="28"/>
          <w:szCs w:val="28"/>
          <w:rtl w:val="true"/>
          <w:lang w:bidi="fa-IR"/>
        </w:rPr>
        <w:t>-</w:t>
      </w:r>
      <w:r>
        <w:rPr>
          <w:rFonts w:eastAsia="IRNazanin" w:cs="IRNazanin"/>
          <w:color w:val="111111"/>
          <w:sz w:val="28"/>
          <w:szCs w:val="28"/>
          <w:lang w:bidi="fa-IR"/>
        </w:rPr>
        <w:t>1070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إسماعیلیان،قم،الطبعة الثانیة،</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لؤلؤة البحرین فی الإجازات و تراجم رجال الحدیث،لشیخ المحدّثین یوسف بن أحمد بن إبراهیم بن أحمد بن صالح بن أحمد بن عصفور البحرانی</w:t>
      </w:r>
      <w:r>
        <w:rPr>
          <w:rFonts w:eastAsia="IRNazanin" w:cs="IRNazanin"/>
          <w:color w:val="111111"/>
          <w:sz w:val="28"/>
          <w:szCs w:val="28"/>
          <w:rtl w:val="true"/>
          <w:lang w:bidi="fa-IR"/>
        </w:rPr>
        <w:t>(</w:t>
      </w:r>
      <w:r>
        <w:rPr>
          <w:rFonts w:eastAsia="IRNazanin" w:cs="IRNazanin"/>
          <w:color w:val="111111"/>
          <w:sz w:val="28"/>
          <w:szCs w:val="28"/>
          <w:lang w:bidi="fa-IR"/>
        </w:rPr>
        <w:t>1107</w:t>
      </w:r>
      <w:r>
        <w:rPr>
          <w:rFonts w:eastAsia="IRNazanin" w:cs="IRNazanin"/>
          <w:color w:val="111111"/>
          <w:sz w:val="28"/>
          <w:szCs w:val="28"/>
          <w:rtl w:val="true"/>
          <w:lang w:bidi="fa-IR"/>
        </w:rPr>
        <w:t>-</w:t>
      </w:r>
      <w:r>
        <w:rPr>
          <w:rFonts w:eastAsia="IRNazanin" w:cs="IRNazanin"/>
          <w:color w:val="111111"/>
          <w:sz w:val="28"/>
          <w:szCs w:val="28"/>
          <w:lang w:bidi="fa-IR"/>
        </w:rPr>
        <w:t>1186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آل البیت علیهم السّلام، الطبعة الثانیة،قم</w:t>
      </w:r>
      <w:r>
        <w:rPr>
          <w:rFonts w:eastAsia="IRNazanin" w:cs="IRNazanin"/>
          <w:color w:val="111111"/>
          <w:sz w:val="28"/>
          <w:szCs w:val="28"/>
          <w:rtl w:val="true"/>
          <w:lang w:bidi="fa-IR"/>
        </w:rPr>
        <w:t>.</w:t>
      </w:r>
    </w:p>
    <w:p>
      <w:pPr>
        <w:pStyle w:val="Heading3"/>
        <w:numPr>
          <w:ilvl w:val="2"/>
          <w:numId w:val="1"/>
        </w:numPr>
        <w:rPr/>
      </w:pPr>
      <w:bookmarkStart w:id="832" w:name="__RefHeading___Toc1856448_581953129"/>
      <w:bookmarkStart w:id="833" w:name="_Toc309"/>
      <w:bookmarkEnd w:id="832"/>
      <w:r>
        <w:rPr>
          <w:rtl w:val="true"/>
        </w:rPr>
        <w:t>-</w:t>
      </w:r>
      <w:r>
        <w:rPr>
          <w:rtl w:val="true"/>
        </w:rPr>
        <w:t>م</w:t>
      </w:r>
      <w:r>
        <w:rPr>
          <w:rtl w:val="true"/>
        </w:rPr>
        <w:t>-</w:t>
      </w:r>
      <w:bookmarkEnd w:id="833"/>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المباحث فی علم الاصول،لمحمد حسن القدیری،مرکز النشر التابع لمکتب الإعلام الإسلامی،قم،الطبعة الاولی،</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المبسوط فی فقه الإمامیّة،لشیخ الطائفة أبی جعفر محمد بن الحسن بن علیّ الطوسی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المرتضویّة لإحیاء الآثار الجعفریّة،طهران،الطبعة الثانیة،</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مجلّه فقه،دفتر تبلیغات اسلامی،شماره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،قم،</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مجلّة مکتب إسلام،العدد السادس،السنة الثانیة،و العدد التاسع،السنة الثانیة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البحرین،للشیخ فخر الدین بن محمد علیّ بن أحمد بن طریح الرماحی النجفی،المشهور بالطریحی</w:t>
      </w:r>
      <w:r>
        <w:rPr>
          <w:rFonts w:eastAsia="IRNazanin" w:cs="IRNazanin"/>
          <w:color w:val="111111"/>
          <w:sz w:val="28"/>
          <w:szCs w:val="28"/>
          <w:rtl w:val="true"/>
          <w:lang w:bidi="fa-IR"/>
        </w:rPr>
        <w:t>(</w:t>
      </w:r>
      <w:r>
        <w:rPr>
          <w:rFonts w:eastAsia="IRNazanin" w:cs="IRNazanin"/>
          <w:color w:val="111111"/>
          <w:sz w:val="28"/>
          <w:szCs w:val="28"/>
          <w:lang w:bidi="fa-IR"/>
        </w:rPr>
        <w:t>979</w:t>
      </w:r>
      <w:r>
        <w:rPr>
          <w:rFonts w:eastAsia="IRNazanin" w:cs="IRNazanin"/>
          <w:color w:val="111111"/>
          <w:sz w:val="28"/>
          <w:szCs w:val="28"/>
          <w:rtl w:val="true"/>
          <w:lang w:bidi="fa-IR"/>
        </w:rPr>
        <w:t>-</w:t>
      </w:r>
      <w:r>
        <w:rPr>
          <w:rFonts w:eastAsia="IRNazanin" w:cs="IRNazanin"/>
          <w:color w:val="111111"/>
          <w:sz w:val="28"/>
          <w:szCs w:val="28"/>
          <w:lang w:bidi="fa-IR"/>
        </w:rPr>
        <w:t>1085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البعثة،قم،الطبعة الاولی،</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 فی تفسیر القرآن،لأبی علی الفضل بن الحسن بن الفضل الطبرسی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469-548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الفکر،بیروت،</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الرجال،للمولی عنایة اللّه بن شرف الدّین علیّ بن محمود بن شرف الدّین علی،زکیّ الدّین القهبائی ثمّ النجفی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حیّا سنة </w:t>
      </w:r>
      <w:r>
        <w:rPr>
          <w:rFonts w:eastAsia="IRNazanin" w:cs="IRNazanin"/>
          <w:color w:val="111111"/>
          <w:sz w:val="28"/>
          <w:szCs w:val="28"/>
          <w:lang w:bidi="fa-IR"/>
        </w:rPr>
        <w:t>1026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إسماعیلیان،قم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الفائدة و البرهان فی شرح إرشاد الأذهان،للمولی أحمد بن محمد،الشهیر بالمحقّق و المقدّس الأردبیلی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النشر الإسلامی،قم،الطبعة الاولی،</w:t>
      </w:r>
      <w:r>
        <w:rPr>
          <w:rFonts w:eastAsia="IRNazanin" w:cs="IRNazanin"/>
          <w:color w:val="111111"/>
          <w:sz w:val="28"/>
          <w:szCs w:val="28"/>
          <w:lang w:bidi="fa-IR"/>
        </w:rPr>
        <w:t>1407</w:t>
      </w:r>
      <w:r>
        <w:rPr>
          <w:rFonts w:eastAsia="IRNazanin" w:cs="IRNazanin"/>
          <w:color w:val="111111"/>
          <w:sz w:val="28"/>
          <w:szCs w:val="28"/>
          <w:rtl w:val="true"/>
          <w:lang w:bidi="fa-IR"/>
        </w:rPr>
        <w:t>-</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المجموع شرح المهذّب،لمحیی الدین یحیی بن شرف بن مری بن حسن بن حسین بن محمد ابن جمعة بن حزام النووی</w:t>
      </w:r>
      <w:r>
        <w:rPr>
          <w:rFonts w:eastAsia="IRNazanin" w:cs="IRNazanin"/>
          <w:color w:val="111111"/>
          <w:sz w:val="28"/>
          <w:szCs w:val="28"/>
          <w:rtl w:val="true"/>
          <w:lang w:bidi="fa-IR"/>
        </w:rPr>
        <w:t>(</w:t>
      </w:r>
      <w:r>
        <w:rPr>
          <w:rFonts w:eastAsia="IRNazanin" w:cs="IRNazanin"/>
          <w:color w:val="111111"/>
          <w:sz w:val="28"/>
          <w:szCs w:val="28"/>
          <w:lang w:bidi="fa-IR"/>
        </w:rPr>
        <w:t>631</w:t>
      </w:r>
      <w:r>
        <w:rPr>
          <w:rFonts w:eastAsia="IRNazanin" w:cs="IRNazanin"/>
          <w:color w:val="111111"/>
          <w:sz w:val="28"/>
          <w:szCs w:val="28"/>
          <w:rtl w:val="true"/>
          <w:lang w:bidi="fa-IR"/>
        </w:rPr>
        <w:t>-</w:t>
      </w:r>
      <w:r>
        <w:rPr>
          <w:rFonts w:eastAsia="IRNazanin" w:cs="IRNazanin"/>
          <w:color w:val="111111"/>
          <w:sz w:val="28"/>
          <w:szCs w:val="28"/>
          <w:lang w:bidi="fa-IR"/>
        </w:rPr>
        <w:t>676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الفکر،بیروت،الطبعة الاولی،</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آثار کنگره بررسی مبانی فقهی امام خمینی قدّس سرّه،مؤسّسة تنظیم و نشر آثار إمام خمینی،قم،</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المحاسن،لأبی جعفر أحمد بن أبی عبد اللّه محمد بن خالد بن عبد الرحمن بن محمد بن علیّ البرقی الکوفی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280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 العلمی لأهل البیت علیهم السّلام،قم،الطبعة الثانیة،</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محاضرات فی اصول الفقه،تقریر أبحاث السیّد أبو القاسم بن علی أکبر بن هاشم الموسوی الخوئی</w:t>
      </w:r>
      <w:r>
        <w:rPr>
          <w:rFonts w:eastAsia="IRNazanin" w:cs="IRNazanin"/>
          <w:color w:val="111111"/>
          <w:sz w:val="28"/>
          <w:szCs w:val="28"/>
          <w:rtl w:val="true"/>
          <w:lang w:bidi="fa-IR"/>
        </w:rPr>
        <w:t>(</w:t>
      </w:r>
      <w:r>
        <w:rPr>
          <w:rFonts w:eastAsia="IRNazanin" w:cs="IRNazanin"/>
          <w:color w:val="111111"/>
          <w:sz w:val="28"/>
          <w:szCs w:val="28"/>
          <w:lang w:bidi="fa-IR"/>
        </w:rPr>
        <w:t>1317</w:t>
      </w:r>
      <w:r>
        <w:rPr>
          <w:rFonts w:eastAsia="IRNazanin" w:cs="IRNazanin"/>
          <w:color w:val="111111"/>
          <w:sz w:val="28"/>
          <w:szCs w:val="28"/>
          <w:rtl w:val="true"/>
          <w:lang w:bidi="fa-IR"/>
        </w:rPr>
        <w:t>-</w:t>
      </w:r>
      <w:r>
        <w:rPr>
          <w:rFonts w:eastAsia="IRNazanin" w:cs="IRNazanin"/>
          <w:color w:val="111111"/>
          <w:sz w:val="28"/>
          <w:szCs w:val="28"/>
          <w:lang w:bidi="fa-IR"/>
        </w:rPr>
        <w:t>1413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للعلاّمة الشیخ محمد إسحاق الفیّاض،مؤسّسة إحیاء آثار الإمام الخوئی،قم،</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محاضرات فی الفقه الجعفری،المکاسب المحرّمة،تقریرا لأبحاث سماحة آیة اللّه العظمی السیّد أبو القاسم بن علی أکبر بن هاشم الموسوی الخوئی</w:t>
      </w:r>
      <w:r>
        <w:rPr>
          <w:rFonts w:eastAsia="IRNazanin" w:cs="IRNazanin"/>
          <w:color w:val="111111"/>
          <w:sz w:val="28"/>
          <w:szCs w:val="28"/>
          <w:rtl w:val="true"/>
          <w:lang w:bidi="fa-IR"/>
        </w:rPr>
        <w:t>(</w:t>
      </w:r>
      <w:r>
        <w:rPr>
          <w:rFonts w:eastAsia="IRNazanin" w:cs="IRNazanin"/>
          <w:color w:val="111111"/>
          <w:sz w:val="28"/>
          <w:szCs w:val="28"/>
          <w:lang w:bidi="fa-IR"/>
        </w:rPr>
        <w:t>1317</w:t>
      </w:r>
      <w:r>
        <w:rPr>
          <w:rFonts w:eastAsia="IRNazanin" w:cs="IRNazanin"/>
          <w:color w:val="111111"/>
          <w:sz w:val="28"/>
          <w:szCs w:val="28"/>
          <w:rtl w:val="true"/>
          <w:lang w:bidi="fa-IR"/>
        </w:rPr>
        <w:t>-</w:t>
      </w:r>
      <w:r>
        <w:rPr>
          <w:rFonts w:eastAsia="IRNazanin" w:cs="IRNazanin"/>
          <w:color w:val="111111"/>
          <w:sz w:val="28"/>
          <w:szCs w:val="28"/>
          <w:lang w:bidi="fa-IR"/>
        </w:rPr>
        <w:t>1413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للسیّد علیّ الحسینی الشاهرودی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الکتاب الإسلامی،قم،الطبعة الاولی،</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المحصول فی علم اصول الفقه،لأبی عبد اللّه محمد بن عمر بن الحسن بن الحسین بن علیّ التیمی البکری الطبرستانی،المعروف بالفخر الرازی</w:t>
      </w:r>
      <w:r>
        <w:rPr>
          <w:rFonts w:eastAsia="IRNazanin" w:cs="IRNazanin"/>
          <w:color w:val="111111"/>
          <w:sz w:val="28"/>
          <w:szCs w:val="28"/>
          <w:rtl w:val="true"/>
          <w:lang w:bidi="fa-IR"/>
        </w:rPr>
        <w:t>(</w:t>
      </w:r>
      <w:r>
        <w:rPr>
          <w:rFonts w:eastAsia="IRNazanin" w:cs="IRNazanin"/>
          <w:color w:val="111111"/>
          <w:sz w:val="28"/>
          <w:szCs w:val="28"/>
          <w:lang w:bidi="fa-IR"/>
        </w:rPr>
        <w:t>543</w:t>
      </w:r>
      <w:r>
        <w:rPr>
          <w:rFonts w:eastAsia="IRNazanin" w:cs="IRNazanin"/>
          <w:color w:val="111111"/>
          <w:sz w:val="28"/>
          <w:szCs w:val="28"/>
          <w:rtl w:val="true"/>
          <w:lang w:bidi="fa-IR"/>
        </w:rPr>
        <w:t>-</w:t>
      </w:r>
      <w:r>
        <w:rPr>
          <w:rFonts w:eastAsia="IRNazanin" w:cs="IRNazanin"/>
          <w:color w:val="111111"/>
          <w:sz w:val="28"/>
          <w:szCs w:val="28"/>
          <w:lang w:bidi="fa-IR"/>
        </w:rPr>
        <w:t>606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العصریّة،الریاض، الطبعة الثانیة،</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المحلّی بالآثار،لأبی محمد علی بن أحمد بن سعید بن حزم الأندلسی،المعروف بابن حزم </w:t>
      </w:r>
      <w:r>
        <w:rPr>
          <w:rFonts w:eastAsia="IRNazanin" w:cs="IRNazanin"/>
          <w:color w:val="111111"/>
          <w:sz w:val="28"/>
          <w:szCs w:val="28"/>
          <w:rtl w:val="true"/>
          <w:lang w:bidi="fa-IR"/>
        </w:rPr>
        <w:t>(</w:t>
      </w:r>
      <w:r>
        <w:rPr>
          <w:rFonts w:eastAsia="IRNazanin" w:cs="IRNazanin"/>
          <w:color w:val="111111"/>
          <w:sz w:val="28"/>
          <w:szCs w:val="28"/>
          <w:lang w:bidi="fa-IR"/>
        </w:rPr>
        <w:t>384</w:t>
      </w:r>
      <w:r>
        <w:rPr>
          <w:rFonts w:eastAsia="IRNazanin" w:cs="IRNazanin"/>
          <w:color w:val="111111"/>
          <w:sz w:val="28"/>
          <w:szCs w:val="28"/>
          <w:rtl w:val="true"/>
          <w:lang w:bidi="fa-IR"/>
        </w:rPr>
        <w:t>-</w:t>
      </w:r>
      <w:r>
        <w:rPr>
          <w:rFonts w:eastAsia="IRNazanin" w:cs="IRNazanin"/>
          <w:color w:val="111111"/>
          <w:sz w:val="28"/>
          <w:szCs w:val="28"/>
          <w:lang w:bidi="fa-IR"/>
        </w:rPr>
        <w:t>456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الکتب العلمیّة،بیروت،</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بصائر الدرجات،للشیخ عزّ الدین أبی محمد الحسن بن سلیمان بن محمّد بن خالد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حیّا </w:t>
      </w:r>
      <w:r>
        <w:rPr>
          <w:rFonts w:eastAsia="IRNazanin" w:cs="IRNazanin"/>
          <w:color w:val="111111"/>
          <w:sz w:val="28"/>
          <w:szCs w:val="28"/>
          <w:lang w:bidi="fa-IR"/>
        </w:rPr>
        <w:t>802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المفید،بیروت،الطبعة الاولی،</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المختصر النافع،لأبی القاسم نجم الدین جعفر بن الحسن بن أبی زکریّا یحیی بن الحسن بن سعید الهذلی،المعروف بالمحقّق الحلّی</w:t>
      </w:r>
      <w:r>
        <w:rPr>
          <w:rFonts w:eastAsia="IRNazanin" w:cs="IRNazanin"/>
          <w:color w:val="111111"/>
          <w:sz w:val="28"/>
          <w:szCs w:val="28"/>
          <w:rtl w:val="true"/>
          <w:lang w:bidi="fa-IR"/>
        </w:rPr>
        <w:t>(</w:t>
      </w:r>
      <w:r>
        <w:rPr>
          <w:rFonts w:eastAsia="IRNazanin" w:cs="IRNazanin"/>
          <w:color w:val="111111"/>
          <w:sz w:val="28"/>
          <w:szCs w:val="28"/>
          <w:lang w:bidi="fa-IR"/>
        </w:rPr>
        <w:t>602</w:t>
      </w:r>
      <w:r>
        <w:rPr>
          <w:rFonts w:eastAsia="IRNazanin" w:cs="IRNazanin"/>
          <w:color w:val="111111"/>
          <w:sz w:val="28"/>
          <w:szCs w:val="28"/>
          <w:rtl w:val="true"/>
          <w:lang w:bidi="fa-IR"/>
        </w:rPr>
        <w:t>-</w:t>
      </w:r>
      <w:r>
        <w:rPr>
          <w:rFonts w:eastAsia="IRNazanin" w:cs="IRNazanin"/>
          <w:color w:val="111111"/>
          <w:sz w:val="28"/>
          <w:szCs w:val="28"/>
          <w:lang w:bidi="fa-IR"/>
        </w:rPr>
        <w:t>676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البعثة،قم،الطبعة الثانیة،</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 الشیعة فی أحکام الشریعة،لأبی منصور الحسن بن یوسف بن علیّ بن المطهّر الأسدی،المعروف بالعلاّمة الحلّی</w:t>
      </w:r>
      <w:r>
        <w:rPr>
          <w:rFonts w:eastAsia="IRNazanin" w:cs="IRNazanin"/>
          <w:color w:val="111111"/>
          <w:sz w:val="28"/>
          <w:szCs w:val="28"/>
          <w:rtl w:val="true"/>
          <w:lang w:bidi="fa-IR"/>
        </w:rPr>
        <w:t>(</w:t>
      </w:r>
      <w:r>
        <w:rPr>
          <w:rFonts w:eastAsia="IRNazanin" w:cs="IRNazanin"/>
          <w:color w:val="111111"/>
          <w:sz w:val="28"/>
          <w:szCs w:val="28"/>
          <w:lang w:bidi="fa-IR"/>
        </w:rPr>
        <w:t>648</w:t>
      </w:r>
      <w:r>
        <w:rPr>
          <w:rFonts w:eastAsia="IRNazanin" w:cs="IRNazanin"/>
          <w:color w:val="111111"/>
          <w:sz w:val="28"/>
          <w:szCs w:val="28"/>
          <w:rtl w:val="true"/>
          <w:lang w:bidi="fa-IR"/>
        </w:rPr>
        <w:t>-</w:t>
      </w:r>
      <w:r>
        <w:rPr>
          <w:rFonts w:eastAsia="IRNazanin" w:cs="IRNazanin"/>
          <w:color w:val="111111"/>
          <w:sz w:val="28"/>
          <w:szCs w:val="28"/>
          <w:lang w:bidi="fa-IR"/>
        </w:rPr>
        <w:t>726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مکتب الإعلام الإسلامی،قم،الطبعة الاولی، </w:t>
      </w:r>
      <w:r>
        <w:rPr>
          <w:rFonts w:eastAsia="IRNazanin" w:cs="IRNazanin"/>
          <w:color w:val="111111"/>
          <w:sz w:val="28"/>
          <w:szCs w:val="28"/>
          <w:lang w:bidi="fa-IR"/>
        </w:rPr>
        <w:t>1412</w:t>
      </w:r>
      <w:r>
        <w:rPr>
          <w:rFonts w:eastAsia="IRNazanin" w:cs="IRNazanin"/>
          <w:color w:val="111111"/>
          <w:sz w:val="28"/>
          <w:szCs w:val="28"/>
          <w:rtl w:val="true"/>
          <w:lang w:bidi="fa-IR"/>
        </w:rPr>
        <w:t>-</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مدارک الأحکام فی شرح شرائع الإسلام،للسیّد شمس الدین محمد بن علیّ بن الحسین بن أبی الحسن الموسوی العاملی الجبعی</w:t>
      </w:r>
      <w:r>
        <w:rPr>
          <w:rFonts w:eastAsia="IRNazanin" w:cs="IRNazanin"/>
          <w:color w:val="111111"/>
          <w:sz w:val="28"/>
          <w:szCs w:val="28"/>
          <w:rtl w:val="true"/>
          <w:lang w:bidi="fa-IR"/>
        </w:rPr>
        <w:t>(</w:t>
      </w:r>
      <w:r>
        <w:rPr>
          <w:rFonts w:eastAsia="IRNazanin" w:cs="IRNazanin"/>
          <w:color w:val="111111"/>
          <w:sz w:val="28"/>
          <w:szCs w:val="28"/>
          <w:lang w:bidi="fa-IR"/>
        </w:rPr>
        <w:t>946</w:t>
      </w:r>
      <w:r>
        <w:rPr>
          <w:rFonts w:eastAsia="IRNazanin" w:cs="IRNazanin"/>
          <w:color w:val="111111"/>
          <w:sz w:val="28"/>
          <w:szCs w:val="28"/>
          <w:rtl w:val="true"/>
          <w:lang w:bidi="fa-IR"/>
        </w:rPr>
        <w:t>-</w:t>
      </w:r>
      <w:r>
        <w:rPr>
          <w:rFonts w:eastAsia="IRNazanin" w:cs="IRNazanin"/>
          <w:color w:val="111111"/>
          <w:sz w:val="28"/>
          <w:szCs w:val="28"/>
          <w:lang w:bidi="fa-IR"/>
        </w:rPr>
        <w:t>1009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آل البیت علیهم السّلام لإحیاء التراث،قم، الطبعة الاولی،</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المدخل إلی اصول الفقه،للدکتور محمد معروف اللّه الوالیبی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مدخل التفسیر،لسماحة الفقیه المحقّق آیة اللّه العظمی الحاج الشیخ محمد الفاضل اللنکرانی قدّس سرّه </w:t>
      </w:r>
      <w:r>
        <w:rPr>
          <w:rFonts w:eastAsia="IRNazanin" w:cs="IRNazanin"/>
          <w:color w:val="111111"/>
          <w:sz w:val="28"/>
          <w:szCs w:val="28"/>
          <w:rtl w:val="true"/>
          <w:lang w:bidi="fa-IR"/>
        </w:rPr>
        <w:t>(</w:t>
      </w:r>
      <w:r>
        <w:rPr>
          <w:rFonts w:eastAsia="IRNazanin" w:cs="IRNazanin"/>
          <w:color w:val="111111"/>
          <w:sz w:val="28"/>
          <w:szCs w:val="28"/>
          <w:lang w:bidi="fa-IR"/>
        </w:rPr>
        <w:t>1350</w:t>
      </w:r>
      <w:r>
        <w:rPr>
          <w:rFonts w:eastAsia="IRNazanin" w:cs="IRNazanin"/>
          <w:color w:val="111111"/>
          <w:sz w:val="28"/>
          <w:szCs w:val="28"/>
          <w:rtl w:val="true"/>
          <w:lang w:bidi="fa-IR"/>
        </w:rPr>
        <w:t>-</w:t>
      </w:r>
      <w:r>
        <w:rPr>
          <w:rFonts w:eastAsia="IRNazanin" w:cs="IRNazanin"/>
          <w:color w:val="111111"/>
          <w:sz w:val="28"/>
          <w:szCs w:val="28"/>
          <w:lang w:bidi="fa-IR"/>
        </w:rPr>
        <w:t>1428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فقه الأئمّة الأطهار علیهم السّلام،قم،الطبعة الاولی،</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المدخل للتشریع الإسلامی،للدکتور محمد فاروق النبهان،وکالة المطبوعات،الکویت،دار القلم،بیروت،الطبعة الثانیة،</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المذاهب الفقهیّة الإسلامیّة و التعصّب المذهبی،لمحمد تاجا،دار قتیبة،بیروت،الطبعة الاولی،</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مرآة العقول فی شرح أخبار آل الرسول صلّی اللّه علیه و اله،للعلاّمة المولی محمد باقر بن محمد تقی المجلسی </w:t>
      </w:r>
      <w:r>
        <w:rPr>
          <w:rFonts w:eastAsia="IRNazanin" w:cs="IRNazanin"/>
          <w:color w:val="111111"/>
          <w:sz w:val="28"/>
          <w:szCs w:val="28"/>
          <w:rtl w:val="true"/>
          <w:lang w:bidi="fa-IR"/>
        </w:rPr>
        <w:t>(</w:t>
      </w:r>
      <w:r>
        <w:rPr>
          <w:rFonts w:eastAsia="IRNazanin" w:cs="IRNazanin"/>
          <w:color w:val="111111"/>
          <w:sz w:val="28"/>
          <w:szCs w:val="28"/>
          <w:lang w:bidi="fa-IR"/>
        </w:rPr>
        <w:t>1037</w:t>
      </w:r>
      <w:r>
        <w:rPr>
          <w:rFonts w:eastAsia="IRNazanin" w:cs="IRNazanin"/>
          <w:color w:val="111111"/>
          <w:sz w:val="28"/>
          <w:szCs w:val="28"/>
          <w:rtl w:val="true"/>
          <w:lang w:bidi="fa-IR"/>
        </w:rPr>
        <w:t>-</w:t>
      </w:r>
      <w:r>
        <w:rPr>
          <w:rFonts w:eastAsia="IRNazanin" w:cs="IRNazanin"/>
          <w:color w:val="111111"/>
          <w:sz w:val="28"/>
          <w:szCs w:val="28"/>
          <w:lang w:bidi="fa-IR"/>
        </w:rPr>
        <w:t>1110</w:t>
      </w:r>
      <w:r>
        <w:rPr>
          <w:rFonts w:ascii="IRNazanin" w:hAnsi="IRNazanin" w:eastAsia="IRNazanin"/>
          <w:color w:val="111111"/>
          <w:sz w:val="28"/>
          <w:sz w:val="28"/>
          <w:szCs w:val="28"/>
          <w:lang w:bidi="fa-IR"/>
        </w:rPr>
        <w:t>،</w:t>
      </w:r>
      <w:r>
        <w:rPr>
          <w:rFonts w:eastAsia="IRNazanin" w:cs="IRNazanin"/>
          <w:color w:val="111111"/>
          <w:sz w:val="28"/>
          <w:szCs w:val="28"/>
          <w:lang w:bidi="fa-IR"/>
        </w:rPr>
        <w:t>1111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الکتب الإسلامیّة،طهران،الطبعة الاولی،</w:t>
      </w:r>
      <w:r>
        <w:rPr>
          <w:rFonts w:eastAsia="IRNazanin" w:cs="IRNazanin"/>
          <w:color w:val="111111"/>
          <w:sz w:val="28"/>
          <w:szCs w:val="28"/>
          <w:lang w:bidi="fa-IR"/>
        </w:rPr>
        <w:t>1394</w:t>
      </w:r>
      <w:r>
        <w:rPr>
          <w:rFonts w:eastAsia="IRNazanin" w:cs="IRNazanin"/>
          <w:color w:val="111111"/>
          <w:sz w:val="28"/>
          <w:szCs w:val="28"/>
          <w:rtl w:val="true"/>
          <w:lang w:bidi="fa-IR"/>
        </w:rPr>
        <w:t>-</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علی بن جعفر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حوالی </w:t>
      </w:r>
      <w:r>
        <w:rPr>
          <w:rFonts w:eastAsia="IRNazanin" w:cs="IRNazanin"/>
          <w:color w:val="111111"/>
          <w:sz w:val="28"/>
          <w:szCs w:val="28"/>
          <w:lang w:bidi="fa-IR"/>
        </w:rPr>
        <w:t>130</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آل البیت علیهم السّلام لإحیاء التراث،بیروت،الطبعة الاولی،</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 الفقهیّة،لآیة اللّه السیّد محمّد حسین فضل اللّه،دار الملاک،بیروت،الطبعة الثامنة،</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مسالک الأفهام إلی تنقیح شرائع الإسلام،لزین الدین بن علیّ بن أحمد العاملی،المعروف بالشهید الثانی</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w:t>
      </w:r>
      <w:r>
        <w:rPr>
          <w:rFonts w:eastAsia="IRNazanin" w:cs="IRNazanin"/>
          <w:color w:val="111111"/>
          <w:sz w:val="28"/>
          <w:szCs w:val="28"/>
          <w:lang w:bidi="fa-IR"/>
        </w:rPr>
        <w:t>965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المعارف الإسلامیّة،قم،الطبعة الاولی،</w:t>
      </w:r>
      <w:r>
        <w:rPr>
          <w:rFonts w:eastAsia="IRNazanin" w:cs="IRNazanin"/>
          <w:color w:val="111111"/>
          <w:sz w:val="28"/>
          <w:szCs w:val="28"/>
          <w:lang w:bidi="fa-IR"/>
        </w:rPr>
        <w:t>1413</w:t>
      </w:r>
      <w:r>
        <w:rPr>
          <w:rFonts w:eastAsia="IRNazanin" w:cs="IRNazanin"/>
          <w:color w:val="111111"/>
          <w:sz w:val="28"/>
          <w:szCs w:val="28"/>
          <w:rtl w:val="true"/>
          <w:lang w:bidi="fa-IR"/>
        </w:rPr>
        <w:t>-</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 علی الصحیحین،لأبی عبد اللّه محمّد بن عبد اللّه بن حمدویه بن نعیم بن الحکیم الضبیّ الطهمانی النیسابوری الشافعی،المعروف بابن البیّع</w:t>
      </w:r>
      <w:r>
        <w:rPr>
          <w:rFonts w:eastAsia="IRNazanin" w:cs="IRNazanin"/>
          <w:color w:val="111111"/>
          <w:sz w:val="28"/>
          <w:szCs w:val="28"/>
          <w:rtl w:val="true"/>
          <w:lang w:bidi="fa-IR"/>
        </w:rPr>
        <w:t>(</w:t>
      </w:r>
      <w:r>
        <w:rPr>
          <w:rFonts w:eastAsia="IRNazanin" w:cs="IRNazanin"/>
          <w:color w:val="111111"/>
          <w:sz w:val="28"/>
          <w:szCs w:val="28"/>
          <w:lang w:bidi="fa-IR"/>
        </w:rPr>
        <w:t>321</w:t>
      </w:r>
      <w:r>
        <w:rPr>
          <w:rFonts w:eastAsia="IRNazanin" w:cs="IRNazanin"/>
          <w:color w:val="111111"/>
          <w:sz w:val="28"/>
          <w:szCs w:val="28"/>
          <w:rtl w:val="true"/>
          <w:lang w:bidi="fa-IR"/>
        </w:rPr>
        <w:t>-</w:t>
      </w:r>
      <w:r>
        <w:rPr>
          <w:rFonts w:eastAsia="IRNazanin" w:cs="IRNazanin"/>
          <w:color w:val="111111"/>
          <w:sz w:val="28"/>
          <w:szCs w:val="28"/>
          <w:lang w:bidi="fa-IR"/>
        </w:rPr>
        <w:t>405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الکتب العلمیّة، بیروت،الطبعة الاولی،</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 و مستنبط المسائل و خاتمته،للمیرزا حسین بن المیرزا محمد تقی بن المیرزا علی محمد بن تقی النوری الطبرسی</w:t>
      </w:r>
      <w:r>
        <w:rPr>
          <w:rFonts w:eastAsia="IRNazanin" w:cs="IRNazanin"/>
          <w:color w:val="111111"/>
          <w:sz w:val="28"/>
          <w:szCs w:val="28"/>
          <w:rtl w:val="true"/>
          <w:lang w:bidi="fa-IR"/>
        </w:rPr>
        <w:t>(</w:t>
      </w:r>
      <w:r>
        <w:rPr>
          <w:rFonts w:eastAsia="IRNazanin" w:cs="IRNazanin"/>
          <w:color w:val="111111"/>
          <w:sz w:val="28"/>
          <w:szCs w:val="28"/>
          <w:lang w:bidi="fa-IR"/>
        </w:rPr>
        <w:t>1254</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آل البیت علیهم السّلام لإحیاء التراث،بیروت،الطبعة الاولی،</w:t>
      </w:r>
      <w:r>
        <w:rPr>
          <w:rFonts w:eastAsia="IRNazanin" w:cs="IRNazanin"/>
          <w:color w:val="111111"/>
          <w:sz w:val="28"/>
          <w:szCs w:val="28"/>
          <w:lang w:bidi="fa-IR"/>
        </w:rPr>
        <w:t>1408</w:t>
      </w:r>
      <w:r>
        <w:rPr>
          <w:rFonts w:eastAsia="IRNazanin" w:cs="IRNazanin"/>
          <w:color w:val="111111"/>
          <w:sz w:val="28"/>
          <w:szCs w:val="28"/>
          <w:rtl w:val="true"/>
          <w:lang w:bidi="fa-IR"/>
        </w:rPr>
        <w:t>-</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مستمسک العروة الوثقی،للسیّد محسن بن مهدی بن صالح بن أحمد بن محمود الطباطبائی الحکیم</w:t>
      </w:r>
      <w:r>
        <w:rPr>
          <w:rFonts w:eastAsia="IRNazanin" w:cs="IRNazanin"/>
          <w:color w:val="111111"/>
          <w:sz w:val="28"/>
          <w:szCs w:val="28"/>
          <w:rtl w:val="true"/>
          <w:lang w:bidi="fa-IR"/>
        </w:rPr>
        <w:t>(</w:t>
      </w:r>
      <w:r>
        <w:rPr>
          <w:rFonts w:eastAsia="IRNazanin" w:cs="IRNazanin"/>
          <w:color w:val="111111"/>
          <w:sz w:val="28"/>
          <w:szCs w:val="28"/>
          <w:lang w:bidi="fa-IR"/>
        </w:rPr>
        <w:t>1306</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مطبعة الآداب،النجف الأشرف،الطبعة الرابعة،</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مستند الشیعة فی أحکام الشریعة،للمولی أحمد بن المولی محمّد مهدی بن أبی ذرّ،المعروف بالفاضل النراقی</w:t>
      </w:r>
      <w:r>
        <w:rPr>
          <w:rFonts w:eastAsia="IRNazanin" w:cs="IRNazanin"/>
          <w:color w:val="111111"/>
          <w:sz w:val="28"/>
          <w:szCs w:val="28"/>
          <w:rtl w:val="true"/>
          <w:lang w:bidi="fa-IR"/>
        </w:rPr>
        <w:t>(</w:t>
      </w:r>
      <w:r>
        <w:rPr>
          <w:rFonts w:eastAsia="IRNazanin" w:cs="IRNazanin"/>
          <w:color w:val="111111"/>
          <w:sz w:val="28"/>
          <w:szCs w:val="28"/>
          <w:lang w:bidi="fa-IR"/>
        </w:rPr>
        <w:t>1185</w:t>
      </w:r>
      <w:r>
        <w:rPr>
          <w:rFonts w:eastAsia="IRNazanin" w:cs="IRNazanin"/>
          <w:color w:val="111111"/>
          <w:sz w:val="28"/>
          <w:szCs w:val="28"/>
          <w:rtl w:val="true"/>
          <w:lang w:bidi="fa-IR"/>
        </w:rPr>
        <w:t>-</w:t>
      </w:r>
      <w:r>
        <w:rPr>
          <w:rFonts w:eastAsia="IRNazanin" w:cs="IRNazanin"/>
          <w:color w:val="111111"/>
          <w:sz w:val="28"/>
          <w:szCs w:val="28"/>
          <w:lang w:bidi="fa-IR"/>
        </w:rPr>
        <w:t>1245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مؤسّسة آل البیت علیهم السّلام لإحیاء التراث،قم،الطبعة الاولی، </w:t>
      </w:r>
      <w:r>
        <w:rPr>
          <w:rFonts w:eastAsia="IRNazanin" w:cs="IRNazanin"/>
          <w:color w:val="111111"/>
          <w:sz w:val="28"/>
          <w:szCs w:val="28"/>
          <w:lang w:bidi="fa-IR"/>
        </w:rPr>
        <w:t>1415</w:t>
      </w:r>
      <w:r>
        <w:rPr>
          <w:rFonts w:eastAsia="IRNazanin" w:cs="IRNazanin"/>
          <w:color w:val="111111"/>
          <w:sz w:val="28"/>
          <w:szCs w:val="28"/>
          <w:rtl w:val="true"/>
          <w:lang w:bidi="fa-IR"/>
        </w:rPr>
        <w:t>-</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المستند فی شرح العروة الوثقی،تقریرا لأبحاث السیّد أبو القاسم بن علی أکبر بن هاشم الموسوی الخوئی</w:t>
      </w:r>
      <w:r>
        <w:rPr>
          <w:rFonts w:eastAsia="IRNazanin" w:cs="IRNazanin"/>
          <w:color w:val="111111"/>
          <w:sz w:val="28"/>
          <w:szCs w:val="28"/>
          <w:rtl w:val="true"/>
          <w:lang w:bidi="fa-IR"/>
        </w:rPr>
        <w:t>(</w:t>
      </w:r>
      <w:r>
        <w:rPr>
          <w:rFonts w:eastAsia="IRNazanin" w:cs="IRNazanin"/>
          <w:color w:val="111111"/>
          <w:sz w:val="28"/>
          <w:szCs w:val="28"/>
          <w:lang w:bidi="fa-IR"/>
        </w:rPr>
        <w:t>1317</w:t>
      </w:r>
      <w:r>
        <w:rPr>
          <w:rFonts w:eastAsia="IRNazanin" w:cs="IRNazanin"/>
          <w:color w:val="111111"/>
          <w:sz w:val="28"/>
          <w:szCs w:val="28"/>
          <w:rtl w:val="true"/>
          <w:lang w:bidi="fa-IR"/>
        </w:rPr>
        <w:t>-</w:t>
      </w:r>
      <w:r>
        <w:rPr>
          <w:rFonts w:eastAsia="IRNazanin" w:cs="IRNazanin"/>
          <w:color w:val="111111"/>
          <w:sz w:val="28"/>
          <w:szCs w:val="28"/>
          <w:lang w:bidi="fa-IR"/>
        </w:rPr>
        <w:t>1413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للشیخ مرتضی البروجردی</w:t>
      </w:r>
      <w:r>
        <w:rPr>
          <w:rFonts w:eastAsia="IRNazanin" w:cs="IRNazanin"/>
          <w:color w:val="111111"/>
          <w:sz w:val="28"/>
          <w:szCs w:val="28"/>
          <w:rtl w:val="true"/>
          <w:lang w:bidi="fa-IR"/>
        </w:rPr>
        <w:t>(</w:t>
      </w:r>
      <w:r>
        <w:rPr>
          <w:rFonts w:eastAsia="IRNazanin" w:cs="IRNazanin"/>
          <w:color w:val="111111"/>
          <w:sz w:val="28"/>
          <w:szCs w:val="28"/>
          <w:lang w:bidi="fa-IR"/>
        </w:rPr>
        <w:t>1348</w:t>
      </w:r>
      <w:r>
        <w:rPr>
          <w:rFonts w:eastAsia="IRNazanin" w:cs="IRNazanin"/>
          <w:color w:val="111111"/>
          <w:sz w:val="28"/>
          <w:szCs w:val="28"/>
          <w:rtl w:val="true"/>
          <w:lang w:bidi="fa-IR"/>
        </w:rPr>
        <w:t>-</w:t>
      </w:r>
      <w:r>
        <w:rPr>
          <w:rFonts w:eastAsia="IRNazanin" w:cs="IRNazanin"/>
          <w:color w:val="111111"/>
          <w:sz w:val="28"/>
          <w:szCs w:val="28"/>
          <w:lang w:bidi="fa-IR"/>
        </w:rPr>
        <w:t>1418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إحیاء آثار الإمام الخوئی،قم،الطبعة الثانیة،</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المسند،لأبی عبد اللّه أحمد بن محمد بن حنبل بن هلال الشیبانی</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الفکر، بیروت،الطبعة الثانیة،</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مشرق الشمسین و إکسیر السعادتین،لمحمد بن الحسین بن عبد الصمد بن شمس الدین محمد ابن علیّ بن الحسین الحارثی العاملی الجبعی،المعروف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البهائی</w:t>
      </w:r>
      <w:r>
        <w:rPr>
          <w:rFonts w:eastAsia="IRNazanin" w:cs="IRNazanin"/>
          <w:color w:val="111111"/>
          <w:sz w:val="28"/>
          <w:szCs w:val="28"/>
          <w:rtl w:val="true"/>
          <w:lang w:bidi="fa-IR"/>
        </w:rPr>
        <w:t>»(</w:t>
      </w:r>
      <w:r>
        <w:rPr>
          <w:rFonts w:eastAsia="IRNazanin" w:cs="IRNazanin"/>
          <w:color w:val="111111"/>
          <w:sz w:val="28"/>
          <w:szCs w:val="28"/>
          <w:lang w:bidi="fa-IR"/>
        </w:rPr>
        <w:t>953</w:t>
      </w:r>
      <w:r>
        <w:rPr>
          <w:rFonts w:eastAsia="IRNazanin" w:cs="IRNazanin"/>
          <w:color w:val="111111"/>
          <w:sz w:val="28"/>
          <w:szCs w:val="28"/>
          <w:rtl w:val="true"/>
          <w:lang w:bidi="fa-IR"/>
        </w:rPr>
        <w:t>-</w:t>
      </w:r>
      <w:r>
        <w:rPr>
          <w:rFonts w:eastAsia="IRNazanin" w:cs="IRNazanin"/>
          <w:color w:val="111111"/>
          <w:sz w:val="28"/>
          <w:szCs w:val="28"/>
          <w:lang w:bidi="fa-IR"/>
        </w:rPr>
        <w:t>1030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البحوث الإسلامیّة،مشهد،الطبعة الاولی،</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مشکاة الأنوار فی غرر الأخبار،للشیخ أبی الفضل علیّ بن الحسن بن أبی علی الفضل بن</w:t>
      </w:r>
    </w:p>
    <w:p>
      <w:pPr>
        <w:pStyle w:val="BookText"/>
        <w:rPr/>
      </w:pPr>
      <w:r>
        <w:rPr>
          <w:rFonts w:ascii="IRNazanin" w:hAnsi="IRNazanin" w:eastAsia="IRNazanin"/>
          <w:color w:val="111111"/>
          <w:sz w:val="28"/>
          <w:sz w:val="28"/>
          <w:szCs w:val="28"/>
          <w:rtl w:val="true"/>
          <w:lang w:bidi="fa-IR"/>
        </w:rPr>
        <w:t>الحسن بن الفضل الطبرسی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أوائل القرن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آل البیت علیهم السّلام لإحیاء التراث،قم، الطبعة الاولی،</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التشریع الإسلامی فیما لا نصّ فیه،لعبد الوهّاب 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القلم، کویت،الطبعة الرابعة،</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 الاصول،تقریرا لأبحاث السیّد أبو القاسم بن علی أکبر بن هاشم الموسوی الخوئی </w:t>
      </w:r>
      <w:r>
        <w:rPr>
          <w:rFonts w:eastAsia="IRNazanin" w:cs="IRNazanin"/>
          <w:color w:val="111111"/>
          <w:sz w:val="28"/>
          <w:szCs w:val="28"/>
          <w:rtl w:val="true"/>
          <w:lang w:bidi="fa-IR"/>
        </w:rPr>
        <w:t>(</w:t>
      </w:r>
      <w:r>
        <w:rPr>
          <w:rFonts w:eastAsia="IRNazanin" w:cs="IRNazanin"/>
          <w:color w:val="111111"/>
          <w:sz w:val="28"/>
          <w:szCs w:val="28"/>
          <w:lang w:bidi="fa-IR"/>
        </w:rPr>
        <w:t>1317</w:t>
      </w:r>
      <w:r>
        <w:rPr>
          <w:rFonts w:eastAsia="IRNazanin" w:cs="IRNazanin"/>
          <w:color w:val="111111"/>
          <w:sz w:val="28"/>
          <w:szCs w:val="28"/>
          <w:rtl w:val="true"/>
          <w:lang w:bidi="fa-IR"/>
        </w:rPr>
        <w:t>-</w:t>
      </w:r>
      <w:r>
        <w:rPr>
          <w:rFonts w:eastAsia="IRNazanin" w:cs="IRNazanin"/>
          <w:color w:val="111111"/>
          <w:sz w:val="28"/>
          <w:szCs w:val="28"/>
          <w:lang w:bidi="fa-IR"/>
        </w:rPr>
        <w:t>1413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للسیّد محمّد سرور بن الحسن الواعظ الحسینی البهسودی</w:t>
      </w:r>
      <w:r>
        <w:rPr>
          <w:rFonts w:eastAsia="IRNazanin" w:cs="IRNazanin"/>
          <w:color w:val="111111"/>
          <w:sz w:val="28"/>
          <w:szCs w:val="28"/>
          <w:rtl w:val="true"/>
          <w:lang w:bidi="fa-IR"/>
        </w:rPr>
        <w:t>(</w:t>
      </w:r>
      <w:r>
        <w:rPr>
          <w:rFonts w:eastAsia="IRNazanin" w:cs="IRNazanin"/>
          <w:color w:val="111111"/>
          <w:sz w:val="28"/>
          <w:szCs w:val="28"/>
          <w:lang w:bidi="fa-IR"/>
        </w:rPr>
        <w:t>1289</w:t>
      </w:r>
      <w:r>
        <w:rPr>
          <w:rFonts w:eastAsia="IRNazanin" w:cs="IRNazanin"/>
          <w:color w:val="111111"/>
          <w:sz w:val="28"/>
          <w:szCs w:val="28"/>
          <w:rtl w:val="true"/>
          <w:lang w:bidi="fa-IR"/>
        </w:rPr>
        <w:t>-</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إحیاء آثار الإمام الخوئی،قم،</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الشریعة فی شرح تحریر الوسیلة،کتاب الصوم،للشیخ عبد النبیّ النمازی،مؤسّسة تنظیم و نشر آثار الإمام الخمینی،قم،الطبعة الاولی،</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الفقاهة فی المعاملات،تقریر بحث السیّد أبو القاسم بن علی أکبر بن هاشم الموسوی الخوئی</w:t>
      </w:r>
      <w:r>
        <w:rPr>
          <w:rFonts w:eastAsia="IRNazanin" w:cs="IRNazanin"/>
          <w:color w:val="111111"/>
          <w:sz w:val="28"/>
          <w:szCs w:val="28"/>
          <w:rtl w:val="true"/>
          <w:lang w:bidi="fa-IR"/>
        </w:rPr>
        <w:t>(</w:t>
      </w:r>
      <w:r>
        <w:rPr>
          <w:rFonts w:eastAsia="IRNazanin" w:cs="IRNazanin"/>
          <w:color w:val="111111"/>
          <w:sz w:val="28"/>
          <w:szCs w:val="28"/>
          <w:lang w:bidi="fa-IR"/>
        </w:rPr>
        <w:t>1317</w:t>
      </w:r>
      <w:r>
        <w:rPr>
          <w:rFonts w:eastAsia="IRNazanin" w:cs="IRNazanin"/>
          <w:color w:val="111111"/>
          <w:sz w:val="28"/>
          <w:szCs w:val="28"/>
          <w:rtl w:val="true"/>
          <w:lang w:bidi="fa-IR"/>
        </w:rPr>
        <w:t>-</w:t>
      </w:r>
      <w:r>
        <w:rPr>
          <w:rFonts w:eastAsia="IRNazanin" w:cs="IRNazanin"/>
          <w:color w:val="111111"/>
          <w:sz w:val="28"/>
          <w:szCs w:val="28"/>
          <w:lang w:bidi="fa-IR"/>
        </w:rPr>
        <w:t>1413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للمیرزا محمد علیّ التوحیدی</w:t>
      </w:r>
      <w:r>
        <w:rPr>
          <w:rFonts w:eastAsia="IRNazanin" w:cs="IRNazanin"/>
          <w:color w:val="111111"/>
          <w:sz w:val="28"/>
          <w:szCs w:val="28"/>
          <w:rtl w:val="true"/>
          <w:lang w:bidi="fa-IR"/>
        </w:rPr>
        <w:t>(</w:t>
      </w:r>
      <w:r>
        <w:rPr>
          <w:rFonts w:eastAsia="IRNazanin" w:cs="IRNazanin"/>
          <w:color w:val="111111"/>
          <w:sz w:val="28"/>
          <w:szCs w:val="28"/>
          <w:lang w:bidi="fa-IR"/>
        </w:rPr>
        <w:t>1344</w:t>
      </w:r>
      <w:r>
        <w:rPr>
          <w:rFonts w:eastAsia="IRNazanin" w:cs="IRNazanin"/>
          <w:color w:val="111111"/>
          <w:sz w:val="28"/>
          <w:szCs w:val="28"/>
          <w:rtl w:val="true"/>
          <w:lang w:bidi="fa-IR"/>
        </w:rPr>
        <w:t>-</w:t>
      </w:r>
      <w:r>
        <w:rPr>
          <w:rFonts w:eastAsia="IRNazanin" w:cs="IRNazanin"/>
          <w:color w:val="111111"/>
          <w:sz w:val="28"/>
          <w:szCs w:val="28"/>
          <w:lang w:bidi="fa-IR"/>
        </w:rPr>
        <w:t>1395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أنصاریان،قم، الطبعة الرابعة،</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 الفقیه،للحاج آقا محمد رضا ابن الشیخ المولی الفقیه محمد هادی الهمدانی النجفی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1250</w:t>
      </w:r>
      <w:r>
        <w:rPr>
          <w:rFonts w:eastAsia="IRNazanin" w:cs="IRNazanin"/>
          <w:color w:val="111111"/>
          <w:sz w:val="28"/>
          <w:szCs w:val="28"/>
          <w:rtl w:val="true"/>
          <w:lang w:bidi="fa-IR"/>
        </w:rPr>
        <w:t>-</w:t>
      </w:r>
      <w:r>
        <w:rPr>
          <w:rFonts w:eastAsia="IRNazanin" w:cs="IRNazanin"/>
          <w:color w:val="111111"/>
          <w:sz w:val="28"/>
          <w:szCs w:val="28"/>
          <w:lang w:bidi="fa-IR"/>
        </w:rPr>
        <w:t>1322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الجعفریّة لإحیاء التراث،قم،الطبعة الاولی،</w:t>
      </w:r>
      <w:r>
        <w:rPr>
          <w:rFonts w:eastAsia="IRNazanin" w:cs="IRNazanin"/>
          <w:color w:val="111111"/>
          <w:sz w:val="28"/>
          <w:szCs w:val="28"/>
          <w:lang w:bidi="fa-IR"/>
        </w:rPr>
        <w:t>1417</w:t>
      </w:r>
      <w:r>
        <w:rPr>
          <w:rFonts w:eastAsia="IRNazanin" w:cs="IRNazanin"/>
          <w:color w:val="111111"/>
          <w:sz w:val="28"/>
          <w:szCs w:val="28"/>
          <w:rtl w:val="true"/>
          <w:lang w:bidi="fa-IR"/>
        </w:rPr>
        <w:t>-</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الکفعمی،أو جنّة الأمان الواقیة و جنّة الإیمان الباقیة،لتقی الدین إبراهیم بن علی ابن الحسن بن محمد بن صالح بن إسماعیل الحارثی الکفعمی العاملی</w:t>
      </w:r>
      <w:r>
        <w:rPr>
          <w:rFonts w:eastAsia="IRNazanin" w:cs="IRNazanin"/>
          <w:color w:val="111111"/>
          <w:sz w:val="28"/>
          <w:szCs w:val="28"/>
          <w:rtl w:val="true"/>
          <w:lang w:bidi="fa-IR"/>
        </w:rPr>
        <w:t>(</w:t>
      </w:r>
      <w:r>
        <w:rPr>
          <w:rFonts w:eastAsia="IRNazanin" w:cs="IRNazanin"/>
          <w:color w:val="111111"/>
          <w:sz w:val="28"/>
          <w:szCs w:val="28"/>
          <w:lang w:bidi="fa-IR"/>
        </w:rPr>
        <w:t>840</w:t>
      </w:r>
      <w:r>
        <w:rPr>
          <w:rFonts w:eastAsia="IRNazanin" w:cs="IRNazanin"/>
          <w:color w:val="111111"/>
          <w:sz w:val="28"/>
          <w:szCs w:val="28"/>
          <w:rtl w:val="true"/>
          <w:lang w:bidi="fa-IR"/>
        </w:rPr>
        <w:t>-</w:t>
      </w:r>
      <w:r>
        <w:rPr>
          <w:rFonts w:eastAsia="IRNazanin" w:cs="IRNazanin"/>
          <w:color w:val="111111"/>
          <w:sz w:val="28"/>
          <w:szCs w:val="28"/>
          <w:lang w:bidi="fa-IR"/>
        </w:rPr>
        <w:t>905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منشورات الرضی،زاهدی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 المنیر،لأبی العبّاس أحمد بن محمّد بن علیّ الفیّومی الحموی المقرئ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دار الهجرة،قم،الطبعة الاولی،</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 فی شرح العروة الوثقی،لمحمد تقی بن محمد بن علی بن محمد بن علی الآملی، الطهرانی</w:t>
      </w:r>
      <w:r>
        <w:rPr>
          <w:rFonts w:eastAsia="IRNazanin" w:cs="IRNazanin"/>
          <w:color w:val="111111"/>
          <w:sz w:val="28"/>
          <w:szCs w:val="28"/>
          <w:rtl w:val="true"/>
          <w:lang w:bidi="fa-IR"/>
        </w:rPr>
        <w:t>(</w:t>
      </w:r>
      <w:r>
        <w:rPr>
          <w:rFonts w:eastAsia="IRNazanin" w:cs="IRNazanin"/>
          <w:color w:val="111111"/>
          <w:sz w:val="28"/>
          <w:szCs w:val="28"/>
          <w:lang w:bidi="fa-IR"/>
        </w:rPr>
        <w:t>1304</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مطبعة المصطفوی،طهران،</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 الجدیدة للاصول،للسیّد الشهید محمد باقر الصدر</w:t>
      </w:r>
      <w:r>
        <w:rPr>
          <w:rFonts w:eastAsia="IRNazanin" w:cs="IRNazanin"/>
          <w:color w:val="111111"/>
          <w:sz w:val="28"/>
          <w:szCs w:val="28"/>
          <w:rtl w:val="true"/>
          <w:lang w:bidi="fa-IR"/>
        </w:rPr>
        <w:t>(</w:t>
      </w:r>
      <w:r>
        <w:rPr>
          <w:rFonts w:eastAsia="IRNazanin" w:cs="IRNazanin"/>
          <w:color w:val="111111"/>
          <w:sz w:val="28"/>
          <w:szCs w:val="28"/>
          <w:lang w:bidi="fa-IR"/>
        </w:rPr>
        <w:t>1353</w:t>
      </w:r>
      <w:r>
        <w:rPr>
          <w:rFonts w:eastAsia="IRNazanin" w:cs="IRNazanin"/>
          <w:color w:val="111111"/>
          <w:sz w:val="28"/>
          <w:szCs w:val="28"/>
          <w:rtl w:val="true"/>
          <w:lang w:bidi="fa-IR"/>
        </w:rPr>
        <w:t>-</w:t>
      </w:r>
      <w:r>
        <w:rPr>
          <w:rFonts w:eastAsia="IRNazanin" w:cs="IRNazanin"/>
          <w:color w:val="111111"/>
          <w:sz w:val="28"/>
          <w:szCs w:val="28"/>
          <w:lang w:bidi="fa-IR"/>
        </w:rPr>
        <w:t>1400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النجاح،</w:t>
      </w:r>
    </w:p>
    <w:p>
      <w:pPr>
        <w:pStyle w:val="BookText"/>
        <w:rPr/>
      </w:pPr>
      <w:r>
        <w:rPr>
          <w:rFonts w:ascii="IRNazanin" w:hAnsi="IRNazanin" w:eastAsia="IRNazanin"/>
          <w:color w:val="111111"/>
          <w:sz w:val="28"/>
          <w:sz w:val="28"/>
          <w:szCs w:val="28"/>
          <w:rtl w:val="true"/>
          <w:lang w:bidi="fa-IR"/>
        </w:rPr>
        <w:t>طهران،الطبعة الثانیة،</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معانی الأخبار،لأبی جعفر محمد بن علی بن الحسین بن موسی بن بابویه القمّی،المعروف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النشر الإسلامی،قم،الطبعة الثالثة،</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معتمد الاصول،تقریر أبحاث الإمام الخمینی قدّس سرّه</w:t>
      </w:r>
      <w:r>
        <w:rPr>
          <w:rFonts w:eastAsia="IRNazanin" w:cs="IRNazanin"/>
          <w:color w:val="111111"/>
          <w:sz w:val="28"/>
          <w:szCs w:val="28"/>
          <w:rtl w:val="true"/>
          <w:lang w:bidi="fa-IR"/>
        </w:rPr>
        <w:t>(</w:t>
      </w:r>
      <w:r>
        <w:rPr>
          <w:rFonts w:eastAsia="IRNazanin" w:cs="IRNazanin"/>
          <w:color w:val="111111"/>
          <w:sz w:val="28"/>
          <w:szCs w:val="28"/>
          <w:lang w:bidi="fa-IR"/>
        </w:rPr>
        <w:t>1281</w:t>
      </w:r>
      <w:r>
        <w:rPr>
          <w:rFonts w:eastAsia="IRNazanin" w:cs="IRNazanin"/>
          <w:color w:val="111111"/>
          <w:sz w:val="28"/>
          <w:szCs w:val="28"/>
          <w:rtl w:val="true"/>
          <w:lang w:bidi="fa-IR"/>
        </w:rPr>
        <w:t>-</w:t>
      </w:r>
      <w:r>
        <w:rPr>
          <w:rFonts w:eastAsia="IRNazanin" w:cs="IRNazanin"/>
          <w:color w:val="111111"/>
          <w:sz w:val="28"/>
          <w:szCs w:val="28"/>
          <w:lang w:bidi="fa-IR"/>
        </w:rPr>
        <w:t>1368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لآیة اللّه الحجّة الشیخ محمد الفاضل اللنکرانی قدّس سرّه</w:t>
      </w:r>
      <w:r>
        <w:rPr>
          <w:rFonts w:eastAsia="IRNazanin" w:cs="IRNazanin"/>
          <w:color w:val="111111"/>
          <w:sz w:val="28"/>
          <w:szCs w:val="28"/>
          <w:rtl w:val="true"/>
          <w:lang w:bidi="fa-IR"/>
        </w:rPr>
        <w:t>(</w:t>
      </w:r>
      <w:r>
        <w:rPr>
          <w:rFonts w:eastAsia="IRNazanin" w:cs="IRNazanin"/>
          <w:color w:val="111111"/>
          <w:sz w:val="28"/>
          <w:szCs w:val="28"/>
          <w:lang w:bidi="fa-IR"/>
        </w:rPr>
        <w:t>1350</w:t>
      </w:r>
      <w:r>
        <w:rPr>
          <w:rFonts w:eastAsia="IRNazanin" w:cs="IRNazanin"/>
          <w:color w:val="111111"/>
          <w:sz w:val="28"/>
          <w:szCs w:val="28"/>
          <w:rtl w:val="true"/>
          <w:lang w:bidi="fa-IR"/>
        </w:rPr>
        <w:t>-</w:t>
      </w:r>
      <w:r>
        <w:rPr>
          <w:rFonts w:eastAsia="IRNazanin" w:cs="IRNazanin"/>
          <w:color w:val="111111"/>
          <w:sz w:val="28"/>
          <w:szCs w:val="28"/>
          <w:lang w:bidi="fa-IR"/>
        </w:rPr>
        <w:t>1428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تنظیم و نشر آثار الإمام الخمینی،قم،الطبعة الاولی،</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المعتمد فی شرح العروة الوثقی،تقریرا لأبحاث السیّد أبو القاسم بن علی أکبر بن هاشم الموسوی الخوئی</w:t>
      </w:r>
      <w:r>
        <w:rPr>
          <w:rFonts w:eastAsia="IRNazanin" w:cs="IRNazanin"/>
          <w:color w:val="111111"/>
          <w:sz w:val="28"/>
          <w:szCs w:val="28"/>
          <w:rtl w:val="true"/>
          <w:lang w:bidi="fa-IR"/>
        </w:rPr>
        <w:t>(</w:t>
      </w:r>
      <w:r>
        <w:rPr>
          <w:rFonts w:eastAsia="IRNazanin" w:cs="IRNazanin"/>
          <w:color w:val="111111"/>
          <w:sz w:val="28"/>
          <w:szCs w:val="28"/>
          <w:lang w:bidi="fa-IR"/>
        </w:rPr>
        <w:t>1317</w:t>
      </w:r>
      <w:r>
        <w:rPr>
          <w:rFonts w:eastAsia="IRNazanin" w:cs="IRNazanin"/>
          <w:color w:val="111111"/>
          <w:sz w:val="28"/>
          <w:szCs w:val="28"/>
          <w:rtl w:val="true"/>
          <w:lang w:bidi="fa-IR"/>
        </w:rPr>
        <w:t>-</w:t>
      </w:r>
      <w:r>
        <w:rPr>
          <w:rFonts w:eastAsia="IRNazanin" w:cs="IRNazanin"/>
          <w:color w:val="111111"/>
          <w:sz w:val="28"/>
          <w:szCs w:val="28"/>
          <w:lang w:bidi="fa-IR"/>
        </w:rPr>
        <w:t>1413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للسیّد رضا الموسوی الخلخالی،مؤسّسة إحیاء آثار الإمام الخوئی،قم،الطبعة الثالثة،</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المعتمد فی شرح المناسک،تقریرا لأبحاث السیّد أبو القاسم بن علی أکبر بن هاشم الموسوی الخوئی</w:t>
      </w:r>
      <w:r>
        <w:rPr>
          <w:rFonts w:eastAsia="IRNazanin" w:cs="IRNazanin"/>
          <w:color w:val="111111"/>
          <w:sz w:val="28"/>
          <w:szCs w:val="28"/>
          <w:rtl w:val="true"/>
          <w:lang w:bidi="fa-IR"/>
        </w:rPr>
        <w:t>(</w:t>
      </w:r>
      <w:r>
        <w:rPr>
          <w:rFonts w:eastAsia="IRNazanin" w:cs="IRNazanin"/>
          <w:color w:val="111111"/>
          <w:sz w:val="28"/>
          <w:szCs w:val="28"/>
          <w:lang w:bidi="fa-IR"/>
        </w:rPr>
        <w:t>1317</w:t>
      </w:r>
      <w:r>
        <w:rPr>
          <w:rFonts w:eastAsia="IRNazanin" w:cs="IRNazanin"/>
          <w:color w:val="111111"/>
          <w:sz w:val="28"/>
          <w:szCs w:val="28"/>
          <w:rtl w:val="true"/>
          <w:lang w:bidi="fa-IR"/>
        </w:rPr>
        <w:t>-</w:t>
      </w:r>
      <w:r>
        <w:rPr>
          <w:rFonts w:eastAsia="IRNazanin" w:cs="IRNazanin"/>
          <w:color w:val="111111"/>
          <w:sz w:val="28"/>
          <w:szCs w:val="28"/>
          <w:lang w:bidi="fa-IR"/>
        </w:rPr>
        <w:t>1413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للسیّد رضا الموسوی الخلخالی،مؤسّسة إحیاء آثار الإمام الخوئی،قم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رجال الحدیث،للسیّد أبو القاسم بن علی أکبر بن هاشم الموسوی الخوئی </w:t>
      </w:r>
      <w:r>
        <w:rPr>
          <w:rFonts w:eastAsia="IRNazanin" w:cs="IRNazanin"/>
          <w:color w:val="111111"/>
          <w:sz w:val="28"/>
          <w:szCs w:val="28"/>
          <w:rtl w:val="true"/>
          <w:lang w:bidi="fa-IR"/>
        </w:rPr>
        <w:t>(</w:t>
      </w:r>
      <w:r>
        <w:rPr>
          <w:rFonts w:eastAsia="IRNazanin" w:cs="IRNazanin"/>
          <w:color w:val="111111"/>
          <w:sz w:val="28"/>
          <w:szCs w:val="28"/>
          <w:lang w:bidi="fa-IR"/>
        </w:rPr>
        <w:t>1317</w:t>
      </w:r>
      <w:r>
        <w:rPr>
          <w:rFonts w:eastAsia="IRNazanin" w:cs="IRNazanin"/>
          <w:color w:val="111111"/>
          <w:sz w:val="28"/>
          <w:szCs w:val="28"/>
          <w:rtl w:val="true"/>
          <w:lang w:bidi="fa-IR"/>
        </w:rPr>
        <w:t>-</w:t>
      </w:r>
      <w:r>
        <w:rPr>
          <w:rFonts w:eastAsia="IRNazanin" w:cs="IRNazanin"/>
          <w:color w:val="111111"/>
          <w:sz w:val="28"/>
          <w:szCs w:val="28"/>
          <w:lang w:bidi="fa-IR"/>
        </w:rPr>
        <w:t>1413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نشر آثار الشیعة،قم،الطبعة الرابعة،</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المعجم الکبیر،لأبی القاسم سلیمان بن أحمد بن أیّوب بن مطیر اللخمی الشامی الطبرانی </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إحیاء التراث العربی،بیروت،الطبعة الثانیة،</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المغرب فی ترتیب المعرب،لأبی الفتح و أبی المظفّر ناصر الدّین بن عبد السیّد أبی المکارم ابن علی بن المطرّز،برهان الدّین الخوارزمی الحنفی،الشهیر بالمطرّزی</w:t>
      </w:r>
      <w:r>
        <w:rPr>
          <w:rFonts w:eastAsia="IRNazanin" w:cs="IRNazanin"/>
          <w:color w:val="111111"/>
          <w:sz w:val="28"/>
          <w:szCs w:val="28"/>
          <w:rtl w:val="true"/>
          <w:lang w:bidi="fa-IR"/>
        </w:rPr>
        <w:t>(</w:t>
      </w:r>
      <w:r>
        <w:rPr>
          <w:rFonts w:eastAsia="IRNazanin" w:cs="IRNazanin"/>
          <w:color w:val="111111"/>
          <w:sz w:val="28"/>
          <w:szCs w:val="28"/>
          <w:lang w:bidi="fa-IR"/>
        </w:rPr>
        <w:t>538</w:t>
      </w:r>
      <w:r>
        <w:rPr>
          <w:rFonts w:eastAsia="IRNazanin" w:cs="IRNazanin"/>
          <w:color w:val="111111"/>
          <w:sz w:val="28"/>
          <w:szCs w:val="28"/>
          <w:rtl w:val="true"/>
          <w:lang w:bidi="fa-IR"/>
        </w:rPr>
        <w:t>-</w:t>
      </w:r>
      <w:r>
        <w:rPr>
          <w:rFonts w:eastAsia="IRNazanin" w:cs="IRNazanin"/>
          <w:color w:val="111111"/>
          <w:sz w:val="28"/>
          <w:szCs w:val="28"/>
          <w:lang w:bidi="fa-IR"/>
        </w:rPr>
        <w:t>610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لبنان ناشرون،بیروت،الطبعة الاولی،</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المغنی،لعبد اللّه بن أحمد بن محمد بن قدامة المقدسی الجماعی الحنبلی</w:t>
      </w:r>
      <w:r>
        <w:rPr>
          <w:rFonts w:eastAsia="IRNazanin" w:cs="IRNazanin"/>
          <w:color w:val="111111"/>
          <w:sz w:val="28"/>
          <w:szCs w:val="28"/>
          <w:rtl w:val="true"/>
          <w:lang w:bidi="fa-IR"/>
        </w:rPr>
        <w:t>(</w:t>
      </w:r>
      <w:r>
        <w:rPr>
          <w:rFonts w:eastAsia="IRNazanin" w:cs="IRNazanin"/>
          <w:color w:val="111111"/>
          <w:sz w:val="28"/>
          <w:szCs w:val="28"/>
          <w:lang w:bidi="fa-IR"/>
        </w:rPr>
        <w:t>541</w:t>
      </w:r>
      <w:r>
        <w:rPr>
          <w:rFonts w:eastAsia="IRNazanin" w:cs="IRNazanin"/>
          <w:color w:val="111111"/>
          <w:sz w:val="28"/>
          <w:szCs w:val="28"/>
          <w:rtl w:val="true"/>
          <w:lang w:bidi="fa-IR"/>
        </w:rPr>
        <w:t>-</w:t>
      </w:r>
      <w:r>
        <w:rPr>
          <w:rFonts w:eastAsia="IRNazanin" w:cs="IRNazanin"/>
          <w:color w:val="111111"/>
          <w:sz w:val="28"/>
          <w:szCs w:val="28"/>
          <w:lang w:bidi="fa-IR"/>
        </w:rPr>
        <w:t>620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الکتب العلمیّة،بیروت</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مغنی المحتاج إلی معرفة معانی ألفاظ المنهاج،لشمس الدین محمد بن أحمد الشربینی</w:t>
      </w:r>
    </w:p>
    <w:p>
      <w:pPr>
        <w:pStyle w:val="BookText"/>
        <w:rPr/>
      </w:pPr>
      <w:r>
        <w:rPr>
          <w:rFonts w:ascii="IRNazanin" w:hAnsi="IRNazanin" w:eastAsia="IRNazanin"/>
          <w:color w:val="111111"/>
          <w:sz w:val="28"/>
          <w:sz w:val="28"/>
          <w:szCs w:val="28"/>
          <w:rtl w:val="true"/>
          <w:lang w:bidi="fa-IR"/>
        </w:rPr>
        <w:t>القاهری الشافعی،المعروف بالخطیب الشربینی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إحیاء التراث العربی،بیروت، الطبعة الاولی،</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الاصول،للسیّد محمّد بن علیّ بن محمّد علی بن أبی المعالی الطباطبائی الحسینی الحائری،المعروف بالسیّد المجاهد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1180</w:t>
      </w:r>
      <w:r>
        <w:rPr>
          <w:rFonts w:eastAsia="IRNazanin" w:cs="IRNazanin"/>
          <w:color w:val="111111"/>
          <w:sz w:val="28"/>
          <w:szCs w:val="28"/>
          <w:rtl w:val="true"/>
          <w:lang w:bidi="fa-IR"/>
        </w:rPr>
        <w:t>-</w:t>
      </w:r>
      <w:r>
        <w:rPr>
          <w:rFonts w:eastAsia="IRNazanin" w:cs="IRNazanin"/>
          <w:color w:val="111111"/>
          <w:sz w:val="28"/>
          <w:szCs w:val="28"/>
          <w:lang w:bidi="fa-IR"/>
        </w:rPr>
        <w:t>1242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آل البیت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مفاتیح الشرائع،لمحمد بن مرتضی بن محمود،المدعوّ بالمولی محسن،و المشتهر بالفیض الکاشانی </w:t>
      </w:r>
      <w:r>
        <w:rPr>
          <w:rFonts w:eastAsia="IRNazanin" w:cs="IRNazanin"/>
          <w:color w:val="111111"/>
          <w:sz w:val="28"/>
          <w:szCs w:val="28"/>
          <w:rtl w:val="true"/>
          <w:lang w:bidi="fa-IR"/>
        </w:rPr>
        <w:t>(</w:t>
      </w:r>
      <w:r>
        <w:rPr>
          <w:rFonts w:eastAsia="IRNazanin" w:cs="IRNazanin"/>
          <w:color w:val="111111"/>
          <w:sz w:val="28"/>
          <w:szCs w:val="28"/>
          <w:lang w:bidi="fa-IR"/>
        </w:rPr>
        <w:t>1007</w:t>
      </w:r>
      <w:r>
        <w:rPr>
          <w:rFonts w:eastAsia="IRNazanin" w:cs="IRNazanin"/>
          <w:color w:val="111111"/>
          <w:sz w:val="28"/>
          <w:szCs w:val="28"/>
          <w:rtl w:val="true"/>
          <w:lang w:bidi="fa-IR"/>
        </w:rPr>
        <w:t>-</w:t>
      </w:r>
      <w:r>
        <w:rPr>
          <w:rFonts w:eastAsia="IRNazanin" w:cs="IRNazanin"/>
          <w:color w:val="111111"/>
          <w:sz w:val="28"/>
          <w:szCs w:val="28"/>
          <w:lang w:bidi="fa-IR"/>
        </w:rPr>
        <w:t>1091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الذخائر الإسلامیّة،قم،</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الکرامة،لمحمد جواد بن محمد بن محمد بن أحمد بن قاسم الحسینی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النشر الإسلامی التابعة لجماعة المدرّسین،قم المقدّسة،الطبعة الاولی،</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مفردات ألفاظ القرآن،لأبی القاسم الحسین بن محمد بن المفضّل،المعروف بالراغب الأصبهانی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ذوی القربی،قم،الطبعة الثالثة،</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مقالات الاصول،للشیخ ضیاء الدین بن محمد العراقی</w:t>
      </w:r>
      <w:r>
        <w:rPr>
          <w:rFonts w:eastAsia="IRNazanin" w:cs="IRNazanin"/>
          <w:color w:val="111111"/>
          <w:sz w:val="28"/>
          <w:szCs w:val="28"/>
          <w:rtl w:val="true"/>
          <w:lang w:bidi="fa-IR"/>
        </w:rPr>
        <w:t>(</w:t>
      </w:r>
      <w:r>
        <w:rPr>
          <w:rFonts w:eastAsia="IRNazanin" w:cs="IRNazanin"/>
          <w:color w:val="111111"/>
          <w:sz w:val="28"/>
          <w:szCs w:val="28"/>
          <w:lang w:bidi="fa-IR"/>
        </w:rPr>
        <w:t>1278</w:t>
      </w:r>
      <w:r>
        <w:rPr>
          <w:rFonts w:eastAsia="IRNazanin" w:cs="IRNazanin"/>
          <w:color w:val="111111"/>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الفکر الإسلامی،قم،الطبعة الاولی،</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مقتضب الأثر فی النصّ علی الأئمّة الإثنی عشر،لأبی عبد اللّه أحمد بن محمّد بن عبید اللّه ابن الحسن بن عیّاش بن إبراهیم بن أیّوب الجوهریی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الطباطبائی،المطبعة العلمیّة، قم،</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المقنع،للشیخ الأقدم أبی جعفر محمد بن علیّ بن الحسین بن موسی بن بابویه القمّی، المعروف بالشیخ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الإمام الهادی علیه السّلام،قم،</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المقنعة،لأبی عبد اللّه محمد بن محمد بن النعمان العبکری البغدادی،الملقّب بالشیخ المفید </w:t>
      </w: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النشر الإسلامی،قم،الطبعة الثانیة،</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المکاسب،للشیخ مرتضی بن محمد أمین الأنصاری</w:t>
      </w:r>
      <w:r>
        <w:rPr>
          <w:rFonts w:eastAsia="IRNazanin" w:cs="IRNazanin"/>
          <w:color w:val="111111"/>
          <w:sz w:val="28"/>
          <w:szCs w:val="28"/>
          <w:rtl w:val="true"/>
          <w:lang w:bidi="fa-IR"/>
        </w:rPr>
        <w:t>(</w:t>
      </w:r>
      <w:r>
        <w:rPr>
          <w:rFonts w:eastAsia="IRNazanin" w:cs="IRNazanin"/>
          <w:color w:val="111111"/>
          <w:sz w:val="28"/>
          <w:szCs w:val="28"/>
          <w:lang w:bidi="fa-IR"/>
        </w:rPr>
        <w:t>1214</w:t>
      </w:r>
      <w:r>
        <w:rPr>
          <w:rFonts w:eastAsia="IRNazanin" w:cs="IRNazanin"/>
          <w:color w:val="111111"/>
          <w:sz w:val="28"/>
          <w:szCs w:val="28"/>
          <w:rtl w:val="true"/>
          <w:lang w:bidi="fa-IR"/>
        </w:rPr>
        <w:t>-</w:t>
      </w:r>
      <w:r>
        <w:rPr>
          <w:rFonts w:eastAsia="IRNazanin" w:cs="IRNazanin"/>
          <w:color w:val="111111"/>
          <w:sz w:val="28"/>
          <w:szCs w:val="28"/>
          <w:lang w:bidi="fa-IR"/>
        </w:rPr>
        <w:t>1281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تراث الشیخ الأعظم، قم،الطبعة الاولی،</w:t>
      </w:r>
      <w:r>
        <w:rPr>
          <w:rFonts w:eastAsia="IRNazanin" w:cs="IRNazanin"/>
          <w:color w:val="111111"/>
          <w:sz w:val="28"/>
          <w:szCs w:val="28"/>
          <w:lang w:bidi="fa-IR"/>
        </w:rPr>
        <w:t>1415</w:t>
      </w:r>
      <w:r>
        <w:rPr>
          <w:rFonts w:eastAsia="IRNazanin" w:cs="IRNazanin"/>
          <w:color w:val="111111"/>
          <w:sz w:val="28"/>
          <w:szCs w:val="28"/>
          <w:rtl w:val="true"/>
          <w:lang w:bidi="fa-IR"/>
        </w:rPr>
        <w:t>-</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المکاسب المحرّمة،للإمام الراحل السیّد روح اللّه الموسوی الخمینی قدّس سرّه</w:t>
      </w:r>
      <w:r>
        <w:rPr>
          <w:rFonts w:eastAsia="IRNazanin" w:cs="IRNazanin"/>
          <w:color w:val="111111"/>
          <w:sz w:val="28"/>
          <w:szCs w:val="28"/>
          <w:rtl w:val="true"/>
          <w:lang w:bidi="fa-IR"/>
        </w:rPr>
        <w:t>(</w:t>
      </w:r>
      <w:r>
        <w:rPr>
          <w:rFonts w:eastAsia="IRNazanin" w:cs="IRNazanin"/>
          <w:color w:val="111111"/>
          <w:sz w:val="28"/>
          <w:szCs w:val="28"/>
          <w:lang w:bidi="fa-IR"/>
        </w:rPr>
        <w:t>1281</w:t>
      </w:r>
      <w:r>
        <w:rPr>
          <w:rFonts w:eastAsia="IRNazanin" w:cs="IRNazanin"/>
          <w:color w:val="111111"/>
          <w:sz w:val="28"/>
          <w:szCs w:val="28"/>
          <w:rtl w:val="true"/>
          <w:lang w:bidi="fa-IR"/>
        </w:rPr>
        <w:t>-</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مؤسّسة تنظیم و نشر آثار الإمام الخمینی،قم،الطبعة الاولی المحقّقة،</w:t>
      </w:r>
      <w:r>
        <w:rPr>
          <w:rFonts w:eastAsia="IRNazanin" w:cs="IRNazanin"/>
          <w:color w:val="111111"/>
          <w:sz w:val="28"/>
          <w:szCs w:val="28"/>
          <w:lang w:bidi="fa-IR"/>
        </w:rPr>
        <w:t>1373</w:t>
      </w: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المکاسب المحرّمة،لأحمد الآذری القمّی</w:t>
      </w:r>
      <w:r>
        <w:rPr>
          <w:rFonts w:eastAsia="IRNazanin" w:cs="IRNazanin"/>
          <w:color w:val="111111"/>
          <w:sz w:val="28"/>
          <w:szCs w:val="28"/>
          <w:rtl w:val="true"/>
          <w:lang w:bidi="fa-IR"/>
        </w:rPr>
        <w:t>(</w:t>
      </w:r>
      <w:r>
        <w:rPr>
          <w:rFonts w:eastAsia="IRNazanin" w:cs="IRNazanin"/>
          <w:color w:val="111111"/>
          <w:sz w:val="28"/>
          <w:szCs w:val="28"/>
          <w:lang w:bidi="fa-IR"/>
        </w:rPr>
        <w:t>1304</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مکتبة ولایة الفقیه، قم،الطبعة الاولی،</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آل أبی طالب علیهم السّلام،لأبی جعفر محمد بن علیّ بن شهر آشوب السروی المازندرانی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منشورات علاّمة،المطبعة العلمیّة،قم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مناهج الأحکام و الاصول،للمولی أحمد بن المولی محمّد مهدی بن أبی ذرّ،المعروف بالفاضل النراقی</w:t>
      </w:r>
      <w:r>
        <w:rPr>
          <w:rFonts w:eastAsia="IRNazanin" w:cs="IRNazanin"/>
          <w:color w:val="111111"/>
          <w:sz w:val="28"/>
          <w:szCs w:val="28"/>
          <w:rtl w:val="true"/>
          <w:lang w:bidi="fa-IR"/>
        </w:rPr>
        <w:t>(</w:t>
      </w:r>
      <w:r>
        <w:rPr>
          <w:rFonts w:eastAsia="IRNazanin" w:cs="IRNazanin"/>
          <w:color w:val="111111"/>
          <w:sz w:val="28"/>
          <w:szCs w:val="28"/>
          <w:lang w:bidi="fa-IR"/>
        </w:rPr>
        <w:t>1185</w:t>
      </w:r>
      <w:r>
        <w:rPr>
          <w:rFonts w:eastAsia="IRNazanin" w:cs="IRNazanin"/>
          <w:color w:val="111111"/>
          <w:sz w:val="28"/>
          <w:szCs w:val="28"/>
          <w:rtl w:val="true"/>
          <w:lang w:bidi="fa-IR"/>
        </w:rPr>
        <w:t>-</w:t>
      </w:r>
      <w:r>
        <w:rPr>
          <w:rFonts w:eastAsia="IRNazanin" w:cs="IRNazanin"/>
          <w:color w:val="111111"/>
          <w:sz w:val="28"/>
          <w:szCs w:val="28"/>
          <w:lang w:bidi="fa-IR"/>
        </w:rPr>
        <w:t>1245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مناهج الوصول إلی علم الاصول،لآیة اللّه العظمی السیّد روح اللّه الموسوی الخمینی قدّس سرّه </w:t>
      </w:r>
      <w:r>
        <w:rPr>
          <w:rFonts w:eastAsia="IRNazanin" w:cs="IRNazanin"/>
          <w:color w:val="111111"/>
          <w:sz w:val="28"/>
          <w:szCs w:val="28"/>
          <w:rtl w:val="true"/>
          <w:lang w:bidi="fa-IR"/>
        </w:rPr>
        <w:t>(</w:t>
      </w:r>
      <w:r>
        <w:rPr>
          <w:rFonts w:eastAsia="IRNazanin" w:cs="IRNazanin"/>
          <w:color w:val="111111"/>
          <w:sz w:val="28"/>
          <w:szCs w:val="28"/>
          <w:lang w:bidi="fa-IR"/>
        </w:rPr>
        <w:t>1281</w:t>
      </w:r>
      <w:r>
        <w:rPr>
          <w:rFonts w:eastAsia="IRNazanin" w:cs="IRNazanin"/>
          <w:color w:val="111111"/>
          <w:sz w:val="28"/>
          <w:szCs w:val="28"/>
          <w:rtl w:val="true"/>
          <w:lang w:bidi="fa-IR"/>
        </w:rPr>
        <w:t>-</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تنظیم و نشر آثار الإمام الخمینی،قم،الطبعة الثانیة،</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المنجد فی اللّغة و الأعلام،لویس معلوف،دار المشرق،بیروت،طبعة </w:t>
      </w:r>
      <w:r>
        <w:rPr>
          <w:rFonts w:eastAsia="IRNazanin" w:cs="IRNazanin"/>
          <w:color w:val="111111"/>
          <w:sz w:val="28"/>
          <w:szCs w:val="28"/>
          <w:lang w:bidi="fa-IR"/>
        </w:rPr>
        <w:t>35</w:t>
      </w:r>
      <w:r>
        <w:rPr>
          <w:rFonts w:ascii="IRNazanin" w:hAnsi="IRNazanin" w:eastAsia="IRNazanin"/>
          <w:color w:val="111111"/>
          <w:sz w:val="28"/>
          <w:sz w:val="28"/>
          <w:szCs w:val="28"/>
          <w:lang w:bidi="fa-IR"/>
        </w:rPr>
        <w:t>،</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منتقی الاصول،تقریرا لأبحاث السیّد محمد الحسینی الروحانی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للسیّد الشهید عبد الصاحب بن محسن بن مهدی بن صالح بن أحمد بن محمود الطباطبائی الحکیم</w:t>
      </w:r>
      <w:r>
        <w:rPr>
          <w:rFonts w:eastAsia="IRNazanin" w:cs="IRNazanin"/>
          <w:color w:val="111111"/>
          <w:sz w:val="28"/>
          <w:szCs w:val="28"/>
          <w:rtl w:val="true"/>
          <w:lang w:bidi="fa-IR"/>
        </w:rPr>
        <w:t>(</w:t>
      </w:r>
      <w:r>
        <w:rPr>
          <w:rFonts w:eastAsia="IRNazanin" w:cs="IRNazanin"/>
          <w:color w:val="111111"/>
          <w:sz w:val="28"/>
          <w:szCs w:val="28"/>
          <w:lang w:bidi="fa-IR"/>
        </w:rPr>
        <w:t>1360</w:t>
      </w:r>
      <w:r>
        <w:rPr>
          <w:rFonts w:eastAsia="IRNazanin" w:cs="IRNazanin"/>
          <w:color w:val="111111"/>
          <w:sz w:val="28"/>
          <w:szCs w:val="28"/>
          <w:rtl w:val="true"/>
          <w:lang w:bidi="fa-IR"/>
        </w:rPr>
        <w:t>-</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الهادی،قم،الطبعة الثانیة،</w:t>
      </w:r>
      <w:r>
        <w:rPr>
          <w:rFonts w:eastAsia="IRNazanin" w:cs="IRNazanin"/>
          <w:color w:val="111111"/>
          <w:sz w:val="28"/>
          <w:szCs w:val="28"/>
          <w:lang w:bidi="fa-IR"/>
        </w:rPr>
        <w:t>1416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منتقی الجمان فی الأحادیث الصحاح و الحسان،لجمال الدّین أبی منصور الحسن بن زین الدین الشهید الثانی ابن علیّ بن أحمد العاملی،الجبعی</w:t>
      </w:r>
      <w:r>
        <w:rPr>
          <w:rFonts w:eastAsia="IRNazanin" w:cs="IRNazanin"/>
          <w:color w:val="111111"/>
          <w:sz w:val="28"/>
          <w:szCs w:val="28"/>
          <w:rtl w:val="true"/>
          <w:lang w:bidi="fa-IR"/>
        </w:rPr>
        <w:t>(</w:t>
      </w:r>
      <w:r>
        <w:rPr>
          <w:rFonts w:eastAsia="IRNazanin" w:cs="IRNazanin"/>
          <w:color w:val="111111"/>
          <w:sz w:val="28"/>
          <w:szCs w:val="28"/>
          <w:lang w:bidi="fa-IR"/>
        </w:rPr>
        <w:t>959</w:t>
      </w:r>
      <w:r>
        <w:rPr>
          <w:rFonts w:eastAsia="IRNazanin" w:cs="IRNazanin"/>
          <w:color w:val="111111"/>
          <w:sz w:val="28"/>
          <w:szCs w:val="28"/>
          <w:rtl w:val="true"/>
          <w:lang w:bidi="fa-IR"/>
        </w:rPr>
        <w:t>-</w:t>
      </w:r>
      <w:r>
        <w:rPr>
          <w:rFonts w:eastAsia="IRNazanin" w:cs="IRNazanin"/>
          <w:color w:val="111111"/>
          <w:sz w:val="28"/>
          <w:szCs w:val="28"/>
          <w:lang w:bidi="fa-IR"/>
        </w:rPr>
        <w:t>1011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النشر الإسلامی التابعة لجماعة المدرّسین،قم،الطبعة الاولی،</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الإرب فی لغة العرب،لعبد الرحیم بن عبد الکریم صفی‌پوری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سنائی،طهران،</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الاصول،للسیّد میرزا محمد حسن البجنوردی</w:t>
      </w:r>
      <w:r>
        <w:rPr>
          <w:rFonts w:eastAsia="IRNazanin" w:cs="IRNazanin"/>
          <w:color w:val="111111"/>
          <w:sz w:val="28"/>
          <w:szCs w:val="28"/>
          <w:rtl w:val="true"/>
          <w:lang w:bidi="fa-IR"/>
        </w:rPr>
        <w:t>(</w:t>
      </w:r>
      <w:r>
        <w:rPr>
          <w:rFonts w:eastAsia="IRNazanin" w:cs="IRNazanin"/>
          <w:color w:val="111111"/>
          <w:sz w:val="28"/>
          <w:szCs w:val="28"/>
          <w:lang w:bidi="fa-IR"/>
        </w:rPr>
        <w:t>1316</w:t>
      </w:r>
      <w:r>
        <w:rPr>
          <w:rFonts w:eastAsia="IRNazanin" w:cs="IRNazanin"/>
          <w:color w:val="111111"/>
          <w:sz w:val="28"/>
          <w:szCs w:val="28"/>
          <w:rtl w:val="true"/>
          <w:lang w:bidi="fa-IR"/>
        </w:rPr>
        <w:t>-</w:t>
      </w:r>
      <w:r>
        <w:rPr>
          <w:rFonts w:eastAsia="IRNazanin" w:cs="IRNazanin"/>
          <w:color w:val="111111"/>
          <w:sz w:val="28"/>
          <w:szCs w:val="28"/>
          <w:lang w:bidi="fa-IR"/>
        </w:rPr>
        <w:t>1396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مطبعة مؤسّسة العروج،قم،الطبعة الاولی،</w:t>
      </w:r>
      <w:r>
        <w:rPr>
          <w:rFonts w:eastAsia="IRNazanin" w:cs="IRNazanin"/>
          <w:color w:val="111111"/>
          <w:sz w:val="28"/>
          <w:szCs w:val="28"/>
          <w:lang w:bidi="fa-IR"/>
        </w:rPr>
        <w:t>1421</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المطلب فی تحقیق المذهب،لأبی منصور الحسن بن یوسف بن علیّ بن المطهّر الأسدی،المعروف بالعلاّمة الحلّی</w:t>
      </w:r>
      <w:r>
        <w:rPr>
          <w:rFonts w:eastAsia="IRNazanin" w:cs="IRNazanin"/>
          <w:color w:val="111111"/>
          <w:sz w:val="28"/>
          <w:szCs w:val="28"/>
          <w:rtl w:val="true"/>
          <w:lang w:bidi="fa-IR"/>
        </w:rPr>
        <w:t>(</w:t>
      </w:r>
      <w:r>
        <w:rPr>
          <w:rFonts w:eastAsia="IRNazanin" w:cs="IRNazanin"/>
          <w:color w:val="111111"/>
          <w:sz w:val="28"/>
          <w:szCs w:val="28"/>
          <w:lang w:bidi="fa-IR"/>
        </w:rPr>
        <w:t>648</w:t>
      </w:r>
      <w:r>
        <w:rPr>
          <w:rFonts w:eastAsia="IRNazanin" w:cs="IRNazanin"/>
          <w:color w:val="111111"/>
          <w:sz w:val="28"/>
          <w:szCs w:val="28"/>
          <w:rtl w:val="true"/>
          <w:lang w:bidi="fa-IR"/>
        </w:rPr>
        <w:t>-</w:t>
      </w:r>
      <w:r>
        <w:rPr>
          <w:rFonts w:eastAsia="IRNazanin" w:cs="IRNazanin"/>
          <w:color w:val="111111"/>
          <w:sz w:val="28"/>
          <w:szCs w:val="28"/>
          <w:lang w:bidi="fa-IR"/>
        </w:rPr>
        <w:t>726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الطبع و النشر فی الآستانة الرضویّة</w:t>
      </w:r>
    </w:p>
    <w:p>
      <w:pPr>
        <w:pStyle w:val="BookText"/>
        <w:rPr/>
      </w:pPr>
      <w:r>
        <w:rPr>
          <w:rFonts w:ascii="IRNazanin" w:hAnsi="IRNazanin" w:eastAsia="IRNazanin"/>
          <w:color w:val="111111"/>
          <w:sz w:val="28"/>
          <w:sz w:val="28"/>
          <w:szCs w:val="28"/>
          <w:rtl w:val="true"/>
          <w:lang w:bidi="fa-IR"/>
        </w:rPr>
        <w:t>المقدّسة،الطبعة الاولی،</w:t>
      </w:r>
      <w:r>
        <w:rPr>
          <w:rFonts w:eastAsia="IRNazanin" w:cs="IRNazanin"/>
          <w:color w:val="111111"/>
          <w:sz w:val="28"/>
          <w:szCs w:val="28"/>
          <w:lang w:bidi="fa-IR"/>
        </w:rPr>
        <w:t>1421</w:t>
      </w:r>
      <w:r>
        <w:rPr>
          <w:rFonts w:eastAsia="IRNazanin" w:cs="IRNazanin"/>
          <w:color w:val="111111"/>
          <w:sz w:val="28"/>
          <w:szCs w:val="28"/>
          <w:rtl w:val="true"/>
          <w:lang w:bidi="fa-IR"/>
        </w:rPr>
        <w:t>-</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السنّة النبویّة،لأبی العبّاس أحمد بن عبد الحلیم بن عبد السلام بن عبد اللّه بن أبی القاسم ابن تیمیّة الحرّانی</w:t>
      </w:r>
      <w:r>
        <w:rPr>
          <w:rFonts w:eastAsia="IRNazanin" w:cs="IRNazanin"/>
          <w:color w:val="111111"/>
          <w:sz w:val="28"/>
          <w:szCs w:val="28"/>
          <w:rtl w:val="true"/>
          <w:lang w:bidi="fa-IR"/>
        </w:rPr>
        <w:t>(</w:t>
      </w:r>
      <w:r>
        <w:rPr>
          <w:rFonts w:eastAsia="IRNazanin" w:cs="IRNazanin"/>
          <w:color w:val="111111"/>
          <w:sz w:val="28"/>
          <w:szCs w:val="28"/>
          <w:lang w:bidi="fa-IR"/>
        </w:rPr>
        <w:t>661</w:t>
      </w:r>
      <w:r>
        <w:rPr>
          <w:rFonts w:eastAsia="IRNazanin" w:cs="IRNazanin"/>
          <w:color w:val="111111"/>
          <w:sz w:val="28"/>
          <w:szCs w:val="28"/>
          <w:rtl w:val="true"/>
          <w:lang w:bidi="fa-IR"/>
        </w:rPr>
        <w:t>-</w:t>
      </w:r>
      <w:r>
        <w:rPr>
          <w:rFonts w:eastAsia="IRNazanin" w:cs="IRNazanin"/>
          <w:color w:val="111111"/>
          <w:sz w:val="28"/>
          <w:szCs w:val="28"/>
          <w:lang w:bidi="fa-IR"/>
        </w:rPr>
        <w:t>728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الاولی،</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الصالحین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،للسیّد أبو القاسم بن علی أکبر بن هاشم الموسوی الخوئی </w:t>
      </w:r>
      <w:r>
        <w:rPr>
          <w:rFonts w:eastAsia="IRNazanin" w:cs="IRNazanin"/>
          <w:color w:val="111111"/>
          <w:sz w:val="28"/>
          <w:szCs w:val="28"/>
          <w:rtl w:val="true"/>
          <w:lang w:bidi="fa-IR"/>
        </w:rPr>
        <w:t>(</w:t>
      </w:r>
      <w:r>
        <w:rPr>
          <w:rFonts w:eastAsia="IRNazanin" w:cs="IRNazanin"/>
          <w:color w:val="111111"/>
          <w:sz w:val="28"/>
          <w:szCs w:val="28"/>
          <w:lang w:bidi="fa-IR"/>
        </w:rPr>
        <w:t>1317</w:t>
      </w:r>
      <w:r>
        <w:rPr>
          <w:rFonts w:eastAsia="IRNazanin" w:cs="IRNazanin"/>
          <w:color w:val="111111"/>
          <w:sz w:val="28"/>
          <w:szCs w:val="28"/>
          <w:rtl w:val="true"/>
          <w:lang w:bidi="fa-IR"/>
        </w:rPr>
        <w:t>-</w:t>
      </w:r>
      <w:r>
        <w:rPr>
          <w:rFonts w:eastAsia="IRNazanin" w:cs="IRNazanin"/>
          <w:color w:val="111111"/>
          <w:sz w:val="28"/>
          <w:szCs w:val="28"/>
          <w:lang w:bidi="fa-IR"/>
        </w:rPr>
        <w:t>1413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 العلم،قم،الطبعة الثامنة و العشرون،</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منیة الطالب فی شرح المکاسب،تقریرات أبحاث المحقّق المیرزا محمد حسین الغروی النائینی </w:t>
      </w:r>
      <w:r>
        <w:rPr>
          <w:rFonts w:eastAsia="IRNazanin" w:cs="IRNazanin"/>
          <w:color w:val="111111"/>
          <w:sz w:val="28"/>
          <w:szCs w:val="28"/>
          <w:rtl w:val="true"/>
          <w:lang w:bidi="fa-IR"/>
        </w:rPr>
        <w:t>(</w:t>
      </w:r>
      <w:r>
        <w:rPr>
          <w:rFonts w:eastAsia="IRNazanin" w:cs="IRNazanin"/>
          <w:color w:val="111111"/>
          <w:sz w:val="28"/>
          <w:szCs w:val="28"/>
          <w:lang w:bidi="fa-IR"/>
        </w:rPr>
        <w:t>1276</w:t>
      </w:r>
      <w:r>
        <w:rPr>
          <w:rFonts w:eastAsia="IRNazanin" w:cs="IRNazanin"/>
          <w:color w:val="111111"/>
          <w:sz w:val="28"/>
          <w:szCs w:val="28"/>
          <w:rtl w:val="true"/>
          <w:lang w:bidi="fa-IR"/>
        </w:rPr>
        <w:t>-</w:t>
      </w:r>
      <w:r>
        <w:rPr>
          <w:rFonts w:eastAsia="IRNazanin" w:cs="IRNazanin"/>
          <w:color w:val="111111"/>
          <w:sz w:val="28"/>
          <w:szCs w:val="28"/>
          <w:lang w:bidi="fa-IR"/>
        </w:rPr>
        <w:t>1355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لموسی بن محمد النجفی الخوانساری</w:t>
      </w:r>
      <w:r>
        <w:rPr>
          <w:rFonts w:eastAsia="IRNazanin" w:cs="IRNazanin"/>
          <w:color w:val="111111"/>
          <w:sz w:val="28"/>
          <w:szCs w:val="28"/>
          <w:rtl w:val="true"/>
          <w:lang w:bidi="fa-IR"/>
        </w:rPr>
        <w:t>(</w:t>
      </w:r>
      <w:r>
        <w:rPr>
          <w:rFonts w:eastAsia="IRNazanin" w:cs="IRNazanin"/>
          <w:color w:val="111111"/>
          <w:sz w:val="28"/>
          <w:szCs w:val="28"/>
          <w:lang w:bidi="fa-IR"/>
        </w:rPr>
        <w:t>1254</w:t>
      </w:r>
      <w:r>
        <w:rPr>
          <w:rFonts w:eastAsia="IRNazanin" w:cs="IRNazanin"/>
          <w:color w:val="111111"/>
          <w:sz w:val="28"/>
          <w:szCs w:val="28"/>
          <w:rtl w:val="true"/>
          <w:lang w:bidi="fa-IR"/>
        </w:rPr>
        <w:t>-</w:t>
      </w:r>
      <w:r>
        <w:rPr>
          <w:rFonts w:eastAsia="IRNazanin" w:cs="IRNazanin"/>
          <w:color w:val="111111"/>
          <w:sz w:val="28"/>
          <w:szCs w:val="28"/>
          <w:lang w:bidi="fa-IR"/>
        </w:rPr>
        <w:t>1323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النشر الإسلامی،قم،الطبعة الاولی،</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المهذّب،للشیخ سعد الدّین أبی القاسم عبد العزیز بن نحریر بن عبد العزیز بن البرّاج الطرابلسی،المعروف بالقاضی ابن البرّاج</w:t>
      </w: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w:t>
      </w:r>
      <w:r>
        <w:rPr>
          <w:rFonts w:eastAsia="IRNazanin" w:cs="IRNazanin"/>
          <w:color w:val="111111"/>
          <w:sz w:val="28"/>
          <w:szCs w:val="28"/>
          <w:lang w:bidi="fa-IR"/>
        </w:rPr>
        <w:t>481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النشر الإسلامی،قم،</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مهذّب الأحکام فی بیان الحلال و الحرام،للسیّد عبد الأعلی بن علی رضا بن عبد العلی بن عبد الغنی بن محمد الموسوی السبزواری</w:t>
      </w:r>
      <w:r>
        <w:rPr>
          <w:rFonts w:eastAsia="IRNazanin" w:cs="IRNazanin"/>
          <w:color w:val="111111"/>
          <w:sz w:val="28"/>
          <w:szCs w:val="28"/>
          <w:rtl w:val="true"/>
          <w:lang w:bidi="fa-IR"/>
        </w:rPr>
        <w:t>(</w:t>
      </w:r>
      <w:r>
        <w:rPr>
          <w:rFonts w:eastAsia="IRNazanin" w:cs="IRNazanin"/>
          <w:color w:val="111111"/>
          <w:sz w:val="28"/>
          <w:szCs w:val="28"/>
          <w:lang w:bidi="fa-IR"/>
        </w:rPr>
        <w:t>1328</w:t>
      </w:r>
      <w:r>
        <w:rPr>
          <w:rFonts w:eastAsia="IRNazanin" w:cs="IRNazanin"/>
          <w:color w:val="111111"/>
          <w:sz w:val="28"/>
          <w:szCs w:val="28"/>
          <w:rtl w:val="true"/>
          <w:lang w:bidi="fa-IR"/>
        </w:rPr>
        <w:t>-</w:t>
      </w:r>
      <w:r>
        <w:rPr>
          <w:rFonts w:eastAsia="IRNazanin" w:cs="IRNazanin"/>
          <w:color w:val="111111"/>
          <w:sz w:val="28"/>
          <w:szCs w:val="28"/>
          <w:lang w:bidi="fa-IR"/>
        </w:rPr>
        <w:t>1414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مطبعة فروردین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،قم،الطبعة الرابعة،</w:t>
      </w:r>
      <w:r>
        <w:rPr>
          <w:rFonts w:eastAsia="IRNazanin" w:cs="IRNazanin"/>
          <w:color w:val="111111"/>
          <w:sz w:val="28"/>
          <w:szCs w:val="28"/>
          <w:lang w:bidi="fa-IR"/>
        </w:rPr>
        <w:t>1413</w:t>
      </w:r>
      <w:r>
        <w:rPr>
          <w:rFonts w:eastAsia="IRNazanin" w:cs="IRNazanin"/>
          <w:color w:val="111111"/>
          <w:sz w:val="28"/>
          <w:szCs w:val="28"/>
          <w:rtl w:val="true"/>
          <w:lang w:bidi="fa-IR"/>
        </w:rPr>
        <w:t>-</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المهذّب فی فقه الشافعی،لأبی إسحاق إبراهیم بن علیّ بن یوسف بن عبد اللّه الفیروزآبادی الشیرازی الشافعی</w:t>
      </w:r>
      <w:r>
        <w:rPr>
          <w:rFonts w:eastAsia="IRNazanin" w:cs="IRNazanin"/>
          <w:color w:val="111111"/>
          <w:sz w:val="28"/>
          <w:szCs w:val="28"/>
          <w:rtl w:val="true"/>
          <w:lang w:bidi="fa-IR"/>
        </w:rPr>
        <w:t>(</w:t>
      </w:r>
      <w:r>
        <w:rPr>
          <w:rFonts w:eastAsia="IRNazanin" w:cs="IRNazanin"/>
          <w:color w:val="111111"/>
          <w:sz w:val="28"/>
          <w:szCs w:val="28"/>
          <w:lang w:bidi="fa-IR"/>
        </w:rPr>
        <w:t>393</w:t>
      </w:r>
      <w:r>
        <w:rPr>
          <w:rFonts w:eastAsia="IRNazanin" w:cs="IRNazanin"/>
          <w:color w:val="111111"/>
          <w:sz w:val="28"/>
          <w:szCs w:val="28"/>
          <w:rtl w:val="true"/>
          <w:lang w:bidi="fa-IR"/>
        </w:rPr>
        <w:t>-</w:t>
      </w:r>
      <w:r>
        <w:rPr>
          <w:rFonts w:eastAsia="IRNazanin" w:cs="IRNazanin"/>
          <w:color w:val="111111"/>
          <w:sz w:val="28"/>
          <w:szCs w:val="28"/>
          <w:lang w:bidi="fa-IR"/>
        </w:rPr>
        <w:t>476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القلم،دمشق،دار الشامیّة،بیروت،الطبعة الاولی،</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الموجز الحاوی لتحریر الفتاوی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الرسائل العشر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للشیخ جمال الدّین أبی العبّاس أحمد بن محمّد بن فهد الحلّی الأسدی</w:t>
      </w:r>
      <w:r>
        <w:rPr>
          <w:rFonts w:eastAsia="IRNazanin" w:cs="IRNazanin"/>
          <w:color w:val="111111"/>
          <w:sz w:val="28"/>
          <w:szCs w:val="28"/>
          <w:rtl w:val="true"/>
          <w:lang w:bidi="fa-IR"/>
        </w:rPr>
        <w:t>(</w:t>
      </w:r>
      <w:r>
        <w:rPr>
          <w:rFonts w:eastAsia="IRNazanin" w:cs="IRNazanin"/>
          <w:color w:val="111111"/>
          <w:sz w:val="28"/>
          <w:szCs w:val="28"/>
          <w:lang w:bidi="fa-IR"/>
        </w:rPr>
        <w:t>757</w:t>
      </w:r>
      <w:r>
        <w:rPr>
          <w:rFonts w:eastAsia="IRNazanin" w:cs="IRNazanin"/>
          <w:color w:val="111111"/>
          <w:sz w:val="28"/>
          <w:szCs w:val="28"/>
          <w:rtl w:val="true"/>
          <w:lang w:bidi="fa-IR"/>
        </w:rPr>
        <w:t>-</w:t>
      </w:r>
      <w:r>
        <w:rPr>
          <w:rFonts w:eastAsia="IRNazanin" w:cs="IRNazanin"/>
          <w:color w:val="111111"/>
          <w:sz w:val="28"/>
          <w:szCs w:val="28"/>
          <w:lang w:bidi="fa-IR"/>
        </w:rPr>
        <w:t>841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آیة اللّه المرعشی النجفی،قم المقدّسة،الطبعة الاولی،</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الموافقات فی اصول الشریعة،لإبراهیم بن موسی بن محمّد اللخمی الغرناطی المالکی، الشهیر بالشاطبی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الکتب العلمیّة،بیروت</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موسوعة أحکام الأطفال و أدلّتها،جمع من المحقّقین،مرکز فقه الأئمّة الأطهار علیهم السّلام،قم،الطبعة الاولی،</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bookmarkStart w:id="834" w:name="pg5439_47124"/>
    </w:p>
    <w:p>
      <w:pPr>
        <w:pStyle w:val="BookText"/>
        <w:rPr/>
      </w:pPr>
      <w:bookmarkEnd w:id="834"/>
      <w:r>
        <w:rPr>
          <w:rFonts w:eastAsia="IRNazanin" w:cs="IRNazanin"/>
          <w:color w:val="111111"/>
          <w:sz w:val="28"/>
          <w:szCs w:val="28"/>
          <w:lang w:bidi="fa-IR"/>
        </w:rPr>
        <w:t>270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موسوعة الفقه الإسلامی،المعروفة بموسوعة جمال عبد الناصر،لعبد الناصر بن حسین ابن خلیل بن سلطان عبد الناصر</w:t>
      </w:r>
      <w:r>
        <w:rPr>
          <w:rFonts w:eastAsia="IRNazanin" w:cs="IRNazanin"/>
          <w:color w:val="111111"/>
          <w:sz w:val="28"/>
          <w:szCs w:val="28"/>
          <w:rtl w:val="true"/>
          <w:lang w:bidi="fa-IR"/>
        </w:rPr>
        <w:t>(</w:t>
      </w:r>
      <w:r>
        <w:rPr>
          <w:rFonts w:eastAsia="IRNazanin" w:cs="IRNazanin"/>
          <w:color w:val="111111"/>
          <w:sz w:val="28"/>
          <w:szCs w:val="28"/>
          <w:lang w:bidi="fa-IR"/>
        </w:rPr>
        <w:t>1336</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المجلس الأعلی للشؤون الإسلامیّة،القاهرة،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الموسوعة المیسّرة فی الأدیان و المذاهب المعاصرة،الندوة العالمیّة للشباب الإسلامی، الریاض،</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 فی تفسیر القرآن،للعلاّمة السیّد محمد حسین الطباطبائی</w:t>
      </w:r>
      <w:r>
        <w:rPr>
          <w:rFonts w:eastAsia="IRNazanin" w:cs="IRNazanin"/>
          <w:color w:val="111111"/>
          <w:sz w:val="28"/>
          <w:szCs w:val="28"/>
          <w:rtl w:val="true"/>
          <w:lang w:bidi="fa-IR"/>
        </w:rPr>
        <w:t>(</w:t>
      </w:r>
      <w:r>
        <w:rPr>
          <w:rFonts w:eastAsia="IRNazanin" w:cs="IRNazanin"/>
          <w:color w:val="111111"/>
          <w:sz w:val="28"/>
          <w:szCs w:val="28"/>
          <w:lang w:bidi="fa-IR"/>
        </w:rPr>
        <w:t>1321</w:t>
      </w:r>
      <w:r>
        <w:rPr>
          <w:rFonts w:eastAsia="IRNazanin" w:cs="IRNazanin"/>
          <w:color w:val="111111"/>
          <w:sz w:val="28"/>
          <w:szCs w:val="28"/>
          <w:rtl w:val="true"/>
          <w:lang w:bidi="fa-IR"/>
        </w:rPr>
        <w:t>-</w:t>
      </w:r>
      <w:r>
        <w:rPr>
          <w:rFonts w:eastAsia="IRNazanin" w:cs="IRNazanin"/>
          <w:color w:val="111111"/>
          <w:sz w:val="28"/>
          <w:szCs w:val="28"/>
          <w:lang w:bidi="fa-IR"/>
        </w:rPr>
        <w:t>1402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مطبوعاتی إسماعیلیان،قم،الطبعة الثالثة،</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3"/>
        <w:numPr>
          <w:ilvl w:val="2"/>
          <w:numId w:val="1"/>
        </w:numPr>
        <w:rPr/>
      </w:pPr>
      <w:bookmarkStart w:id="835" w:name="__RefHeading___Toc1856450_581953129"/>
      <w:bookmarkStart w:id="836" w:name="_Toc310"/>
      <w:bookmarkEnd w:id="835"/>
      <w:r>
        <w:rPr>
          <w:rtl w:val="true"/>
        </w:rPr>
        <w:t>-</w:t>
      </w:r>
      <w:r>
        <w:rPr>
          <w:rtl w:val="true"/>
        </w:rPr>
        <w:t>ن</w:t>
      </w:r>
      <w:r>
        <w:rPr>
          <w:rtl w:val="true"/>
        </w:rPr>
        <w:t>-</w:t>
      </w:r>
      <w:bookmarkEnd w:id="836"/>
    </w:p>
    <w:p>
      <w:pPr>
        <w:pStyle w:val="BookText"/>
        <w:rPr/>
      </w:pPr>
      <w:r>
        <w:rPr>
          <w:rFonts w:eastAsia="IRNazanin" w:cs="IRNazanin"/>
          <w:color w:val="111111"/>
          <w:sz w:val="28"/>
          <w:szCs w:val="28"/>
          <w:lang w:bidi="fa-IR"/>
        </w:rPr>
        <w:t>273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النظریّات العامّة فی الفقه الإسلامی و تاریخه،للدکتور فراج حسین و الدکتور عبد الودود محمّد السّریتی،دار النهضة العربیّة،بیروت،</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مسافر با وسائل امروزی،لمحمّد صادقی تهرانی،حوزۀ علمیّة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نگرشی جدید بر نماز و روزه مسافران،لمحمّد صادقی تهرانی،انتشارات امید،تهران،الطبعة الاولی،</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الإحکام فی معرفة الأحکام،لأبی منصور الحسن بن یوسف بن علیّ بن المطهّر الأسدی،المعروف بالعلاّمة الحلّی</w:t>
      </w:r>
      <w:r>
        <w:rPr>
          <w:rFonts w:eastAsia="IRNazanin" w:cs="IRNazanin"/>
          <w:color w:val="111111"/>
          <w:sz w:val="28"/>
          <w:szCs w:val="28"/>
          <w:rtl w:val="true"/>
          <w:lang w:bidi="fa-IR"/>
        </w:rPr>
        <w:t>(</w:t>
      </w:r>
      <w:r>
        <w:rPr>
          <w:rFonts w:eastAsia="IRNazanin" w:cs="IRNazanin"/>
          <w:color w:val="111111"/>
          <w:sz w:val="28"/>
          <w:szCs w:val="28"/>
          <w:lang w:bidi="fa-IR"/>
        </w:rPr>
        <w:t>648</w:t>
      </w:r>
      <w:r>
        <w:rPr>
          <w:rFonts w:eastAsia="IRNazanin" w:cs="IRNazanin"/>
          <w:color w:val="111111"/>
          <w:sz w:val="28"/>
          <w:szCs w:val="28"/>
          <w:rtl w:val="true"/>
          <w:lang w:bidi="fa-IR"/>
        </w:rPr>
        <w:t>-</w:t>
      </w:r>
      <w:r>
        <w:rPr>
          <w:rFonts w:eastAsia="IRNazanin" w:cs="IRNazanin"/>
          <w:color w:val="111111"/>
          <w:sz w:val="28"/>
          <w:szCs w:val="28"/>
          <w:lang w:bidi="fa-IR"/>
        </w:rPr>
        <w:t>726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الأضواء،بیروت،الطبعة الاولی،</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الأفکار،تقریر أبحاث الشیخ ضیاء الدین ابن المولی محمد العراقی</w:t>
      </w:r>
      <w:r>
        <w:rPr>
          <w:rFonts w:eastAsia="IRNazanin" w:cs="IRNazanin"/>
          <w:color w:val="111111"/>
          <w:sz w:val="28"/>
          <w:szCs w:val="28"/>
          <w:rtl w:val="true"/>
          <w:lang w:bidi="fa-IR"/>
        </w:rPr>
        <w:t>(</w:t>
      </w:r>
      <w:r>
        <w:rPr>
          <w:rFonts w:eastAsia="IRNazanin" w:cs="IRNazanin"/>
          <w:color w:val="111111"/>
          <w:sz w:val="28"/>
          <w:szCs w:val="28"/>
          <w:lang w:bidi="fa-IR"/>
        </w:rPr>
        <w:t>1278</w:t>
      </w:r>
      <w:r>
        <w:rPr>
          <w:rFonts w:eastAsia="IRNazanin" w:cs="IRNazanin"/>
          <w:color w:val="111111"/>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محمد تقی البروجردی النجفی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النشر الإسلامی،قم،</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التقریر فی مباحث الصلاة،تقریرا لما أفاده السیّد حسین بن علی بن أحمد الطباطبائی البروجردی</w:t>
      </w:r>
      <w:r>
        <w:rPr>
          <w:rFonts w:eastAsia="IRNazanin" w:cs="IRNazanin"/>
          <w:color w:val="111111"/>
          <w:sz w:val="28"/>
          <w:szCs w:val="28"/>
          <w:rtl w:val="true"/>
          <w:lang w:bidi="fa-IR"/>
        </w:rPr>
        <w:t>(</w:t>
      </w:r>
      <w:r>
        <w:rPr>
          <w:rFonts w:eastAsia="IRNazanin" w:cs="IRNazanin"/>
          <w:color w:val="111111"/>
          <w:sz w:val="28"/>
          <w:szCs w:val="28"/>
          <w:lang w:bidi="fa-IR"/>
        </w:rPr>
        <w:t>1292</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لآیة اللّه العظمی الشیخ محمد الفاضل اللنکرانی قدّس سرّه </w:t>
      </w:r>
      <w:r>
        <w:rPr>
          <w:rFonts w:eastAsia="IRNazanin" w:cs="IRNazanin"/>
          <w:color w:val="111111"/>
          <w:sz w:val="28"/>
          <w:szCs w:val="28"/>
          <w:rtl w:val="true"/>
          <w:lang w:bidi="fa-IR"/>
        </w:rPr>
        <w:t>(</w:t>
      </w:r>
      <w:r>
        <w:rPr>
          <w:rFonts w:eastAsia="IRNazanin" w:cs="IRNazanin"/>
          <w:color w:val="111111"/>
          <w:sz w:val="28"/>
          <w:szCs w:val="28"/>
          <w:lang w:bidi="fa-IR"/>
        </w:rPr>
        <w:t>1350</w:t>
      </w:r>
      <w:r>
        <w:rPr>
          <w:rFonts w:eastAsia="IRNazanin" w:cs="IRNazanin"/>
          <w:color w:val="111111"/>
          <w:sz w:val="28"/>
          <w:szCs w:val="28"/>
          <w:rtl w:val="true"/>
          <w:lang w:bidi="fa-IR"/>
        </w:rPr>
        <w:t>-</w:t>
      </w:r>
      <w:r>
        <w:rPr>
          <w:rFonts w:eastAsia="IRNazanin" w:cs="IRNazanin"/>
          <w:color w:val="111111"/>
          <w:sz w:val="28"/>
          <w:szCs w:val="28"/>
          <w:lang w:bidi="fa-IR"/>
        </w:rPr>
        <w:t>1428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فقه الأئمّة الأطهار علیهم السّلام،قم،الطبعة الثالثة،</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الدرایة فی شرح الکفایة،للشیخ محمد حسین بن محمد حسن بن علی أکبر بن آقا بابا</w:t>
      </w:r>
      <w:bookmarkStart w:id="837" w:name="pg5439_47125"/>
    </w:p>
    <w:p>
      <w:pPr>
        <w:pStyle w:val="BookText"/>
        <w:rPr/>
      </w:pPr>
      <w:bookmarkEnd w:id="837"/>
      <w:r>
        <w:rPr>
          <w:rFonts w:ascii="IRNazanin" w:hAnsi="IRNazanin" w:eastAsia="IRNazanin"/>
          <w:color w:val="111111"/>
          <w:sz w:val="28"/>
          <w:sz w:val="28"/>
          <w:szCs w:val="28"/>
          <w:rtl w:val="true"/>
          <w:lang w:bidi="fa-IR"/>
        </w:rPr>
        <w:t>ابن آقا کوچک النخجوانی،المعروف بالمحقّق الاصفهانی</w:t>
      </w:r>
      <w:r>
        <w:rPr>
          <w:rFonts w:eastAsia="IRNazanin" w:cs="IRNazanin"/>
          <w:color w:val="111111"/>
          <w:sz w:val="28"/>
          <w:szCs w:val="28"/>
          <w:rtl w:val="true"/>
          <w:lang w:bidi="fa-IR"/>
        </w:rPr>
        <w:t>(</w:t>
      </w:r>
      <w:r>
        <w:rPr>
          <w:rFonts w:eastAsia="IRNazanin" w:cs="IRNazanin"/>
          <w:color w:val="111111"/>
          <w:sz w:val="28"/>
          <w:szCs w:val="28"/>
          <w:lang w:bidi="fa-IR"/>
        </w:rPr>
        <w:t>1296</w:t>
      </w:r>
      <w:r>
        <w:rPr>
          <w:rFonts w:eastAsia="IRNazanin" w:cs="IRNazanin"/>
          <w:color w:val="111111"/>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آل البیت علیهم السّلام لإحیاء التراث،قم،الطبعة الاولی،</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النهایة فی مجرّد الفقه و الفتاوی،لشیخ الطائفة أبی جعفر محمد بن الحسن بن علیّ الطوسی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الکتاب العربی،بیروت،الطبعة الاولی،</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البلاغة،و هو مجموع ما اختاره أبو الحسن محمّد بن الحسین بن موسی بن محمد بن موسی ابن إبراهیم المجاب بن الإمام موسی بن جعفر علیهما السّلام،المعروف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الشریف الرضی</w:t>
      </w:r>
      <w:r>
        <w:rPr>
          <w:rFonts w:eastAsia="IRNazanin" w:cs="IRNazanin"/>
          <w:color w:val="111111"/>
          <w:sz w:val="28"/>
          <w:szCs w:val="28"/>
          <w:rtl w:val="true"/>
          <w:lang w:bidi="fa-IR"/>
        </w:rPr>
        <w:t>» (</w:t>
      </w:r>
      <w:r>
        <w:rPr>
          <w:rFonts w:eastAsia="IRNazanin" w:cs="IRNazanin"/>
          <w:color w:val="111111"/>
          <w:sz w:val="28"/>
          <w:szCs w:val="28"/>
          <w:lang w:bidi="fa-IR"/>
        </w:rPr>
        <w:t>359</w:t>
      </w:r>
      <w:r>
        <w:rPr>
          <w:rFonts w:eastAsia="IRNazanin" w:cs="IRNazanin"/>
          <w:color w:val="111111"/>
          <w:sz w:val="28"/>
          <w:szCs w:val="28"/>
          <w:rtl w:val="true"/>
          <w:lang w:bidi="fa-IR"/>
        </w:rPr>
        <w:t>-</w:t>
      </w:r>
      <w:r>
        <w:rPr>
          <w:rFonts w:eastAsia="IRNazanin" w:cs="IRNazanin"/>
          <w:color w:val="111111"/>
          <w:sz w:val="28"/>
          <w:szCs w:val="28"/>
          <w:lang w:bidi="fa-IR"/>
        </w:rPr>
        <w:t>406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کلام أمیر المؤمنین علیّ بن أبی طالب علیه السّلام،تحقیق الدکتور صبحی الصالح،دار الهجرة،قم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النوادر،لأبی جعفر أحمد بن محمد بن عیسی بن عبد اللّه بن سعد بن مالک بن الأحوص الأشعری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أعلام القرن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الإمام المهدی علیه السّلام،قم،الطبعة الاولی،</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النوادر،للسیّد أبی الرضا ضیاء الدین فضل اللّه بن علیّ بن عبید اللّه بن محمّد بن عبید اللّه بن محمّد ابن أبی الفضل الراوندی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483</w:t>
      </w:r>
      <w:r>
        <w:rPr>
          <w:rFonts w:eastAsia="IRNazanin" w:cs="IRNazanin"/>
          <w:color w:val="111111"/>
          <w:sz w:val="28"/>
          <w:szCs w:val="28"/>
          <w:rtl w:val="true"/>
          <w:lang w:bidi="fa-IR"/>
        </w:rPr>
        <w:t>-</w:t>
      </w:r>
      <w:r>
        <w:rPr>
          <w:rFonts w:eastAsia="IRNazanin" w:cs="IRNazanin"/>
          <w:color w:val="111111"/>
          <w:sz w:val="28"/>
          <w:szCs w:val="28"/>
          <w:lang w:bidi="fa-IR"/>
        </w:rPr>
        <w:t>571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الحدیث،قم،الطبعة الاولی،</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838" w:name="__RefHeading___Toc1856452_581953129"/>
      <w:bookmarkStart w:id="839" w:name="_Toc311"/>
      <w:bookmarkEnd w:id="838"/>
      <w:r>
        <w:rPr>
          <w:rtl w:val="true"/>
        </w:rPr>
        <w:t>-</w:t>
      </w:r>
      <w:r>
        <w:rPr>
          <w:rtl w:val="true"/>
        </w:rPr>
        <w:t xml:space="preserve">ه </w:t>
      </w:r>
      <w:r>
        <w:rPr>
          <w:rtl w:val="true"/>
        </w:rPr>
        <w:t>-</w:t>
      </w:r>
      <w:bookmarkEnd w:id="839"/>
    </w:p>
    <w:p>
      <w:pPr>
        <w:pStyle w:val="BookText"/>
        <w:rPr/>
      </w:pPr>
      <w:r>
        <w:rPr>
          <w:rFonts w:eastAsia="IRNazanin" w:cs="IRNazanin"/>
          <w:color w:val="111111"/>
          <w:sz w:val="28"/>
          <w:szCs w:val="28"/>
          <w:lang w:bidi="fa-IR"/>
        </w:rPr>
        <w:t>284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الهدایة،لأبی جعفر محمد بن علیّ الحسین بن موسی بن بابویه القمّی،المعروف بالشیخ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الإمام الهادی علیه السّلام،قم،الطبعة الاولی،</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الطالب إلی أسرار المکاسب،لمیرزا فتّاح بن محمد علی بن نور اللّه التبریزی،المعروف بالشهیدی</w:t>
      </w:r>
      <w:r>
        <w:rPr>
          <w:rFonts w:eastAsia="IRNazanin" w:cs="IRNazanin"/>
          <w:color w:val="111111"/>
          <w:sz w:val="28"/>
          <w:szCs w:val="28"/>
          <w:rtl w:val="true"/>
          <w:lang w:bidi="fa-IR"/>
        </w:rPr>
        <w:t>(</w:t>
      </w:r>
      <w:r>
        <w:rPr>
          <w:rFonts w:eastAsia="IRNazanin" w:cs="IRNazanin"/>
          <w:color w:val="111111"/>
          <w:sz w:val="28"/>
          <w:szCs w:val="28"/>
          <w:lang w:bidi="fa-IR"/>
        </w:rPr>
        <w:t>1295</w:t>
      </w: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مطبعة الاطلاعات،تبریز،الطبعة الثانیة،</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المسترشدین فی شرح اصول معالم الدین،للشیخ محمد تقیّ بن محمد رحیم بن محمد قاسم الأیوان کیفی الرازی الأصبهانی النجفی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النشر الإسلامی،قم،الطبعة الاولی،</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هرمنوتیک،کتاب و سنّت،محمّد مجتهد شبستری،قیام،طهران،الطبعة الثالثة،</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bookmarkStart w:id="840" w:name="pg5439_47126"/>
    </w:p>
    <w:p>
      <w:pPr>
        <w:pStyle w:val="Heading3"/>
        <w:numPr>
          <w:ilvl w:val="2"/>
          <w:numId w:val="1"/>
        </w:numPr>
        <w:rPr/>
      </w:pPr>
      <w:bookmarkStart w:id="841" w:name="__RefHeading___Toc1856454_581953129"/>
      <w:bookmarkStart w:id="842" w:name="_Toc312"/>
      <w:bookmarkEnd w:id="840"/>
      <w:bookmarkEnd w:id="841"/>
      <w:r>
        <w:rPr>
          <w:rtl w:val="true"/>
        </w:rPr>
        <w:t>-</w:t>
      </w:r>
      <w:r>
        <w:rPr>
          <w:rtl w:val="true"/>
        </w:rPr>
        <w:t>و</w:t>
      </w:r>
      <w:r>
        <w:rPr>
          <w:rtl w:val="true"/>
        </w:rPr>
        <w:t>-</w:t>
      </w:r>
      <w:bookmarkEnd w:id="842"/>
    </w:p>
    <w:p>
      <w:pPr>
        <w:pStyle w:val="BookText"/>
        <w:rPr/>
      </w:pPr>
      <w:r>
        <w:rPr>
          <w:rFonts w:eastAsia="IRNazanin" w:cs="IRNazanin"/>
          <w:color w:val="111111"/>
          <w:sz w:val="28"/>
          <w:szCs w:val="28"/>
          <w:lang w:bidi="fa-IR"/>
        </w:rPr>
        <w:t>288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الوافی،لمحمد بن المرتضی بن محمود،المدعوّ بالمولی محسن،و المشتهر بالفیض الکاشانی </w:t>
      </w:r>
      <w:r>
        <w:rPr>
          <w:rFonts w:eastAsia="IRNazanin" w:cs="IRNazanin"/>
          <w:color w:val="111111"/>
          <w:sz w:val="28"/>
          <w:szCs w:val="28"/>
          <w:rtl w:val="true"/>
          <w:lang w:bidi="fa-IR"/>
        </w:rPr>
        <w:t>(</w:t>
      </w:r>
      <w:r>
        <w:rPr>
          <w:rFonts w:eastAsia="IRNazanin" w:cs="IRNazanin"/>
          <w:color w:val="111111"/>
          <w:sz w:val="28"/>
          <w:szCs w:val="28"/>
          <w:lang w:bidi="fa-IR"/>
        </w:rPr>
        <w:t>1007</w:t>
      </w:r>
      <w:r>
        <w:rPr>
          <w:rFonts w:eastAsia="IRNazanin" w:cs="IRNazanin"/>
          <w:color w:val="111111"/>
          <w:sz w:val="28"/>
          <w:szCs w:val="28"/>
          <w:rtl w:val="true"/>
          <w:lang w:bidi="fa-IR"/>
        </w:rPr>
        <w:t>-</w:t>
      </w:r>
      <w:r>
        <w:rPr>
          <w:rFonts w:eastAsia="IRNazanin" w:cs="IRNazanin"/>
          <w:color w:val="111111"/>
          <w:sz w:val="28"/>
          <w:szCs w:val="28"/>
          <w:lang w:bidi="fa-IR"/>
        </w:rPr>
        <w:t>1091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مکتبة الإمام أمیر المؤمنین علی علیه السّلام العامّة،اصفهان،الطبعة الاولی، </w:t>
      </w:r>
      <w:r>
        <w:rPr>
          <w:rFonts w:eastAsia="IRNazanin" w:cs="IRNazanin"/>
          <w:color w:val="111111"/>
          <w:sz w:val="28"/>
          <w:szCs w:val="28"/>
          <w:lang w:bidi="fa-IR"/>
        </w:rPr>
        <w:t>1412</w:t>
      </w:r>
      <w:r>
        <w:rPr>
          <w:rFonts w:eastAsia="IRNazanin" w:cs="IRNazanin"/>
          <w:color w:val="111111"/>
          <w:sz w:val="28"/>
          <w:szCs w:val="28"/>
          <w:rtl w:val="true"/>
          <w:lang w:bidi="fa-IR"/>
        </w:rPr>
        <w:t>-</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 وسائل الشیعة إلی تحصیل مسائل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للشیخ محمد بن الحسن بن علیّ بن محمّد بن الحسین،المعروف بالحرّ العاملی</w:t>
      </w:r>
      <w:r>
        <w:rPr>
          <w:rFonts w:eastAsia="IRNazanin" w:cs="IRNazanin"/>
          <w:color w:val="111111"/>
          <w:sz w:val="28"/>
          <w:szCs w:val="28"/>
          <w:rtl w:val="true"/>
          <w:lang w:bidi="fa-IR"/>
        </w:rPr>
        <w:t>(</w:t>
      </w:r>
      <w:r>
        <w:rPr>
          <w:rFonts w:eastAsia="IRNazanin" w:cs="IRNazanin"/>
          <w:color w:val="111111"/>
          <w:sz w:val="28"/>
          <w:szCs w:val="28"/>
          <w:lang w:bidi="fa-IR"/>
        </w:rPr>
        <w:t>1033</w:t>
      </w:r>
      <w:r>
        <w:rPr>
          <w:rFonts w:eastAsia="IRNazanin" w:cs="IRNazanin"/>
          <w:color w:val="111111"/>
          <w:sz w:val="28"/>
          <w:szCs w:val="28"/>
          <w:rtl w:val="true"/>
          <w:lang w:bidi="fa-IR"/>
        </w:rPr>
        <w:t>-</w:t>
      </w:r>
      <w:r>
        <w:rPr>
          <w:rFonts w:eastAsia="IRNazanin" w:cs="IRNazanin"/>
          <w:color w:val="111111"/>
          <w:sz w:val="28"/>
          <w:szCs w:val="28"/>
          <w:lang w:bidi="fa-IR"/>
        </w:rPr>
        <w:t>1104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آل البیت علیهم السّلام لإحیاء التراث،قم،الطبعة الثانیة،</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الوسیط فی شرح القانون المدنی الجدید،لعبد الرزّاق بن أحمد السنهوری </w:t>
      </w:r>
      <w:r>
        <w:rPr>
          <w:rFonts w:eastAsia="IRNazanin" w:cs="IRNazanin"/>
          <w:color w:val="111111"/>
          <w:sz w:val="28"/>
          <w:szCs w:val="28"/>
          <w:rtl w:val="true"/>
          <w:lang w:bidi="fa-IR"/>
        </w:rPr>
        <w:t>(</w:t>
      </w:r>
      <w:r>
        <w:rPr>
          <w:rFonts w:eastAsia="IRNazanin" w:cs="IRNazanin"/>
          <w:color w:val="111111"/>
          <w:sz w:val="28"/>
          <w:szCs w:val="28"/>
          <w:lang w:bidi="fa-IR"/>
        </w:rPr>
        <w:t>1312</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إحیاء التراث العربی،بیروت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وسیلة النجاة مع تعالیق الإمام الخمینی قدّس سرّه،للسیّد أبو الحسن بن محمّد بن عبد الحمید بن محمّد الموسوی الأصبهانی،النجفی</w:t>
      </w:r>
      <w:r>
        <w:rPr>
          <w:rFonts w:eastAsia="IRNazanin" w:cs="IRNazanin"/>
          <w:color w:val="111111"/>
          <w:sz w:val="28"/>
          <w:szCs w:val="28"/>
          <w:rtl w:val="true"/>
          <w:lang w:bidi="fa-IR"/>
        </w:rPr>
        <w:t>(</w:t>
      </w:r>
      <w:r>
        <w:rPr>
          <w:rFonts w:eastAsia="IRNazanin" w:cs="IRNazanin"/>
          <w:color w:val="111111"/>
          <w:sz w:val="28"/>
          <w:szCs w:val="28"/>
          <w:lang w:bidi="fa-IR"/>
        </w:rPr>
        <w:t>1284</w:t>
      </w:r>
      <w:r>
        <w:rPr>
          <w:rFonts w:eastAsia="IRNazanin" w:cs="IRNazanin"/>
          <w:color w:val="111111"/>
          <w:sz w:val="28"/>
          <w:szCs w:val="28"/>
          <w:rtl w:val="true"/>
          <w:lang w:bidi="fa-IR"/>
        </w:rPr>
        <w:t>-</w:t>
      </w:r>
      <w:r>
        <w:rPr>
          <w:rFonts w:eastAsia="IRNazanin" w:cs="IRNazanin"/>
          <w:color w:val="111111"/>
          <w:sz w:val="28"/>
          <w:szCs w:val="28"/>
          <w:lang w:bidi="fa-IR"/>
        </w:rPr>
        <w:t>1365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تنظیم و نشر آثار الإمام الخمینی قدّس سرّه، قم،الطبعة الاولی،</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 حکومت صالحان،لصالحی نجف‌آبادی،مؤسّسة خدمات فرهنگی رسا، الطبعة الاولی،</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ویژگیهای اجتهاد و فقه پویا،للدکتور علی رضا فیض،پژوهشگاه علوم انسانی و مطالعات فرهنگی،تهران،الطبعة الاولی،</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bookmarkStart w:id="843" w:name="pg5439_47127"/>
    </w:p>
    <w:p>
      <w:pPr>
        <w:pStyle w:val="Heading2"/>
        <w:numPr>
          <w:ilvl w:val="1"/>
          <w:numId w:val="1"/>
        </w:numPr>
        <w:rPr/>
      </w:pPr>
      <w:bookmarkStart w:id="844" w:name="__RefHeading___Toc1856456_581953129"/>
      <w:bookmarkStart w:id="845" w:name="_Toc313"/>
      <w:bookmarkEnd w:id="843"/>
      <w:bookmarkEnd w:id="844"/>
      <w:r>
        <w:rPr>
          <w:rtl w:val="true"/>
        </w:rPr>
        <w:t>فهرس الموضوعات</w:t>
      </w:r>
      <w:bookmarkEnd w:id="845"/>
    </w:p>
    <w:p>
      <w:pPr>
        <w:pStyle w:val="BookText"/>
        <w:rPr/>
      </w:pPr>
      <w:r>
        <w:rPr>
          <w:rFonts w:ascii="IRNazanin" w:hAnsi="IRNazanin" w:eastAsia="IRNazanin"/>
          <w:color w:val="111111"/>
          <w:sz w:val="28"/>
          <w:sz w:val="28"/>
          <w:szCs w:val="28"/>
          <w:rtl w:val="true"/>
          <w:lang w:bidi="fa-IR"/>
        </w:rPr>
        <w:t xml:space="preserve">رسالة فی التقیّة المقدّمة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کلمة التقیّة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تقسیمات التقیّة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وجوه الفرق بین التقیّة بالمعنی الأخصّ،و التقیّة بالمعنی الأعمّ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التقیّة بحسب الحکم التکلیفی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أدلّة التقیّة بالمعنی الأخصّ و الأعمّ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الموارد التی لا تکون التقیّة مشروعة فیها،و هی أربعة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المورد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کون التقیّة موهنا للمذهب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المورد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مشروعیّة التقیّة فیما إذا بلغ الدم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المورد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جریان التقیّة فی الامور الخمسة،و عدمه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المورد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جریان التقیّة فی البراءة عن أمیر المؤمنین علیّ و سائر الأئمّة علیهم السّلام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أنواع التقیّة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التقیّة الإکراهیّة </w:t>
      </w:r>
      <w:r>
        <w:rPr>
          <w:rFonts w:eastAsia="IRNazanin" w:cs="IRNazanin"/>
          <w:color w:val="111111"/>
          <w:sz w:val="28"/>
          <w:szCs w:val="28"/>
          <w:lang w:bidi="fa-IR"/>
        </w:rPr>
        <w:t>43</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التقیّة الخوفیّة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التقیّة الکتمانیّة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التقیّة المداراتیّة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تکملة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دائرة تقیّة الخوفیّة و الإکراهیّة واسعة لجمیع الموارد،أم لا؟</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العمل الموافق للتقیّة مجزئ عن المأمور به الواقعی،أم لا؟</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وقوع النزاع فیما إذا أتی المکلّف بالعمل ناقصا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کون محلّ النزاع فیما إذا کان الدلیل عامّا أو مطلقا شاملا لصورة الاضطرار إلی ترکها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هل المانعیّة النفسیّة داخلة فی محلّ النزاع،أم لا؟</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ذهاب المحقّق الثانی إلی التفصیل بین ما إذا ورد فیه نصّ بخصوصه،و بین ما لم یرد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مخالفة الشیخ الأنصاری إیّاه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الروایات التی یستفاد منها الإذن العامّ،منها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الرفع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استدلّ به الشیخ الأنصاری قدّس سرّه؛و هی صحیحة الفضلاء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روایة أبی الصباح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روایة أبی عمر الأعجمی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روایة مسعدة بن صدقة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ذکره السیّد المرتضی فی رسالة المحکم و المتشابه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روایة سفیان بن سعید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روایة معلّی بن خنیس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موثّقة سماعة </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الفصل 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ترک التقیّة یفسد العمل،أم لا؟</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الفصل 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جریان التقیّة فی الموضوعات و عدمه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lang w:bidi="fa-IR"/>
        </w:rPr>
        <w:t>86</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العاشر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اعتبار عدم المندوحة و عدمه </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 xml:space="preserve">ذکر الامور الأربعة لإیضاح محلّ الخلاف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إنّ فی المسألة احتمالات بل أقوال سبعة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عدم اعتبار عدم المندوحة فی التقیّة المداراتیّة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رسالة فی اعتبار الکتابة فی الفقه الإسلامی یقع البحث فیها فی مقامین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کون الکتابة حجّة شرعیّة </w:t>
      </w:r>
      <w:r>
        <w:rPr>
          <w:rFonts w:eastAsia="IRNazanin" w:cs="IRNazanin"/>
          <w:color w:val="111111"/>
          <w:sz w:val="28"/>
          <w:szCs w:val="28"/>
          <w:lang w:bidi="fa-IR"/>
        </w:rPr>
        <w:t>99</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استدلال المشهور لتوقّف حصول التملّک للمشتری علی صیغة خاصّة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وقوع الطلاق بالکتابة و عدمه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صحّة الوصیّة بالکتابة و عدمها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التحیّة علی وجه الکتابة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تحقّق الکذب و الغیبة بالکتابة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الاستدلال لکفایة الکتابة بالآیة الشریفة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الاستدلال بالسیرة الموجودة بین العقلاء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کلام السیّد الإمام الخمینی قدّس سرّه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الکتابة و المبانی المختلفة فی حقیقة الإنشاء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تجری حجّیة الکتابة فی مسألة الشهادة و البیّنة،أم لا؟</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مذهب الحنفیّة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مذهب الشافعیّة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مذهب الزیدیّة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نظریّة الفقه الوضعی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الفرق بین البیّنة و الشهادة </w:t>
      </w:r>
      <w:r>
        <w:rPr>
          <w:rFonts w:eastAsia="IRNazanin" w:cs="IRNazanin"/>
          <w:color w:val="111111"/>
          <w:sz w:val="28"/>
          <w:szCs w:val="28"/>
          <w:lang w:bidi="fa-IR"/>
        </w:rPr>
        <w:t>134</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رسالة فی حقیقة الوضع تمهید فی کیفیّة الدلالة و حقیقة الوضع </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 xml:space="preserve">کلام المحقّق العراقی قدّس سرّه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کلام المحقّق النائینی قدّس سرّه </w:t>
      </w:r>
      <w:r>
        <w:rPr>
          <w:rFonts w:eastAsia="Amiri" w:cs="Amiri" w:ascii="Amiri" w:hAnsi="Amiri"/>
          <w:color w:val="111111"/>
          <w:sz w:val="28"/>
          <w:szCs w:val="28"/>
          <w:lang w:bidi="ar-SA"/>
        </w:rPr>
        <w:t>146</w:t>
      </w:r>
    </w:p>
    <w:p>
      <w:pPr>
        <w:pStyle w:val="BookText"/>
        <w:rPr/>
      </w:pPr>
      <w:r>
        <w:rPr>
          <w:rFonts w:ascii="IRNazanin" w:hAnsi="IRNazanin" w:eastAsia="IRNazanin"/>
          <w:color w:val="111111"/>
          <w:sz w:val="28"/>
          <w:sz w:val="28"/>
          <w:szCs w:val="28"/>
          <w:rtl w:val="true"/>
          <w:lang w:bidi="fa-IR"/>
        </w:rPr>
        <w:t>الاستدلال بکون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الواضع،ببعض الآیات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ما ذکر فی بعض الکلمات مبّعدات لبشریّة الواضع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وقوع الخلاف بناء علی کون الدلالة بین اللفظ و المعنی اعتباریّا محضا،فی أنّه ما هی حقیقة هذا الاعتبار،علی أقوال و مسالک</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المسلک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ذهاب المشهور إلی أنّ الدلالة بینهما هی بالوضع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المسلک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کون الوضع عبارة عن تنزیل اللّفظ منزلة المعنی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المسلک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التعهّد و الالتزام النفسانی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المسلک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الاعتبار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المسلک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القرن الأکید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المسلک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کون الوضع عبارة عن اعتبار اللفظ و المعنی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تقسیم الوضع إلی التعیینی و التعیّنی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جریان التقسیم علی المسالک الموجودة فی حقیقة الوضع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رسالة فی شرطیّة الابتلاء فی منجّزیّة العلم الإجمالی ذهاب المشهور إلی وجوب الموافقة القطعیّة فی العلم الإجمالی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بعض الأمثلة التی ذکرها الشیخ و غیره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التعرّض لامور قبل الورود فی البحث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وجوب البحث فی المقامین بعد بیان هذه الامور</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یستفاد من کلام الشیخ الأعظم أنّ الابتلاء من شرائط منجّزیة العلم الإجمالی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استدلال الشیخ بأدلّة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کون المقصود من النهی حمل المکلّف علی الترک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جریان الأصل فی الشیء الخارج عن الابتلاء </w:t>
      </w:r>
      <w:r>
        <w:rPr>
          <w:rFonts w:eastAsia="IRNazanin" w:cs="IRNazanin"/>
          <w:color w:val="111111"/>
          <w:sz w:val="28"/>
          <w:szCs w:val="28"/>
          <w:lang w:bidi="fa-IR"/>
        </w:rPr>
        <w:t>191</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استهجان الخطاب بترک ما هو خارج عن محلّ الابتلاء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استدلال المحقّق النائینی بدلیل رابع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جواب الشهید الصدر عن الدلیل الأوّل بوجوه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جواب المؤلّف عن الشهید الصدر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انتقاض الدلیل الأوّل ببعض الموارد،و جواب المحقّق النائینی عنه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إیراد المحقّق الخراسانی علی الشیخ الأعظم،و جواب المحقّق النائینی عنه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مناقشة المحقّق العراقی فیما أفاده المحقّق النائینی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عدم تمامیّة دلیل الثانی بکلا تقریبیه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الجواب عن الدلیل الثالث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شککنا فی الابتلاء،فهل یجب الاجتناب عنه،أو لا؟</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الاستدلال بعدم خروج المشکوک بوجهین</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ذهب إلیه المحقّق النائینی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أفاده الشیخ الأنصاری من التمسّک بالإطلاق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بیان المحقّق النائینی للتمسّک بالإطلاق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المناقشة فی بعض ما ذهب إلیه المحقّق النائینی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ما ذکره المحقّق النائینی فی آخر کلامه،و الإیراد علیه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وجود احتمالان فی تفسیر کلام الشیخ الأنصاری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الإیراد علی الشیخ بثلاثة إیرادات لا یمکن الجواب عن جمیعها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رسالة فی نظریّة العدالة فی الحکومة الإسلامیّة،و ولایة الفقیه تمهید </w:t>
      </w:r>
      <w:r>
        <w:rPr>
          <w:rFonts w:eastAsia="IRNazanin" w:cs="IRNazanin"/>
          <w:color w:val="111111"/>
          <w:sz w:val="28"/>
          <w:szCs w:val="28"/>
          <w:lang w:bidi="fa-IR"/>
        </w:rPr>
        <w:t>211</w:t>
      </w:r>
    </w:p>
    <w:p>
      <w:pPr>
        <w:pStyle w:val="BookText"/>
        <w:rPr/>
      </w:pPr>
      <w:r>
        <w:rPr>
          <w:rFonts w:ascii="Amiri" w:hAnsi="Amiri" w:eastAsia="Amiri" w:cs="Amiri"/>
          <w:color w:val="111111"/>
          <w:sz w:val="28"/>
          <w:sz w:val="28"/>
          <w:szCs w:val="28"/>
          <w:rtl w:val="true"/>
          <w:lang w:bidi="ar-SA"/>
        </w:rPr>
        <w:t xml:space="preserve">المراد من العدالة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وجوب تحقّق العدالة و أدلّته </w:t>
      </w:r>
      <w:r>
        <w:rPr>
          <w:rFonts w:eastAsia="Amiri" w:cs="Amiri" w:ascii="Amiri" w:hAnsi="Amiri"/>
          <w:color w:val="111111"/>
          <w:sz w:val="28"/>
          <w:szCs w:val="28"/>
          <w:lang w:bidi="ar-SA"/>
        </w:rPr>
        <w:t>218</w:t>
      </w:r>
    </w:p>
    <w:p>
      <w:pPr>
        <w:pStyle w:val="BookText"/>
        <w:rPr/>
      </w:pPr>
      <w:r>
        <w:rPr>
          <w:rFonts w:ascii="IRNazanin" w:hAnsi="IRNazanin" w:eastAsia="IRNazanin"/>
          <w:color w:val="111111"/>
          <w:sz w:val="28"/>
          <w:sz w:val="28"/>
          <w:szCs w:val="28"/>
          <w:rtl w:val="true"/>
          <w:lang w:bidi="fa-IR"/>
        </w:rPr>
        <w:t>الدلیل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العقل </w:t>
      </w:r>
      <w:r>
        <w:rPr>
          <w:rFonts w:eastAsia="IRNazanin" w:cs="IRNazanin"/>
          <w:color w:val="111111"/>
          <w:sz w:val="28"/>
          <w:szCs w:val="28"/>
          <w:lang w:bidi="fa-IR"/>
        </w:rPr>
        <w:t>218</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القرآن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الروایات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المنفّذون للعدالة فی المجتمع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الإجابة علی إشکالات ثلاث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العدالة و علاقتها بمسألة الحسن و القبح العقلیّین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حاجة البشر إلی الولیّ،و انحصار الولایة بالذات فی اللّه تعالی </w:t>
      </w:r>
      <w:r>
        <w:rPr>
          <w:rFonts w:eastAsia="IRNazanin" w:cs="IRNazanin"/>
          <w:color w:val="111111"/>
          <w:sz w:val="28"/>
          <w:szCs w:val="28"/>
          <w:lang w:bidi="fa-IR"/>
        </w:rPr>
        <w:t>234</w:t>
      </w:r>
    </w:p>
    <w:p>
      <w:pPr>
        <w:pStyle w:val="BookText"/>
        <w:rPr/>
      </w:pPr>
      <w:r>
        <w:rPr>
          <w:rFonts w:ascii="Amiri" w:hAnsi="Amiri" w:eastAsia="Amiri" w:cs="Amiri"/>
          <w:color w:val="111111"/>
          <w:sz w:val="28"/>
          <w:sz w:val="28"/>
          <w:szCs w:val="28"/>
          <w:rtl w:val="true"/>
          <w:lang w:bidi="ar-SA"/>
        </w:rPr>
        <w:t xml:space="preserve">العدالة و مسألة خلافة الإنسان </w:t>
      </w:r>
      <w:r>
        <w:rPr>
          <w:rFonts w:eastAsia="Amiri" w:cs="Amiri" w:ascii="Amiri" w:hAnsi="Amiri"/>
          <w:color w:val="111111"/>
          <w:sz w:val="28"/>
          <w:szCs w:val="28"/>
          <w:lang w:bidi="ar-SA"/>
        </w:rPr>
        <w:t>236</w:t>
      </w:r>
    </w:p>
    <w:p>
      <w:pPr>
        <w:pStyle w:val="BookText"/>
        <w:rPr/>
      </w:pPr>
      <w:r>
        <w:rPr>
          <w:rFonts w:ascii="IRNazanin" w:hAnsi="IRNazanin" w:eastAsia="IRNazanin"/>
          <w:color w:val="111111"/>
          <w:sz w:val="28"/>
          <w:sz w:val="28"/>
          <w:szCs w:val="28"/>
          <w:rtl w:val="true"/>
          <w:lang w:bidi="fa-IR"/>
        </w:rPr>
        <w:t xml:space="preserve">العدالة و الشوری </w:t>
      </w:r>
      <w:r>
        <w:rPr>
          <w:rFonts w:eastAsia="IRNazanin" w:cs="IRNazanin"/>
          <w:color w:val="111111"/>
          <w:sz w:val="28"/>
          <w:szCs w:val="28"/>
          <w:lang w:bidi="fa-IR"/>
        </w:rPr>
        <w:t>237</w:t>
      </w:r>
    </w:p>
    <w:p>
      <w:pPr>
        <w:pStyle w:val="BookText"/>
        <w:rPr/>
      </w:pPr>
      <w:r>
        <w:rPr>
          <w:rFonts w:ascii="Amiri" w:hAnsi="Amiri" w:eastAsia="Amiri" w:cs="Amiri"/>
          <w:color w:val="111111"/>
          <w:sz w:val="28"/>
          <w:sz w:val="28"/>
          <w:szCs w:val="28"/>
          <w:rtl w:val="true"/>
          <w:lang w:bidi="ar-SA"/>
        </w:rPr>
        <w:t xml:space="preserve">العدالة و تعدّد الفقهاء </w:t>
      </w:r>
      <w:r>
        <w:rPr>
          <w:rFonts w:eastAsia="Amiri" w:cs="Amiri" w:ascii="Amiri" w:hAnsi="Amiri"/>
          <w:color w:val="111111"/>
          <w:sz w:val="28"/>
          <w:szCs w:val="28"/>
          <w:lang w:bidi="ar-SA"/>
        </w:rPr>
        <w:t>238</w:t>
      </w:r>
    </w:p>
    <w:p>
      <w:pPr>
        <w:pStyle w:val="BookText"/>
        <w:rPr/>
      </w:pPr>
      <w:r>
        <w:rPr>
          <w:rFonts w:ascii="IRNazanin" w:hAnsi="IRNazanin" w:eastAsia="IRNazanin"/>
          <w:color w:val="111111"/>
          <w:sz w:val="28"/>
          <w:sz w:val="28"/>
          <w:szCs w:val="28"/>
          <w:rtl w:val="true"/>
          <w:lang w:bidi="fa-IR"/>
        </w:rPr>
        <w:t xml:space="preserve">الرابطة بین الحاکم و أفراد المجتمع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العدالة،و عدم الفرق بین زمان المعصوم علیه السّلام و غیره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نتائج بحث نظریّة العدالة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رسالة فی تأثیر الزمان و المکان فی الفقه الفصل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کلّیات البحث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مفهوم الزمان و المکان و تأثیرهما فی الفقه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تأثیر الزمان و المکان فی العلوم الاعتباریّة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موقع مسألة الزمان و المکان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تفاوت الزمان و المکان مع الامور المشابهة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الزمان و المکان،و مسألة العرف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الزمان و المکان،و بناء العقلاء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الزمان و المکان،و المسائل المستحدثة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الزمان و المکان،و مسألة النسخ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الزمان و المکان،و قاعدة الأهمّ فالأهمّ </w:t>
      </w:r>
      <w:r>
        <w:rPr>
          <w:rFonts w:eastAsia="IRNazanin" w:cs="IRNazanin"/>
          <w:color w:val="111111"/>
          <w:sz w:val="28"/>
          <w:szCs w:val="28"/>
          <w:lang w:bidi="fa-IR"/>
        </w:rPr>
        <w:t>265</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کیفیّة تأثیر الزمان و المکان و دائرتهما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تأثیر الزمان و المکان فی ملاک الأحکام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ملاکات الأحکام العبادیّة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ملاکات الأحکام المعاملاتیّة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ملاکات الأحکام الشخصیّة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ملاکات الأحکام الاجتماعیّة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تأثیر الزمان و المکان فی موضوعات و متعلّقات الأحکام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تعریف الموضوع و المتعلّق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أقسام التغییر فی خصوصیّات و شرائط الموضوع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تأثیر الزمان و المکان فی مفاد الأدلّة،و مبانی الاجتهاد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الزمان و المکان،و مفاد الأدلّة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الزمان و المکان،و مبانی الاجتهاد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تأثیر الزمان و المکان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الزمان و المکان،و الحکم الأوّلی و الثانوی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الزمان و المکان،و الأحکام الضروریّة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تأثیر الزمان و المکان مع وجود النصّ الخاصّ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 الزمان و المکان،و بعض الشبهات،و الإجابة عنها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منافاتهما لبعض الروایات </w:t>
      </w:r>
      <w:r>
        <w:rPr>
          <w:rFonts w:eastAsia="IRNazanin" w:cs="IRNazanin"/>
          <w:color w:val="111111"/>
          <w:sz w:val="28"/>
          <w:szCs w:val="28"/>
          <w:lang w:bidi="fa-IR"/>
        </w:rPr>
        <w:t>293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حلال محمّد صلّی اللّه علیه و اله حلال أبدا إلی یوم القیامة إلخ </w:t>
      </w:r>
      <w:r>
        <w:rPr>
          <w:rFonts w:eastAsia="IRNazanin" w:cs="IRNazanin"/>
          <w:color w:val="111111"/>
          <w:sz w:val="28"/>
          <w:szCs w:val="28"/>
          <w:lang w:bidi="fa-IR"/>
        </w:rPr>
        <w:t>293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للّه فی کلّ واقعة حکما </w:t>
      </w:r>
      <w:r>
        <w:rPr>
          <w:rFonts w:eastAsia="Amiri" w:cs="Amiri" w:ascii="Amiri" w:hAnsi="Amiri"/>
          <w:color w:val="111111"/>
          <w:sz w:val="28"/>
          <w:szCs w:val="28"/>
          <w:lang w:bidi="ar-SA"/>
        </w:rPr>
        <w:t>295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شبهات حول الفقه </w:t>
      </w:r>
      <w:r>
        <w:rPr>
          <w:rFonts w:eastAsia="IRNazanin" w:cs="IRNazanin"/>
          <w:color w:val="111111"/>
          <w:sz w:val="28"/>
          <w:szCs w:val="28"/>
          <w:lang w:bidi="fa-IR"/>
        </w:rPr>
        <w:t>298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الزمان و المکان،و استلزام فقه جدید </w:t>
      </w:r>
      <w:r>
        <w:rPr>
          <w:rFonts w:eastAsia="IRNazanin" w:cs="IRNazanin"/>
          <w:color w:val="111111"/>
          <w:sz w:val="28"/>
          <w:szCs w:val="28"/>
          <w:lang w:bidi="fa-IR"/>
        </w:rPr>
        <w:t>298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الزمان و المکان هما السبیل الوحید لحلّ مشکلات الفقه </w:t>
      </w:r>
      <w:r>
        <w:rPr>
          <w:rFonts w:eastAsia="IRNazanin" w:cs="IRNazanin"/>
          <w:color w:val="111111"/>
          <w:sz w:val="28"/>
          <w:szCs w:val="28"/>
          <w:lang w:bidi="fa-IR"/>
        </w:rPr>
        <w:t>298</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الزمان و المکان،و استلزام قبول فقه أهل السنّة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الزمان و المکان و البدعة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الزمان و المکان،و المعارضة مع دعوی الإطلاق،أو إجماع فقهاء السلف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النتیجة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رسالة مختصرة لمنهج الملاّ أحمد النراقی فی الاستنباط فی مستند الشیعة تمهید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الاستفادة من المسائل و القواعد الاصولیّة فی الفقه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اختلاف الفقهاء هنا علی أقوال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بعض القواعد الاصولیّة الواردة فی مستند الشیعة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الاستفادة من آیات الأحکام فی الفقه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فقه الحدیث و مسألة الجمع بین الروایات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ذکر عدّة خصائص مهمّة فی هذا المجال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الاهتمام و العنایة بالقواعد الفقهیّة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الشهرة و الإجماع،و تأثیرهما فی طریقة الاستنباط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لزوم التحرّک الاجتهادی فی إطار الضوابط الفقهیّة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الفقیه،و الاستقلال فی عملیّة الاستنباط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الفقیه،و کیفیّة التعامل مع الاحتیاط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مراجعة أقوال الفقهاء،و تأثیر ذلک فی الاستنباط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آراء العامّة،و تأثیرها فی الاستنباط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رسالة فی الحقّ و الحکم معنی الحقّ بحسب اللغة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معنی الحقّ بحسب اصطلاح الفقهاء،و الفرق بینه،و بین الملک و الحکم و السلطنة </w:t>
      </w:r>
      <w:r>
        <w:rPr>
          <w:rFonts w:eastAsia="IRNazanin" w:cs="IRNazanin"/>
          <w:color w:val="111111"/>
          <w:sz w:val="28"/>
          <w:szCs w:val="28"/>
          <w:lang w:bidi="fa-IR"/>
        </w:rPr>
        <w:t>350</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کون الحقّ مرتبة ضعیفة من السلطنة و الملک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کون السلطنة من آثار الحقّ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کون الحقّ نفس الملک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عدم الفرق بین الحقّ و الحکم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التحقیق کون الحقّ أمرا انتزاعیّا منتزعا من الأحکام الشرعیّة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رسالة فی اکذوبة التحریف مقدّمة المؤلّف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الإشارة إلی نکات هامّة فی هذا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النکتة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التحریف</w:t>
      </w:r>
      <w:r>
        <w:rPr>
          <w:rFonts w:eastAsia="IRNazanin" w:cs="IRNazanin"/>
          <w:color w:val="111111"/>
          <w:sz w:val="28"/>
          <w:szCs w:val="28"/>
          <w:rtl w:val="true"/>
          <w:lang w:bidi="fa-IR"/>
        </w:rPr>
        <w:t>»</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النکتة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 استعمال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أنواعه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النکتة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التحریف الإجمالی و التفصیلی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النکتة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کفایة الخبر الواحد لإثبات التحریف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النکتة 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آراء أکابر الإمامیّة فی عدم التحریف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النکتة 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الفرق بین القرآن و سائر الکتب السماویّة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النکتة 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مراحل نزول القرآن و مواطنه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النکتة الثامنة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إمکان تحریف القرآن من وجهة نظر العقل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النکتة التاسعة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الاستدلال بالقرآن علی عدم التحریف یستلزم الدور؟</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النکتة العاشرة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نوعین من الادّعاء فی التحریف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النکتة الحادیة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الدلیل العقلی و العقلائی فی عدم التحریف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لبیان دلیل العقل طریقان</w:t>
      </w:r>
      <w:r>
        <w:rPr>
          <w:rFonts w:eastAsia="IRNazanin" w:cs="IRNazanin"/>
          <w:color w:val="111111"/>
          <w:sz w:val="28"/>
          <w:szCs w:val="28"/>
          <w:rtl w:val="true"/>
          <w:lang w:bidi="fa-IR"/>
        </w:rPr>
        <w:t>:</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الطریق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الوارد فی کلمات المحقّق الخوئی رحمه اللّه هو صورة دلیل عقلیّ غیر مستقلّ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الطریق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لزوم صون شارع المقدّس القرآن من التلوّث بالتحریف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کون بناء العقلاء و السیرة العقلائیّة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تحریف القرآن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النکتة الثانیة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أوضح الآیات دلالة علی عدم التحریف </w:t>
      </w:r>
      <w:r>
        <w:rPr>
          <w:rFonts w:eastAsia="IRNazanin" w:cs="IRNazanin"/>
          <w:color w:val="111111"/>
          <w:sz w:val="28"/>
          <w:szCs w:val="28"/>
          <w:lang w:bidi="fa-IR"/>
        </w:rPr>
        <w:t>387</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النکتة الثالثة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استلزام التحریف لعدم حجّیة ظواهر الکتاب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النکتة الرابعة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دلالة حدیث الثقلین علی عدم التحریف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النکتة الخامسة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 التلاوة و الإنساء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النکتة السادسة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یمکن للشیعة الاعتقاد بالتحریف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النکتة السابعة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دراسة عامّة لروایات التحریف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الإشکال لهذه الروایات من جهة السند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الإشکال لهذه الروایات من جهة الدلالة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الروایات التی تدلّ علی وجود نقیصة فی الکتاب و ردّها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رسالة فی الدراسة الفقهیّة حول الطواف فی الطابق الأوّل من المسجد الحرام علاقة البحث بفکرة حدّ المطاف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علاقة البحث بمسألة الزیادة علی ارتفاع الکعبة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جریان البحث فی الطواف الواجب و المندوب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 xml:space="preserve">لزوم دخول جمیع أجزاء البدن فی المطاف،و عدمه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حکم البناء فی مکّة المکرّمة مرتفعا عن البیت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الطواف من الطابق الأعلی من البیت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إشکالات و أجوبة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البحث حول قول النبیّ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الطواف بالبیت صلاة</w:t>
      </w:r>
      <w:r>
        <w:rPr>
          <w:rFonts w:eastAsia="IRNazanin" w:cs="IRNazanin"/>
          <w:color w:val="111111"/>
          <w:sz w:val="28"/>
          <w:szCs w:val="28"/>
          <w:rtl w:val="true"/>
          <w:lang w:bidi="fa-IR"/>
        </w:rPr>
        <w:t>»</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نقد الآراء </w:t>
      </w:r>
      <w:r>
        <w:rPr>
          <w:rFonts w:eastAsia="IRNazanin" w:cs="IRNazanin"/>
          <w:color w:val="111111"/>
          <w:sz w:val="28"/>
          <w:szCs w:val="28"/>
          <w:lang w:bidi="fa-IR"/>
        </w:rPr>
        <w:t>420</w:t>
      </w:r>
    </w:p>
    <w:p>
      <w:pPr>
        <w:pStyle w:val="BookText"/>
        <w:rPr/>
      </w:pPr>
      <w:r>
        <w:rPr>
          <w:rFonts w:ascii="Amiri" w:hAnsi="Amiri" w:eastAsia="Amiri" w:cs="Amiri"/>
          <w:color w:val="111111"/>
          <w:sz w:val="28"/>
          <w:sz w:val="28"/>
          <w:szCs w:val="28"/>
          <w:rtl w:val="true"/>
          <w:lang w:bidi="ar-SA"/>
        </w:rPr>
        <w:t xml:space="preserve">الطواف من الطابق الأوّل عند السنّة </w:t>
      </w:r>
      <w:r>
        <w:rPr>
          <w:rFonts w:eastAsia="Amiri" w:cs="Amiri" w:ascii="Amiri" w:hAnsi="Amiri"/>
          <w:color w:val="111111"/>
          <w:sz w:val="28"/>
          <w:szCs w:val="28"/>
          <w:lang w:bidi="ar-SA"/>
        </w:rPr>
        <w:t>421</w:t>
      </w:r>
    </w:p>
    <w:p>
      <w:pPr>
        <w:pStyle w:val="BookText"/>
        <w:rPr/>
      </w:pPr>
      <w:r>
        <w:rPr>
          <w:rFonts w:ascii="IRNazanin" w:hAnsi="IRNazanin" w:eastAsia="IRNazanin"/>
          <w:color w:val="111111"/>
          <w:sz w:val="28"/>
          <w:sz w:val="28"/>
          <w:szCs w:val="28"/>
          <w:rtl w:val="true"/>
          <w:lang w:bidi="fa-IR"/>
        </w:rPr>
        <w:t>فروع ملحقة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الطواف فی المکان المرتع من البیت قلیلا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شمول الحکم لحال الاضطرار و عدمه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الاستنابة و مشروعیّتها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سؤال و جواب </w:t>
      </w:r>
      <w:r>
        <w:rPr>
          <w:rFonts w:eastAsia="IRNazanin" w:cs="IRNazanin"/>
          <w:color w:val="111111"/>
          <w:sz w:val="28"/>
          <w:szCs w:val="28"/>
          <w:lang w:bidi="fa-IR"/>
        </w:rPr>
        <w:t>424</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خلاصة البحث و نتیجة الدراسة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 xml:space="preserve">رسالة فی اعتبار الأجهزة الحدیثة فی رؤیة الهلال مقدّمة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 xml:space="preserve">تحریر محلّ النزاع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 xml:space="preserve">تعریف الهلال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أدلّة المخالفین بالرؤیة بالعین المسلّحة،و فیه دعویین</w:t>
      </w:r>
      <w:r>
        <w:rPr>
          <w:rFonts w:eastAsia="IRNazanin" w:cs="IRNazanin"/>
          <w:color w:val="111111"/>
          <w:sz w:val="28"/>
          <w:szCs w:val="28"/>
          <w:rtl w:val="true"/>
          <w:lang w:bidi="fa-IR"/>
        </w:rPr>
        <w:t>:</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الدعوی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الانصراف،و فیه نقاط</w:t>
      </w:r>
      <w:r>
        <w:rPr>
          <w:rFonts w:eastAsia="IRNazanin" w:cs="IRNazanin"/>
          <w:color w:val="111111"/>
          <w:sz w:val="28"/>
          <w:szCs w:val="28"/>
          <w:rtl w:val="true"/>
          <w:lang w:bidi="fa-IR"/>
        </w:rPr>
        <w:t>:</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النقطة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کون الأصل الأوّلی فی الألفاظ الإطلاق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 xml:space="preserve">تحلیل الروایات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النقطة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هو المراد بالمتعارف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النقطة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کون حقیقة الإطلاق رفض القیود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النقطة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وجوب حمل الألفاظ علی معانیها المتعارفة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النقطة 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منهجیّة صاحب الجواهر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 xml:space="preserve">موارد من عدم حمل الفقهاء المطلقات علی الفرد المتعارف فی الفقه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 xml:space="preserve">نتائج البحث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الدعوی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الطریقیّة و الموضوعیّة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 xml:space="preserve">موضوع الرؤیة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 xml:space="preserve">إیرادات و توهّمات </w:t>
      </w:r>
      <w:r>
        <w:rPr>
          <w:rFonts w:eastAsia="IRNazanin" w:cs="IRNazanin"/>
          <w:color w:val="111111"/>
          <w:sz w:val="28"/>
          <w:szCs w:val="28"/>
          <w:lang w:bidi="fa-IR"/>
        </w:rPr>
        <w:t>464</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 مصادر التحقیق </w:t>
      </w:r>
      <w:r>
        <w:rPr>
          <w:rFonts w:eastAsia="IRNazanin" w:cs="IRNazanin"/>
          <w:color w:val="111111"/>
          <w:sz w:val="28"/>
          <w:szCs w:val="28"/>
          <w:lang w:bidi="fa-IR"/>
        </w:rPr>
        <w:t>469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9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9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النبویّة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7:151</w:t>
      </w:r>
      <w:r>
        <w:rPr>
          <w:rFonts w:ascii="IRNazanin" w:hAnsi="IRNazanin" w:eastAsia="IRNazanin"/>
          <w:b w:val="false"/>
          <w:b w:val="false"/>
          <w:bCs w:val="false"/>
          <w:i w:val="false"/>
          <w:i w:val="false"/>
          <w:iCs w:val="false"/>
          <w:color w:val="333333"/>
          <w:sz w:val="20"/>
          <w:sz w:val="20"/>
          <w:szCs w:val="20"/>
          <w:rtl w:val="true"/>
        </w:rPr>
        <w:t xml:space="preserve">،سلسلة الأحادیث الصحیحة </w:t>
      </w:r>
      <w:r>
        <w:rPr>
          <w:rFonts w:eastAsia="IRNazanin" w:cs="IRNazanin"/>
          <w:b w:val="false"/>
          <w:bCs w:val="false"/>
          <w:i w:val="false"/>
          <w:iCs w:val="false"/>
          <w:color w:val="333333"/>
          <w:sz w:val="20"/>
          <w:szCs w:val="20"/>
        </w:rPr>
        <w:t>5:646</w:t>
      </w:r>
      <w:r>
        <w:rPr>
          <w:rFonts w:ascii="IRNazanin" w:hAnsi="IRNazanin" w:eastAsia="IRNazanin"/>
          <w:b w:val="false"/>
          <w:b w:val="false"/>
          <w:bCs w:val="false"/>
          <w:i w:val="false"/>
          <w:i w:val="false"/>
          <w:iCs w:val="false"/>
          <w:color w:val="333333"/>
          <w:sz w:val="20"/>
          <w:sz w:val="20"/>
          <w:szCs w:val="20"/>
          <w:rtl w:val="true"/>
        </w:rPr>
        <w:t>،الموسوعة المیسّرة فی الأدیان و المذاهب المعاصرة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سیأتی ذکر الآیات الدالّة علی التقیّة فی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فی تفسیر القرآن العظیم و السبع المثانی </w:t>
      </w:r>
      <w:r>
        <w:rPr>
          <w:rFonts w:eastAsia="IRNazanin" w:cs="IRNazanin"/>
          <w:b w:val="false"/>
          <w:bCs w:val="false"/>
          <w:i w:val="false"/>
          <w:iCs w:val="false"/>
          <w:color w:val="333333"/>
          <w:sz w:val="20"/>
          <w:szCs w:val="20"/>
        </w:rPr>
        <w:t>3:163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البلاغة،للدکتور صبحی الصالح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الإیمان أن تؤثر الصدق حیث یضرّک،علی الکذب حیث ینفعک</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البلاغة،للدکتور صبحی الصالح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w:t>
      </w:r>
      <w:r>
        <w:rPr>
          <w:rFonts w:eastAsia="IRNazanin" w:cs="IRNazanin"/>
          <w:b w:val="false"/>
          <w:bCs w:val="false"/>
          <w:i w:val="false"/>
          <w:iCs w:val="false"/>
          <w:color w:val="333333"/>
          <w:sz w:val="20"/>
          <w:szCs w:val="20"/>
        </w:rPr>
        <w:t>3:164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w:t>
      </w:r>
      <w:r>
        <w:rPr>
          <w:rFonts w:eastAsia="IRNazanin" w:cs="IRNazanin"/>
          <w:b w:val="false"/>
          <w:bCs w:val="false"/>
          <w:i w:val="false"/>
          <w:iCs w:val="false"/>
          <w:color w:val="333333"/>
          <w:sz w:val="20"/>
          <w:szCs w:val="20"/>
        </w:rPr>
        <w:t>3:164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w:t>
      </w:r>
      <w:r>
        <w:rPr>
          <w:rFonts w:eastAsia="IRNazanin" w:cs="IRNazanin"/>
          <w:b w:val="false"/>
          <w:bCs w:val="false"/>
          <w:i w:val="false"/>
          <w:iCs w:val="false"/>
          <w:color w:val="333333"/>
          <w:sz w:val="20"/>
          <w:szCs w:val="20"/>
        </w:rPr>
        <w:t>3:165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w:t>
      </w:r>
      <w:r>
        <w:rPr>
          <w:rFonts w:eastAsia="IRNazanin" w:cs="IRNazanin"/>
          <w:b w:val="false"/>
          <w:bCs w:val="false"/>
          <w:i w:val="false"/>
          <w:iCs w:val="false"/>
          <w:color w:val="333333"/>
          <w:sz w:val="20"/>
          <w:szCs w:val="20"/>
        </w:rPr>
        <w:t>3:166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فقهیّة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تراث الشیخ الأعظم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المحقّق الکرکی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 الفوائد </w:t>
      </w:r>
      <w:r>
        <w:rPr>
          <w:rFonts w:eastAsia="IRNazanin" w:cs="IRNazanin"/>
          <w:b w:val="false"/>
          <w:bCs w:val="false"/>
          <w:i w:val="false"/>
          <w:iCs w:val="false"/>
          <w:color w:val="333333"/>
          <w:sz w:val="20"/>
          <w:szCs w:val="20"/>
        </w:rPr>
        <w:t>2:155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،قاعدة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w:t>
      </w:r>
      <w:r>
        <w:rPr>
          <w:rFonts w:eastAsia="IRNazanin" w:cs="IRNazanin"/>
          <w:b w:val="false"/>
          <w:bCs w:val="false"/>
          <w:i w:val="false"/>
          <w:iCs w:val="false"/>
          <w:color w:val="333333"/>
          <w:sz w:val="20"/>
          <w:szCs w:val="20"/>
        </w:rPr>
        <w:t>35:10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3:1966</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6:480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فقهیّة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تراث الشیخ الأعظم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عاجلا</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16:219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،کتاب الأمر بالمعروف و النهی عن المنکر،أبواب الأمر و النهی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الطالب إلی أسرار المکاسب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للطوسی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xml:space="preserve">،و عنه وسائل الشیعة </w:t>
      </w:r>
      <w:r>
        <w:rPr>
          <w:rFonts w:eastAsia="IRNazanin" w:cs="IRNazanin"/>
          <w:b w:val="false"/>
          <w:bCs w:val="false"/>
          <w:i w:val="false"/>
          <w:iCs w:val="false"/>
          <w:color w:val="333333"/>
          <w:sz w:val="20"/>
          <w:szCs w:val="20"/>
        </w:rPr>
        <w:t>16:212</w:t>
      </w:r>
      <w:r>
        <w:rPr>
          <w:rFonts w:ascii="IRNazanin" w:hAnsi="IRNazanin" w:eastAsia="IRNazanin"/>
          <w:b w:val="false"/>
          <w:b w:val="false"/>
          <w:bCs w:val="false"/>
          <w:i w:val="false"/>
          <w:i w:val="false"/>
          <w:iCs w:val="false"/>
          <w:color w:val="333333"/>
          <w:sz w:val="20"/>
          <w:sz w:val="20"/>
          <w:szCs w:val="20"/>
          <w:rtl w:val="true"/>
        </w:rPr>
        <w:t xml:space="preserve">،کتاب الأمر بالمعروف و النهی عن المنکر،أبواب الأمر و النهی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الرسائل،رسالة فی التقیّة </w:t>
      </w:r>
      <w:r>
        <w:rPr>
          <w:rFonts w:eastAsia="IRNazanin" w:cs="IRNazanin"/>
          <w:b w:val="false"/>
          <w:bCs w:val="false"/>
          <w:i w:val="false"/>
          <w:iCs w:val="false"/>
          <w:color w:val="333333"/>
          <w:sz w:val="20"/>
          <w:szCs w:val="20"/>
        </w:rPr>
        <w:t>2:174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فی شرح العروة الوثقی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الإمام الخوئی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16:203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،کتاب الأمر بالمعروف و النهی عن المنکر،أبواب الأمر و النهی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فقهیّة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تراث الشیخ الأعظم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 الفوائد </w:t>
      </w:r>
      <w:r>
        <w:rPr>
          <w:rFonts w:eastAsia="IRNazanin" w:cs="IRNazanin"/>
          <w:b w:val="false"/>
          <w:bCs w:val="false"/>
          <w:i w:val="false"/>
          <w:iCs w:val="false"/>
          <w:color w:val="333333"/>
          <w:sz w:val="20"/>
          <w:szCs w:val="20"/>
        </w:rPr>
        <w:t>2:158</w:t>
      </w:r>
      <w:r>
        <w:rPr>
          <w:rFonts w:ascii="IRNazanin" w:hAnsi="IRNazanin" w:eastAsia="IRNazanin"/>
          <w:b w:val="false"/>
          <w:b w:val="false"/>
          <w:bCs w:val="false"/>
          <w:i w:val="false"/>
          <w:i w:val="false"/>
          <w:iCs w:val="false"/>
          <w:color w:val="333333"/>
          <w:sz w:val="20"/>
          <w:sz w:val="20"/>
          <w:szCs w:val="20"/>
          <w:rtl w:val="true"/>
        </w:rPr>
        <w:t xml:space="preserve">،قاعدة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فی شرح العروة الوثقی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الإمام الخوئی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فقهیّة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تراث الشیخ الأعظم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Pr>
        <w:t>49:13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فی شرح العروة الوثقی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الإمام الخوئی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16:203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،کتاب الأمر بالمعروف و النهی عن المنکر،أبواب الأمر و النهی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w:t>
      </w:r>
      <w:r>
        <w:rPr>
          <w:rFonts w:eastAsia="IRNazanin" w:cs="IRNazanin"/>
          <w:b w:val="false"/>
          <w:bCs w:val="false"/>
          <w:i w:val="false"/>
          <w:iCs w:val="false"/>
          <w:color w:val="333333"/>
          <w:sz w:val="20"/>
          <w:szCs w:val="20"/>
        </w:rPr>
        <w:t>3:161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لأحکام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للفخر الرازی </w:t>
      </w:r>
      <w:r>
        <w:rPr>
          <w:rFonts w:eastAsia="IRNazanin" w:cs="IRNazanin"/>
          <w:b w:val="false"/>
          <w:bCs w:val="false"/>
          <w:i w:val="false"/>
          <w:iCs w:val="false"/>
          <w:color w:val="333333"/>
          <w:sz w:val="20"/>
          <w:szCs w:val="20"/>
        </w:rPr>
        <w:t>3:194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Pr>
        <w:t>16:106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16:225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،کتاب الأمر و النهی،أبواب الأمر و النهی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6:191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w:t>
      </w:r>
      <w:r>
        <w:rPr>
          <w:rFonts w:eastAsia="IRNazanin" w:cs="IRNazanin"/>
          <w:b w:val="false"/>
          <w:bCs w:val="false"/>
          <w:i w:val="false"/>
          <w:iCs w:val="false"/>
          <w:color w:val="333333"/>
          <w:sz w:val="20"/>
          <w:szCs w:val="20"/>
        </w:rPr>
        <w:t>40:28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عنه وسائل الشیعة </w:t>
      </w:r>
      <w:r>
        <w:rPr>
          <w:rFonts w:eastAsia="IRNazanin" w:cs="IRNazanin"/>
          <w:b w:val="false"/>
          <w:bCs w:val="false"/>
          <w:i w:val="false"/>
          <w:iCs w:val="false"/>
          <w:color w:val="333333"/>
          <w:sz w:val="20"/>
          <w:szCs w:val="20"/>
        </w:rPr>
        <w:t>16:216</w:t>
      </w:r>
      <w:r>
        <w:rPr>
          <w:rFonts w:ascii="IRNazanin" w:hAnsi="IRNazanin" w:eastAsia="IRNazanin"/>
          <w:b w:val="false"/>
          <w:b w:val="false"/>
          <w:bCs w:val="false"/>
          <w:i w:val="false"/>
          <w:i w:val="false"/>
          <w:iCs w:val="false"/>
          <w:color w:val="333333"/>
          <w:sz w:val="20"/>
          <w:sz w:val="20"/>
          <w:szCs w:val="20"/>
          <w:rtl w:val="true"/>
        </w:rPr>
        <w:t xml:space="preserve">،کتاب الأمر بالمعروف و النهی عن المنکر،أبواب الأمر و النهی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الزیارات،مقدّمة المؤلّف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،تفسیر القمّی،مقدّمة الکتاب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6:172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،و عنه وسائل الشیعة </w:t>
      </w:r>
      <w:r>
        <w:rPr>
          <w:rFonts w:eastAsia="IRNazanin" w:cs="IRNazanin"/>
          <w:b w:val="false"/>
          <w:bCs w:val="false"/>
          <w:i w:val="false"/>
          <w:iCs w:val="false"/>
          <w:color w:val="333333"/>
          <w:sz w:val="20"/>
          <w:szCs w:val="20"/>
        </w:rPr>
        <w:t>16:234</w:t>
      </w:r>
      <w:r>
        <w:rPr>
          <w:rFonts w:ascii="IRNazanin" w:hAnsi="IRNazanin" w:eastAsia="IRNazanin"/>
          <w:b w:val="false"/>
          <w:b w:val="false"/>
          <w:bCs w:val="false"/>
          <w:i w:val="false"/>
          <w:i w:val="false"/>
          <w:iCs w:val="false"/>
          <w:color w:val="333333"/>
          <w:sz w:val="20"/>
          <w:sz w:val="20"/>
          <w:szCs w:val="20"/>
          <w:rtl w:val="true"/>
        </w:rPr>
        <w:t xml:space="preserve">،کتاب الأمر بالمعروف و النهی عن المنکر،أبواب الأمر و النهی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914</w:t>
      </w:r>
      <w:r>
        <w:rPr>
          <w:rFonts w:ascii="IRNazanin" w:hAnsi="IRNazanin" w:eastAsia="IRNazanin"/>
          <w:b w:val="false"/>
          <w:b w:val="false"/>
          <w:bCs w:val="false"/>
          <w:i w:val="false"/>
          <w:i w:val="false"/>
          <w:iCs w:val="false"/>
          <w:color w:val="333333"/>
          <w:sz w:val="20"/>
          <w:sz w:val="20"/>
          <w:szCs w:val="20"/>
          <w:rtl w:val="true"/>
        </w:rPr>
        <w:t xml:space="preserve">،و عنهما وسائل الشیعة </w:t>
      </w:r>
      <w:r>
        <w:rPr>
          <w:rFonts w:eastAsia="IRNazanin" w:cs="IRNazanin"/>
          <w:b w:val="false"/>
          <w:bCs w:val="false"/>
          <w:i w:val="false"/>
          <w:iCs w:val="false"/>
          <w:color w:val="333333"/>
          <w:sz w:val="20"/>
          <w:szCs w:val="20"/>
        </w:rPr>
        <w:t>16:234</w:t>
      </w:r>
      <w:r>
        <w:rPr>
          <w:rFonts w:ascii="IRNazanin" w:hAnsi="IRNazanin" w:eastAsia="IRNazanin"/>
          <w:b w:val="false"/>
          <w:b w:val="false"/>
          <w:bCs w:val="false"/>
          <w:i w:val="false"/>
          <w:i w:val="false"/>
          <w:iCs w:val="false"/>
          <w:color w:val="333333"/>
          <w:sz w:val="20"/>
          <w:sz w:val="20"/>
          <w:szCs w:val="20"/>
          <w:rtl w:val="true"/>
        </w:rPr>
        <w:t xml:space="preserve">،کتاب الأمر بالمعروف و النهی عن المنکر،أبواب الأمر و النهی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8:97</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80:108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،مفتاح الکرامة </w:t>
      </w:r>
      <w:r>
        <w:rPr>
          <w:rFonts w:eastAsia="IRNazanin" w:cs="IRNazanin"/>
          <w:b w:val="false"/>
          <w:bCs w:val="false"/>
          <w:i w:val="false"/>
          <w:iCs w:val="false"/>
          <w:color w:val="333333"/>
          <w:sz w:val="20"/>
          <w:szCs w:val="20"/>
        </w:rPr>
        <w:t>12:377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Pr>
        <w:t>16:106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،و عنه وسائل الشیعة </w:t>
      </w:r>
      <w:r>
        <w:rPr>
          <w:rFonts w:eastAsia="IRNazanin" w:cs="IRNazanin"/>
          <w:b w:val="false"/>
          <w:bCs w:val="false"/>
          <w:i w:val="false"/>
          <w:iCs w:val="false"/>
          <w:color w:val="333333"/>
          <w:sz w:val="20"/>
          <w:szCs w:val="20"/>
        </w:rPr>
        <w:t>16:226</w:t>
      </w:r>
      <w:r>
        <w:rPr>
          <w:rFonts w:ascii="IRNazanin" w:hAnsi="IRNazanin" w:eastAsia="IRNazanin"/>
          <w:b w:val="false"/>
          <w:b w:val="false"/>
          <w:bCs w:val="false"/>
          <w:i w:val="false"/>
          <w:i w:val="false"/>
          <w:iCs w:val="false"/>
          <w:color w:val="333333"/>
          <w:sz w:val="20"/>
          <w:sz w:val="20"/>
          <w:szCs w:val="20"/>
          <w:rtl w:val="true"/>
        </w:rPr>
        <w:t xml:space="preserve">،کتاب الأمر بالمعروف و النهی عن المنکر،أبواب الأمر و النهی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،و عنهما وسائل الشیعة </w:t>
      </w:r>
      <w:r>
        <w:rPr>
          <w:rFonts w:eastAsia="IRNazanin" w:cs="IRNazanin"/>
          <w:b w:val="false"/>
          <w:bCs w:val="false"/>
          <w:i w:val="false"/>
          <w:iCs w:val="false"/>
          <w:color w:val="333333"/>
          <w:sz w:val="20"/>
          <w:szCs w:val="20"/>
        </w:rPr>
        <w:t>16:230</w:t>
      </w:r>
      <w:r>
        <w:rPr>
          <w:rFonts w:ascii="IRNazanin" w:hAnsi="IRNazanin" w:eastAsia="IRNazanin"/>
          <w:b w:val="false"/>
          <w:b w:val="false"/>
          <w:bCs w:val="false"/>
          <w:i w:val="false"/>
          <w:i w:val="false"/>
          <w:iCs w:val="false"/>
          <w:color w:val="333333"/>
          <w:sz w:val="20"/>
          <w:sz w:val="20"/>
          <w:szCs w:val="20"/>
          <w:rtl w:val="true"/>
        </w:rPr>
        <w:t xml:space="preserve">،کتاب الأمر بالمعروف و النهی عن المنکر،أبواب الأمر و النهی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،و عنه وسائل الشیعة </w:t>
      </w:r>
      <w:r>
        <w:rPr>
          <w:rFonts w:eastAsia="IRNazanin" w:cs="IRNazanin"/>
          <w:b w:val="false"/>
          <w:bCs w:val="false"/>
          <w:i w:val="false"/>
          <w:iCs w:val="false"/>
          <w:color w:val="333333"/>
          <w:sz w:val="20"/>
          <w:szCs w:val="20"/>
        </w:rPr>
        <w:t>16:230</w:t>
      </w:r>
      <w:r>
        <w:rPr>
          <w:rFonts w:ascii="IRNazanin" w:hAnsi="IRNazanin" w:eastAsia="IRNazanin"/>
          <w:b w:val="false"/>
          <w:b w:val="false"/>
          <w:bCs w:val="false"/>
          <w:i w:val="false"/>
          <w:i w:val="false"/>
          <w:iCs w:val="false"/>
          <w:color w:val="333333"/>
          <w:sz w:val="20"/>
          <w:sz w:val="20"/>
          <w:szCs w:val="20"/>
          <w:rtl w:val="true"/>
        </w:rPr>
        <w:t xml:space="preserve">،کتاب الأمر بالمعروف و النهی عن المنکر، أبواب الأمر و النهی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911</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1084</w:t>
      </w:r>
      <w:r>
        <w:rPr>
          <w:rFonts w:ascii="IRNazanin" w:hAnsi="IRNazanin" w:eastAsia="IRNazanin"/>
          <w:b w:val="false"/>
          <w:b w:val="false"/>
          <w:bCs w:val="false"/>
          <w:i w:val="false"/>
          <w:i w:val="false"/>
          <w:iCs w:val="false"/>
          <w:color w:val="333333"/>
          <w:sz w:val="20"/>
          <w:sz w:val="20"/>
          <w:szCs w:val="20"/>
          <w:rtl w:val="true"/>
        </w:rPr>
        <w:t xml:space="preserve">،و عنها وسائل الشیعة </w:t>
      </w:r>
      <w:r>
        <w:rPr>
          <w:rFonts w:eastAsia="IRNazanin" w:cs="IRNazanin"/>
          <w:b w:val="false"/>
          <w:bCs w:val="false"/>
          <w:i w:val="false"/>
          <w:iCs w:val="false"/>
          <w:color w:val="333333"/>
          <w:sz w:val="20"/>
          <w:szCs w:val="20"/>
        </w:rPr>
        <w:t>16:214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912</w:t>
      </w:r>
      <w:r>
        <w:rPr>
          <w:rFonts w:ascii="IRNazanin" w:hAnsi="IRNazanin" w:eastAsia="IRNazanin"/>
          <w:b w:val="false"/>
          <w:b w:val="false"/>
          <w:bCs w:val="false"/>
          <w:i w:val="false"/>
          <w:i w:val="false"/>
          <w:iCs w:val="false"/>
          <w:color w:val="333333"/>
          <w:sz w:val="20"/>
          <w:sz w:val="20"/>
          <w:szCs w:val="20"/>
          <w:rtl w:val="true"/>
        </w:rPr>
        <w:t xml:space="preserve">،و عنهما وسائل الشیعة </w:t>
      </w:r>
      <w:r>
        <w:rPr>
          <w:rFonts w:eastAsia="IRNazanin" w:cs="IRNazanin"/>
          <w:b w:val="false"/>
          <w:bCs w:val="false"/>
          <w:i w:val="false"/>
          <w:iCs w:val="false"/>
          <w:color w:val="333333"/>
          <w:sz w:val="20"/>
          <w:szCs w:val="20"/>
        </w:rPr>
        <w:t>16:214</w:t>
      </w:r>
      <w:r>
        <w:rPr>
          <w:rFonts w:ascii="IRNazanin" w:hAnsi="IRNazanin" w:eastAsia="IRNazanin"/>
          <w:b w:val="false"/>
          <w:b w:val="false"/>
          <w:bCs w:val="false"/>
          <w:i w:val="false"/>
          <w:i w:val="false"/>
          <w:iCs w:val="false"/>
          <w:color w:val="333333"/>
          <w:sz w:val="20"/>
          <w:sz w:val="20"/>
          <w:szCs w:val="20"/>
          <w:rtl w:val="true"/>
        </w:rPr>
        <w:t xml:space="preserve">،کتاب الأمر بالمعروف و النهی عن المنکر،أبواب الأمر و النهی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بحار الأنوار </w:t>
      </w:r>
      <w:r>
        <w:rPr>
          <w:rFonts w:eastAsia="IRNazanin" w:cs="IRNazanin"/>
          <w:b w:val="false"/>
          <w:bCs w:val="false"/>
          <w:i w:val="false"/>
          <w:iCs w:val="false"/>
          <w:color w:val="333333"/>
          <w:sz w:val="20"/>
          <w:szCs w:val="20"/>
        </w:rPr>
        <w:t>62:82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65:157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75:399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المحاسن</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،و عنه وسائل الشیعة </w:t>
      </w:r>
      <w:r>
        <w:rPr>
          <w:rFonts w:eastAsia="IRNazanin" w:cs="IRNazanin"/>
          <w:b w:val="false"/>
          <w:bCs w:val="false"/>
          <w:i w:val="false"/>
          <w:iCs w:val="false"/>
          <w:color w:val="333333"/>
          <w:sz w:val="20"/>
          <w:szCs w:val="20"/>
        </w:rPr>
        <w:t>16:227</w:t>
      </w:r>
      <w:r>
        <w:rPr>
          <w:rFonts w:ascii="IRNazanin" w:hAnsi="IRNazanin" w:eastAsia="IRNazanin"/>
          <w:b w:val="false"/>
          <w:b w:val="false"/>
          <w:bCs w:val="false"/>
          <w:i w:val="false"/>
          <w:i w:val="false"/>
          <w:iCs w:val="false"/>
          <w:color w:val="333333"/>
          <w:sz w:val="20"/>
          <w:sz w:val="20"/>
          <w:szCs w:val="20"/>
          <w:rtl w:val="true"/>
        </w:rPr>
        <w:t xml:space="preserve">،کتاب الأمر بالمعروف و النهی عن المنکر، أبواب الأمر و النهی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،و بحار الأنوار </w:t>
      </w:r>
      <w:r>
        <w:rPr>
          <w:rFonts w:eastAsia="IRNazanin" w:cs="IRNazanin"/>
          <w:b w:val="false"/>
          <w:bCs w:val="false"/>
          <w:i w:val="false"/>
          <w:iCs w:val="false"/>
          <w:color w:val="333333"/>
          <w:sz w:val="20"/>
          <w:szCs w:val="20"/>
        </w:rPr>
        <w:t>75:394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المکاسب المحرّمة للإمام الخمینی رحمه اللّه </w:t>
      </w:r>
      <w:r>
        <w:rPr>
          <w:rFonts w:eastAsia="IRNazanin" w:cs="IRNazanin"/>
          <w:b w:val="false"/>
          <w:bCs w:val="false"/>
          <w:i w:val="false"/>
          <w:iCs w:val="false"/>
          <w:color w:val="333333"/>
          <w:sz w:val="20"/>
          <w:szCs w:val="20"/>
        </w:rPr>
        <w:t>2:225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تأتی بتمامها فی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،و عنها 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،کتاب الطهارة،أبواب الوضوء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16:215</w:t>
      </w:r>
      <w:r>
        <w:rPr>
          <w:rFonts w:ascii="IRNazanin" w:hAnsi="IRNazanin" w:eastAsia="IRNazanin"/>
          <w:b w:val="false"/>
          <w:b w:val="false"/>
          <w:bCs w:val="false"/>
          <w:i w:val="false"/>
          <w:i w:val="false"/>
          <w:iCs w:val="false"/>
          <w:color w:val="333333"/>
          <w:sz w:val="20"/>
          <w:sz w:val="20"/>
          <w:szCs w:val="20"/>
          <w:rtl w:val="true"/>
        </w:rPr>
        <w:t xml:space="preserve">،کتاب الأمر بالمعروف و النهی عن المنکر، أبواب الأمر و النهی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روی صدره فی ج </w:t>
      </w:r>
      <w:r>
        <w:rPr>
          <w:rFonts w:eastAsia="IRNazanin" w:cs="IRNazanin"/>
          <w:b w:val="false"/>
          <w:bCs w:val="false"/>
          <w:i w:val="false"/>
          <w:iCs w:val="false"/>
          <w:color w:val="333333"/>
          <w:sz w:val="20"/>
          <w:szCs w:val="20"/>
        </w:rPr>
        <w:t>25:350</w:t>
      </w:r>
      <w:r>
        <w:rPr>
          <w:rFonts w:ascii="IRNazanin" w:hAnsi="IRNazanin" w:eastAsia="IRNazanin"/>
          <w:b w:val="false"/>
          <w:b w:val="false"/>
          <w:bCs w:val="false"/>
          <w:i w:val="false"/>
          <w:i w:val="false"/>
          <w:iCs w:val="false"/>
          <w:color w:val="333333"/>
          <w:sz w:val="20"/>
          <w:sz w:val="20"/>
          <w:szCs w:val="20"/>
          <w:rtl w:val="true"/>
        </w:rPr>
        <w:t xml:space="preserve">،کتاب الأطعمة و الأشربة،أبواب الأشربة المحرّمة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الکافی </w:t>
      </w:r>
      <w:r>
        <w:rPr>
          <w:rFonts w:eastAsia="IRNazanin" w:cs="IRNazanin"/>
          <w:b w:val="false"/>
          <w:bCs w:val="false"/>
          <w:i w:val="false"/>
          <w:iCs w:val="false"/>
          <w:color w:val="333333"/>
          <w:sz w:val="20"/>
          <w:szCs w:val="20"/>
        </w:rPr>
        <w:t>6:415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،و تهذیب الأحکام </w:t>
      </w:r>
      <w:r>
        <w:rPr>
          <w:rFonts w:eastAsia="IRNazanin" w:cs="IRNazanin"/>
          <w:b w:val="false"/>
          <w:bCs w:val="false"/>
          <w:i w:val="false"/>
          <w:iCs w:val="false"/>
          <w:color w:val="333333"/>
          <w:sz w:val="20"/>
          <w:szCs w:val="20"/>
        </w:rPr>
        <w:t>9:114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9:114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،و عنهما وسائل الشیعة </w:t>
      </w:r>
      <w:r>
        <w:rPr>
          <w:rFonts w:eastAsia="IRNazanin" w:cs="IRNazanin"/>
          <w:b w:val="false"/>
          <w:bCs w:val="false"/>
          <w:i w:val="false"/>
          <w:iCs w:val="false"/>
          <w:color w:val="333333"/>
          <w:sz w:val="20"/>
          <w:szCs w:val="20"/>
        </w:rPr>
        <w:t>25:351</w:t>
      </w:r>
      <w:r>
        <w:rPr>
          <w:rFonts w:ascii="IRNazanin" w:hAnsi="IRNazanin" w:eastAsia="IRNazanin"/>
          <w:b w:val="false"/>
          <w:b w:val="false"/>
          <w:bCs w:val="false"/>
          <w:i w:val="false"/>
          <w:i w:val="false"/>
          <w:iCs w:val="false"/>
          <w:color w:val="333333"/>
          <w:sz w:val="20"/>
          <w:sz w:val="20"/>
          <w:szCs w:val="20"/>
          <w:rtl w:val="true"/>
        </w:rPr>
        <w:t xml:space="preserve">،کتاب الأطعمة و الأشربة،أبواب الأشربة المحرّمة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xml:space="preserve">،و عنه وسائل الشیعة </w:t>
      </w:r>
      <w:r>
        <w:rPr>
          <w:rFonts w:eastAsia="IRNazanin" w:cs="IRNazanin"/>
          <w:b w:val="false"/>
          <w:bCs w:val="false"/>
          <w:i w:val="false"/>
          <w:iCs w:val="false"/>
          <w:color w:val="333333"/>
          <w:sz w:val="20"/>
          <w:szCs w:val="20"/>
        </w:rPr>
        <w:t>1:461</w:t>
      </w:r>
      <w:r>
        <w:rPr>
          <w:rFonts w:ascii="IRNazanin" w:hAnsi="IRNazanin" w:eastAsia="IRNazanin"/>
          <w:b w:val="false"/>
          <w:b w:val="false"/>
          <w:bCs w:val="false"/>
          <w:i w:val="false"/>
          <w:i w:val="false"/>
          <w:iCs w:val="false"/>
          <w:color w:val="333333"/>
          <w:sz w:val="20"/>
          <w:sz w:val="20"/>
          <w:szCs w:val="20"/>
          <w:rtl w:val="true"/>
        </w:rPr>
        <w:t xml:space="preserve">،کتاب الطهارة،أبواب الوضوء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،و عنهما وسائل الشیعة </w:t>
      </w:r>
      <w:r>
        <w:rPr>
          <w:rFonts w:eastAsia="IRNazanin" w:cs="IRNazanin"/>
          <w:b w:val="false"/>
          <w:bCs w:val="false"/>
          <w:i w:val="false"/>
          <w:iCs w:val="false"/>
          <w:color w:val="333333"/>
          <w:sz w:val="20"/>
          <w:szCs w:val="20"/>
        </w:rPr>
        <w:t>1:458</w:t>
      </w:r>
      <w:r>
        <w:rPr>
          <w:rFonts w:ascii="IRNazanin" w:hAnsi="IRNazanin" w:eastAsia="IRNazanin"/>
          <w:b w:val="false"/>
          <w:b w:val="false"/>
          <w:bCs w:val="false"/>
          <w:i w:val="false"/>
          <w:i w:val="false"/>
          <w:iCs w:val="false"/>
          <w:color w:val="333333"/>
          <w:sz w:val="20"/>
          <w:sz w:val="20"/>
          <w:szCs w:val="20"/>
          <w:rtl w:val="true"/>
        </w:rPr>
        <w:t xml:space="preserve">،کتاب الطهارة،أبواب الوضوء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الرجال،المعروف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،و عنه وسائل الشیعة </w:t>
      </w:r>
      <w:r>
        <w:rPr>
          <w:rFonts w:eastAsia="IRNazanin" w:cs="IRNazanin"/>
          <w:b w:val="false"/>
          <w:bCs w:val="false"/>
          <w:i w:val="false"/>
          <w:iCs w:val="false"/>
          <w:color w:val="333333"/>
          <w:sz w:val="20"/>
          <w:szCs w:val="20"/>
        </w:rPr>
        <w:t>16:216</w:t>
      </w:r>
      <w:r>
        <w:rPr>
          <w:rFonts w:ascii="IRNazanin" w:hAnsi="IRNazanin" w:eastAsia="IRNazanin"/>
          <w:b w:val="false"/>
          <w:b w:val="false"/>
          <w:bCs w:val="false"/>
          <w:i w:val="false"/>
          <w:i w:val="false"/>
          <w:iCs w:val="false"/>
          <w:color w:val="333333"/>
          <w:sz w:val="20"/>
          <w:sz w:val="20"/>
          <w:szCs w:val="20"/>
          <w:rtl w:val="true"/>
        </w:rPr>
        <w:t xml:space="preserve">،کتاب الأمر بالمعروف و النهی عن المنکر،أبواب الأمر و النهی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،و عنه وسائل الشیعة </w:t>
      </w:r>
      <w:r>
        <w:rPr>
          <w:rFonts w:eastAsia="IRNazanin" w:cs="IRNazanin"/>
          <w:b w:val="false"/>
          <w:bCs w:val="false"/>
          <w:i w:val="false"/>
          <w:iCs w:val="false"/>
          <w:color w:val="333333"/>
          <w:sz w:val="20"/>
          <w:szCs w:val="20"/>
        </w:rPr>
        <w:t>25:351</w:t>
      </w:r>
      <w:r>
        <w:rPr>
          <w:rFonts w:ascii="IRNazanin" w:hAnsi="IRNazanin" w:eastAsia="IRNazanin"/>
          <w:b w:val="false"/>
          <w:b w:val="false"/>
          <w:bCs w:val="false"/>
          <w:i w:val="false"/>
          <w:i w:val="false"/>
          <w:iCs w:val="false"/>
          <w:color w:val="333333"/>
          <w:sz w:val="20"/>
          <w:sz w:val="20"/>
          <w:szCs w:val="20"/>
          <w:rtl w:val="true"/>
        </w:rPr>
        <w:t xml:space="preserve">،کتاب الأطعمة و الأشربة،أبواب الأشربة المحرّمة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فی شرح العروة الوثقی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الإمام الخوئی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 للشهید الأوّل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،روض الجنان فی شرح إرشاد الأذهان </w:t>
      </w:r>
      <w:r>
        <w:rPr>
          <w:rFonts w:eastAsia="IRNazanin" w:cs="IRNazanin"/>
          <w:b w:val="false"/>
          <w:bCs w:val="false"/>
          <w:i w:val="false"/>
          <w:iCs w:val="false"/>
          <w:color w:val="333333"/>
          <w:sz w:val="20"/>
          <w:szCs w:val="20"/>
        </w:rPr>
        <w:t>1:112</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1:222</w:t>
      </w:r>
      <w:r>
        <w:rPr>
          <w:rFonts w:ascii="IRNazanin" w:hAnsi="IRNazanin" w:eastAsia="IRNazanin"/>
          <w:b w:val="false"/>
          <w:b w:val="false"/>
          <w:bCs w:val="false"/>
          <w:i w:val="false"/>
          <w:i w:val="false"/>
          <w:iCs w:val="false"/>
          <w:color w:val="333333"/>
          <w:sz w:val="20"/>
          <w:sz w:val="20"/>
          <w:szCs w:val="20"/>
          <w:rtl w:val="true"/>
        </w:rPr>
        <w:t xml:space="preserve">،مفتاح الکرامة </w:t>
      </w:r>
      <w:r>
        <w:rPr>
          <w:rFonts w:eastAsia="IRNazanin" w:cs="IRNazanin"/>
          <w:b w:val="false"/>
          <w:bCs w:val="false"/>
          <w:i w:val="false"/>
          <w:iCs w:val="false"/>
          <w:color w:val="333333"/>
          <w:sz w:val="20"/>
          <w:szCs w:val="20"/>
        </w:rPr>
        <w:t>2:448</w:t>
      </w:r>
      <w:r>
        <w:rPr>
          <w:rFonts w:ascii="IRNazanin" w:hAnsi="IRNazanin" w:eastAsia="IRNazanin"/>
          <w:b w:val="false"/>
          <w:b w:val="false"/>
          <w:bCs w:val="false"/>
          <w:i w:val="false"/>
          <w:i w:val="false"/>
          <w:iCs w:val="false"/>
          <w:color w:val="333333"/>
          <w:sz w:val="20"/>
          <w:sz w:val="20"/>
          <w:szCs w:val="20"/>
          <w:rtl w:val="true"/>
        </w:rPr>
        <w:t>،رسائل فقهیّة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تراث الشیخ الأعظم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فی شرح العروة الوثقی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الإمام الخوئی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الرسائل،رسالة فی التقیّة </w:t>
      </w:r>
      <w:r>
        <w:rPr>
          <w:rFonts w:eastAsia="IRNazanin" w:cs="IRNazanin"/>
          <w:b w:val="false"/>
          <w:bCs w:val="false"/>
          <w:i w:val="false"/>
          <w:iCs w:val="false"/>
          <w:color w:val="333333"/>
          <w:sz w:val="20"/>
          <w:szCs w:val="20"/>
        </w:rPr>
        <w:t>2:180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فقهیّة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تراث الشیخ الأعظم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2:196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16:225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،کتاب الأمر بالمعروف و النهی عن المنکر،أبواب الأمر و النهی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Pr>
        <w:t>16:106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899</w:t>
      </w:r>
      <w:r>
        <w:rPr>
          <w:rFonts w:ascii="IRNazanin" w:hAnsi="IRNazanin" w:eastAsia="IRNazanin"/>
          <w:b w:val="false"/>
          <w:b w:val="false"/>
          <w:bCs w:val="false"/>
          <w:i w:val="false"/>
          <w:i w:val="false"/>
          <w:iCs w:val="false"/>
          <w:color w:val="333333"/>
          <w:sz w:val="20"/>
          <w:sz w:val="20"/>
          <w:szCs w:val="20"/>
          <w:rtl w:val="true"/>
        </w:rPr>
        <w:t xml:space="preserve">،و عنهما وسائل الشیعة </w:t>
      </w:r>
      <w:r>
        <w:rPr>
          <w:rFonts w:eastAsia="IRNazanin" w:cs="IRNazanin"/>
          <w:b w:val="false"/>
          <w:bCs w:val="false"/>
          <w:i w:val="false"/>
          <w:iCs w:val="false"/>
          <w:color w:val="333333"/>
          <w:sz w:val="20"/>
          <w:szCs w:val="20"/>
        </w:rPr>
        <w:t>16:235</w:t>
      </w:r>
      <w:r>
        <w:rPr>
          <w:rFonts w:ascii="IRNazanin" w:hAnsi="IRNazanin" w:eastAsia="IRNazanin"/>
          <w:b w:val="false"/>
          <w:b w:val="false"/>
          <w:bCs w:val="false"/>
          <w:i w:val="false"/>
          <w:i w:val="false"/>
          <w:iCs w:val="false"/>
          <w:color w:val="333333"/>
          <w:sz w:val="20"/>
          <w:sz w:val="20"/>
          <w:szCs w:val="20"/>
          <w:rtl w:val="true"/>
        </w:rPr>
        <w:t xml:space="preserve">،کتاب الأمر بالمعروف و النهی عن المنکر،أبواب الأمر و النهی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بحار الأنوار </w:t>
      </w:r>
      <w:r>
        <w:rPr>
          <w:rFonts w:eastAsia="IRNazanin" w:cs="IRNazanin"/>
          <w:b w:val="false"/>
          <w:bCs w:val="false"/>
          <w:i w:val="false"/>
          <w:iCs w:val="false"/>
          <w:color w:val="333333"/>
          <w:sz w:val="20"/>
          <w:szCs w:val="20"/>
        </w:rPr>
        <w:t>75:397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عن المحاسن</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16:235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،کتاب الأمر بالمعروف و النهی عن المنکر،أبواب الأمر و النهی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،و عنه وسائل الشیعة </w:t>
      </w:r>
      <w:r>
        <w:rPr>
          <w:rFonts w:eastAsia="IRNazanin" w:cs="IRNazanin"/>
          <w:b w:val="false"/>
          <w:bCs w:val="false"/>
          <w:i w:val="false"/>
          <w:iCs w:val="false"/>
          <w:color w:val="333333"/>
          <w:sz w:val="20"/>
          <w:szCs w:val="20"/>
        </w:rPr>
        <w:t>16:219</w:t>
      </w:r>
      <w:r>
        <w:rPr>
          <w:rFonts w:ascii="IRNazanin" w:hAnsi="IRNazanin" w:eastAsia="IRNazanin"/>
          <w:b w:val="false"/>
          <w:b w:val="false"/>
          <w:bCs w:val="false"/>
          <w:i w:val="false"/>
          <w:i w:val="false"/>
          <w:iCs w:val="false"/>
          <w:color w:val="333333"/>
          <w:sz w:val="20"/>
          <w:sz w:val="20"/>
          <w:szCs w:val="20"/>
          <w:rtl w:val="true"/>
        </w:rPr>
        <w:t xml:space="preserve">،کتاب الأمر بالمعروف و النهی عن المنکر،أبواب الأمر و النهی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،و عنه وسائل الشیعة </w:t>
      </w:r>
      <w:r>
        <w:rPr>
          <w:rFonts w:eastAsia="IRNazanin" w:cs="IRNazanin"/>
          <w:b w:val="false"/>
          <w:bCs w:val="false"/>
          <w:i w:val="false"/>
          <w:iCs w:val="false"/>
          <w:color w:val="333333"/>
          <w:sz w:val="20"/>
          <w:szCs w:val="20"/>
        </w:rPr>
        <w:t>16:220</w:t>
      </w:r>
      <w:r>
        <w:rPr>
          <w:rFonts w:ascii="IRNazanin" w:hAnsi="IRNazanin" w:eastAsia="IRNazanin"/>
          <w:b w:val="false"/>
          <w:b w:val="false"/>
          <w:bCs w:val="false"/>
          <w:i w:val="false"/>
          <w:i w:val="false"/>
          <w:iCs w:val="false"/>
          <w:color w:val="333333"/>
          <w:sz w:val="20"/>
          <w:sz w:val="20"/>
          <w:szCs w:val="20"/>
          <w:rtl w:val="true"/>
        </w:rPr>
        <w:t xml:space="preserve">،کتاب الأمر بالمعروف و النهی عن المنکر،أبواب الأمر و النهی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عنه وسائل الشیعة </w:t>
      </w:r>
      <w:r>
        <w:rPr>
          <w:rFonts w:eastAsia="IRNazanin" w:cs="IRNazanin"/>
          <w:b w:val="false"/>
          <w:bCs w:val="false"/>
          <w:i w:val="false"/>
          <w:iCs w:val="false"/>
          <w:color w:val="333333"/>
          <w:sz w:val="20"/>
          <w:szCs w:val="20"/>
        </w:rPr>
        <w:t>16:207</w:t>
      </w:r>
      <w:r>
        <w:rPr>
          <w:rFonts w:ascii="IRNazanin" w:hAnsi="IRNazanin" w:eastAsia="IRNazanin"/>
          <w:b w:val="false"/>
          <w:b w:val="false"/>
          <w:bCs w:val="false"/>
          <w:i w:val="false"/>
          <w:i w:val="false"/>
          <w:iCs w:val="false"/>
          <w:color w:val="333333"/>
          <w:sz w:val="20"/>
          <w:sz w:val="20"/>
          <w:szCs w:val="20"/>
          <w:rtl w:val="true"/>
        </w:rPr>
        <w:t xml:space="preserve">،کتاب الأمر بالمعروف و النهی عن المنکر، أبواب الأمر و النهی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8:299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،کتاب الصلاة،أبواب صلاة الجماعة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،کتاب الحجّ،أبواب أحکام العشرة فی السفر و الحضر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1129</w:t>
      </w:r>
      <w:r>
        <w:rPr>
          <w:rFonts w:ascii="IRNazanin" w:hAnsi="IRNazanin" w:eastAsia="IRNazanin"/>
          <w:b w:val="false"/>
          <w:b w:val="false"/>
          <w:bCs w:val="false"/>
          <w:i w:val="false"/>
          <w:i w:val="false"/>
          <w:iCs w:val="false"/>
          <w:color w:val="333333"/>
          <w:sz w:val="20"/>
          <w:sz w:val="20"/>
          <w:szCs w:val="20"/>
          <w:rtl w:val="true"/>
        </w:rPr>
        <w:t xml:space="preserve">،و عنه وسائل الشیعة </w:t>
      </w:r>
      <w:r>
        <w:rPr>
          <w:rFonts w:eastAsia="IRNazanin" w:cs="IRNazanin"/>
          <w:b w:val="false"/>
          <w:bCs w:val="false"/>
          <w:i w:val="false"/>
          <w:iCs w:val="false"/>
          <w:color w:val="333333"/>
          <w:sz w:val="20"/>
          <w:szCs w:val="20"/>
        </w:rPr>
        <w:t>8:430</w:t>
      </w:r>
      <w:r>
        <w:rPr>
          <w:rFonts w:ascii="IRNazanin" w:hAnsi="IRNazanin" w:eastAsia="IRNazanin"/>
          <w:b w:val="false"/>
          <w:b w:val="false"/>
          <w:bCs w:val="false"/>
          <w:i w:val="false"/>
          <w:i w:val="false"/>
          <w:iCs w:val="false"/>
          <w:color w:val="333333"/>
          <w:sz w:val="20"/>
          <w:sz w:val="20"/>
          <w:szCs w:val="20"/>
          <w:rtl w:val="true"/>
        </w:rPr>
        <w:t xml:space="preserve">،کتاب الصلاة،أبواب صلاة الجماعة 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 المتوهّم هو الهمدانی رحمه اللّه فی مصباح الفقیه </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عنه وسائل الشیعة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،کتاب الحجّ،أبواب أحکام العشرة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،و عنه وسائل الشیعة </w:t>
      </w:r>
      <w:r>
        <w:rPr>
          <w:rFonts w:eastAsia="IRNazanin" w:cs="IRNazanin"/>
          <w:b w:val="false"/>
          <w:bCs w:val="false"/>
          <w:i w:val="false"/>
          <w:iCs w:val="false"/>
          <w:color w:val="333333"/>
          <w:sz w:val="20"/>
          <w:szCs w:val="20"/>
        </w:rPr>
        <w:t>16:216</w:t>
      </w:r>
      <w:r>
        <w:rPr>
          <w:rFonts w:ascii="IRNazanin" w:hAnsi="IRNazanin" w:eastAsia="IRNazanin"/>
          <w:b w:val="false"/>
          <w:b w:val="false"/>
          <w:bCs w:val="false"/>
          <w:i w:val="false"/>
          <w:i w:val="false"/>
          <w:iCs w:val="false"/>
          <w:color w:val="333333"/>
          <w:sz w:val="20"/>
          <w:sz w:val="20"/>
          <w:szCs w:val="20"/>
          <w:rtl w:val="true"/>
        </w:rPr>
        <w:t xml:space="preserve">،کتاب الأمر بالمعروف و النهی عن المنکر،أبواب الأمر و النهی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16:219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،کتاب الأمر بالمعروف و النهی عن المنکر،أبواب الأمر و النهی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فقهیّة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تراث الشیخ الأعظم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w:t>
      </w:r>
      <w:r>
        <w:rPr>
          <w:rFonts w:eastAsia="IRNazanin" w:cs="IRNazanin"/>
          <w:b w:val="false"/>
          <w:bCs w:val="false"/>
          <w:i w:val="false"/>
          <w:iCs w:val="false"/>
          <w:color w:val="333333"/>
          <w:sz w:val="20"/>
          <w:szCs w:val="20"/>
        </w:rPr>
        <w:t>2:445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فی شرح العروة الوثقی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الإمام الخوئی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5:276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1126</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xml:space="preserve">،و عنهما وسائل الشیعة </w:t>
      </w:r>
      <w:r>
        <w:rPr>
          <w:rFonts w:eastAsia="IRNazanin" w:cs="IRNazanin"/>
          <w:b w:val="false"/>
          <w:bCs w:val="false"/>
          <w:i w:val="false"/>
          <w:iCs w:val="false"/>
          <w:color w:val="333333"/>
          <w:sz w:val="20"/>
          <w:szCs w:val="20"/>
        </w:rPr>
        <w:t>8:299</w:t>
      </w:r>
      <w:r>
        <w:rPr>
          <w:rFonts w:ascii="IRNazanin" w:hAnsi="IRNazanin" w:eastAsia="IRNazanin"/>
          <w:b w:val="false"/>
          <w:b w:val="false"/>
          <w:bCs w:val="false"/>
          <w:i w:val="false"/>
          <w:i w:val="false"/>
          <w:iCs w:val="false"/>
          <w:color w:val="333333"/>
          <w:sz w:val="20"/>
          <w:sz w:val="20"/>
          <w:szCs w:val="20"/>
          <w:rtl w:val="true"/>
        </w:rPr>
        <w:t xml:space="preserve">،کتاب الصلاة، أبواب صلاة الجماعة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6:172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914</w:t>
      </w:r>
      <w:r>
        <w:rPr>
          <w:rFonts w:ascii="IRNazanin" w:hAnsi="IRNazanin" w:eastAsia="IRNazanin"/>
          <w:b w:val="false"/>
          <w:b w:val="false"/>
          <w:bCs w:val="false"/>
          <w:i w:val="false"/>
          <w:i w:val="false"/>
          <w:iCs w:val="false"/>
          <w:color w:val="333333"/>
          <w:sz w:val="20"/>
          <w:sz w:val="20"/>
          <w:szCs w:val="20"/>
          <w:rtl w:val="true"/>
        </w:rPr>
        <w:t xml:space="preserve">،و عنها وسائل الشیعة </w:t>
      </w:r>
      <w:r>
        <w:rPr>
          <w:rFonts w:eastAsia="IRNazanin" w:cs="IRNazanin"/>
          <w:b w:val="false"/>
          <w:bCs w:val="false"/>
          <w:i w:val="false"/>
          <w:iCs w:val="false"/>
          <w:color w:val="333333"/>
          <w:sz w:val="20"/>
          <w:szCs w:val="20"/>
        </w:rPr>
        <w:t>16:234</w:t>
      </w:r>
      <w:r>
        <w:rPr>
          <w:rFonts w:ascii="IRNazanin" w:hAnsi="IRNazanin" w:eastAsia="IRNazanin"/>
          <w:b w:val="false"/>
          <w:b w:val="false"/>
          <w:bCs w:val="false"/>
          <w:i w:val="false"/>
          <w:i w:val="false"/>
          <w:iCs w:val="false"/>
          <w:color w:val="333333"/>
          <w:sz w:val="20"/>
          <w:sz w:val="20"/>
          <w:szCs w:val="20"/>
          <w:rtl w:val="true"/>
        </w:rPr>
        <w:t xml:space="preserve">،کتاب الأمر بالمعروف و النهی عن المنکر،أبواب الأمر و النهی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فیها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جعلت التقیّة لیحقن بها الدم،فإذا بلغ الدم فلیس تقیّة،أو فإذا بلغت التقیّة الدم فلا تقیّة</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،و عنه بحار الأنوار </w:t>
      </w:r>
      <w:r>
        <w:rPr>
          <w:rFonts w:eastAsia="IRNazanin" w:cs="IRNazanin"/>
          <w:b w:val="false"/>
          <w:bCs w:val="false"/>
          <w:i w:val="false"/>
          <w:iCs w:val="false"/>
          <w:color w:val="333333"/>
          <w:sz w:val="20"/>
          <w:szCs w:val="20"/>
        </w:rPr>
        <w:t>75:421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ح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،و مستدرک الوسائل </w:t>
      </w:r>
      <w:r>
        <w:rPr>
          <w:rFonts w:eastAsia="IRNazanin" w:cs="IRNazanin"/>
          <w:b w:val="false"/>
          <w:bCs w:val="false"/>
          <w:i w:val="false"/>
          <w:iCs w:val="false"/>
          <w:color w:val="333333"/>
          <w:sz w:val="20"/>
          <w:szCs w:val="20"/>
        </w:rPr>
        <w:t>12:274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14083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المکاسب المحرّمة للإمام الخمینی قدّس سرّه </w:t>
      </w:r>
      <w:r>
        <w:rPr>
          <w:rFonts w:eastAsia="IRNazanin" w:cs="IRNazanin"/>
          <w:b w:val="false"/>
          <w:bCs w:val="false"/>
          <w:i w:val="false"/>
          <w:iCs w:val="false"/>
          <w:color w:val="333333"/>
          <w:sz w:val="20"/>
          <w:szCs w:val="20"/>
        </w:rPr>
        <w:t>2:215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912</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1084</w:t>
      </w:r>
      <w:r>
        <w:rPr>
          <w:rFonts w:ascii="IRNazanin" w:hAnsi="IRNazanin" w:eastAsia="IRNazanin"/>
          <w:b w:val="false"/>
          <w:b w:val="false"/>
          <w:bCs w:val="false"/>
          <w:i w:val="false"/>
          <w:i w:val="false"/>
          <w:iCs w:val="false"/>
          <w:color w:val="333333"/>
          <w:sz w:val="20"/>
          <w:sz w:val="20"/>
          <w:szCs w:val="20"/>
          <w:rtl w:val="true"/>
        </w:rPr>
        <w:t xml:space="preserve">،و عنها وسائل الشیعة </w:t>
      </w:r>
      <w:r>
        <w:rPr>
          <w:rFonts w:eastAsia="IRNazanin" w:cs="IRNazanin"/>
          <w:b w:val="false"/>
          <w:bCs w:val="false"/>
          <w:i w:val="false"/>
          <w:iCs w:val="false"/>
          <w:color w:val="333333"/>
          <w:sz w:val="20"/>
          <w:szCs w:val="20"/>
        </w:rPr>
        <w:t>16:214</w:t>
      </w:r>
      <w:r>
        <w:rPr>
          <w:rFonts w:ascii="IRNazanin" w:hAnsi="IRNazanin" w:eastAsia="IRNazanin"/>
          <w:b w:val="false"/>
          <w:b w:val="false"/>
          <w:bCs w:val="false"/>
          <w:i w:val="false"/>
          <w:i w:val="false"/>
          <w:iCs w:val="false"/>
          <w:color w:val="333333"/>
          <w:sz w:val="20"/>
          <w:sz w:val="20"/>
          <w:szCs w:val="20"/>
          <w:rtl w:val="true"/>
        </w:rPr>
        <w:t xml:space="preserve">،کتاب الأمر بالمعروف و النهی عن المنکر،أبواب الأمر و النهی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،کتاب الأیمان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بحار الأنوار </w:t>
      </w:r>
      <w:r>
        <w:rPr>
          <w:rFonts w:eastAsia="IRNazanin" w:cs="IRNazanin"/>
          <w:b w:val="false"/>
          <w:bCs w:val="false"/>
          <w:i w:val="false"/>
          <w:iCs w:val="false"/>
          <w:color w:val="333333"/>
          <w:sz w:val="20"/>
          <w:szCs w:val="20"/>
        </w:rPr>
        <w:t>62:82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65:157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75:399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المحاسن</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2:407</w:t>
      </w:r>
      <w:r>
        <w:rPr>
          <w:rFonts w:ascii="IRNazanin" w:hAnsi="IRNazanin" w:eastAsia="IRNazanin"/>
          <w:b w:val="false"/>
          <w:b w:val="false"/>
          <w:bCs w:val="false"/>
          <w:i w:val="false"/>
          <w:i w:val="false"/>
          <w:iCs w:val="false"/>
          <w:color w:val="333333"/>
          <w:sz w:val="20"/>
          <w:sz w:val="20"/>
          <w:szCs w:val="20"/>
          <w:rtl w:val="true"/>
        </w:rPr>
        <w:t xml:space="preserve">،مصباح الهدی </w:t>
      </w:r>
      <w:r>
        <w:rPr>
          <w:rFonts w:eastAsia="IRNazanin" w:cs="IRNazanin"/>
          <w:b w:val="false"/>
          <w:bCs w:val="false"/>
          <w:i w:val="false"/>
          <w:iCs w:val="false"/>
          <w:color w:val="333333"/>
          <w:sz w:val="20"/>
          <w:szCs w:val="20"/>
        </w:rPr>
        <w:t>3:325</w:t>
      </w:r>
      <w:r>
        <w:rPr>
          <w:rFonts w:ascii="IRNazanin" w:hAnsi="IRNazanin" w:eastAsia="IRNazanin"/>
          <w:b w:val="false"/>
          <w:b w:val="false"/>
          <w:bCs w:val="false"/>
          <w:i w:val="false"/>
          <w:i w:val="false"/>
          <w:iCs w:val="false"/>
          <w:color w:val="333333"/>
          <w:sz w:val="20"/>
          <w:sz w:val="20"/>
          <w:szCs w:val="20"/>
          <w:rtl w:val="true"/>
        </w:rPr>
        <w:t xml:space="preserve">،القواعد الفقهیّة للبجنوردی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،کتاب الصلاة،تقریرات النائینی،للآملی </w:t>
      </w:r>
      <w:r>
        <w:rPr>
          <w:rFonts w:eastAsia="IRNazanin" w:cs="IRNazanin"/>
          <w:b w:val="false"/>
          <w:bCs w:val="false"/>
          <w:i w:val="false"/>
          <w:iCs w:val="false"/>
          <w:color w:val="333333"/>
          <w:sz w:val="20"/>
          <w:szCs w:val="20"/>
        </w:rPr>
        <w:t>2:300</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2:388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الرسائل،رسالة فی التقیّة </w:t>
      </w:r>
      <w:r>
        <w:rPr>
          <w:rFonts w:eastAsia="IRNazanin" w:cs="IRNazanin"/>
          <w:b w:val="false"/>
          <w:bCs w:val="false"/>
          <w:i w:val="false"/>
          <w:iCs w:val="false"/>
          <w:color w:val="333333"/>
          <w:sz w:val="20"/>
          <w:szCs w:val="20"/>
        </w:rPr>
        <w:t>2:188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فی شرح العروة الوثقی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الإمام الخوئی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،و عنه وسائل الشیعة </w:t>
      </w:r>
      <w:r>
        <w:rPr>
          <w:rFonts w:eastAsia="IRNazanin" w:cs="IRNazanin"/>
          <w:b w:val="false"/>
          <w:bCs w:val="false"/>
          <w:i w:val="false"/>
          <w:iCs w:val="false"/>
          <w:color w:val="333333"/>
          <w:sz w:val="20"/>
          <w:szCs w:val="20"/>
        </w:rPr>
        <w:t>10:132</w:t>
      </w:r>
      <w:r>
        <w:rPr>
          <w:rFonts w:ascii="IRNazanin" w:hAnsi="IRNazanin" w:eastAsia="IRNazanin"/>
          <w:b w:val="false"/>
          <w:b w:val="false"/>
          <w:bCs w:val="false"/>
          <w:i w:val="false"/>
          <w:i w:val="false"/>
          <w:iCs w:val="false"/>
          <w:color w:val="333333"/>
          <w:sz w:val="20"/>
          <w:sz w:val="20"/>
          <w:szCs w:val="20"/>
          <w:rtl w:val="true"/>
        </w:rPr>
        <w:t xml:space="preserve">،کتاب الصوم،أبواب ما یمسک عنه الصائم 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،و عنه وسائل الشیعة </w:t>
      </w:r>
      <w:r>
        <w:rPr>
          <w:rFonts w:eastAsia="IRNazanin" w:cs="IRNazanin"/>
          <w:b w:val="false"/>
          <w:bCs w:val="false"/>
          <w:i w:val="false"/>
          <w:iCs w:val="false"/>
          <w:color w:val="333333"/>
          <w:sz w:val="20"/>
          <w:szCs w:val="20"/>
        </w:rPr>
        <w:t>10:132</w:t>
      </w:r>
      <w:r>
        <w:rPr>
          <w:rFonts w:ascii="IRNazanin" w:hAnsi="IRNazanin" w:eastAsia="IRNazanin"/>
          <w:b w:val="false"/>
          <w:b w:val="false"/>
          <w:bCs w:val="false"/>
          <w:i w:val="false"/>
          <w:i w:val="false"/>
          <w:iCs w:val="false"/>
          <w:color w:val="333333"/>
          <w:sz w:val="20"/>
          <w:sz w:val="20"/>
          <w:szCs w:val="20"/>
          <w:rtl w:val="true"/>
        </w:rPr>
        <w:t xml:space="preserve">،کتاب الصوم،أبواب ما یمسک عنه الصائم 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 الاستشهاد بهاتین الروایتین غیر صحیح؛لأنّهما ضعیفتان من حیث السند؛لإرسالهما،مع أنّ فی سند إحداهما سهل بن زیاد،و هو ضعیف،علی المشهور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نعم،قد أخترنا اخیرا فی دروسنا الفقهیّة صحّة الاعتماد علی روایة،المؤلّف</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فی شرح العروة الوثقی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الإمام الخوئی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5:263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فی شرح العروة الوثقی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الإمام الخوئی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فی شرح العروة الوثقی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الإمام الخوئی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المحقّق الکرکی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،و عنهما وسائل الشیعة </w:t>
      </w:r>
      <w:r>
        <w:rPr>
          <w:rFonts w:eastAsia="IRNazanin" w:cs="IRNazanin"/>
          <w:b w:val="false"/>
          <w:bCs w:val="false"/>
          <w:i w:val="false"/>
          <w:iCs w:val="false"/>
          <w:color w:val="333333"/>
          <w:sz w:val="20"/>
          <w:szCs w:val="20"/>
        </w:rPr>
        <w:t>1:458</w:t>
      </w:r>
      <w:r>
        <w:rPr>
          <w:rFonts w:ascii="IRNazanin" w:hAnsi="IRNazanin" w:eastAsia="IRNazanin"/>
          <w:b w:val="false"/>
          <w:b w:val="false"/>
          <w:bCs w:val="false"/>
          <w:i w:val="false"/>
          <w:i w:val="false"/>
          <w:iCs w:val="false"/>
          <w:color w:val="333333"/>
          <w:sz w:val="20"/>
          <w:sz w:val="20"/>
          <w:szCs w:val="20"/>
          <w:rtl w:val="true"/>
        </w:rPr>
        <w:t xml:space="preserve">،کتاب الطهارة،أبواب الوضوء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من الإذن العامّ ما یوجب الإذن فی امتثال العبادات عموما علی وجه التقیّة،بحیث لا یحتاج فی الدخول فی کلّ عبادة علی وجه التقیّة إلی النصّ الخاصّ،المؤلّف</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،کتاب الأمر و النهی،أبواب الأمر و النهی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ح </w:t>
      </w:r>
      <w:r>
        <w:rPr>
          <w:rFonts w:eastAsia="IRNazanin" w:cs="IRNazanin"/>
          <w:b w:val="false"/>
          <w:bCs w:val="false"/>
          <w:i w:val="false"/>
          <w:iCs w:val="false"/>
          <w:color w:val="333333"/>
          <w:sz w:val="20"/>
          <w:szCs w:val="20"/>
        </w:rPr>
        <w:t>890</w:t>
      </w:r>
      <w:r>
        <w:rPr>
          <w:rFonts w:ascii="IRNazanin" w:hAnsi="IRNazanin" w:eastAsia="IRNazanin"/>
          <w:b w:val="false"/>
          <w:b w:val="false"/>
          <w:bCs w:val="false"/>
          <w:i w:val="false"/>
          <w:i w:val="false"/>
          <w:iCs w:val="false"/>
          <w:color w:val="333333"/>
          <w:sz w:val="20"/>
          <w:sz w:val="20"/>
          <w:szCs w:val="20"/>
          <w:rtl w:val="true"/>
        </w:rPr>
        <w:t xml:space="preserve">،و عنه بحار الأنوار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ح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،و فی ج </w:t>
      </w:r>
      <w:r>
        <w:rPr>
          <w:rFonts w:eastAsia="IRNazanin" w:cs="IRNazanin"/>
          <w:b w:val="false"/>
          <w:bCs w:val="false"/>
          <w:i w:val="false"/>
          <w:iCs w:val="false"/>
          <w:color w:val="333333"/>
          <w:sz w:val="20"/>
          <w:szCs w:val="20"/>
        </w:rPr>
        <w:t>75:422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مشکاة الأنوار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ح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،و فی ج </w:t>
      </w:r>
      <w:r>
        <w:rPr>
          <w:rFonts w:eastAsia="IRNazanin" w:cs="IRNazanin"/>
          <w:b w:val="false"/>
          <w:bCs w:val="false"/>
          <w:i w:val="false"/>
          <w:iCs w:val="false"/>
          <w:color w:val="333333"/>
          <w:sz w:val="20"/>
          <w:szCs w:val="20"/>
        </w:rPr>
        <w:t>85:81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الوسائل </w:t>
      </w:r>
      <w:r>
        <w:rPr>
          <w:rFonts w:eastAsia="IRNazanin" w:cs="IRNazanin"/>
          <w:b w:val="false"/>
          <w:bCs w:val="false"/>
          <w:i w:val="false"/>
          <w:iCs w:val="false"/>
          <w:color w:val="333333"/>
          <w:sz w:val="20"/>
          <w:szCs w:val="20"/>
        </w:rPr>
        <w:t>4:189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4455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دعائم الإسلام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یستفاد من کلمات الشیخ الأعظم الأنصاری الفرق 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التقیّة فی کلّ 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فیستفاد منه الإذن،و بین قوله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التقیّة دینی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یستفاد الإذن،و یستفاد من عبارة المحقّق البجنوردی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القواعد الفقهیة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 وجود هذا الفرق،المؤلّف</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فقهیّة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تراث الشیخ الأعظم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المحقّق البجنوردی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القواعد الفقهیّة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الإنصاف أنّه لا یمکن إسناد مثل هذا التفصیل إلی مثل ذلک المحقّق الذی هو من أعاظم أساطین الفقه،و لعلّ نظره إلی کون الأخبار العامّة ناظرة إلی لزوم الاتّقاء و وجوبه و حرمة ترکه،و إلاّ فأیّ فرق بین أن یکون الإذن بصورة القضیّة الشخصیّة الخارجیّة، أو بصورة القضیّة الکلّیّة الحقیقیّة،المؤلّف</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إلی سورة البقرة </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المحقّق الکرکی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،نوادر ابن عیسی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،و عنها وسائل الشیعة </w:t>
      </w:r>
      <w:r>
        <w:rPr>
          <w:rFonts w:eastAsia="IRNazanin" w:cs="IRNazanin"/>
          <w:b w:val="false"/>
          <w:bCs w:val="false"/>
          <w:i w:val="false"/>
          <w:iCs w:val="false"/>
          <w:color w:val="333333"/>
          <w:sz w:val="20"/>
          <w:szCs w:val="20"/>
        </w:rPr>
        <w:t>8:249</w:t>
      </w:r>
      <w:r>
        <w:rPr>
          <w:rFonts w:ascii="IRNazanin" w:hAnsi="IRNazanin" w:eastAsia="IRNazanin"/>
          <w:b w:val="false"/>
          <w:b w:val="false"/>
          <w:bCs w:val="false"/>
          <w:i w:val="false"/>
          <w:i w:val="false"/>
          <w:iCs w:val="false"/>
          <w:color w:val="333333"/>
          <w:sz w:val="20"/>
          <w:sz w:val="20"/>
          <w:szCs w:val="20"/>
          <w:rtl w:val="true"/>
        </w:rPr>
        <w:t xml:space="preserve">،کتاب الصلاة،أبواب الخلل الواقع فی الصلاة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15:369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،کتاب الجهاد،أبواب جهاد النفس و ما یناسبه 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16:218</w:t>
      </w:r>
      <w:r>
        <w:rPr>
          <w:rFonts w:ascii="IRNazanin" w:hAnsi="IRNazanin" w:eastAsia="IRNazanin"/>
          <w:b w:val="false"/>
          <w:b w:val="false"/>
          <w:bCs w:val="false"/>
          <w:i w:val="false"/>
          <w:i w:val="false"/>
          <w:iCs w:val="false"/>
          <w:color w:val="333333"/>
          <w:sz w:val="20"/>
          <w:sz w:val="20"/>
          <w:szCs w:val="20"/>
          <w:rtl w:val="true"/>
        </w:rPr>
        <w:t xml:space="preserve">،کتاب الأمر بالمعروف و النهی عن المنکر،أبواب الأمر و النهی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23:237</w:t>
      </w:r>
      <w:r>
        <w:rPr>
          <w:rFonts w:ascii="IRNazanin" w:hAnsi="IRNazanin" w:eastAsia="IRNazanin"/>
          <w:b w:val="false"/>
          <w:b w:val="false"/>
          <w:bCs w:val="false"/>
          <w:i w:val="false"/>
          <w:i w:val="false"/>
          <w:iCs w:val="false"/>
          <w:color w:val="333333"/>
          <w:sz w:val="20"/>
          <w:sz w:val="20"/>
          <w:szCs w:val="20"/>
          <w:rtl w:val="true"/>
        </w:rPr>
        <w:t xml:space="preserve">،کتاب الأیمان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الرسائل،رسالة فی التقیّة </w:t>
      </w:r>
      <w:r>
        <w:rPr>
          <w:rFonts w:eastAsia="IRNazanin" w:cs="IRNazanin"/>
          <w:b w:val="false"/>
          <w:bCs w:val="false"/>
          <w:i w:val="false"/>
          <w:iCs w:val="false"/>
          <w:color w:val="333333"/>
          <w:sz w:val="20"/>
          <w:szCs w:val="20"/>
        </w:rPr>
        <w:t>2:188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فی شرح العروة الوثقی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الإمام الخوئی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الرسائل،رسالة فی التقیّة </w:t>
      </w:r>
      <w:r>
        <w:rPr>
          <w:rFonts w:eastAsia="IRNazanin" w:cs="IRNazanin"/>
          <w:b w:val="false"/>
          <w:bCs w:val="false"/>
          <w:i w:val="false"/>
          <w:iCs w:val="false"/>
          <w:color w:val="333333"/>
          <w:sz w:val="20"/>
          <w:szCs w:val="20"/>
        </w:rPr>
        <w:t>2:189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فقهیّة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تراث الشیخ الأعظم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2:275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فقهیّة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تراث الشیخ الأعظم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الرسائل،رسالة فی التقیّة </w:t>
      </w:r>
      <w:r>
        <w:rPr>
          <w:rFonts w:eastAsia="IRNazanin" w:cs="IRNazanin"/>
          <w:b w:val="false"/>
          <w:bCs w:val="false"/>
          <w:i w:val="false"/>
          <w:iCs w:val="false"/>
          <w:color w:val="333333"/>
          <w:sz w:val="20"/>
          <w:szCs w:val="20"/>
        </w:rPr>
        <w:t>2:190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هذا الإیراد مصطاد من کلمات الشیخ الأنصاری،المؤلّف</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فی شرح العروة الوثقی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الإمام الخوئی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8:286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1052</w:t>
      </w:r>
      <w:r>
        <w:rPr>
          <w:rFonts w:ascii="IRNazanin" w:hAnsi="IRNazanin" w:eastAsia="IRNazanin"/>
          <w:b w:val="false"/>
          <w:b w:val="false"/>
          <w:bCs w:val="false"/>
          <w:i w:val="false"/>
          <w:i w:val="false"/>
          <w:iCs w:val="false"/>
          <w:color w:val="333333"/>
          <w:sz w:val="20"/>
          <w:sz w:val="20"/>
          <w:szCs w:val="20"/>
          <w:rtl w:val="true"/>
        </w:rPr>
        <w:t xml:space="preserve">،و عنهما وسائل الشیعة </w:t>
      </w:r>
      <w:r>
        <w:rPr>
          <w:rFonts w:eastAsia="IRNazanin" w:cs="IRNazanin"/>
          <w:b w:val="false"/>
          <w:bCs w:val="false"/>
          <w:i w:val="false"/>
          <w:iCs w:val="false"/>
          <w:color w:val="333333"/>
          <w:sz w:val="20"/>
          <w:szCs w:val="20"/>
        </w:rPr>
        <w:t>23:224</w:t>
      </w:r>
      <w:r>
        <w:rPr>
          <w:rFonts w:ascii="IRNazanin" w:hAnsi="IRNazanin" w:eastAsia="IRNazanin"/>
          <w:b w:val="false"/>
          <w:b w:val="false"/>
          <w:bCs w:val="false"/>
          <w:i w:val="false"/>
          <w:i w:val="false"/>
          <w:iCs w:val="false"/>
          <w:color w:val="333333"/>
          <w:sz w:val="20"/>
          <w:sz w:val="20"/>
          <w:szCs w:val="20"/>
          <w:rtl w:val="true"/>
        </w:rPr>
        <w:t xml:space="preserve">،کتاب الأیمان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فقهیّة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تراث الشیخ الأعظم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الرسائل،رسالة فی التقیّة </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،و عنه مستدرک الوسائل </w:t>
      </w:r>
      <w:r>
        <w:rPr>
          <w:rFonts w:eastAsia="IRNazanin" w:cs="IRNazanin"/>
          <w:b w:val="false"/>
          <w:bCs w:val="false"/>
          <w:i w:val="false"/>
          <w:iCs w:val="false"/>
          <w:color w:val="333333"/>
          <w:sz w:val="20"/>
          <w:szCs w:val="20"/>
        </w:rPr>
        <w:t>18:20</w:t>
      </w:r>
      <w:r>
        <w:rPr>
          <w:rFonts w:ascii="IRNazanin" w:hAnsi="IRNazanin" w:eastAsia="IRNazanin"/>
          <w:b w:val="false"/>
          <w:b w:val="false"/>
          <w:bCs w:val="false"/>
          <w:i w:val="false"/>
          <w:i w:val="false"/>
          <w:iCs w:val="false"/>
          <w:color w:val="333333"/>
          <w:sz w:val="20"/>
          <w:sz w:val="20"/>
          <w:szCs w:val="20"/>
          <w:rtl w:val="true"/>
        </w:rPr>
        <w:t xml:space="preserve">،کتاب الحدود و التعزیرات،أبواب مقدّمات الحدود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21886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فقهیّة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تراث الشیخ الأعظم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فی شرح العروة الوثقی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الإمام الخوئی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913</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،و عنها وسائل الشیعة </w:t>
      </w:r>
      <w:r>
        <w:rPr>
          <w:rFonts w:eastAsia="IRNazanin" w:cs="IRNazanin"/>
          <w:b w:val="false"/>
          <w:bCs w:val="false"/>
          <w:i w:val="false"/>
          <w:iCs w:val="false"/>
          <w:color w:val="333333"/>
          <w:sz w:val="20"/>
          <w:szCs w:val="20"/>
        </w:rPr>
        <w:t>16:204</w:t>
      </w:r>
      <w:r>
        <w:rPr>
          <w:rFonts w:ascii="IRNazanin" w:hAnsi="IRNazanin" w:eastAsia="IRNazanin"/>
          <w:b w:val="false"/>
          <w:b w:val="false"/>
          <w:bCs w:val="false"/>
          <w:i w:val="false"/>
          <w:i w:val="false"/>
          <w:iCs w:val="false"/>
          <w:color w:val="333333"/>
          <w:sz w:val="20"/>
          <w:sz w:val="20"/>
          <w:szCs w:val="20"/>
          <w:rtl w:val="true"/>
        </w:rPr>
        <w:t xml:space="preserve">،کتاب الأمر بالمعروف و النهی عن المنکر،أبواب الأمر و النهی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بحار الأنوار </w:t>
      </w:r>
      <w:r>
        <w:rPr>
          <w:rFonts w:eastAsia="IRNazanin" w:cs="IRNazanin"/>
          <w:b w:val="false"/>
          <w:bCs w:val="false"/>
          <w:i w:val="false"/>
          <w:iCs w:val="false"/>
          <w:color w:val="333333"/>
          <w:sz w:val="20"/>
          <w:szCs w:val="20"/>
        </w:rPr>
        <w:t>66:486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75:399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79:172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80:268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المحاسن</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الفقهیّة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الصلاة،تقریرات بحث النائینی قدّس سرّه،للشیخ محمّد تقی الآملی رحمه اللّه </w:t>
      </w:r>
      <w:r>
        <w:rPr>
          <w:rFonts w:eastAsia="IRNazanin" w:cs="IRNazanin"/>
          <w:b w:val="false"/>
          <w:bCs w:val="false"/>
          <w:i w:val="false"/>
          <w:iCs w:val="false"/>
          <w:color w:val="333333"/>
          <w:sz w:val="20"/>
          <w:szCs w:val="20"/>
        </w:rPr>
        <w:t>2:299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التنقیح،فی شرح العروة الوثقی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الإمام الخوئی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فقهیّة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تراث الشیخ الأعظم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فقهیّة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تراث الشیخ الأعظم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عنه وسائل الشیعة </w:t>
      </w:r>
      <w:r>
        <w:rPr>
          <w:rFonts w:eastAsia="IRNazanin" w:cs="IRNazanin"/>
          <w:b w:val="false"/>
          <w:bCs w:val="false"/>
          <w:i w:val="false"/>
          <w:iCs w:val="false"/>
          <w:color w:val="333333"/>
          <w:sz w:val="20"/>
          <w:szCs w:val="20"/>
        </w:rPr>
        <w:t>16:216</w:t>
      </w:r>
      <w:r>
        <w:rPr>
          <w:rFonts w:ascii="IRNazanin" w:hAnsi="IRNazanin" w:eastAsia="IRNazanin"/>
          <w:b w:val="false"/>
          <w:b w:val="false"/>
          <w:bCs w:val="false"/>
          <w:i w:val="false"/>
          <w:i w:val="false"/>
          <w:iCs w:val="false"/>
          <w:color w:val="333333"/>
          <w:sz w:val="20"/>
          <w:sz w:val="20"/>
          <w:szCs w:val="20"/>
          <w:rtl w:val="true"/>
        </w:rPr>
        <w:t xml:space="preserve">،کتاب الأمر بالمعروف و النهی عن المنکر،أبواب الأمر و النهی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6:226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ح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،و عنهما وسائل الشیعة </w:t>
      </w:r>
      <w:r>
        <w:rPr>
          <w:rFonts w:eastAsia="IRNazanin" w:cs="IRNazanin"/>
          <w:b w:val="false"/>
          <w:bCs w:val="false"/>
          <w:i w:val="false"/>
          <w:iCs w:val="false"/>
          <w:color w:val="333333"/>
          <w:sz w:val="20"/>
          <w:szCs w:val="20"/>
        </w:rPr>
        <w:t>27:212</w:t>
      </w:r>
      <w:r>
        <w:rPr>
          <w:rFonts w:ascii="IRNazanin" w:hAnsi="IRNazanin" w:eastAsia="IRNazanin"/>
          <w:b w:val="false"/>
          <w:b w:val="false"/>
          <w:bCs w:val="false"/>
          <w:i w:val="false"/>
          <w:i w:val="false"/>
          <w:iCs w:val="false"/>
          <w:color w:val="333333"/>
          <w:sz w:val="20"/>
          <w:sz w:val="20"/>
          <w:szCs w:val="20"/>
          <w:rtl w:val="true"/>
        </w:rPr>
        <w:t xml:space="preserve">، کتاب القضاء،أبواب آداب القاضی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،أبواب کیفیّة الحکم و أحکام الدعوی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الفقیه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فقهیّة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تراث الشیخ الأعظم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الرسائل،رسالة فی التقیّة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فی شرح العروة الوثقی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الإمام الخوئی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5:250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المحکم و المتشابه،المطبوع بتمامها فی بحار الأنوار </w:t>
      </w:r>
      <w:r>
        <w:rPr>
          <w:rFonts w:eastAsia="IRNazanin" w:cs="IRNazanin"/>
          <w:b w:val="false"/>
          <w:bCs w:val="false"/>
          <w:i w:val="false"/>
          <w:iCs w:val="false"/>
          <w:color w:val="333333"/>
          <w:sz w:val="20"/>
          <w:szCs w:val="20"/>
        </w:rPr>
        <w:t>93:29</w:t>
      </w:r>
      <w:r>
        <w:rPr>
          <w:rFonts w:ascii="IRNazanin" w:hAnsi="IRNazanin" w:eastAsia="IRNazanin"/>
          <w:b w:val="false"/>
          <w:b w:val="false"/>
          <w:bCs w:val="false"/>
          <w:i w:val="false"/>
          <w:i w:val="false"/>
          <w:iCs w:val="false"/>
          <w:color w:val="333333"/>
          <w:sz w:val="20"/>
          <w:sz w:val="20"/>
          <w:szCs w:val="20"/>
          <w:rtl w:val="true"/>
        </w:rPr>
        <w:t xml:space="preserve">،و فی جامع الأخبار و الآثار </w:t>
      </w:r>
      <w:r>
        <w:rPr>
          <w:rFonts w:eastAsia="IRNazanin" w:cs="IRNazanin"/>
          <w:b w:val="false"/>
          <w:bCs w:val="false"/>
          <w:i w:val="false"/>
          <w:iCs w:val="false"/>
          <w:color w:val="333333"/>
          <w:sz w:val="20"/>
          <w:szCs w:val="20"/>
        </w:rPr>
        <w:t>3:135</w:t>
      </w:r>
      <w:r>
        <w:rPr>
          <w:rFonts w:ascii="IRNazanin" w:hAnsi="IRNazanin" w:eastAsia="IRNazanin"/>
          <w:b w:val="false"/>
          <w:b w:val="false"/>
          <w:bCs w:val="false"/>
          <w:i w:val="false"/>
          <w:i w:val="false"/>
          <w:iCs w:val="false"/>
          <w:color w:val="333333"/>
          <w:sz w:val="20"/>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عنه وسائل الشیعة </w:t>
      </w:r>
      <w:r>
        <w:rPr>
          <w:rFonts w:eastAsia="IRNazanin" w:cs="IRNazanin"/>
          <w:b w:val="false"/>
          <w:bCs w:val="false"/>
          <w:i w:val="false"/>
          <w:iCs w:val="false"/>
          <w:color w:val="333333"/>
          <w:sz w:val="20"/>
          <w:szCs w:val="20"/>
        </w:rPr>
        <w:t>16:207</w:t>
      </w:r>
      <w:r>
        <w:rPr>
          <w:rFonts w:ascii="IRNazanin" w:hAnsi="IRNazanin" w:eastAsia="IRNazanin"/>
          <w:b w:val="false"/>
          <w:b w:val="false"/>
          <w:bCs w:val="false"/>
          <w:i w:val="false"/>
          <w:i w:val="false"/>
          <w:iCs w:val="false"/>
          <w:color w:val="333333"/>
          <w:sz w:val="20"/>
          <w:sz w:val="20"/>
          <w:szCs w:val="20"/>
          <w:rtl w:val="true"/>
        </w:rPr>
        <w:t xml:space="preserve">،کتاب الأمر بالمعروف و النهی عن المنکر، أبواب الأمر و النهی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،و عنهما وسائل الشیعة </w:t>
      </w:r>
      <w:r>
        <w:rPr>
          <w:rFonts w:eastAsia="IRNazanin" w:cs="IRNazanin"/>
          <w:b w:val="false"/>
          <w:bCs w:val="false"/>
          <w:i w:val="false"/>
          <w:iCs w:val="false"/>
          <w:color w:val="333333"/>
          <w:sz w:val="20"/>
          <w:szCs w:val="20"/>
        </w:rPr>
        <w:t>8:405</w:t>
      </w:r>
      <w:r>
        <w:rPr>
          <w:rFonts w:ascii="IRNazanin" w:hAnsi="IRNazanin" w:eastAsia="IRNazanin"/>
          <w:b w:val="false"/>
          <w:b w:val="false"/>
          <w:bCs w:val="false"/>
          <w:i w:val="false"/>
          <w:i w:val="false"/>
          <w:iCs w:val="false"/>
          <w:color w:val="333333"/>
          <w:sz w:val="20"/>
          <w:sz w:val="20"/>
          <w:szCs w:val="20"/>
          <w:rtl w:val="true"/>
        </w:rPr>
        <w:t xml:space="preserve">،کتاب الصلاة،أبواب صلاة الجماعة 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فقهیّة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تراث الشیخ الأعظم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الرسائل،رسالة فی التقیّة </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فی شرح العروة الوثقی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الإمام الخوئی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فقهیّة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تراث الشیخ الأعظم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فی شرح العروة الوثقی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الإمام الخوئی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التنقیح،فی شرح العروة الوثقی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الإمام الخوئی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فقهیّة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تراث الشیخ الأعظم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الرسائل،رسالة فی التقیّة </w:t>
      </w:r>
      <w:r>
        <w:rPr>
          <w:rFonts w:eastAsia="IRNazanin" w:cs="IRNazanin"/>
          <w:b w:val="false"/>
          <w:bCs w:val="false"/>
          <w:i w:val="false"/>
          <w:iCs w:val="false"/>
          <w:color w:val="333333"/>
          <w:sz w:val="20"/>
          <w:szCs w:val="20"/>
        </w:rPr>
        <w:t>2:186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2:239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w:t>
      </w:r>
      <w:r>
        <w:rPr>
          <w:rFonts w:eastAsia="IRNazanin" w:cs="IRNazanin"/>
          <w:b w:val="false"/>
          <w:bCs w:val="false"/>
          <w:i w:val="false"/>
          <w:iCs w:val="false"/>
          <w:color w:val="333333"/>
          <w:sz w:val="20"/>
          <w:szCs w:val="20"/>
        </w:rPr>
        <w:t>2:435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فقهیّة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تراث الشیخ الأعظم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الصلاة تقریرات بحث النائینی رحمه اللّه للشیخ محمّد تقی الآملی رحمه اللّه </w:t>
      </w:r>
      <w:r>
        <w:rPr>
          <w:rFonts w:eastAsia="IRNazanin" w:cs="IRNazanin"/>
          <w:b w:val="false"/>
          <w:bCs w:val="false"/>
          <w:i w:val="false"/>
          <w:iCs w:val="false"/>
          <w:color w:val="333333"/>
          <w:sz w:val="20"/>
          <w:szCs w:val="20"/>
        </w:rPr>
        <w:t>2:299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العروة الوثقی </w:t>
      </w:r>
      <w:r>
        <w:rPr>
          <w:rFonts w:eastAsia="IRNazanin" w:cs="IRNazanin"/>
          <w:b w:val="false"/>
          <w:bCs w:val="false"/>
          <w:i w:val="false"/>
          <w:iCs w:val="false"/>
          <w:color w:val="333333"/>
          <w:sz w:val="20"/>
          <w:szCs w:val="20"/>
        </w:rPr>
        <w:t>5:281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الرسائل،رسالة فی التقیّة </w:t>
      </w:r>
      <w:r>
        <w:rPr>
          <w:rFonts w:eastAsia="IRNazanin" w:cs="IRNazanin"/>
          <w:b w:val="false"/>
          <w:bCs w:val="false"/>
          <w:i w:val="false"/>
          <w:iCs w:val="false"/>
          <w:color w:val="333333"/>
          <w:sz w:val="20"/>
          <w:szCs w:val="20"/>
        </w:rPr>
        <w:t>2:186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ما تقدّم فی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المنسوب إلی الإمام العسکری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،و عنه وسائل الشیعة </w:t>
      </w:r>
      <w:r>
        <w:rPr>
          <w:rFonts w:eastAsia="IRNazanin" w:cs="IRNazanin"/>
          <w:b w:val="false"/>
          <w:bCs w:val="false"/>
          <w:i w:val="false"/>
          <w:iCs w:val="false"/>
          <w:color w:val="333333"/>
          <w:sz w:val="20"/>
          <w:szCs w:val="20"/>
        </w:rPr>
        <w:t>16:223</w:t>
      </w:r>
      <w:r>
        <w:rPr>
          <w:rFonts w:ascii="IRNazanin" w:hAnsi="IRNazanin" w:eastAsia="IRNazanin"/>
          <w:b w:val="false"/>
          <w:b w:val="false"/>
          <w:bCs w:val="false"/>
          <w:i w:val="false"/>
          <w:i w:val="false"/>
          <w:iCs w:val="false"/>
          <w:color w:val="333333"/>
          <w:sz w:val="20"/>
          <w:sz w:val="20"/>
          <w:szCs w:val="20"/>
          <w:rtl w:val="true"/>
        </w:rPr>
        <w:t xml:space="preserve">،کتاب الأمر بالمعروف و النهی عن المنکر،أبواب الأمر و النهی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،و عنه وسائل الشیعة </w:t>
      </w:r>
      <w:r>
        <w:rPr>
          <w:rFonts w:eastAsia="IRNazanin" w:cs="IRNazanin"/>
          <w:b w:val="false"/>
          <w:bCs w:val="false"/>
          <w:i w:val="false"/>
          <w:iCs w:val="false"/>
          <w:color w:val="333333"/>
          <w:sz w:val="20"/>
          <w:szCs w:val="20"/>
        </w:rPr>
        <w:t>16:212</w:t>
      </w:r>
      <w:r>
        <w:rPr>
          <w:rFonts w:ascii="IRNazanin" w:hAnsi="IRNazanin" w:eastAsia="IRNazanin"/>
          <w:b w:val="false"/>
          <w:b w:val="false"/>
          <w:bCs w:val="false"/>
          <w:i w:val="false"/>
          <w:i w:val="false"/>
          <w:iCs w:val="false"/>
          <w:color w:val="333333"/>
          <w:sz w:val="20"/>
          <w:sz w:val="20"/>
          <w:szCs w:val="20"/>
          <w:rtl w:val="true"/>
        </w:rPr>
        <w:t xml:space="preserve">،کتاب الأمر بالمعروف و النهی عن المنکر، أبواب الأمر و النهی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2:239</w:t>
      </w:r>
      <w:r>
        <w:rPr>
          <w:rFonts w:ascii="IRNazanin" w:hAnsi="IRNazanin" w:eastAsia="IRNazanin"/>
          <w:b w:val="false"/>
          <w:b w:val="false"/>
          <w:bCs w:val="false"/>
          <w:i w:val="false"/>
          <w:i w:val="false"/>
          <w:iCs w:val="false"/>
          <w:color w:val="333333"/>
          <w:sz w:val="20"/>
          <w:sz w:val="20"/>
          <w:szCs w:val="20"/>
          <w:rtl w:val="true"/>
        </w:rPr>
        <w:t xml:space="preserve">،مصباح الفقیه </w:t>
      </w:r>
      <w:r>
        <w:rPr>
          <w:rFonts w:eastAsia="IRNazanin" w:cs="IRNazanin"/>
          <w:b w:val="false"/>
          <w:bCs w:val="false"/>
          <w:i w:val="false"/>
          <w:iCs w:val="false"/>
          <w:color w:val="333333"/>
          <w:sz w:val="20"/>
          <w:szCs w:val="20"/>
        </w:rPr>
        <w:t>2:435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،و عنها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،کتاب الطهارة،أبواب الوضوء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فقهیّة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تراث الشیخ الأعظم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الرسائل،رسالة فی التقیّة </w:t>
      </w:r>
      <w:r>
        <w:rPr>
          <w:rFonts w:eastAsia="IRNazanin" w:cs="IRNazanin"/>
          <w:b w:val="false"/>
          <w:bCs w:val="false"/>
          <w:i w:val="false"/>
          <w:iCs w:val="false"/>
          <w:color w:val="333333"/>
          <w:sz w:val="20"/>
          <w:szCs w:val="20"/>
        </w:rPr>
        <w:t>2:187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Pr>
        <w:t>28:54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عنه وسائل الشیعة </w:t>
      </w:r>
      <w:r>
        <w:rPr>
          <w:rFonts w:eastAsia="IRNazanin" w:cs="IRNazanin"/>
          <w:b w:val="false"/>
          <w:bCs w:val="false"/>
          <w:i w:val="false"/>
          <w:iCs w:val="false"/>
          <w:color w:val="333333"/>
          <w:sz w:val="20"/>
          <w:szCs w:val="20"/>
        </w:rPr>
        <w:t>16:203</w:t>
      </w:r>
      <w:r>
        <w:rPr>
          <w:rFonts w:ascii="IRNazanin" w:hAnsi="IRNazanin" w:eastAsia="IRNazanin"/>
          <w:b w:val="false"/>
          <w:b w:val="false"/>
          <w:bCs w:val="false"/>
          <w:i w:val="false"/>
          <w:i w:val="false"/>
          <w:iCs w:val="false"/>
          <w:color w:val="333333"/>
          <w:sz w:val="20"/>
          <w:sz w:val="20"/>
          <w:szCs w:val="20"/>
          <w:rtl w:val="true"/>
        </w:rPr>
        <w:t xml:space="preserve">،کتاب الأمر بالمعروف و النهی عن المنکر،أبواب الأمر و النهی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2:410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الصلاة تقریر بحث آیة اللّه النائینی قدّس سرّه للشیخ محمّد تقی الآملی رحمه اللّه </w:t>
      </w:r>
      <w:r>
        <w:rPr>
          <w:rFonts w:eastAsia="IRNazanin" w:cs="IRNazanin"/>
          <w:b w:val="false"/>
          <w:bCs w:val="false"/>
          <w:i w:val="false"/>
          <w:iCs w:val="false"/>
          <w:color w:val="333333"/>
          <w:sz w:val="20"/>
          <w:szCs w:val="20"/>
        </w:rPr>
        <w:t>2:299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فقهیّة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تراث الشیخ الأعظم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الفقهیّة للبجنوردی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الرسائل،رسالة فی التقیّة </w:t>
      </w:r>
      <w:r>
        <w:rPr>
          <w:rFonts w:eastAsia="IRNazanin" w:cs="IRNazanin"/>
          <w:b w:val="false"/>
          <w:bCs w:val="false"/>
          <w:i w:val="false"/>
          <w:iCs w:val="false"/>
          <w:color w:val="333333"/>
          <w:sz w:val="20"/>
          <w:szCs w:val="20"/>
        </w:rPr>
        <w:t>2:196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2:387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بتمامه فی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الفقهیّة للبجنوردی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4:317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966</w:t>
      </w:r>
      <w:r>
        <w:rPr>
          <w:rFonts w:ascii="IRNazanin" w:hAnsi="IRNazanin" w:eastAsia="IRNazanin"/>
          <w:b w:val="false"/>
          <w:b w:val="false"/>
          <w:bCs w:val="false"/>
          <w:i w:val="false"/>
          <w:i w:val="false"/>
          <w:iCs w:val="false"/>
          <w:color w:val="333333"/>
          <w:sz w:val="20"/>
          <w:sz w:val="20"/>
          <w:szCs w:val="20"/>
          <w:rtl w:val="true"/>
        </w:rPr>
        <w:t xml:space="preserve">،و عنه وسائل الشیعة </w:t>
      </w:r>
      <w:r>
        <w:rPr>
          <w:rFonts w:eastAsia="IRNazanin" w:cs="IRNazanin"/>
          <w:b w:val="false"/>
          <w:bCs w:val="false"/>
          <w:i w:val="false"/>
          <w:iCs w:val="false"/>
          <w:color w:val="333333"/>
          <w:sz w:val="20"/>
          <w:szCs w:val="20"/>
        </w:rPr>
        <w:t>10:133</w:t>
      </w:r>
      <w:r>
        <w:rPr>
          <w:rFonts w:ascii="IRNazanin" w:hAnsi="IRNazanin" w:eastAsia="IRNazanin"/>
          <w:b w:val="false"/>
          <w:b w:val="false"/>
          <w:bCs w:val="false"/>
          <w:i w:val="false"/>
          <w:i w:val="false"/>
          <w:iCs w:val="false"/>
          <w:color w:val="333333"/>
          <w:sz w:val="20"/>
          <w:sz w:val="20"/>
          <w:szCs w:val="20"/>
          <w:rtl w:val="true"/>
        </w:rPr>
        <w:t xml:space="preserve">،کتاب الصوم،أبواب ما یمسک عنه الصائم 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الرجال،المعروف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7:323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19:32</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2:407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14:177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الرسائل،رسالة فی التقیّة </w:t>
      </w:r>
      <w:r>
        <w:rPr>
          <w:rFonts w:eastAsia="IRNazanin" w:cs="IRNazanin"/>
          <w:b w:val="false"/>
          <w:bCs w:val="false"/>
          <w:i w:val="false"/>
          <w:iCs w:val="false"/>
          <w:color w:val="333333"/>
          <w:sz w:val="20"/>
          <w:szCs w:val="20"/>
        </w:rPr>
        <w:t>2:196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الفقهیّة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فی شرح العروة الوثقی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الإمام الخوئی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فقهیّة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تراث الشیخ الأعظم قدّس سرّه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،مصباح الفقیه </w:t>
      </w:r>
      <w:r>
        <w:rPr>
          <w:rFonts w:eastAsia="IRNazanin" w:cs="IRNazanin"/>
          <w:b w:val="false"/>
          <w:bCs w:val="false"/>
          <w:i w:val="false"/>
          <w:iCs w:val="false"/>
          <w:color w:val="333333"/>
          <w:sz w:val="20"/>
          <w:szCs w:val="20"/>
        </w:rPr>
        <w:t>2:443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،و عنهما وسائل الشیعة </w:t>
      </w:r>
      <w:r>
        <w:rPr>
          <w:rFonts w:eastAsia="IRNazanin" w:cs="IRNazanin"/>
          <w:b w:val="false"/>
          <w:bCs w:val="false"/>
          <w:i w:val="false"/>
          <w:iCs w:val="false"/>
          <w:color w:val="333333"/>
          <w:sz w:val="20"/>
          <w:szCs w:val="20"/>
        </w:rPr>
        <w:t>8:405</w:t>
      </w:r>
      <w:r>
        <w:rPr>
          <w:rFonts w:ascii="IRNazanin" w:hAnsi="IRNazanin" w:eastAsia="IRNazanin"/>
          <w:b w:val="false"/>
          <w:b w:val="false"/>
          <w:bCs w:val="false"/>
          <w:i w:val="false"/>
          <w:i w:val="false"/>
          <w:iCs w:val="false"/>
          <w:color w:val="333333"/>
          <w:sz w:val="20"/>
          <w:sz w:val="20"/>
          <w:szCs w:val="20"/>
          <w:rtl w:val="true"/>
        </w:rPr>
        <w:t xml:space="preserve">،کتاب الصلاة،أبواب صلاة الجماعة 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1663</w:t>
      </w:r>
      <w:r>
        <w:rPr>
          <w:rFonts w:ascii="IRNazanin" w:hAnsi="IRNazanin" w:eastAsia="IRNazanin"/>
          <w:b w:val="false"/>
          <w:b w:val="false"/>
          <w:bCs w:val="false"/>
          <w:i w:val="false"/>
          <w:i w:val="false"/>
          <w:iCs w:val="false"/>
          <w:color w:val="333333"/>
          <w:sz w:val="20"/>
          <w:sz w:val="20"/>
          <w:szCs w:val="20"/>
          <w:rtl w:val="true"/>
        </w:rPr>
        <w:t xml:space="preserve">،و عنهما وسائل الشیعة </w:t>
      </w:r>
      <w:r>
        <w:rPr>
          <w:rFonts w:eastAsia="IRNazanin" w:cs="IRNazanin"/>
          <w:b w:val="false"/>
          <w:bCs w:val="false"/>
          <w:i w:val="false"/>
          <w:iCs w:val="false"/>
          <w:color w:val="333333"/>
          <w:sz w:val="20"/>
          <w:szCs w:val="20"/>
        </w:rPr>
        <w:t>8:363</w:t>
      </w:r>
      <w:r>
        <w:rPr>
          <w:rFonts w:ascii="IRNazanin" w:hAnsi="IRNazanin" w:eastAsia="IRNazanin"/>
          <w:b w:val="false"/>
          <w:b w:val="false"/>
          <w:bCs w:val="false"/>
          <w:i w:val="false"/>
          <w:i w:val="false"/>
          <w:iCs w:val="false"/>
          <w:color w:val="333333"/>
          <w:sz w:val="20"/>
          <w:sz w:val="20"/>
          <w:szCs w:val="20"/>
          <w:rtl w:val="true"/>
        </w:rPr>
        <w:t xml:space="preserve">،کتاب الصلاة،أبواب صلاة الجماعة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تأتی فی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الرسائل،رسالة فی التقیّة </w:t>
      </w:r>
      <w:r>
        <w:rPr>
          <w:rFonts w:eastAsia="IRNazanin" w:cs="IRNazanin"/>
          <w:b w:val="false"/>
          <w:bCs w:val="false"/>
          <w:i w:val="false"/>
          <w:iCs w:val="false"/>
          <w:color w:val="333333"/>
          <w:sz w:val="20"/>
          <w:szCs w:val="20"/>
        </w:rPr>
        <w:t>2:204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 للشهید الأوّل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،روض الجنان فی شرح إرشاد الأذهان </w:t>
      </w:r>
      <w:r>
        <w:rPr>
          <w:rFonts w:eastAsia="IRNazanin" w:cs="IRNazanin"/>
          <w:b w:val="false"/>
          <w:bCs w:val="false"/>
          <w:i w:val="false"/>
          <w:iCs w:val="false"/>
          <w:color w:val="333333"/>
          <w:sz w:val="20"/>
          <w:szCs w:val="20"/>
        </w:rPr>
        <w:t>1:112</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المحقّق الکرکی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الرسائل،رسالة فی التقیّة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فقهیّة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تراث الشیخ الأعظم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فی شرح العروة الوثقی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الإمام الخوئی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8:299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،کتاب الصلاة،أبواب صلاة الجماعة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3:276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807</w:t>
      </w:r>
      <w:r>
        <w:rPr>
          <w:rFonts w:ascii="IRNazanin" w:hAnsi="IRNazanin" w:eastAsia="IRNazanin"/>
          <w:b w:val="false"/>
          <w:b w:val="false"/>
          <w:bCs w:val="false"/>
          <w:i w:val="false"/>
          <w:i w:val="false"/>
          <w:iCs w:val="false"/>
          <w:color w:val="333333"/>
          <w:sz w:val="20"/>
          <w:sz w:val="20"/>
          <w:szCs w:val="20"/>
          <w:rtl w:val="true"/>
        </w:rPr>
        <w:t xml:space="preserve">،و عنه وسائل الشیعة </w:t>
      </w:r>
      <w:r>
        <w:rPr>
          <w:rFonts w:eastAsia="IRNazanin" w:cs="IRNazanin"/>
          <w:b w:val="false"/>
          <w:bCs w:val="false"/>
          <w:i w:val="false"/>
          <w:iCs w:val="false"/>
          <w:color w:val="333333"/>
          <w:sz w:val="20"/>
          <w:szCs w:val="20"/>
        </w:rPr>
        <w:t>8:363</w:t>
      </w:r>
      <w:r>
        <w:rPr>
          <w:rFonts w:ascii="IRNazanin" w:hAnsi="IRNazanin" w:eastAsia="IRNazanin"/>
          <w:b w:val="false"/>
          <w:b w:val="false"/>
          <w:bCs w:val="false"/>
          <w:i w:val="false"/>
          <w:i w:val="false"/>
          <w:iCs w:val="false"/>
          <w:color w:val="333333"/>
          <w:sz w:val="20"/>
          <w:sz w:val="20"/>
          <w:szCs w:val="20"/>
          <w:rtl w:val="true"/>
        </w:rPr>
        <w:t xml:space="preserve">،کتاب الصلاة،أبواب صلاة الجماعة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فی شرح العروة الوثقی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الإمام الخوئی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5:270</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فقهیّة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تراث الشیخ الأعظم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،مصباح الفقیه </w:t>
      </w:r>
      <w:r>
        <w:rPr>
          <w:rFonts w:eastAsia="IRNazanin" w:cs="IRNazanin"/>
          <w:b w:val="false"/>
          <w:bCs w:val="false"/>
          <w:i w:val="false"/>
          <w:iCs w:val="false"/>
          <w:color w:val="333333"/>
          <w:sz w:val="20"/>
          <w:szCs w:val="20"/>
        </w:rPr>
        <w:t>2:440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،التنقیح فی شرح العروة الوثقی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الإمام الخوئی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1:151</w:t>
      </w:r>
      <w:r>
        <w:rPr>
          <w:rFonts w:ascii="IRNazanin" w:hAnsi="IRNazanin" w:eastAsia="IRNazanin"/>
          <w:b w:val="false"/>
          <w:b w:val="false"/>
          <w:bCs w:val="false"/>
          <w:i w:val="false"/>
          <w:i w:val="false"/>
          <w:iCs w:val="false"/>
          <w:color w:val="333333"/>
          <w:sz w:val="20"/>
          <w:sz w:val="20"/>
          <w:szCs w:val="20"/>
          <w:rtl w:val="true"/>
        </w:rPr>
        <w:t xml:space="preserve">،و عنه مستدرک الوسائل </w:t>
      </w:r>
      <w:r>
        <w:rPr>
          <w:rFonts w:eastAsia="IRNazanin" w:cs="IRNazanin"/>
          <w:b w:val="false"/>
          <w:bCs w:val="false"/>
          <w:i w:val="false"/>
          <w:iCs w:val="false"/>
          <w:color w:val="333333"/>
          <w:sz w:val="20"/>
          <w:szCs w:val="20"/>
        </w:rPr>
        <w:t>6:458</w:t>
      </w:r>
      <w:r>
        <w:rPr>
          <w:rFonts w:ascii="IRNazanin" w:hAnsi="IRNazanin" w:eastAsia="IRNazanin"/>
          <w:b w:val="false"/>
          <w:b w:val="false"/>
          <w:bCs w:val="false"/>
          <w:i w:val="false"/>
          <w:i w:val="false"/>
          <w:iCs w:val="false"/>
          <w:color w:val="333333"/>
          <w:sz w:val="20"/>
          <w:sz w:val="20"/>
          <w:szCs w:val="20"/>
          <w:rtl w:val="true"/>
        </w:rPr>
        <w:t xml:space="preserve">،کتاب الصلاة،أبواب صلاة الجماعة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الفقهیّة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1663</w:t>
      </w:r>
      <w:r>
        <w:rPr>
          <w:rFonts w:ascii="IRNazanin" w:hAnsi="IRNazanin" w:eastAsia="IRNazanin"/>
          <w:b w:val="false"/>
          <w:b w:val="false"/>
          <w:bCs w:val="false"/>
          <w:i w:val="false"/>
          <w:i w:val="false"/>
          <w:iCs w:val="false"/>
          <w:color w:val="333333"/>
          <w:sz w:val="20"/>
          <w:sz w:val="20"/>
          <w:szCs w:val="20"/>
          <w:rtl w:val="true"/>
        </w:rPr>
        <w:t xml:space="preserve">،و عنهما وسائل الشیعة </w:t>
      </w:r>
      <w:r>
        <w:rPr>
          <w:rFonts w:eastAsia="IRNazanin" w:cs="IRNazanin"/>
          <w:b w:val="false"/>
          <w:bCs w:val="false"/>
          <w:i w:val="false"/>
          <w:iCs w:val="false"/>
          <w:color w:val="333333"/>
          <w:sz w:val="20"/>
          <w:szCs w:val="20"/>
        </w:rPr>
        <w:t>8:363</w:t>
      </w:r>
      <w:r>
        <w:rPr>
          <w:rFonts w:ascii="IRNazanin" w:hAnsi="IRNazanin" w:eastAsia="IRNazanin"/>
          <w:b w:val="false"/>
          <w:b w:val="false"/>
          <w:bCs w:val="false"/>
          <w:i w:val="false"/>
          <w:i w:val="false"/>
          <w:iCs w:val="false"/>
          <w:color w:val="333333"/>
          <w:sz w:val="20"/>
          <w:sz w:val="20"/>
          <w:szCs w:val="20"/>
          <w:rtl w:val="true"/>
        </w:rPr>
        <w:t xml:space="preserve">،کتاب الصلاة،أبواب صلاة الجماعة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الرسائل،رسالة فی التقیّة </w:t>
      </w:r>
      <w:r>
        <w:rPr>
          <w:rFonts w:eastAsia="IRNazanin" w:cs="IRNazanin"/>
          <w:b w:val="false"/>
          <w:bCs w:val="false"/>
          <w:i w:val="false"/>
          <w:iCs w:val="false"/>
          <w:color w:val="333333"/>
          <w:sz w:val="20"/>
          <w:szCs w:val="20"/>
        </w:rPr>
        <w:t>2:207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الشرعیّة </w:t>
      </w:r>
      <w:r>
        <w:rPr>
          <w:rFonts w:eastAsia="IRNazanin" w:cs="IRNazanin"/>
          <w:b w:val="false"/>
          <w:bCs w:val="false"/>
          <w:i w:val="false"/>
          <w:iCs w:val="false"/>
          <w:color w:val="333333"/>
          <w:sz w:val="20"/>
          <w:szCs w:val="20"/>
        </w:rPr>
        <w:t>2:275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5:172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غنیة النزوع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تراث الشیخ الأعظم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المراد من بعض النصوص 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یحلّل الکلام و یحرّم الکلام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سیأتی البحث فیه فی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الشرعیّة </w:t>
      </w:r>
      <w:r>
        <w:rPr>
          <w:rFonts w:eastAsia="IRNazanin" w:cs="IRNazanin"/>
          <w:b w:val="false"/>
          <w:bCs w:val="false"/>
          <w:i w:val="false"/>
          <w:iCs w:val="false"/>
          <w:color w:val="333333"/>
          <w:sz w:val="20"/>
          <w:szCs w:val="20"/>
        </w:rPr>
        <w:t>2:275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8:145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الإحکام فی معرفة الأحکام </w:t>
      </w:r>
      <w:r>
        <w:rPr>
          <w:rFonts w:eastAsia="IRNazanin" w:cs="IRNazanin"/>
          <w:b w:val="false"/>
          <w:bCs w:val="false"/>
          <w:i w:val="false"/>
          <w:iCs w:val="false"/>
          <w:color w:val="333333"/>
          <w:sz w:val="20"/>
          <w:szCs w:val="20"/>
        </w:rPr>
        <w:t>2:450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3:192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w:t>
      </w:r>
      <w:r>
        <w:rPr>
          <w:rFonts w:eastAsia="IRNazanin" w:cs="IRNazanin"/>
          <w:b w:val="false"/>
          <w:bCs w:val="false"/>
          <w:i w:val="false"/>
          <w:iCs w:val="false"/>
          <w:color w:val="333333"/>
          <w:sz w:val="20"/>
          <w:szCs w:val="20"/>
        </w:rPr>
        <w:t>12:525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Pr>
        <w:t>14:258</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3:222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3:147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غنیة النزوع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السبزواری فی کفایة الفقه،المشتهر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کفایة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1:448</w:t>
      </w:r>
      <w:r>
        <w:rPr>
          <w:rFonts w:ascii="IRNazanin" w:hAnsi="IRNazanin" w:eastAsia="IRNazanin"/>
          <w:b w:val="false"/>
          <w:b w:val="false"/>
          <w:bCs w:val="false"/>
          <w:i w:val="false"/>
          <w:i w:val="false"/>
          <w:iCs w:val="false"/>
          <w:color w:val="333333"/>
          <w:sz w:val="20"/>
          <w:sz w:val="20"/>
          <w:szCs w:val="20"/>
          <w:rtl w:val="true"/>
        </w:rPr>
        <w:t xml:space="preserve">،و الکاشانی فی مفاتیح الشرائع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Pr>
        <w:t>14:253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3:147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Pr>
        <w:t>14:255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Pr>
        <w:t>14:257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،و عنهما وسائل الشیعة </w:t>
      </w:r>
      <w:r>
        <w:rPr>
          <w:rFonts w:eastAsia="IRNazanin" w:cs="IRNazanin"/>
          <w:b w:val="false"/>
          <w:bCs w:val="false"/>
          <w:i w:val="false"/>
          <w:iCs w:val="false"/>
          <w:color w:val="333333"/>
          <w:sz w:val="20"/>
          <w:szCs w:val="20"/>
        </w:rPr>
        <w:t>18:50</w:t>
      </w:r>
      <w:r>
        <w:rPr>
          <w:rFonts w:ascii="IRNazanin" w:hAnsi="IRNazanin" w:eastAsia="IRNazanin"/>
          <w:b w:val="false"/>
          <w:b w:val="false"/>
          <w:bCs w:val="false"/>
          <w:i w:val="false"/>
          <w:i w:val="false"/>
          <w:iCs w:val="false"/>
          <w:color w:val="333333"/>
          <w:sz w:val="20"/>
          <w:sz w:val="20"/>
          <w:szCs w:val="20"/>
          <w:rtl w:val="true"/>
        </w:rPr>
        <w:t xml:space="preserve">،کتاب التجارة،أبواب أحکام العقود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تراث الشیخ الأعظم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Pr>
        <w:t>14:257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983</w:t>
      </w:r>
      <w:r>
        <w:rPr>
          <w:rFonts w:ascii="IRNazanin" w:hAnsi="IRNazanin" w:eastAsia="IRNazanin"/>
          <w:b w:val="false"/>
          <w:b w:val="false"/>
          <w:bCs w:val="false"/>
          <w:i w:val="false"/>
          <w:i w:val="false"/>
          <w:iCs w:val="false"/>
          <w:color w:val="333333"/>
          <w:sz w:val="20"/>
          <w:sz w:val="20"/>
          <w:szCs w:val="20"/>
          <w:rtl w:val="true"/>
        </w:rPr>
        <w:t xml:space="preserve">،و عنها وسائل الشیعة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،کتاب الطلاق،أبواب مقدّماته و شرائطه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تأتی فی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عبارته المتقدّمة</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1572</w:t>
      </w:r>
      <w:r>
        <w:rPr>
          <w:rFonts w:ascii="IRNazanin" w:hAnsi="IRNazanin" w:eastAsia="IRNazanin"/>
          <w:b w:val="false"/>
          <w:b w:val="false"/>
          <w:bCs w:val="false"/>
          <w:i w:val="false"/>
          <w:i w:val="false"/>
          <w:iCs w:val="false"/>
          <w:color w:val="333333"/>
          <w:sz w:val="20"/>
          <w:sz w:val="20"/>
          <w:szCs w:val="20"/>
          <w:rtl w:val="true"/>
        </w:rPr>
        <w:t xml:space="preserve">،و عنها وسائل الشیعة </w:t>
      </w:r>
      <w:r>
        <w:rPr>
          <w:rFonts w:eastAsia="IRNazanin" w:cs="IRNazanin"/>
          <w:b w:val="false"/>
          <w:bCs w:val="false"/>
          <w:i w:val="false"/>
          <w:iCs w:val="false"/>
          <w:color w:val="333333"/>
          <w:sz w:val="20"/>
          <w:szCs w:val="20"/>
        </w:rPr>
        <w:t>22:37</w:t>
      </w:r>
      <w:r>
        <w:rPr>
          <w:rFonts w:ascii="IRNazanin" w:hAnsi="IRNazanin" w:eastAsia="IRNazanin"/>
          <w:b w:val="false"/>
          <w:b w:val="false"/>
          <w:bCs w:val="false"/>
          <w:i w:val="false"/>
          <w:i w:val="false"/>
          <w:iCs w:val="false"/>
          <w:color w:val="333333"/>
          <w:sz w:val="20"/>
          <w:sz w:val="20"/>
          <w:szCs w:val="20"/>
          <w:rtl w:val="true"/>
        </w:rPr>
        <w:t xml:space="preserve">، کتاب الطلاق،أبواب مقدّماته و شرائطه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العجب منه قدّس سرّه کیف یقول بأنّ هذه اعتبارات لا توافق أصول الإمامیّة،مع أنّه قد استشهد بهذه التعبیرات فی بحث الغیبة،فقال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فیعمّ الحکم کلّ ما یفید ذلک من الکتابة التی هی إحدی اللسانین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22:64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32:63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،و عنهما وسائل الشیعة </w:t>
      </w:r>
      <w:r>
        <w:rPr>
          <w:rFonts w:eastAsia="IRNazanin" w:cs="IRNazanin"/>
          <w:b w:val="false"/>
          <w:bCs w:val="false"/>
          <w:i w:val="false"/>
          <w:iCs w:val="false"/>
          <w:color w:val="333333"/>
          <w:sz w:val="20"/>
          <w:szCs w:val="20"/>
        </w:rPr>
        <w:t>22:36</w:t>
      </w:r>
      <w:r>
        <w:rPr>
          <w:rFonts w:ascii="IRNazanin" w:hAnsi="IRNazanin" w:eastAsia="IRNazanin"/>
          <w:b w:val="false"/>
          <w:b w:val="false"/>
          <w:bCs w:val="false"/>
          <w:i w:val="false"/>
          <w:i w:val="false"/>
          <w:iCs w:val="false"/>
          <w:color w:val="333333"/>
          <w:sz w:val="20"/>
          <w:sz w:val="20"/>
          <w:szCs w:val="20"/>
          <w:rtl w:val="true"/>
        </w:rPr>
        <w:t xml:space="preserve">،کتاب الطلاق،أبواب مقدّماته و شرائطه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7:453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1815</w:t>
      </w:r>
      <w:r>
        <w:rPr>
          <w:rFonts w:ascii="IRNazanin" w:hAnsi="IRNazanin" w:eastAsia="IRNazanin"/>
          <w:b w:val="false"/>
          <w:b w:val="false"/>
          <w:bCs w:val="false"/>
          <w:i w:val="false"/>
          <w:i w:val="false"/>
          <w:iCs w:val="false"/>
          <w:color w:val="333333"/>
          <w:sz w:val="20"/>
          <w:sz w:val="20"/>
          <w:szCs w:val="20"/>
          <w:rtl w:val="true"/>
        </w:rPr>
        <w:t xml:space="preserve">،و عنه وسائل الشیعة </w:t>
      </w:r>
      <w:r>
        <w:rPr>
          <w:rFonts w:eastAsia="IRNazanin" w:cs="IRNazanin"/>
          <w:b w:val="false"/>
          <w:bCs w:val="false"/>
          <w:i w:val="false"/>
          <w:iCs w:val="false"/>
          <w:color w:val="333333"/>
          <w:sz w:val="20"/>
          <w:szCs w:val="20"/>
        </w:rPr>
        <w:t>22:36</w:t>
      </w:r>
      <w:r>
        <w:rPr>
          <w:rFonts w:ascii="IRNazanin" w:hAnsi="IRNazanin" w:eastAsia="IRNazanin"/>
          <w:b w:val="false"/>
          <w:b w:val="false"/>
          <w:bCs w:val="false"/>
          <w:i w:val="false"/>
          <w:i w:val="false"/>
          <w:iCs w:val="false"/>
          <w:color w:val="333333"/>
          <w:sz w:val="20"/>
          <w:sz w:val="20"/>
          <w:szCs w:val="20"/>
          <w:rtl w:val="true"/>
        </w:rPr>
        <w:t xml:space="preserve">،کتاب الطلاق،أبواب مقدّماته و شرائطه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4:469</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الرائع </w:t>
      </w:r>
      <w:r>
        <w:rPr>
          <w:rFonts w:eastAsia="IRNazanin" w:cs="IRNazanin"/>
          <w:b w:val="false"/>
          <w:bCs w:val="false"/>
          <w:i w:val="false"/>
          <w:iCs w:val="false"/>
          <w:color w:val="333333"/>
          <w:sz w:val="20"/>
          <w:szCs w:val="20"/>
        </w:rPr>
        <w:t>2:364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الشرعیّة </w:t>
      </w:r>
      <w:r>
        <w:rPr>
          <w:rFonts w:eastAsia="IRNazanin" w:cs="IRNazanin"/>
          <w:b w:val="false"/>
          <w:bCs w:val="false"/>
          <w:i w:val="false"/>
          <w:iCs w:val="false"/>
          <w:color w:val="333333"/>
          <w:sz w:val="20"/>
          <w:szCs w:val="20"/>
        </w:rPr>
        <w:t>3:330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2:473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3:222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2:473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9:433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2:452</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28:249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28:250</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11:110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4:350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المغرب فی ترتیب المعرب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1:145</w:t>
      </w:r>
      <w:r>
        <w:rPr>
          <w:rFonts w:ascii="IRNazanin" w:hAnsi="IRNazanin" w:eastAsia="IRNazanin"/>
          <w:b w:val="false"/>
          <w:b w:val="false"/>
          <w:bCs w:val="false"/>
          <w:i w:val="false"/>
          <w:i w:val="false"/>
          <w:iCs w:val="false"/>
          <w:color w:val="333333"/>
          <w:sz w:val="20"/>
          <w:sz w:val="20"/>
          <w:szCs w:val="20"/>
          <w:rtl w:val="true"/>
        </w:rPr>
        <w:t xml:space="preserve">،و عنه تفسیر الصافی </w:t>
      </w:r>
      <w:r>
        <w:rPr>
          <w:rFonts w:eastAsia="IRNazanin" w:cs="IRNazanin"/>
          <w:b w:val="false"/>
          <w:bCs w:val="false"/>
          <w:i w:val="false"/>
          <w:iCs w:val="false"/>
          <w:color w:val="333333"/>
          <w:sz w:val="20"/>
          <w:szCs w:val="20"/>
        </w:rPr>
        <w:t>1:441</w:t>
      </w:r>
      <w:r>
        <w:rPr>
          <w:rFonts w:ascii="IRNazanin" w:hAnsi="IRNazanin" w:eastAsia="IRNazanin"/>
          <w:b w:val="false"/>
          <w:b w:val="false"/>
          <w:bCs w:val="false"/>
          <w:i w:val="false"/>
          <w:i w:val="false"/>
          <w:iCs w:val="false"/>
          <w:color w:val="333333"/>
          <w:sz w:val="20"/>
          <w:sz w:val="20"/>
          <w:szCs w:val="20"/>
          <w:rtl w:val="true"/>
        </w:rPr>
        <w:t xml:space="preserve">،و البرهان فی تفسیر القرآن </w:t>
      </w:r>
      <w:r>
        <w:rPr>
          <w:rFonts w:eastAsia="IRNazanin" w:cs="IRNazanin"/>
          <w:b w:val="false"/>
          <w:bCs w:val="false"/>
          <w:i w:val="false"/>
          <w:iCs w:val="false"/>
          <w:color w:val="333333"/>
          <w:sz w:val="20"/>
          <w:szCs w:val="20"/>
        </w:rPr>
        <w:t>2:140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2598</w:t>
      </w:r>
      <w:r>
        <w:rPr>
          <w:rFonts w:ascii="IRNazanin" w:hAnsi="IRNazanin" w:eastAsia="IRNazanin"/>
          <w:b w:val="false"/>
          <w:b w:val="false"/>
          <w:bCs w:val="false"/>
          <w:i w:val="false"/>
          <w:i w:val="false"/>
          <w:iCs w:val="false"/>
          <w:color w:val="333333"/>
          <w:sz w:val="20"/>
          <w:sz w:val="20"/>
          <w:szCs w:val="20"/>
          <w:rtl w:val="true"/>
        </w:rPr>
        <w:t xml:space="preserve">،و بحار الأنوار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84:273</w:t>
      </w:r>
      <w:r>
        <w:rPr>
          <w:rFonts w:ascii="IRNazanin" w:hAnsi="IRNazanin" w:eastAsia="IRNazanin"/>
          <w:b w:val="false"/>
          <w:b w:val="false"/>
          <w:bCs w:val="false"/>
          <w:i w:val="false"/>
          <w:i w:val="false"/>
          <w:iCs w:val="false"/>
          <w:color w:val="333333"/>
          <w:sz w:val="20"/>
          <w:sz w:val="20"/>
          <w:szCs w:val="20"/>
          <w:rtl w:val="true"/>
        </w:rPr>
        <w:t xml:space="preserve">،و تفسیر کنز الدقائق </w:t>
      </w:r>
      <w:r>
        <w:rPr>
          <w:rFonts w:eastAsia="IRNazanin" w:cs="IRNazanin"/>
          <w:b w:val="false"/>
          <w:bCs w:val="false"/>
          <w:i w:val="false"/>
          <w:iCs w:val="false"/>
          <w:color w:val="333333"/>
          <w:sz w:val="20"/>
          <w:szCs w:val="20"/>
        </w:rPr>
        <w:t>2:555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علیهم السّلام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،و عنه بحار الأنوار </w:t>
      </w:r>
      <w:r>
        <w:rPr>
          <w:rFonts w:eastAsia="IRNazanin" w:cs="IRNazanin"/>
          <w:b w:val="false"/>
          <w:bCs w:val="false"/>
          <w:i w:val="false"/>
          <w:iCs w:val="false"/>
          <w:color w:val="333333"/>
          <w:sz w:val="20"/>
          <w:szCs w:val="20"/>
        </w:rPr>
        <w:t>43:343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84:273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22:64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2:445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البیان فی براهین أحکام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فی تفسیر القرآن </w:t>
      </w:r>
      <w:r>
        <w:rPr>
          <w:rFonts w:eastAsia="IRNazanin" w:cs="IRNazanin"/>
          <w:b w:val="false"/>
          <w:bCs w:val="false"/>
          <w:i w:val="false"/>
          <w:iCs w:val="false"/>
          <w:color w:val="333333"/>
          <w:sz w:val="20"/>
          <w:szCs w:val="20"/>
        </w:rPr>
        <w:t>2:372</w:t>
      </w:r>
      <w:r>
        <w:rPr>
          <w:rFonts w:ascii="IRNazanin" w:hAnsi="IRNazanin" w:eastAsia="IRNazanin"/>
          <w:b w:val="false"/>
          <w:b w:val="false"/>
          <w:bCs w:val="false"/>
          <w:i w:val="false"/>
          <w:i w:val="false"/>
          <w:iCs w:val="false"/>
          <w:color w:val="333333"/>
          <w:sz w:val="20"/>
          <w:sz w:val="20"/>
          <w:szCs w:val="20"/>
          <w:rtl w:val="true"/>
        </w:rPr>
        <w:t xml:space="preserve">،التفسیر الکبیر للفخر الرازی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البیان فی براهین أحکام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22354</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ح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للفخر الرازی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للفخر الرازی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2:219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البیان فی براهین أحکام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کتابه</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فی تفسیر القرآن </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لأحکام القرآن </w:t>
      </w:r>
      <w:r>
        <w:rPr>
          <w:rFonts w:eastAsia="IRNazanin" w:cs="IRNazanin"/>
          <w:b w:val="false"/>
          <w:bCs w:val="false"/>
          <w:i w:val="false"/>
          <w:iCs w:val="false"/>
          <w:color w:val="333333"/>
          <w:sz w:val="20"/>
          <w:szCs w:val="20"/>
        </w:rPr>
        <w:t>3:382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اللئالی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قلائد الدرر فی بیان آیات الأحکام </w:t>
      </w:r>
      <w:r>
        <w:rPr>
          <w:rFonts w:eastAsia="IRNazanin" w:cs="IRNazanin"/>
          <w:b w:val="false"/>
          <w:bCs w:val="false"/>
          <w:i w:val="false"/>
          <w:iCs w:val="false"/>
          <w:color w:val="333333"/>
          <w:sz w:val="20"/>
          <w:szCs w:val="20"/>
        </w:rPr>
        <w:t>2:258</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تراث الشیخ الأعظم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کتاب المکاسب </w:t>
      </w:r>
      <w:r>
        <w:rPr>
          <w:rFonts w:eastAsia="IRNazanin" w:cs="IRNazanin"/>
          <w:b w:val="false"/>
          <w:bCs w:val="false"/>
          <w:i w:val="false"/>
          <w:iCs w:val="false"/>
          <w:color w:val="333333"/>
          <w:sz w:val="20"/>
          <w:szCs w:val="20"/>
        </w:rPr>
        <w:t>3:449</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الوسیط فی شرح القانون المدنی الجدید </w:t>
      </w:r>
      <w:r>
        <w:rPr>
          <w:rFonts w:eastAsia="IRNazanin" w:cs="IRNazanin"/>
          <w:b w:val="false"/>
          <w:bCs w:val="false"/>
          <w:i w:val="false"/>
          <w:iCs w:val="false"/>
          <w:color w:val="333333"/>
          <w:sz w:val="20"/>
          <w:szCs w:val="20"/>
        </w:rPr>
        <w:t>2:356</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القضاء فی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2:283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40:304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تراث الشیخ الأعظم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3:120</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تراث الشیخ الأعظم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البیع للإمام الخمینی رحمه اللّه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الفقه الجعفری </w:t>
      </w:r>
      <w:r>
        <w:rPr>
          <w:rFonts w:eastAsia="IRNazanin" w:cs="IRNazanin"/>
          <w:b w:val="false"/>
          <w:bCs w:val="false"/>
          <w:i w:val="false"/>
          <w:iCs w:val="false"/>
          <w:color w:val="333333"/>
          <w:sz w:val="20"/>
          <w:szCs w:val="20"/>
        </w:rPr>
        <w:t>2:118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1613</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1065</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عنها وسائل الشیعة </w:t>
      </w:r>
      <w:r>
        <w:rPr>
          <w:rFonts w:eastAsia="IRNazanin" w:cs="IRNazanin"/>
          <w:b w:val="false"/>
          <w:bCs w:val="false"/>
          <w:i w:val="false"/>
          <w:iCs w:val="false"/>
          <w:color w:val="333333"/>
          <w:sz w:val="20"/>
          <w:szCs w:val="20"/>
        </w:rPr>
        <w:t>22:47</w:t>
      </w:r>
      <w:r>
        <w:rPr>
          <w:rFonts w:ascii="IRNazanin" w:hAnsi="IRNazanin" w:eastAsia="IRNazanin"/>
          <w:b w:val="false"/>
          <w:b w:val="false"/>
          <w:bCs w:val="false"/>
          <w:i w:val="false"/>
          <w:i w:val="false"/>
          <w:iCs w:val="false"/>
          <w:color w:val="333333"/>
          <w:sz w:val="20"/>
          <w:sz w:val="20"/>
          <w:szCs w:val="20"/>
          <w:rtl w:val="true"/>
        </w:rPr>
        <w:t xml:space="preserve">،کتاب الطلاق،أبواب مقدّماته و شرائطه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کتاب المکاسب للسیّد الیزدی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الفقه الإسلامی </w:t>
      </w:r>
      <w:r>
        <w:rPr>
          <w:rFonts w:eastAsia="IRNazanin" w:cs="IRNazanin"/>
          <w:b w:val="false"/>
          <w:bCs w:val="false"/>
          <w:i w:val="false"/>
          <w:iCs w:val="false"/>
          <w:color w:val="333333"/>
          <w:sz w:val="20"/>
          <w:szCs w:val="20"/>
        </w:rPr>
        <w:t>2:118</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فی اصول الفقه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الإمام الخوئی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بسطنا القول مفصلا حول حقیقة الإنشاء فی دروسنا الاصولیّة،المؤلّف</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Pr>
        <w:t>17:36</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6:222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Pr>
        <w:t>17:36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w:t>
      </w:r>
      <w:r>
        <w:rPr>
          <w:rFonts w:eastAsia="IRNazanin" w:cs="IRNazanin"/>
          <w:b w:val="false"/>
          <w:bCs w:val="false"/>
          <w:i w:val="false"/>
          <w:iCs w:val="false"/>
          <w:color w:val="333333"/>
          <w:sz w:val="20"/>
          <w:szCs w:val="20"/>
        </w:rPr>
        <w:t>27:29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8:122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8:124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تبصرة المتعلّمین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تبصرة المتعلّمین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المرام فی معرفة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الروضة البهیة فی شرح اللمعة الدمشقیّة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189/6</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2:165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الفقه الإسلامی </w:t>
      </w:r>
      <w:r>
        <w:rPr>
          <w:rFonts w:eastAsia="IRNazanin" w:cs="IRNazanin"/>
          <w:b w:val="false"/>
          <w:bCs w:val="false"/>
          <w:i w:val="false"/>
          <w:iCs w:val="false"/>
          <w:color w:val="333333"/>
          <w:sz w:val="20"/>
          <w:szCs w:val="20"/>
        </w:rPr>
        <w:t>12:273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عنه وسائل الشیعة </w:t>
      </w:r>
      <w:r>
        <w:rPr>
          <w:rFonts w:eastAsia="IRNazanin" w:cs="IRNazanin"/>
          <w:b w:val="false"/>
          <w:bCs w:val="false"/>
          <w:i w:val="false"/>
          <w:iCs w:val="false"/>
          <w:color w:val="333333"/>
          <w:sz w:val="20"/>
          <w:szCs w:val="20"/>
        </w:rPr>
        <w:t>25:118</w:t>
      </w:r>
      <w:r>
        <w:rPr>
          <w:rFonts w:ascii="IRNazanin" w:hAnsi="IRNazanin" w:eastAsia="IRNazanin"/>
          <w:b w:val="false"/>
          <w:b w:val="false"/>
          <w:bCs w:val="false"/>
          <w:i w:val="false"/>
          <w:i w:val="false"/>
          <w:iCs w:val="false"/>
          <w:color w:val="333333"/>
          <w:sz w:val="20"/>
          <w:sz w:val="20"/>
          <w:szCs w:val="20"/>
          <w:rtl w:val="true"/>
        </w:rPr>
        <w:t xml:space="preserve">،کتاب الأطعمة و الأشربة،أبواب الأطعمة المباحة 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w:t>
      </w:r>
      <w:r>
        <w:rPr>
          <w:rFonts w:eastAsia="IRNazanin" w:cs="IRNazanin"/>
          <w:b w:val="false"/>
          <w:bCs w:val="false"/>
          <w:i w:val="false"/>
          <w:iCs w:val="false"/>
          <w:color w:val="333333"/>
          <w:sz w:val="20"/>
          <w:szCs w:val="20"/>
        </w:rPr>
        <w:t>65:156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4:157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،و عنها 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،کتاب الصوم،أبواب أحکام شهر رمضان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عنه وسائل الشیعة </w:t>
      </w:r>
      <w:r>
        <w:rPr>
          <w:rFonts w:eastAsia="IRNazanin" w:cs="IRNazanin"/>
          <w:b w:val="false"/>
          <w:bCs w:val="false"/>
          <w:i w:val="false"/>
          <w:iCs w:val="false"/>
          <w:color w:val="333333"/>
          <w:sz w:val="20"/>
          <w:szCs w:val="20"/>
        </w:rPr>
        <w:t>19:83</w:t>
      </w:r>
      <w:r>
        <w:rPr>
          <w:rFonts w:ascii="IRNazanin" w:hAnsi="IRNazanin" w:eastAsia="IRNazanin"/>
          <w:b w:val="false"/>
          <w:b w:val="false"/>
          <w:bCs w:val="false"/>
          <w:i w:val="false"/>
          <w:i w:val="false"/>
          <w:iCs w:val="false"/>
          <w:color w:val="333333"/>
          <w:sz w:val="20"/>
          <w:sz w:val="20"/>
          <w:szCs w:val="20"/>
          <w:rtl w:val="true"/>
        </w:rPr>
        <w:t xml:space="preserve">،کتاب الودیعة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الفقه الإسلامی </w:t>
      </w:r>
      <w:r>
        <w:rPr>
          <w:rFonts w:eastAsia="IRNazanin" w:cs="IRNazanin"/>
          <w:b w:val="false"/>
          <w:bCs w:val="false"/>
          <w:i w:val="false"/>
          <w:iCs w:val="false"/>
          <w:color w:val="333333"/>
          <w:sz w:val="20"/>
          <w:szCs w:val="20"/>
        </w:rPr>
        <w:t>12:275</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الفقه الإسلامی </w:t>
      </w:r>
      <w:r>
        <w:rPr>
          <w:rFonts w:eastAsia="IRNazanin" w:cs="IRNazanin"/>
          <w:b w:val="false"/>
          <w:bCs w:val="false"/>
          <w:i w:val="false"/>
          <w:iCs w:val="false"/>
          <w:color w:val="333333"/>
          <w:sz w:val="20"/>
          <w:szCs w:val="20"/>
        </w:rPr>
        <w:t>12:276</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الفقه الإسلامی </w:t>
      </w:r>
      <w:r>
        <w:rPr>
          <w:rFonts w:eastAsia="IRNazanin" w:cs="IRNazanin"/>
          <w:b w:val="false"/>
          <w:bCs w:val="false"/>
          <w:i w:val="false"/>
          <w:iCs w:val="false"/>
          <w:color w:val="333333"/>
          <w:sz w:val="20"/>
          <w:szCs w:val="20"/>
        </w:rPr>
        <w:t>12:280</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الفقه الإسلامی </w:t>
      </w:r>
      <w:r>
        <w:rPr>
          <w:rFonts w:eastAsia="IRNazanin" w:cs="IRNazanin"/>
          <w:b w:val="false"/>
          <w:bCs w:val="false"/>
          <w:i w:val="false"/>
          <w:iCs w:val="false"/>
          <w:color w:val="333333"/>
          <w:sz w:val="20"/>
          <w:szCs w:val="20"/>
        </w:rPr>
        <w:t>12:280</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الفقه الإسلامی </w:t>
      </w:r>
      <w:r>
        <w:rPr>
          <w:rFonts w:eastAsia="IRNazanin" w:cs="IRNazanin"/>
          <w:b w:val="false"/>
          <w:bCs w:val="false"/>
          <w:i w:val="false"/>
          <w:iCs w:val="false"/>
          <w:color w:val="333333"/>
          <w:sz w:val="20"/>
          <w:szCs w:val="20"/>
        </w:rPr>
        <w:t>12:286</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مغنی المحتاج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388/6</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5:597</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المذهب لأحکام المذهب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المذهب لأحکام المذهب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الإثبات </w:t>
      </w:r>
      <w:r>
        <w:rPr>
          <w:rFonts w:eastAsia="IRNazanin" w:cs="IRNazanin"/>
          <w:b w:val="false"/>
          <w:bCs w:val="false"/>
          <w:i w:val="false"/>
          <w:iCs w:val="false"/>
          <w:color w:val="333333"/>
          <w:sz w:val="20"/>
          <w:szCs w:val="20"/>
        </w:rPr>
        <w:t>1:548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مکرّر</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الإثبات </w:t>
      </w:r>
      <w:r>
        <w:rPr>
          <w:rFonts w:eastAsia="IRNazanin" w:cs="IRNazanin"/>
          <w:b w:val="false"/>
          <w:bCs w:val="false"/>
          <w:i w:val="false"/>
          <w:iCs w:val="false"/>
          <w:color w:val="333333"/>
          <w:sz w:val="20"/>
          <w:szCs w:val="20"/>
        </w:rPr>
        <w:t>1:549</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مکرّر أ</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القضاء فی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7:226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989</w:t>
      </w:r>
      <w:r>
        <w:rPr>
          <w:rFonts w:ascii="IRNazanin" w:hAnsi="IRNazanin" w:eastAsia="IRNazanin"/>
          <w:b w:val="false"/>
          <w:b w:val="false"/>
          <w:bCs w:val="false"/>
          <w:i w:val="false"/>
          <w:i w:val="false"/>
          <w:iCs w:val="false"/>
          <w:color w:val="333333"/>
          <w:sz w:val="20"/>
          <w:sz w:val="20"/>
          <w:szCs w:val="20"/>
          <w:rtl w:val="true"/>
        </w:rPr>
        <w:t xml:space="preserve">،و عنهما وسائل الشیعة </w:t>
      </w:r>
      <w:r>
        <w:rPr>
          <w:rFonts w:eastAsia="IRNazanin" w:cs="IRNazanin"/>
          <w:b w:val="false"/>
          <w:bCs w:val="false"/>
          <w:i w:val="false"/>
          <w:iCs w:val="false"/>
          <w:color w:val="333333"/>
          <w:sz w:val="20"/>
          <w:szCs w:val="20"/>
        </w:rPr>
        <w:t>17:89</w:t>
      </w:r>
      <w:r>
        <w:rPr>
          <w:rFonts w:ascii="IRNazanin" w:hAnsi="IRNazanin" w:eastAsia="IRNazanin"/>
          <w:b w:val="false"/>
          <w:b w:val="false"/>
          <w:bCs w:val="false"/>
          <w:i w:val="false"/>
          <w:i w:val="false"/>
          <w:iCs w:val="false"/>
          <w:color w:val="333333"/>
          <w:sz w:val="20"/>
          <w:sz w:val="20"/>
          <w:szCs w:val="20"/>
          <w:rtl w:val="true"/>
        </w:rPr>
        <w:t xml:space="preserve">،کتاب التجارة، أبواب ما یکتسب به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الوسیط فی شرح القانون المدنی الجدید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الوسیط فی شرح القانون المدنی الجدید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Pr>
        <w:t>7:105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2:156</w:t>
      </w:r>
      <w:r>
        <w:rPr>
          <w:rFonts w:ascii="IRNazanin" w:hAnsi="IRNazanin" w:eastAsia="IRNazanin"/>
          <w:b w:val="false"/>
          <w:b w:val="false"/>
          <w:bCs w:val="false"/>
          <w:i w:val="false"/>
          <w:i w:val="false"/>
          <w:iCs w:val="false"/>
          <w:color w:val="333333"/>
          <w:sz w:val="20"/>
          <w:sz w:val="20"/>
          <w:szCs w:val="20"/>
          <w:rtl w:val="true"/>
        </w:rPr>
        <w:t xml:space="preserve">،و عنه وسائل الشیعة </w:t>
      </w:r>
      <w:r>
        <w:rPr>
          <w:rFonts w:eastAsia="IRNazanin" w:cs="IRNazanin"/>
          <w:b w:val="false"/>
          <w:bCs w:val="false"/>
          <w:i w:val="false"/>
          <w:iCs w:val="false"/>
          <w:color w:val="333333"/>
          <w:sz w:val="20"/>
          <w:szCs w:val="20"/>
        </w:rPr>
        <w:t>27:293</w:t>
      </w:r>
      <w:r>
        <w:rPr>
          <w:rFonts w:ascii="IRNazanin" w:hAnsi="IRNazanin" w:eastAsia="IRNazanin"/>
          <w:b w:val="false"/>
          <w:b w:val="false"/>
          <w:bCs w:val="false"/>
          <w:i w:val="false"/>
          <w:i w:val="false"/>
          <w:iCs w:val="false"/>
          <w:color w:val="333333"/>
          <w:sz w:val="20"/>
          <w:sz w:val="20"/>
          <w:szCs w:val="20"/>
          <w:rtl w:val="true"/>
        </w:rPr>
        <w:t xml:space="preserve">،کتاب القضاء،أبواب کیفیّة الحکم و أحکام الدعوی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6:229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،و عنهما وسائل الشیعة </w:t>
      </w:r>
      <w:r>
        <w:rPr>
          <w:rFonts w:eastAsia="IRNazanin" w:cs="IRNazanin"/>
          <w:b w:val="false"/>
          <w:bCs w:val="false"/>
          <w:i w:val="false"/>
          <w:iCs w:val="false"/>
          <w:color w:val="333333"/>
          <w:sz w:val="20"/>
          <w:szCs w:val="20"/>
        </w:rPr>
        <w:t>27:232</w:t>
      </w:r>
      <w:r>
        <w:rPr>
          <w:rFonts w:ascii="IRNazanin" w:hAnsi="IRNazanin" w:eastAsia="IRNazanin"/>
          <w:b w:val="false"/>
          <w:b w:val="false"/>
          <w:bCs w:val="false"/>
          <w:i w:val="false"/>
          <w:i w:val="false"/>
          <w:iCs w:val="false"/>
          <w:color w:val="333333"/>
          <w:sz w:val="20"/>
          <w:sz w:val="20"/>
          <w:szCs w:val="20"/>
          <w:rtl w:val="true"/>
        </w:rPr>
        <w:t xml:space="preserve">،کتاب القضاء، أبواب کیفیّة الحکم و أحکام الدعوی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مستدرک الوسائل </w:t>
      </w:r>
      <w:r>
        <w:rPr>
          <w:rFonts w:eastAsia="IRNazanin" w:cs="IRNazanin"/>
          <w:b w:val="false"/>
          <w:bCs w:val="false"/>
          <w:i w:val="false"/>
          <w:iCs w:val="false"/>
          <w:color w:val="333333"/>
          <w:sz w:val="20"/>
          <w:szCs w:val="20"/>
        </w:rPr>
        <w:t>17:361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21594</w:t>
      </w:r>
      <w:r>
        <w:rPr>
          <w:rFonts w:ascii="IRNazanin" w:hAnsi="IRNazanin" w:eastAsia="IRNazanin"/>
          <w:b w:val="false"/>
          <w:b w:val="false"/>
          <w:bCs w:val="false"/>
          <w:i w:val="false"/>
          <w:i w:val="false"/>
          <w:iCs w:val="false"/>
          <w:color w:val="333333"/>
          <w:sz w:val="20"/>
          <w:sz w:val="20"/>
          <w:szCs w:val="20"/>
          <w:rtl w:val="true"/>
        </w:rPr>
        <w:t xml:space="preserve">عن دعائم الإسلام </w:t>
      </w:r>
      <w:r>
        <w:rPr>
          <w:rFonts w:eastAsia="IRNazanin" w:cs="IRNazanin"/>
          <w:b w:val="false"/>
          <w:bCs w:val="false"/>
          <w:i w:val="false"/>
          <w:iCs w:val="false"/>
          <w:color w:val="333333"/>
          <w:sz w:val="20"/>
          <w:szCs w:val="20"/>
        </w:rPr>
        <w:t>2:518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1857</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الفقهیّة </w:t>
      </w:r>
      <w:r>
        <w:rPr>
          <w:rFonts w:eastAsia="IRNazanin" w:cs="IRNazanin"/>
          <w:b w:val="false"/>
          <w:bCs w:val="false"/>
          <w:i w:val="false"/>
          <w:iCs w:val="false"/>
          <w:color w:val="333333"/>
          <w:sz w:val="20"/>
          <w:szCs w:val="20"/>
        </w:rPr>
        <w:t>1:484</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المصحول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،تمهید القواعد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،قوانین الاصول </w:t>
      </w:r>
      <w:r>
        <w:rPr>
          <w:rFonts w:eastAsia="IRNazanin" w:cs="IRNazanin"/>
          <w:b w:val="false"/>
          <w:bCs w:val="false"/>
          <w:i w:val="false"/>
          <w:iCs w:val="false"/>
          <w:color w:val="333333"/>
          <w:sz w:val="20"/>
          <w:szCs w:val="20"/>
        </w:rPr>
        <w:t>1:194</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،مفاتیح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الفصول الغرویّة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،و مفاتیح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 للآملی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للاصفهانی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شرح الإشارات و التنبیهات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،و محاضرات فی اصول الفقه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الإمام الخوئی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تشریح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،محاضرات فی اصول الفقه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الإمام الخوئی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Pr>
        <w:t>2:650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الاصول </w:t>
      </w:r>
      <w:r>
        <w:rPr>
          <w:rFonts w:eastAsia="IRNazanin" w:cs="IRNazanin"/>
          <w:b w:val="false"/>
          <w:bCs w:val="false"/>
          <w:i w:val="false"/>
          <w:iCs w:val="false"/>
          <w:color w:val="333333"/>
          <w:sz w:val="20"/>
          <w:szCs w:val="20"/>
        </w:rPr>
        <w:t>1:194</w:t>
      </w:r>
      <w:r>
        <w:rPr>
          <w:rFonts w:ascii="IRNazanin" w:hAnsi="IRNazanin" w:eastAsia="IRNazanin"/>
          <w:b w:val="false"/>
          <w:b w:val="false"/>
          <w:bCs w:val="false"/>
          <w:i w:val="false"/>
          <w:i w:val="false"/>
          <w:iCs w:val="false"/>
          <w:color w:val="333333"/>
          <w:sz w:val="20"/>
          <w:sz w:val="20"/>
          <w:szCs w:val="20"/>
          <w:rtl w:val="true"/>
        </w:rPr>
        <w:t>،مفاتیح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المحصول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،قوانین الاصول </w:t>
      </w:r>
      <w:r>
        <w:rPr>
          <w:rFonts w:eastAsia="IRNazanin" w:cs="IRNazanin"/>
          <w:b w:val="false"/>
          <w:bCs w:val="false"/>
          <w:i w:val="false"/>
          <w:iCs w:val="false"/>
          <w:color w:val="333333"/>
          <w:sz w:val="20"/>
          <w:szCs w:val="20"/>
        </w:rPr>
        <w:t>1:194</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،مفاتیح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،بدائع الأفکار للآملی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کامل در اصول فقه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،دراسات فی علم الاصول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الاصول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منتقی الاصول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المحصول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،مفاتیح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w:t>
      </w:r>
      <w:r>
        <w:rPr>
          <w:rFonts w:eastAsia="IRNazanin" w:cs="IRNazanin"/>
          <w:b w:val="false"/>
          <w:bCs w:val="false"/>
          <w:i w:val="false"/>
          <w:iCs w:val="false"/>
          <w:color w:val="333333"/>
          <w:sz w:val="20"/>
          <w:szCs w:val="20"/>
        </w:rPr>
        <w:t>30:22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فی تفسیر القرآن </w:t>
      </w:r>
      <w:r>
        <w:rPr>
          <w:rFonts w:eastAsia="IRNazanin" w:cs="IRNazanin"/>
          <w:b w:val="false"/>
          <w:bCs w:val="false"/>
          <w:i w:val="false"/>
          <w:iCs w:val="false"/>
          <w:color w:val="333333"/>
          <w:sz w:val="20"/>
          <w:szCs w:val="20"/>
        </w:rPr>
        <w:t>8:217</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الرحمن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المنسوب إلی الإمام أبی محمّد الحسن بن علی العسکری علیهما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،تأویل الآیات الظاهرة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المحصول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،مفاتیح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الاصول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الإشارات و التنبیهات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،نهایة الدرایة فی شرح الکفایة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،دراسات فی اصول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،المباحث فی علم الاصول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الاصول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،و عنه مستدرک الوسائل </w:t>
      </w:r>
      <w:r>
        <w:rPr>
          <w:rFonts w:eastAsia="IRNazanin" w:cs="IRNazanin"/>
          <w:b w:val="false"/>
          <w:bCs w:val="false"/>
          <w:i w:val="false"/>
          <w:iCs w:val="false"/>
          <w:color w:val="333333"/>
          <w:sz w:val="20"/>
          <w:szCs w:val="20"/>
        </w:rPr>
        <w:t>9:410</w:t>
      </w:r>
      <w:r>
        <w:rPr>
          <w:rFonts w:ascii="IRNazanin" w:hAnsi="IRNazanin" w:eastAsia="IRNazanin"/>
          <w:b w:val="false"/>
          <w:b w:val="false"/>
          <w:bCs w:val="false"/>
          <w:i w:val="false"/>
          <w:i w:val="false"/>
          <w:iCs w:val="false"/>
          <w:color w:val="333333"/>
          <w:sz w:val="20"/>
          <w:sz w:val="20"/>
          <w:szCs w:val="20"/>
          <w:rtl w:val="true"/>
        </w:rPr>
        <w:t xml:space="preserve">،کتاب الحجّ،أبواب الطواف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أجود التقریرات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فی علم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مباحث الدلیل اللفظی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،منتقی الاصول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أجود التقریرات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أجود التقریرات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کامل در اصول فقه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تشریح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بدائع الأفکار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،حاشیة أجود التقریرات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الاصول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،حاشیة أجود التقریرات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أجود التقریرات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کامل در اصول فقه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منتقی الاصول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اصول الفقه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،و حقائق الاصول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،و حاشیة الکفایة للعلاّمة الطباطبائی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 المحصول فی علم الاصول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،و أنوار الاصول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کامل در اصول فقه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دراسات فی الاصول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عاجلا</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صاحب بحوث فی علم الاصول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،و صاحب منتقی الاصول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،منتقی الاصول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الأفکار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w:t>
      </w:r>
      <w:r>
        <w:rPr>
          <w:rFonts w:eastAsia="IRNazanin" w:cs="IRNazanin"/>
          <w:b w:val="false"/>
          <w:bCs w:val="false"/>
          <w:i w:val="false"/>
          <w:iCs w:val="false"/>
          <w:color w:val="333333"/>
          <w:sz w:val="20"/>
          <w:szCs w:val="20"/>
        </w:rPr>
        <w:t>1:116</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3:277</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دروس فی مسائل علم الاصول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بحث آیة اللّه العظمی وحید الخراسانی دام ظلّه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رواه فی التوحید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المعانی سندا و متنا</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 الظاهر أنّها غیر معتبرة؛لأنّ الصدوق روی عن محمّد بن إبراهیم بن إسحاق الطالقانی،عن ابن عقدة،عن علی بن الحسن بن فضّال،عن أبیه،و الطالقانی غیر موثّق فی کتب الرجال</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3:343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4:382</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الاصول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،درر الفوائد للحائری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منتقی الاصول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الاصول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تراث الشیخ الأعظم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2:210</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w:t>
      </w:r>
      <w:r>
        <w:rPr>
          <w:rFonts w:eastAsia="IRNazanin" w:cs="IRNazanin"/>
          <w:b w:val="false"/>
          <w:bCs w:val="false"/>
          <w:i w:val="false"/>
          <w:iCs w:val="false"/>
          <w:color w:val="333333"/>
          <w:sz w:val="20"/>
          <w:szCs w:val="20"/>
        </w:rPr>
        <w:t>5:170</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تراث الشیخ الأعظم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أوثق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 التی بأیدینا،و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أتری،بدل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 تری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الاستفهام إنکاری</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الفوائد </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2:234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الفوائد </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معتمد الاصول </w:t>
      </w:r>
      <w:r>
        <w:rPr>
          <w:rFonts w:eastAsia="IRNazanin" w:cs="IRNazanin"/>
          <w:b w:val="false"/>
          <w:bCs w:val="false"/>
          <w:i w:val="false"/>
          <w:iCs w:val="false"/>
          <w:color w:val="333333"/>
          <w:sz w:val="20"/>
          <w:szCs w:val="20"/>
        </w:rPr>
        <w:t>2:119</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الإمام الخوئی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الفوائد </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تأتی فی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للحائری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الإمام الخوئی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w:t>
      </w:r>
      <w:r>
        <w:rPr>
          <w:rFonts w:eastAsia="IRNazanin" w:cs="IRNazanin"/>
          <w:b w:val="false"/>
          <w:bCs w:val="false"/>
          <w:i w:val="false"/>
          <w:iCs w:val="false"/>
          <w:color w:val="333333"/>
          <w:sz w:val="20"/>
          <w:szCs w:val="20"/>
        </w:rPr>
        <w:t>5:286</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2:237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2:233</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2:235</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w:t>
      </w:r>
      <w:r>
        <w:rPr>
          <w:rFonts w:eastAsia="IRNazanin" w:cs="IRNazanin"/>
          <w:b w:val="false"/>
          <w:bCs w:val="false"/>
          <w:i w:val="false"/>
          <w:iCs w:val="false"/>
          <w:color w:val="333333"/>
          <w:sz w:val="20"/>
          <w:szCs w:val="20"/>
        </w:rPr>
        <w:t>5:288</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فوائد الاصول للمحقّق العراقی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2:236</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،مسائل علیّ بن جعفر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،و عنها وسائل الشیعة </w:t>
      </w:r>
      <w:r>
        <w:rPr>
          <w:rFonts w:eastAsia="IRNazanin" w:cs="IRNazanin"/>
          <w:b w:val="false"/>
          <w:bCs w:val="false"/>
          <w:i w:val="false"/>
          <w:iCs w:val="false"/>
          <w:color w:val="333333"/>
          <w:sz w:val="20"/>
          <w:szCs w:val="20"/>
        </w:rPr>
        <w:t>1:150</w:t>
      </w:r>
      <w:r>
        <w:rPr>
          <w:rFonts w:ascii="IRNazanin" w:hAnsi="IRNazanin" w:eastAsia="IRNazanin"/>
          <w:b w:val="false"/>
          <w:b w:val="false"/>
          <w:bCs w:val="false"/>
          <w:i w:val="false"/>
          <w:i w:val="false"/>
          <w:iCs w:val="false"/>
          <w:color w:val="333333"/>
          <w:sz w:val="20"/>
          <w:sz w:val="20"/>
          <w:szCs w:val="20"/>
          <w:rtl w:val="true"/>
        </w:rPr>
        <w:t xml:space="preserve">،کتاب الطهارة،أبواب الماء المطلق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2:234</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w:t>
      </w:r>
      <w:r>
        <w:rPr>
          <w:rFonts w:eastAsia="IRNazanin" w:cs="IRNazanin"/>
          <w:b w:val="false"/>
          <w:bCs w:val="false"/>
          <w:i w:val="false"/>
          <w:iCs w:val="false"/>
          <w:color w:val="333333"/>
          <w:sz w:val="20"/>
          <w:szCs w:val="20"/>
        </w:rPr>
        <w:t>5:288</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فوائد الاصول للمحقّق العراقی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w:t>
      </w:r>
      <w:r>
        <w:rPr>
          <w:rFonts w:eastAsia="IRNazanin" w:cs="IRNazanin"/>
          <w:b w:val="false"/>
          <w:bCs w:val="false"/>
          <w:i w:val="false"/>
          <w:iCs w:val="false"/>
          <w:color w:val="333333"/>
          <w:sz w:val="20"/>
          <w:szCs w:val="20"/>
        </w:rPr>
        <w:t>5:288</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،و عنه مستدرک الوسائل </w:t>
      </w:r>
      <w:r>
        <w:rPr>
          <w:rFonts w:eastAsia="IRNazanin" w:cs="IRNazanin"/>
          <w:b w:val="false"/>
          <w:bCs w:val="false"/>
          <w:i w:val="false"/>
          <w:iCs w:val="false"/>
          <w:color w:val="333333"/>
          <w:sz w:val="20"/>
          <w:szCs w:val="20"/>
        </w:rPr>
        <w:t>2:583</w:t>
      </w:r>
      <w:r>
        <w:rPr>
          <w:rFonts w:ascii="IRNazanin" w:hAnsi="IRNazanin" w:eastAsia="IRNazanin"/>
          <w:b w:val="false"/>
          <w:b w:val="false"/>
          <w:bCs w:val="false"/>
          <w:i w:val="false"/>
          <w:i w:val="false"/>
          <w:iCs w:val="false"/>
          <w:color w:val="333333"/>
          <w:sz w:val="20"/>
          <w:sz w:val="20"/>
          <w:szCs w:val="20"/>
          <w:rtl w:val="true"/>
        </w:rPr>
        <w:t xml:space="preserve">،کتاب الطهارة،أبواب النجاسات و الأوانی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2794</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w:t>
      </w:r>
      <w:r>
        <w:rPr>
          <w:rFonts w:eastAsia="IRNazanin" w:cs="IRNazanin"/>
          <w:b w:val="false"/>
          <w:bCs w:val="false"/>
          <w:i w:val="false"/>
          <w:iCs w:val="false"/>
          <w:color w:val="333333"/>
          <w:sz w:val="20"/>
          <w:szCs w:val="20"/>
        </w:rPr>
        <w:t>5:288</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الاصول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فرائد الاصول </w:t>
      </w:r>
      <w:r>
        <w:rPr>
          <w:rFonts w:eastAsia="IRNazanin" w:cs="IRNazanin"/>
          <w:b w:val="false"/>
          <w:bCs w:val="false"/>
          <w:i w:val="false"/>
          <w:iCs w:val="false"/>
          <w:color w:val="333333"/>
          <w:sz w:val="20"/>
          <w:szCs w:val="20"/>
        </w:rPr>
        <w:t>2:234</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w:t>
      </w:r>
      <w:r>
        <w:rPr>
          <w:rFonts w:eastAsia="IRNazanin" w:cs="IRNazanin"/>
          <w:b w:val="false"/>
          <w:bCs w:val="false"/>
          <w:i w:val="false"/>
          <w:iCs w:val="false"/>
          <w:color w:val="333333"/>
          <w:sz w:val="20"/>
          <w:szCs w:val="20"/>
        </w:rPr>
        <w:t>5:286</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w:t>
      </w:r>
      <w:r>
        <w:rPr>
          <w:rFonts w:eastAsia="IRNazanin" w:cs="IRNazanin"/>
          <w:b w:val="false"/>
          <w:bCs w:val="false"/>
          <w:i w:val="false"/>
          <w:iCs w:val="false"/>
          <w:color w:val="333333"/>
          <w:sz w:val="20"/>
          <w:szCs w:val="20"/>
        </w:rPr>
        <w:t>5:288</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2:237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2:238</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w:t>
      </w:r>
      <w:r>
        <w:rPr>
          <w:rFonts w:eastAsia="IRNazanin" w:cs="IRNazanin"/>
          <w:b w:val="false"/>
          <w:bCs w:val="false"/>
          <w:i w:val="false"/>
          <w:iCs w:val="false"/>
          <w:color w:val="333333"/>
          <w:sz w:val="20"/>
          <w:szCs w:val="20"/>
        </w:rPr>
        <w:t>5:297</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علم الاصول </w:t>
      </w:r>
      <w:r>
        <w:rPr>
          <w:rFonts w:eastAsia="IRNazanin" w:cs="IRNazanin"/>
          <w:b w:val="false"/>
          <w:bCs w:val="false"/>
          <w:i w:val="false"/>
          <w:iCs w:val="false"/>
          <w:color w:val="333333"/>
          <w:sz w:val="20"/>
          <w:szCs w:val="20"/>
        </w:rPr>
        <w:t>5:297</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w:t>
      </w:r>
      <w:r>
        <w:rPr>
          <w:rFonts w:eastAsia="IRNazanin" w:cs="IRNazanin"/>
          <w:b w:val="false"/>
          <w:bCs w:val="false"/>
          <w:i w:val="false"/>
          <w:iCs w:val="false"/>
          <w:color w:val="333333"/>
          <w:sz w:val="20"/>
          <w:szCs w:val="20"/>
        </w:rPr>
        <w:t>5:290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فوائد الاصول للمحقّق العراقی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2:237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فوائد الاصول للمحقّق العراقی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w:t>
      </w:r>
      <w:r>
        <w:rPr>
          <w:rFonts w:eastAsia="IRNazanin" w:cs="IRNazanin"/>
          <w:b w:val="false"/>
          <w:bCs w:val="false"/>
          <w:i w:val="false"/>
          <w:iCs w:val="false"/>
          <w:color w:val="333333"/>
          <w:sz w:val="20"/>
          <w:szCs w:val="20"/>
        </w:rPr>
        <w:t>5:297</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فوائد الاصول للمحقّق العراقی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فوائد الاصول للمحقّق العراقی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الفوائد </w:t>
      </w:r>
      <w:r>
        <w:rPr>
          <w:rFonts w:eastAsia="IRNazanin" w:cs="IRNazanin"/>
          <w:b w:val="false"/>
          <w:bCs w:val="false"/>
          <w:i w:val="false"/>
          <w:iCs w:val="false"/>
          <w:color w:val="333333"/>
          <w:sz w:val="20"/>
          <w:szCs w:val="20"/>
        </w:rPr>
        <w:t>2:104</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فسّره بهذه العبارة السیّد الخوئی فی مصباح الاصول </w:t>
      </w:r>
      <w:r>
        <w:rPr>
          <w:rFonts w:eastAsia="IRNazanin" w:cs="IRNazanin"/>
          <w:b w:val="false"/>
          <w:bCs w:val="false"/>
          <w:i w:val="false"/>
          <w:iCs w:val="false"/>
          <w:color w:val="333333"/>
          <w:sz w:val="20"/>
          <w:szCs w:val="20"/>
        </w:rPr>
        <w:t>2:462</w:t>
      </w:r>
      <w:r>
        <w:rPr>
          <w:rFonts w:ascii="IRNazanin" w:hAnsi="IRNazanin" w:eastAsia="IRNazanin"/>
          <w:b w:val="false"/>
          <w:b w:val="false"/>
          <w:bCs w:val="false"/>
          <w:i w:val="false"/>
          <w:i w:val="false"/>
          <w:iCs w:val="false"/>
          <w:color w:val="333333"/>
          <w:sz w:val="20"/>
          <w:sz w:val="20"/>
          <w:szCs w:val="20"/>
          <w:rtl w:val="true"/>
        </w:rPr>
        <w:t xml:space="preserve">،و الشهید الصدر فی بحوث فی علم الاصول </w:t>
      </w:r>
      <w:r>
        <w:rPr>
          <w:rFonts w:eastAsia="IRNazanin" w:cs="IRNazanin"/>
          <w:b w:val="false"/>
          <w:bCs w:val="false"/>
          <w:i w:val="false"/>
          <w:iCs w:val="false"/>
          <w:color w:val="333333"/>
          <w:sz w:val="20"/>
          <w:szCs w:val="20"/>
        </w:rPr>
        <w:t>5:295</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،و عنه بحار الأنوار </w:t>
      </w:r>
      <w:r>
        <w:rPr>
          <w:rFonts w:eastAsia="IRNazanin" w:cs="IRNazanin"/>
          <w:b w:val="false"/>
          <w:bCs w:val="false"/>
          <w:i w:val="false"/>
          <w:iCs w:val="false"/>
          <w:color w:val="333333"/>
          <w:sz w:val="20"/>
          <w:szCs w:val="20"/>
        </w:rPr>
        <w:t>101:293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فوائد الاصول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من المشروعیّة فی هذه المقالة،هو المعنی الخاصّ لها؛أی الحقّانیّة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لیس المراد منها هو المعنی العامّ المستخدم فی العلوم السیاسیّة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أعمّ من الحقّانیّة و عدمها</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تراث الشیخ الأعظم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البیع للإمام الخمینی قدّس سرّه </w:t>
      </w:r>
      <w:r>
        <w:rPr>
          <w:rFonts w:eastAsia="IRNazanin" w:cs="IRNazanin"/>
          <w:b w:val="false"/>
          <w:bCs w:val="false"/>
          <w:i w:val="false"/>
          <w:iCs w:val="false"/>
          <w:color w:val="333333"/>
          <w:sz w:val="20"/>
          <w:szCs w:val="20"/>
        </w:rPr>
        <w:t>2:623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البیع للإمام الخمینی قدّس سرّه </w:t>
      </w:r>
      <w:r>
        <w:rPr>
          <w:rFonts w:eastAsia="IRNazanin" w:cs="IRNazanin"/>
          <w:b w:val="false"/>
          <w:bCs w:val="false"/>
          <w:i w:val="false"/>
          <w:iCs w:val="false"/>
          <w:color w:val="333333"/>
          <w:sz w:val="20"/>
          <w:szCs w:val="20"/>
        </w:rPr>
        <w:t>2:617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عنه وسائل الشیعة </w:t>
      </w:r>
      <w:r>
        <w:rPr>
          <w:rFonts w:eastAsia="IRNazanin" w:cs="IRNazanin"/>
          <w:b w:val="false"/>
          <w:bCs w:val="false"/>
          <w:i w:val="false"/>
          <w:iCs w:val="false"/>
          <w:color w:val="333333"/>
          <w:sz w:val="20"/>
          <w:szCs w:val="20"/>
        </w:rPr>
        <w:t>27:78</w:t>
      </w:r>
      <w:r>
        <w:rPr>
          <w:rFonts w:ascii="IRNazanin" w:hAnsi="IRNazanin" w:eastAsia="IRNazanin"/>
          <w:b w:val="false"/>
          <w:b w:val="false"/>
          <w:bCs w:val="false"/>
          <w:i w:val="false"/>
          <w:i w:val="false"/>
          <w:iCs w:val="false"/>
          <w:color w:val="333333"/>
          <w:sz w:val="20"/>
          <w:sz w:val="20"/>
          <w:szCs w:val="20"/>
          <w:rtl w:val="true"/>
        </w:rPr>
        <w:t xml:space="preserve">،کتاب القضاء،أبواب صفات القاضی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10:183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29083</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الفقهاء امناء الرسل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کذا فی نوادر الراوندی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،و عنه مستدرک الوسائل </w:t>
      </w:r>
      <w:r>
        <w:rPr>
          <w:rFonts w:eastAsia="IRNazanin" w:cs="IRNazanin"/>
          <w:b w:val="false"/>
          <w:bCs w:val="false"/>
          <w:i w:val="false"/>
          <w:iCs w:val="false"/>
          <w:color w:val="333333"/>
          <w:sz w:val="20"/>
          <w:szCs w:val="20"/>
        </w:rPr>
        <w:t>13:124</w:t>
      </w:r>
      <w:r>
        <w:rPr>
          <w:rFonts w:ascii="IRNazanin" w:hAnsi="IRNazanin" w:eastAsia="IRNazanin"/>
          <w:b w:val="false"/>
          <w:b w:val="false"/>
          <w:bCs w:val="false"/>
          <w:i w:val="false"/>
          <w:i w:val="false"/>
          <w:iCs w:val="false"/>
          <w:color w:val="333333"/>
          <w:sz w:val="20"/>
          <w:sz w:val="20"/>
          <w:szCs w:val="20"/>
          <w:rtl w:val="true"/>
        </w:rPr>
        <w:t xml:space="preserve">،کتاب التجارة،أبواب ما یکتسب به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6:218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845</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2:260</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و عنها وسائل الشیعة </w:t>
      </w:r>
      <w:r>
        <w:rPr>
          <w:rFonts w:eastAsia="IRNazanin" w:cs="IRNazanin"/>
          <w:b w:val="false"/>
          <w:bCs w:val="false"/>
          <w:i w:val="false"/>
          <w:iCs w:val="false"/>
          <w:color w:val="333333"/>
          <w:sz w:val="20"/>
          <w:szCs w:val="20"/>
        </w:rPr>
        <w:t>27:136</w:t>
      </w:r>
      <w:r>
        <w:rPr>
          <w:rFonts w:ascii="IRNazanin" w:hAnsi="IRNazanin" w:eastAsia="IRNazanin"/>
          <w:b w:val="false"/>
          <w:b w:val="false"/>
          <w:bCs w:val="false"/>
          <w:i w:val="false"/>
          <w:i w:val="false"/>
          <w:iCs w:val="false"/>
          <w:color w:val="333333"/>
          <w:sz w:val="20"/>
          <w:sz w:val="20"/>
          <w:szCs w:val="20"/>
          <w:rtl w:val="true"/>
        </w:rPr>
        <w:t xml:space="preserve">،کتاب القضاء،أبواب صفات القاضی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الحوادث الواقعة فارجعوا فیها إلی رواة أحادیثنا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،الغیبة للطوسی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ح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الرقم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،و عنها وسائل الشیعة </w:t>
      </w:r>
      <w:r>
        <w:rPr>
          <w:rFonts w:eastAsia="IRNazanin" w:cs="IRNazanin"/>
          <w:b w:val="false"/>
          <w:bCs w:val="false"/>
          <w:i w:val="false"/>
          <w:iCs w:val="false"/>
          <w:color w:val="333333"/>
          <w:sz w:val="20"/>
          <w:szCs w:val="20"/>
        </w:rPr>
        <w:t>27:140</w:t>
      </w:r>
      <w:r>
        <w:rPr>
          <w:rFonts w:ascii="IRNazanin" w:hAnsi="IRNazanin" w:eastAsia="IRNazanin"/>
          <w:b w:val="false"/>
          <w:b w:val="false"/>
          <w:bCs w:val="false"/>
          <w:i w:val="false"/>
          <w:i w:val="false"/>
          <w:iCs w:val="false"/>
          <w:color w:val="333333"/>
          <w:sz w:val="20"/>
          <w:sz w:val="20"/>
          <w:szCs w:val="20"/>
          <w:rtl w:val="true"/>
        </w:rPr>
        <w:t xml:space="preserve">، کتاب القضاء،أبواب صفات القاضی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أَرْسَلْنا رُسُلَنا بِالْبَیِّناتِ وَ أَنْزَلْنا مَعَهُمُ الْکِتابَ وَ الْمِیزانَ لِیَقُومَ النّاسُ بِالْقِسْطِ سورة الحدید </w:t>
      </w:r>
      <w:r>
        <w:rPr>
          <w:rFonts w:eastAsia="IRNazanin" w:cs="IRNazanin"/>
          <w:b w:val="false"/>
          <w:bCs w:val="false"/>
          <w:i w:val="false"/>
          <w:iCs w:val="false"/>
          <w:color w:val="333333"/>
          <w:sz w:val="20"/>
          <w:szCs w:val="20"/>
        </w:rPr>
        <w:t>57:25</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صحیفۀ امام رحمه اللّه </w:t>
      </w:r>
      <w:r>
        <w:rPr>
          <w:rFonts w:eastAsia="IRNazanin" w:cs="IRNazanin"/>
          <w:b w:val="false"/>
          <w:bCs w:val="false"/>
          <w:i w:val="false"/>
          <w:iCs w:val="false"/>
          <w:color w:val="333333"/>
          <w:sz w:val="20"/>
          <w:szCs w:val="20"/>
        </w:rPr>
        <w:t>20:112</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4:103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 ح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،تفسیر الصافی </w:t>
      </w:r>
      <w:r>
        <w:rPr>
          <w:rFonts w:eastAsia="IRNazanin" w:cs="IRNazanin"/>
          <w:b w:val="false"/>
          <w:bCs w:val="false"/>
          <w:i w:val="false"/>
          <w:iCs w:val="false"/>
          <w:color w:val="333333"/>
          <w:sz w:val="20"/>
          <w:szCs w:val="20"/>
        </w:rPr>
        <w:t>5:107</w:t>
      </w:r>
      <w:r>
        <w:rPr>
          <w:rFonts w:ascii="IRNazanin" w:hAnsi="IRNazanin" w:eastAsia="IRNazanin"/>
          <w:b w:val="false"/>
          <w:b w:val="false"/>
          <w:bCs w:val="false"/>
          <w:i w:val="false"/>
          <w:i w:val="false"/>
          <w:iCs w:val="false"/>
          <w:color w:val="333333"/>
          <w:sz w:val="20"/>
          <w:sz w:val="20"/>
          <w:szCs w:val="20"/>
          <w:rtl w:val="true"/>
        </w:rPr>
        <w:t xml:space="preserve">،التفسیر الکبیر للفخر الرازی </w:t>
      </w:r>
      <w:r>
        <w:rPr>
          <w:rFonts w:eastAsia="IRNazanin" w:cs="IRNazanin"/>
          <w:b w:val="false"/>
          <w:bCs w:val="false"/>
          <w:i w:val="false"/>
          <w:iCs w:val="false"/>
          <w:color w:val="333333"/>
          <w:sz w:val="20"/>
          <w:szCs w:val="20"/>
        </w:rPr>
        <w:t>7:261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Pr>
        <w:t>16:90</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للدکتور صبحی الصالح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5:141</w:t>
      </w:r>
      <w:r>
        <w:rPr>
          <w:rFonts w:ascii="IRNazanin" w:hAnsi="IRNazanin" w:eastAsia="IRNazanin"/>
          <w:b w:val="false"/>
          <w:b w:val="false"/>
          <w:bCs w:val="false"/>
          <w:i w:val="false"/>
          <w:i w:val="false"/>
          <w:iCs w:val="false"/>
          <w:color w:val="333333"/>
          <w:sz w:val="20"/>
          <w:sz w:val="20"/>
          <w:szCs w:val="20"/>
          <w:rtl w:val="true"/>
        </w:rPr>
        <w:t xml:space="preserve">،روح المعانی </w:t>
      </w:r>
      <w:r>
        <w:rPr>
          <w:rFonts w:eastAsia="IRNazanin" w:cs="IRNazanin"/>
          <w:b w:val="false"/>
          <w:bCs w:val="false"/>
          <w:i w:val="false"/>
          <w:iCs w:val="false"/>
          <w:color w:val="333333"/>
          <w:sz w:val="20"/>
          <w:szCs w:val="20"/>
        </w:rPr>
        <w:t>14:610</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اخلاق ناصری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Pr>
        <w:t>16:90</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فی تفسیر القرآن </w:t>
      </w:r>
      <w:r>
        <w:rPr>
          <w:rFonts w:eastAsia="IRNazanin" w:cs="IRNazanin"/>
          <w:b w:val="false"/>
          <w:bCs w:val="false"/>
          <w:i w:val="false"/>
          <w:iCs w:val="false"/>
          <w:color w:val="333333"/>
          <w:sz w:val="20"/>
          <w:szCs w:val="20"/>
        </w:rPr>
        <w:t>2:418</w:t>
      </w:r>
      <w:r>
        <w:rPr>
          <w:rFonts w:ascii="IRNazanin" w:hAnsi="IRNazanin" w:eastAsia="IRNazanin"/>
          <w:b w:val="false"/>
          <w:b w:val="false"/>
          <w:bCs w:val="false"/>
          <w:i w:val="false"/>
          <w:i w:val="false"/>
          <w:iCs w:val="false"/>
          <w:color w:val="333333"/>
          <w:sz w:val="20"/>
          <w:sz w:val="20"/>
          <w:szCs w:val="20"/>
          <w:rtl w:val="true"/>
        </w:rPr>
        <w:t xml:space="preserve">،روض الجنان و روح الجنان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w:t>
      </w:r>
      <w:r>
        <w:rPr>
          <w:rFonts w:eastAsia="IRNazanin" w:cs="IRNazanin"/>
          <w:b w:val="false"/>
          <w:bCs w:val="false"/>
          <w:i w:val="false"/>
          <w:iCs w:val="false"/>
          <w:color w:val="333333"/>
          <w:sz w:val="20"/>
          <w:szCs w:val="20"/>
        </w:rPr>
        <w:t>14:198</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5:140</w:t>
      </w:r>
      <w:r>
        <w:rPr>
          <w:rFonts w:ascii="IRNazanin" w:hAnsi="IRNazanin" w:eastAsia="IRNazanin"/>
          <w:b w:val="false"/>
          <w:b w:val="false"/>
          <w:bCs w:val="false"/>
          <w:i w:val="false"/>
          <w:i w:val="false"/>
          <w:iCs w:val="false"/>
          <w:color w:val="333333"/>
          <w:sz w:val="20"/>
          <w:sz w:val="20"/>
          <w:szCs w:val="20"/>
          <w:rtl w:val="true"/>
        </w:rPr>
        <w:t xml:space="preserve">،روح المعانی </w:t>
      </w:r>
      <w:r>
        <w:rPr>
          <w:rFonts w:eastAsia="IRNazanin" w:cs="IRNazanin"/>
          <w:b w:val="false"/>
          <w:bCs w:val="false"/>
          <w:i w:val="false"/>
          <w:iCs w:val="false"/>
          <w:color w:val="333333"/>
          <w:sz w:val="20"/>
          <w:szCs w:val="20"/>
        </w:rPr>
        <w:t>14:609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6:180</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6:180</w:t>
      </w:r>
      <w:r>
        <w:rPr>
          <w:rFonts w:ascii="IRNazanin" w:hAnsi="IRNazanin" w:eastAsia="IRNazanin"/>
          <w:b w:val="false"/>
          <w:b w:val="false"/>
          <w:bCs w:val="false"/>
          <w:i w:val="false"/>
          <w:i w:val="false"/>
          <w:iCs w:val="false"/>
          <w:color w:val="333333"/>
          <w:sz w:val="20"/>
          <w:sz w:val="20"/>
          <w:szCs w:val="20"/>
          <w:rtl w:val="true"/>
        </w:rPr>
        <w:t xml:space="preserve">،روح المعانی </w:t>
      </w:r>
      <w:r>
        <w:rPr>
          <w:rFonts w:eastAsia="IRNazanin" w:cs="IRNazanin"/>
          <w:b w:val="false"/>
          <w:bCs w:val="false"/>
          <w:i w:val="false"/>
          <w:iCs w:val="false"/>
          <w:color w:val="333333"/>
          <w:sz w:val="20"/>
          <w:szCs w:val="20"/>
        </w:rPr>
        <w:t>14:609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xml:space="preserve">،تفسیر نمونة </w:t>
      </w:r>
      <w:r>
        <w:rPr>
          <w:rFonts w:eastAsia="IRNazanin" w:cs="IRNazanin"/>
          <w:b w:val="false"/>
          <w:bCs w:val="false"/>
          <w:i w:val="false"/>
          <w:iCs w:val="false"/>
          <w:color w:val="333333"/>
          <w:sz w:val="20"/>
          <w:szCs w:val="20"/>
        </w:rPr>
        <w:t>11:368</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فقهیّة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تراث الشیخ الأعظم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،اوثق الوسائل فی شرح الرسائل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Pr>
        <w:t>38:26</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Pr>
        <w:t>4:378</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4:135</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عنهما بحار الأنوار </w:t>
      </w:r>
      <w:r>
        <w:rPr>
          <w:rFonts w:eastAsia="IRNazanin" w:cs="IRNazanin"/>
          <w:b w:val="false"/>
          <w:bCs w:val="false"/>
          <w:i w:val="false"/>
          <w:iCs w:val="false"/>
          <w:color w:val="333333"/>
          <w:sz w:val="20"/>
          <w:szCs w:val="20"/>
        </w:rPr>
        <w:t>4:264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الدرة الباهرة من الأصداف الطاهرة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،و عنه بحار الأنوار </w:t>
      </w:r>
      <w:r>
        <w:rPr>
          <w:rFonts w:eastAsia="IRNazanin" w:cs="IRNazanin"/>
          <w:b w:val="false"/>
          <w:bCs w:val="false"/>
          <w:i w:val="false"/>
          <w:iCs w:val="false"/>
          <w:color w:val="333333"/>
          <w:sz w:val="20"/>
          <w:szCs w:val="20"/>
        </w:rPr>
        <w:t>10:351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،و عنه بحار الأنوار </w:t>
      </w:r>
      <w:r>
        <w:rPr>
          <w:rFonts w:eastAsia="IRNazanin" w:cs="IRNazanin"/>
          <w:b w:val="false"/>
          <w:bCs w:val="false"/>
          <w:i w:val="false"/>
          <w:iCs w:val="false"/>
          <w:color w:val="333333"/>
          <w:sz w:val="20"/>
          <w:szCs w:val="20"/>
        </w:rPr>
        <w:t>75:347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،و عنه بحار الأنوار </w:t>
      </w:r>
      <w:r>
        <w:rPr>
          <w:rFonts w:eastAsia="IRNazanin" w:cs="IRNazanin"/>
          <w:b w:val="false"/>
          <w:bCs w:val="false"/>
          <w:i w:val="false"/>
          <w:iCs w:val="false"/>
          <w:color w:val="333333"/>
          <w:sz w:val="20"/>
          <w:szCs w:val="20"/>
        </w:rPr>
        <w:t>75:347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،و عنه بحار الأنوار </w:t>
      </w:r>
      <w:r>
        <w:rPr>
          <w:rFonts w:eastAsia="IRNazanin" w:cs="IRNazanin"/>
          <w:b w:val="false"/>
          <w:bCs w:val="false"/>
          <w:i w:val="false"/>
          <w:iCs w:val="false"/>
          <w:color w:val="333333"/>
          <w:sz w:val="20"/>
          <w:szCs w:val="20"/>
        </w:rPr>
        <w:t>77:145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918</w:t>
      </w:r>
      <w:r>
        <w:rPr>
          <w:rFonts w:ascii="IRNazanin" w:hAnsi="IRNazanin" w:eastAsia="IRNazanin"/>
          <w:b w:val="false"/>
          <w:b w:val="false"/>
          <w:bCs w:val="false"/>
          <w:i w:val="false"/>
          <w:i w:val="false"/>
          <w:iCs w:val="false"/>
          <w:color w:val="333333"/>
          <w:sz w:val="20"/>
          <w:sz w:val="20"/>
          <w:szCs w:val="20"/>
          <w:rtl w:val="true"/>
        </w:rPr>
        <w:t xml:space="preserve">،و عنه بحار الأنوار </w:t>
      </w:r>
      <w:r>
        <w:rPr>
          <w:rFonts w:eastAsia="IRNazanin" w:cs="IRNazanin"/>
          <w:b w:val="false"/>
          <w:bCs w:val="false"/>
          <w:i w:val="false"/>
          <w:iCs w:val="false"/>
          <w:color w:val="333333"/>
          <w:sz w:val="20"/>
          <w:szCs w:val="20"/>
        </w:rPr>
        <w:t>75:352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1033</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،و عنهما وسائل الشیعة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،کتاب الطهارة، أبواب مقدّمة العبادات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مقتضب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،و عنه بحار الأنوار </w:t>
      </w:r>
      <w:r>
        <w:rPr>
          <w:rFonts w:eastAsia="IRNazanin" w:cs="IRNazanin"/>
          <w:b w:val="false"/>
          <w:bCs w:val="false"/>
          <w:i w:val="false"/>
          <w:iCs w:val="false"/>
          <w:color w:val="333333"/>
          <w:sz w:val="20"/>
          <w:szCs w:val="20"/>
        </w:rPr>
        <w:t>36:221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عوالم العلوم و المعارف و الأحوال </w:t>
      </w:r>
      <w:r>
        <w:rPr>
          <w:rFonts w:eastAsia="IRNazanin" w:cs="IRNazanin"/>
          <w:b w:val="false"/>
          <w:bCs w:val="false"/>
          <w:i w:val="false"/>
          <w:iCs w:val="false"/>
          <w:color w:val="333333"/>
          <w:sz w:val="20"/>
          <w:szCs w:val="20"/>
        </w:rPr>
        <w:t>3/15:83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36:203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أحادیث،و ج </w:t>
      </w:r>
      <w:r>
        <w:rPr>
          <w:rFonts w:eastAsia="IRNazanin" w:cs="IRNazanin"/>
          <w:b w:val="false"/>
          <w:bCs w:val="false"/>
          <w:i w:val="false"/>
          <w:iCs w:val="false"/>
          <w:color w:val="333333"/>
          <w:sz w:val="20"/>
          <w:szCs w:val="20"/>
        </w:rPr>
        <w:t>51:66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صحیفه امام رحمه اللّه </w:t>
      </w:r>
      <w:r>
        <w:rPr>
          <w:rFonts w:eastAsia="IRNazanin" w:cs="IRNazanin"/>
          <w:b w:val="false"/>
          <w:bCs w:val="false"/>
          <w:i w:val="false"/>
          <w:iCs w:val="false"/>
          <w:color w:val="333333"/>
          <w:sz w:val="20"/>
          <w:szCs w:val="20"/>
        </w:rPr>
        <w:t>12:280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14:472</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تقدّمتا فی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،کتاب القضاء،أبواب صفات القاضی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عنهما وسائل الشیعة </w:t>
      </w:r>
      <w:r>
        <w:rPr>
          <w:rFonts w:eastAsia="IRNazanin" w:cs="IRNazanin"/>
          <w:b w:val="false"/>
          <w:bCs w:val="false"/>
          <w:i w:val="false"/>
          <w:iCs w:val="false"/>
          <w:color w:val="333333"/>
          <w:sz w:val="20"/>
          <w:szCs w:val="20"/>
        </w:rPr>
        <w:t>27:92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القضاء، أبواب صفات القاضی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،و عنه وسائل الشیعة </w:t>
      </w:r>
      <w:r>
        <w:rPr>
          <w:rFonts w:eastAsia="IRNazanin" w:cs="IRNazanin"/>
          <w:b w:val="false"/>
          <w:bCs w:val="false"/>
          <w:i w:val="false"/>
          <w:iCs w:val="false"/>
          <w:color w:val="333333"/>
          <w:sz w:val="20"/>
          <w:szCs w:val="20"/>
        </w:rPr>
        <w:t>27:83</w:t>
      </w:r>
      <w:r>
        <w:rPr>
          <w:rFonts w:ascii="IRNazanin" w:hAnsi="IRNazanin" w:eastAsia="IRNazanin"/>
          <w:b w:val="false"/>
          <w:b w:val="false"/>
          <w:bCs w:val="false"/>
          <w:i w:val="false"/>
          <w:i w:val="false"/>
          <w:iCs w:val="false"/>
          <w:color w:val="333333"/>
          <w:sz w:val="20"/>
          <w:sz w:val="20"/>
          <w:szCs w:val="20"/>
          <w:rtl w:val="true"/>
        </w:rPr>
        <w:t xml:space="preserve">،کتاب القضاء،أبواب صفات القاضی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البیع للإمام الخمینی قدّس سرّه </w:t>
      </w:r>
      <w:r>
        <w:rPr>
          <w:rFonts w:eastAsia="IRNazanin" w:cs="IRNazanin"/>
          <w:b w:val="false"/>
          <w:bCs w:val="false"/>
          <w:i w:val="false"/>
          <w:iCs w:val="false"/>
          <w:color w:val="333333"/>
          <w:sz w:val="20"/>
          <w:szCs w:val="20"/>
        </w:rPr>
        <w:t>2:629</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4:135</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الحدید </w:t>
      </w:r>
      <w:r>
        <w:rPr>
          <w:rFonts w:eastAsia="IRNazanin" w:cs="IRNazanin"/>
          <w:b w:val="false"/>
          <w:bCs w:val="false"/>
          <w:i w:val="false"/>
          <w:iCs w:val="false"/>
          <w:color w:val="333333"/>
          <w:sz w:val="20"/>
          <w:szCs w:val="20"/>
        </w:rPr>
        <w:t>57:25</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حکمت و حکومت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الإشارات و التنبیهات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 للآخوند الخراسانی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3:195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1:126</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Pr>
        <w:t>12:70</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،الغیبة للنعمانی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ولایت فقیه حکومت صالحان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سورة البقرة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،سورة یونس </w:t>
      </w:r>
      <w:r>
        <w:rPr>
          <w:rFonts w:eastAsia="IRNazanin" w:cs="IRNazanin"/>
          <w:b w:val="false"/>
          <w:bCs w:val="false"/>
          <w:i w:val="false"/>
          <w:iCs w:val="false"/>
          <w:color w:val="333333"/>
          <w:sz w:val="20"/>
          <w:szCs w:val="20"/>
        </w:rPr>
        <w:t>10:14</w:t>
      </w:r>
      <w:r>
        <w:rPr>
          <w:rFonts w:ascii="IRNazanin" w:hAnsi="IRNazanin" w:eastAsia="IRNazanin"/>
          <w:b w:val="false"/>
          <w:b w:val="false"/>
          <w:bCs w:val="false"/>
          <w:i w:val="false"/>
          <w:i w:val="false"/>
          <w:iCs w:val="false"/>
          <w:color w:val="333333"/>
          <w:sz w:val="20"/>
          <w:sz w:val="20"/>
          <w:szCs w:val="20"/>
          <w:rtl w:val="true"/>
        </w:rPr>
        <w:t xml:space="preserve">،و سورة ص </w:t>
      </w:r>
      <w:r>
        <w:rPr>
          <w:rFonts w:eastAsia="IRNazanin" w:cs="IRNazanin"/>
          <w:b w:val="false"/>
          <w:bCs w:val="false"/>
          <w:i w:val="false"/>
          <w:iCs w:val="false"/>
          <w:color w:val="333333"/>
          <w:sz w:val="20"/>
          <w:szCs w:val="20"/>
        </w:rPr>
        <w:t>38:26</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،أمالی المفید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سورة الحدید </w:t>
      </w:r>
      <w:r>
        <w:rPr>
          <w:rFonts w:eastAsia="IRNazanin" w:cs="IRNazanin"/>
          <w:b w:val="false"/>
          <w:bCs w:val="false"/>
          <w:i w:val="false"/>
          <w:iCs w:val="false"/>
          <w:color w:val="333333"/>
          <w:sz w:val="20"/>
          <w:szCs w:val="20"/>
        </w:rPr>
        <w:t>57:25</w:t>
      </w:r>
      <w:r>
        <w:rPr>
          <w:rFonts w:ascii="IRNazanin" w:hAnsi="IRNazanin" w:eastAsia="IRNazanin"/>
          <w:b w:val="false"/>
          <w:b w:val="false"/>
          <w:bCs w:val="false"/>
          <w:i w:val="false"/>
          <w:i w:val="false"/>
          <w:iCs w:val="false"/>
          <w:color w:val="333333"/>
          <w:sz w:val="20"/>
          <w:sz w:val="20"/>
          <w:szCs w:val="20"/>
          <w:rtl w:val="true"/>
        </w:rPr>
        <w:t xml:space="preserve">،و سورة النحل </w:t>
      </w:r>
      <w:r>
        <w:rPr>
          <w:rFonts w:eastAsia="IRNazanin" w:cs="IRNazanin"/>
          <w:b w:val="false"/>
          <w:bCs w:val="false"/>
          <w:i w:val="false"/>
          <w:iCs w:val="false"/>
          <w:color w:val="333333"/>
          <w:sz w:val="20"/>
          <w:szCs w:val="20"/>
        </w:rPr>
        <w:t>16:90</w:t>
      </w:r>
      <w:r>
        <w:rPr>
          <w:rFonts w:ascii="IRNazanin" w:hAnsi="IRNazanin" w:eastAsia="IRNazanin"/>
          <w:b w:val="false"/>
          <w:b w:val="false"/>
          <w:bCs w:val="false"/>
          <w:i w:val="false"/>
          <w:i w:val="false"/>
          <w:iCs w:val="false"/>
          <w:color w:val="333333"/>
          <w:sz w:val="20"/>
          <w:sz w:val="20"/>
          <w:szCs w:val="20"/>
          <w:rtl w:val="true"/>
        </w:rPr>
        <w:t xml:space="preserve">،و سورة النساء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،کتاب القضاء،أبواب صفات القاضی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2:100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،و عنهما بحار الأنوار </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البیع </w:t>
      </w:r>
      <w:r>
        <w:rPr>
          <w:rFonts w:eastAsia="IRNazanin" w:cs="IRNazanin"/>
          <w:b w:val="false"/>
          <w:bCs w:val="false"/>
          <w:i w:val="false"/>
          <w:iCs w:val="false"/>
          <w:color w:val="333333"/>
          <w:sz w:val="20"/>
          <w:szCs w:val="20"/>
        </w:rPr>
        <w:t>2:627</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تمهید القواعد </w:t>
      </w:r>
      <w:r>
        <w:rPr>
          <w:rFonts w:eastAsia="IRNazanin" w:cs="IRNazanin"/>
          <w:b w:val="false"/>
          <w:bCs w:val="false"/>
          <w:i w:val="false"/>
          <w:iCs w:val="false"/>
          <w:color w:val="333333"/>
          <w:sz w:val="20"/>
          <w:szCs w:val="20"/>
        </w:rPr>
        <w:t>2:236</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کنگره بررسی مبانی فقهی إمام خمینی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اجتهاد و زمان و مکان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،الاصول العامّة للفقه المقارن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القواعد الفقهیّة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لسماحة آیة اللّه العظمی الشیخ فاضل اللنکرانی قدّس سرّه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المعالم الجدیدة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تراث الشیخ الأعظم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هی سنة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الهجرة النبویّة صلّی اللّه علیه و اله،التی قتل فیها جمع کثیر من الحجّاج الإیرانیّین حین إعلان البراءة من المشرکین إلی ثلاث سنوات بعدها،صحیفة الإمام الخمینی قدّس سرّه </w:t>
      </w:r>
      <w:r>
        <w:rPr>
          <w:rFonts w:eastAsia="IRNazanin" w:cs="IRNazanin"/>
          <w:b w:val="false"/>
          <w:bCs w:val="false"/>
          <w:i w:val="false"/>
          <w:iCs w:val="false"/>
          <w:color w:val="333333"/>
          <w:sz w:val="20"/>
          <w:szCs w:val="20"/>
        </w:rPr>
        <w:t>20:349</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2:229</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w:t>
      </w:r>
      <w:r>
        <w:rPr>
          <w:rFonts w:eastAsia="IRNazanin" w:cs="IRNazanin"/>
          <w:b w:val="false"/>
          <w:bCs w:val="false"/>
          <w:i w:val="false"/>
          <w:iCs w:val="false"/>
          <w:color w:val="333333"/>
          <w:sz w:val="20"/>
          <w:szCs w:val="20"/>
        </w:rPr>
        <w:t>4:234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تهذیب الاصول </w:t>
      </w:r>
      <w:r>
        <w:rPr>
          <w:rFonts w:eastAsia="IRNazanin" w:cs="IRNazanin"/>
          <w:b w:val="false"/>
          <w:bCs w:val="false"/>
          <w:i w:val="false"/>
          <w:iCs w:val="false"/>
          <w:color w:val="333333"/>
          <w:sz w:val="20"/>
          <w:szCs w:val="20"/>
        </w:rPr>
        <w:t>2:472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،و معتمد الاصول </w:t>
      </w:r>
      <w:r>
        <w:rPr>
          <w:rFonts w:eastAsia="IRNazanin" w:cs="IRNazanin"/>
          <w:b w:val="false"/>
          <w:bCs w:val="false"/>
          <w:i w:val="false"/>
          <w:iCs w:val="false"/>
          <w:color w:val="333333"/>
          <w:sz w:val="20"/>
          <w:szCs w:val="20"/>
        </w:rPr>
        <w:t>1:485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المدخل إلی اصول الفقه،للدکتور محمّد معروف اللّه الوالیبی</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العناوین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2:704</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الصالحین للسیّد الخوئی قدّس سرّه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مجموعۀ آثار کنگره بررسی مبانی فقهی امام خمینی رحمه اللّه،نقش زمان و مکان در اجتهاد </w:t>
      </w:r>
      <w:r>
        <w:rPr>
          <w:rFonts w:eastAsia="IRNazanin" w:cs="IRNazanin"/>
          <w:b w:val="false"/>
          <w:bCs w:val="false"/>
          <w:i w:val="false"/>
          <w:iCs w:val="false"/>
          <w:color w:val="333333"/>
          <w:sz w:val="20"/>
          <w:szCs w:val="20"/>
        </w:rPr>
        <w:t>14:141</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21:207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،کتاب النکاح،أبواب العیوب و التدلیس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فوائد الاصول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عاجلا</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 فی شرح المناسک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الإمام الخوئی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عاجلا</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17:318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،کتاب التجارة،أبواب ما یکتسب به ب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28:61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،کتاب الحدود و التعزیرات،أبواب حدّ الزنا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9:150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من ابن أبی عقیل،مسالک الأفهام </w:t>
      </w:r>
      <w:r>
        <w:rPr>
          <w:rFonts w:eastAsia="IRNazanin" w:cs="IRNazanin"/>
          <w:b w:val="false"/>
          <w:bCs w:val="false"/>
          <w:i w:val="false"/>
          <w:iCs w:val="false"/>
          <w:color w:val="333333"/>
          <w:sz w:val="20"/>
          <w:szCs w:val="20"/>
        </w:rPr>
        <w:t>14:369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،غنیة النزوع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4:937</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2:399</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41:328</w:t>
      </w:r>
      <w:r>
        <w:rPr>
          <w:rFonts w:ascii="IRNazanin" w:hAnsi="IRNazanin" w:eastAsia="IRNazanin"/>
          <w:b w:val="false"/>
          <w:b w:val="false"/>
          <w:bCs w:val="false"/>
          <w:i w:val="false"/>
          <w:i w:val="false"/>
          <w:iCs w:val="false"/>
          <w:color w:val="333333"/>
          <w:sz w:val="20"/>
          <w:sz w:val="20"/>
          <w:szCs w:val="20"/>
          <w:rtl w:val="true"/>
        </w:rPr>
        <w:t>،تفصیل الشریعة فی شرح تحریر الوسیلة،کتاب الحدود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6:209</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،و عنه وسائل الشیعة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،کتاب الطهارة،أبواب آداب الحمّام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عنهما وسائل الشیعة </w:t>
      </w:r>
      <w:r>
        <w:rPr>
          <w:rFonts w:eastAsia="IRNazanin" w:cs="IRNazanin"/>
          <w:b w:val="false"/>
          <w:bCs w:val="false"/>
          <w:i w:val="false"/>
          <w:iCs w:val="false"/>
          <w:color w:val="333333"/>
          <w:sz w:val="20"/>
          <w:szCs w:val="20"/>
        </w:rPr>
        <w:t>2:116</w:t>
      </w:r>
      <w:r>
        <w:rPr>
          <w:rFonts w:ascii="IRNazanin" w:hAnsi="IRNazanin" w:eastAsia="IRNazanin"/>
          <w:b w:val="false"/>
          <w:b w:val="false"/>
          <w:bCs w:val="false"/>
          <w:i w:val="false"/>
          <w:i w:val="false"/>
          <w:iCs w:val="false"/>
          <w:color w:val="333333"/>
          <w:sz w:val="20"/>
          <w:sz w:val="20"/>
          <w:szCs w:val="20"/>
          <w:rtl w:val="true"/>
        </w:rPr>
        <w:t xml:space="preserve">،کتاب الطهارة، أبواب آداب الحمّام 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ریاض المسائل،تاریخ فقه أهل البیت علیهم السّلام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1076</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،و عنهما بحار الأنوار </w:t>
      </w:r>
      <w:r>
        <w:rPr>
          <w:rFonts w:eastAsia="IRNazanin" w:cs="IRNazanin"/>
          <w:b w:val="false"/>
          <w:bCs w:val="false"/>
          <w:i w:val="false"/>
          <w:iCs w:val="false"/>
          <w:color w:val="333333"/>
          <w:sz w:val="20"/>
          <w:szCs w:val="20"/>
        </w:rPr>
        <w:t>92:91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عنه بحار الأنوار </w:t>
      </w:r>
      <w:r>
        <w:rPr>
          <w:rFonts w:eastAsia="IRNazanin" w:cs="IRNazanin"/>
          <w:b w:val="false"/>
          <w:bCs w:val="false"/>
          <w:i w:val="false"/>
          <w:iCs w:val="false"/>
          <w:color w:val="333333"/>
          <w:sz w:val="20"/>
          <w:szCs w:val="20"/>
        </w:rPr>
        <w:t>3:264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،و عنهما وسائل الشیعة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xml:space="preserve">،کتاب الطهارة أبواب أحکام الخلوة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2:275</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2:188</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قراءات فقهیّة معاصرة فی الاقتصاد الإسلامی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عاجلا</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منتقی الجمان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مشرق الشمسین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،دروس فی علم الاصول،الحلقة الثالثة،القسم الأوّل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،منتقی الاصول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2:233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ثابتها و متغیّرها،کیهان اندیشه،العدد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،السنة التاسعة،الاستاذ محمّد تقی الجعفری</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اندیشه،العدد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،الفرق الرابع من المطلب التاسع،آیة اللّه إبراهیم الجنّاتی</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تاریخ المذاهب الإسلامیّة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تاریخ التشریع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،النظریّات العامّة فی الفقه الإسلامی و تاریخه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،المذاهب الفقهیّة الإسلامیّة و التعصّب المذهبی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،تاریخ الفقه الإسلامی،أفکار و 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،المدخل للتشریع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،ویژگیهای اجتهاد و فقه پویا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مجموعۀ آثار کنگره بررسی مبانی فقهی امام خمینی رحمه اللّه،نقش زمان و مکان در اجتهاد </w:t>
      </w:r>
      <w:r>
        <w:rPr>
          <w:rFonts w:eastAsia="IRNazanin" w:cs="IRNazanin"/>
          <w:b w:val="false"/>
          <w:bCs w:val="false"/>
          <w:i w:val="false"/>
          <w:iCs w:val="false"/>
          <w:color w:val="333333"/>
          <w:sz w:val="20"/>
          <w:szCs w:val="20"/>
        </w:rPr>
        <w:t>14:245</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عنها وسائل الشیعة </w:t>
      </w:r>
      <w:r>
        <w:rPr>
          <w:rFonts w:eastAsia="IRNazanin" w:cs="IRNazanin"/>
          <w:b w:val="false"/>
          <w:bCs w:val="false"/>
          <w:i w:val="false"/>
          <w:iCs w:val="false"/>
          <w:color w:val="333333"/>
          <w:sz w:val="20"/>
          <w:szCs w:val="20"/>
        </w:rPr>
        <w:t>9:77</w:t>
      </w:r>
      <w:r>
        <w:rPr>
          <w:rFonts w:ascii="IRNazanin" w:hAnsi="IRNazanin" w:eastAsia="IRNazanin"/>
          <w:b w:val="false"/>
          <w:b w:val="false"/>
          <w:bCs w:val="false"/>
          <w:i w:val="false"/>
          <w:i w:val="false"/>
          <w:iCs w:val="false"/>
          <w:color w:val="333333"/>
          <w:sz w:val="20"/>
          <w:sz w:val="20"/>
          <w:szCs w:val="20"/>
          <w:rtl w:val="true"/>
        </w:rPr>
        <w:t xml:space="preserve">،کتاب الزکاة،أبواب ما تجب فیه الزکاة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6:219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8:225</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مجلّة کانون وکلاء،الدکتور علی رضا الفیض</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هرمنوتیک،کتاب و سنّت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4:137</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26:18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،و عنه وسائل الشیعة </w:t>
      </w:r>
      <w:r>
        <w:rPr>
          <w:rFonts w:eastAsia="IRNazanin" w:cs="IRNazanin"/>
          <w:b w:val="false"/>
          <w:bCs w:val="false"/>
          <w:i w:val="false"/>
          <w:iCs w:val="false"/>
          <w:color w:val="333333"/>
          <w:sz w:val="20"/>
          <w:szCs w:val="20"/>
        </w:rPr>
        <w:t>27:175</w:t>
      </w:r>
      <w:r>
        <w:rPr>
          <w:rFonts w:ascii="IRNazanin" w:hAnsi="IRNazanin" w:eastAsia="IRNazanin"/>
          <w:b w:val="false"/>
          <w:b w:val="false"/>
          <w:bCs w:val="false"/>
          <w:i w:val="false"/>
          <w:i w:val="false"/>
          <w:iCs w:val="false"/>
          <w:color w:val="333333"/>
          <w:sz w:val="20"/>
          <w:sz w:val="20"/>
          <w:szCs w:val="20"/>
          <w:rtl w:val="true"/>
        </w:rPr>
        <w:t xml:space="preserve">،کتاب القضاء،أبواب صفات القاضی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اندیشه،العدد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،آیة اللّه إبراهیم الجناتی</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المدخل فی اصول الفقه،ج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،الدکتور الدوالیبی</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648</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7:146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xml:space="preserve">،و عنها وسائل الشیعة </w:t>
      </w:r>
      <w:r>
        <w:rPr>
          <w:rFonts w:eastAsia="IRNazanin" w:cs="IRNazanin"/>
          <w:b w:val="false"/>
          <w:bCs w:val="false"/>
          <w:i w:val="false"/>
          <w:iCs w:val="false"/>
          <w:color w:val="333333"/>
          <w:sz w:val="20"/>
          <w:szCs w:val="20"/>
        </w:rPr>
        <w:t>25:428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،کتاب إحیاء الموات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التشریع الإسلامی فیما لا نصّ فیه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مجلّة کانون وکلاء،الدکتور علی رضا الفیض</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7:359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808</w:t>
      </w:r>
      <w:r>
        <w:rPr>
          <w:rFonts w:ascii="IRNazanin" w:hAnsi="IRNazanin" w:eastAsia="IRNazanin"/>
          <w:b w:val="false"/>
          <w:b w:val="false"/>
          <w:bCs w:val="false"/>
          <w:i w:val="false"/>
          <w:i w:val="false"/>
          <w:iCs w:val="false"/>
          <w:color w:val="333333"/>
          <w:sz w:val="20"/>
          <w:sz w:val="20"/>
          <w:szCs w:val="20"/>
          <w:rtl w:val="true"/>
        </w:rPr>
        <w:t xml:space="preserve">،و عنها وسائل الشیعة </w:t>
      </w:r>
      <w:r>
        <w:rPr>
          <w:rFonts w:eastAsia="IRNazanin" w:cs="IRNazanin"/>
          <w:b w:val="false"/>
          <w:bCs w:val="false"/>
          <w:i w:val="false"/>
          <w:iCs w:val="false"/>
          <w:color w:val="333333"/>
          <w:sz w:val="20"/>
          <w:szCs w:val="20"/>
        </w:rPr>
        <w:t>21:257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،کتاب النکاح،أبواب المهور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 الفوائد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الصلاة للآملی </w:t>
      </w:r>
      <w:r>
        <w:rPr>
          <w:rFonts w:eastAsia="IRNazanin" w:cs="IRNazanin"/>
          <w:b w:val="false"/>
          <w:bCs w:val="false"/>
          <w:i w:val="false"/>
          <w:iCs w:val="false"/>
          <w:color w:val="333333"/>
          <w:sz w:val="20"/>
          <w:szCs w:val="20"/>
        </w:rPr>
        <w:t>2:318</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13:144</w:t>
      </w:r>
      <w:r>
        <w:rPr>
          <w:rFonts w:ascii="IRNazanin" w:hAnsi="IRNazanin" w:eastAsia="IRNazanin"/>
          <w:b w:val="false"/>
          <w:b w:val="false"/>
          <w:bCs w:val="false"/>
          <w:i w:val="false"/>
          <w:i w:val="false"/>
          <w:iCs w:val="false"/>
          <w:color w:val="333333"/>
          <w:sz w:val="20"/>
          <w:sz w:val="20"/>
          <w:szCs w:val="20"/>
          <w:rtl w:val="true"/>
        </w:rPr>
        <w:t>،مصباح الفقیه،الصلاة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،المستند فی شرح العروة الوثقی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الإمام الخوئی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17:34</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2:275</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10:273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1120</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،و عنها وسائل الشیعة </w:t>
      </w:r>
      <w:r>
        <w:rPr>
          <w:rFonts w:eastAsia="IRNazanin" w:cs="IRNazanin"/>
          <w:b w:val="false"/>
          <w:bCs w:val="false"/>
          <w:i w:val="false"/>
          <w:iCs w:val="false"/>
          <w:color w:val="333333"/>
          <w:sz w:val="20"/>
          <w:szCs w:val="20"/>
        </w:rPr>
        <w:t>29:327</w:t>
      </w:r>
      <w:r>
        <w:rPr>
          <w:rFonts w:ascii="IRNazanin" w:hAnsi="IRNazanin" w:eastAsia="IRNazanin"/>
          <w:b w:val="false"/>
          <w:b w:val="false"/>
          <w:bCs w:val="false"/>
          <w:i w:val="false"/>
          <w:i w:val="false"/>
          <w:iCs w:val="false"/>
          <w:color w:val="333333"/>
          <w:sz w:val="20"/>
          <w:sz w:val="20"/>
          <w:szCs w:val="20"/>
          <w:rtl w:val="true"/>
        </w:rPr>
        <w:t xml:space="preserve">،کتاب الدیات،أبواب دیات الأعضاء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المکاسب المحرّمة،لآذری القمّی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،الفقه و مسائل طبّیة،لمحمّد آصف المحسنی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،دراست موسّعة حول المسائل المستحدثة،للشیخ علی آزاد القزوینی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للمسلمین،عبد المجید سلیم</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مکتب إسلام،العدد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،السنة الثانیة</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مکتب إسلام،العدد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،السنة الثانیة</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1:226</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1:310</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،کتاب الحجّ،أبواب وجوبه و شرائطه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،کتاب الحجّ،أبواب وجوبه و شرائطه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 فی شرح العروة الوثقی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الإمام الخوئی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الأحکام و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،عوائد الأیّام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الشریعة فی شرح تحریر الوسیلة،کتاب الحجّ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،درر الفوائد،للحائری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5:222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749</w:t>
      </w:r>
      <w:r>
        <w:rPr>
          <w:rFonts w:ascii="IRNazanin" w:hAnsi="IRNazanin" w:eastAsia="IRNazanin"/>
          <w:b w:val="false"/>
          <w:b w:val="false"/>
          <w:bCs w:val="false"/>
          <w:i w:val="false"/>
          <w:i w:val="false"/>
          <w:iCs w:val="false"/>
          <w:color w:val="333333"/>
          <w:sz w:val="20"/>
          <w:sz w:val="20"/>
          <w:szCs w:val="20"/>
          <w:rtl w:val="true"/>
        </w:rPr>
        <w:t xml:space="preserve">،و عنهما وسائل الشیعة </w:t>
      </w:r>
      <w:r>
        <w:rPr>
          <w:rFonts w:eastAsia="IRNazanin" w:cs="IRNazanin"/>
          <w:b w:val="false"/>
          <w:bCs w:val="false"/>
          <w:i w:val="false"/>
          <w:iCs w:val="false"/>
          <w:color w:val="333333"/>
          <w:sz w:val="20"/>
          <w:szCs w:val="20"/>
        </w:rPr>
        <w:t>14:155</w:t>
      </w:r>
      <w:r>
        <w:rPr>
          <w:rFonts w:ascii="IRNazanin" w:hAnsi="IRNazanin" w:eastAsia="IRNazanin"/>
          <w:b w:val="false"/>
          <w:b w:val="false"/>
          <w:bCs w:val="false"/>
          <w:i w:val="false"/>
          <w:i w:val="false"/>
          <w:iCs w:val="false"/>
          <w:color w:val="333333"/>
          <w:sz w:val="20"/>
          <w:sz w:val="20"/>
          <w:szCs w:val="20"/>
          <w:rtl w:val="true"/>
        </w:rPr>
        <w:t xml:space="preserve">،کتاب الحجّ،أبواب الذبح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Pr>
        <w:t>12:305</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Pr>
        <w:t>16:232</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Pr>
        <w:t>17:29</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Pr>
        <w:t>16:76</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لقمان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17:303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،کتاب التجارة،أبواب ما یکتسب به 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2:215</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Pr>
        <w:t>14:134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18:193</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Pr>
        <w:t>22:30</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17:303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،کتاب التجارة،أبواب ما یکتسب به 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2:196</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Pr>
        <w:t>12:305</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Pr>
        <w:t>17:35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Pr>
        <w:t>12:302</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للدکتور صبحی الصالح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،و عنه وسائل الشیعة </w:t>
      </w:r>
      <w:r>
        <w:rPr>
          <w:rFonts w:eastAsia="IRNazanin" w:cs="IRNazanin"/>
          <w:b w:val="false"/>
          <w:bCs w:val="false"/>
          <w:i w:val="false"/>
          <w:iCs w:val="false"/>
          <w:color w:val="333333"/>
          <w:sz w:val="20"/>
          <w:szCs w:val="20"/>
        </w:rPr>
        <w:t>2:344</w:t>
      </w:r>
      <w:r>
        <w:rPr>
          <w:rFonts w:ascii="IRNazanin" w:hAnsi="IRNazanin" w:eastAsia="IRNazanin"/>
          <w:b w:val="false"/>
          <w:b w:val="false"/>
          <w:bCs w:val="false"/>
          <w:i w:val="false"/>
          <w:i w:val="false"/>
          <w:iCs w:val="false"/>
          <w:color w:val="333333"/>
          <w:sz w:val="20"/>
          <w:sz w:val="20"/>
          <w:szCs w:val="20"/>
          <w:rtl w:val="true"/>
        </w:rPr>
        <w:t xml:space="preserve">،کتاب الطهارة،أبواب الحیض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2:159</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غنیة النزوع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12:156</w:t>
      </w:r>
      <w:r>
        <w:rPr>
          <w:rFonts w:ascii="IRNazanin" w:hAnsi="IRNazanin" w:eastAsia="IRNazanin"/>
          <w:b w:val="false"/>
          <w:b w:val="false"/>
          <w:bCs w:val="false"/>
          <w:i w:val="false"/>
          <w:i w:val="false"/>
          <w:iCs w:val="false"/>
          <w:color w:val="333333"/>
          <w:sz w:val="20"/>
          <w:sz w:val="20"/>
          <w:szCs w:val="20"/>
          <w:rtl w:val="true"/>
        </w:rPr>
        <w:t xml:space="preserve">،نهایة الإحکام فی معرفة الأحکام </w:t>
      </w:r>
      <w:r>
        <w:rPr>
          <w:rFonts w:eastAsia="IRNazanin" w:cs="IRNazanin"/>
          <w:b w:val="false"/>
          <w:bCs w:val="false"/>
          <w:i w:val="false"/>
          <w:iCs w:val="false"/>
          <w:color w:val="333333"/>
          <w:sz w:val="20"/>
          <w:szCs w:val="20"/>
        </w:rPr>
        <w:t>2:511</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3:514</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،کتاب التجارة،أبواب أحکام العقود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7:230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1005</w:t>
      </w:r>
      <w:r>
        <w:rPr>
          <w:rFonts w:ascii="IRNazanin" w:hAnsi="IRNazanin" w:eastAsia="IRNazanin"/>
          <w:b w:val="false"/>
          <w:b w:val="false"/>
          <w:bCs w:val="false"/>
          <w:i w:val="false"/>
          <w:i w:val="false"/>
          <w:iCs w:val="false"/>
          <w:color w:val="333333"/>
          <w:sz w:val="20"/>
          <w:sz w:val="20"/>
          <w:szCs w:val="20"/>
          <w:rtl w:val="true"/>
        </w:rPr>
        <w:t xml:space="preserve">،و عنه وسائل الشیعة </w:t>
      </w:r>
      <w:r>
        <w:rPr>
          <w:rFonts w:eastAsia="IRNazanin" w:cs="IRNazanin"/>
          <w:b w:val="false"/>
          <w:bCs w:val="false"/>
          <w:i w:val="false"/>
          <w:iCs w:val="false"/>
          <w:color w:val="333333"/>
          <w:sz w:val="20"/>
          <w:szCs w:val="20"/>
        </w:rPr>
        <w:t>18:38</w:t>
      </w:r>
      <w:r>
        <w:rPr>
          <w:rFonts w:ascii="IRNazanin" w:hAnsi="IRNazanin" w:eastAsia="IRNazanin"/>
          <w:b w:val="false"/>
          <w:b w:val="false"/>
          <w:bCs w:val="false"/>
          <w:i w:val="false"/>
          <w:i w:val="false"/>
          <w:iCs w:val="false"/>
          <w:color w:val="333333"/>
          <w:sz w:val="20"/>
          <w:sz w:val="20"/>
          <w:szCs w:val="20"/>
          <w:rtl w:val="true"/>
        </w:rPr>
        <w:t xml:space="preserve">،کتاب التجارة،أبواب أحکام العقود 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2:159</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2:240</w:t>
      </w:r>
      <w:r>
        <w:rPr>
          <w:rFonts w:ascii="IRNazanin" w:hAnsi="IRNazanin" w:eastAsia="IRNazanin"/>
          <w:b w:val="false"/>
          <w:b w:val="false"/>
          <w:bCs w:val="false"/>
          <w:i w:val="false"/>
          <w:i w:val="false"/>
          <w:iCs w:val="false"/>
          <w:color w:val="333333"/>
          <w:sz w:val="20"/>
          <w:sz w:val="20"/>
          <w:szCs w:val="20"/>
          <w:rtl w:val="true"/>
        </w:rPr>
        <w:t>،غنیة النزوع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12:156</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ج </w:t>
      </w:r>
      <w:r>
        <w:rPr>
          <w:rFonts w:eastAsia="IRNazanin" w:cs="IRNazanin"/>
          <w:b w:val="false"/>
          <w:bCs w:val="false"/>
          <w:i w:val="false"/>
          <w:iCs w:val="false"/>
          <w:color w:val="333333"/>
          <w:sz w:val="20"/>
          <w:szCs w:val="20"/>
        </w:rPr>
        <w:t>14:440</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Pr>
        <w:t>11:161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8:484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،کتاب الصلاة،أبواب صلاة المسافر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Pr>
        <w:t>8:273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،و عنه وسائل الشیعة </w:t>
      </w:r>
      <w:r>
        <w:rPr>
          <w:rFonts w:eastAsia="IRNazanin" w:cs="IRNazanin"/>
          <w:b w:val="false"/>
          <w:bCs w:val="false"/>
          <w:i w:val="false"/>
          <w:iCs w:val="false"/>
          <w:color w:val="333333"/>
          <w:sz w:val="20"/>
          <w:szCs w:val="20"/>
        </w:rPr>
        <w:t>17:303</w:t>
      </w:r>
      <w:r>
        <w:rPr>
          <w:rFonts w:ascii="IRNazanin" w:hAnsi="IRNazanin" w:eastAsia="IRNazanin"/>
          <w:b w:val="false"/>
          <w:b w:val="false"/>
          <w:bCs w:val="false"/>
          <w:i w:val="false"/>
          <w:i w:val="false"/>
          <w:iCs w:val="false"/>
          <w:color w:val="333333"/>
          <w:sz w:val="20"/>
          <w:sz w:val="20"/>
          <w:szCs w:val="20"/>
          <w:rtl w:val="true"/>
        </w:rPr>
        <w:t xml:space="preserve">،کتاب التجارة،أبواب ما یکتسب به 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،و عنه وسائل الشیعة </w:t>
      </w:r>
      <w:r>
        <w:rPr>
          <w:rFonts w:eastAsia="IRNazanin" w:cs="IRNazanin"/>
          <w:b w:val="false"/>
          <w:bCs w:val="false"/>
          <w:i w:val="false"/>
          <w:iCs w:val="false"/>
          <w:color w:val="333333"/>
          <w:sz w:val="20"/>
          <w:szCs w:val="20"/>
        </w:rPr>
        <w:t>17:309</w:t>
      </w:r>
      <w:r>
        <w:rPr>
          <w:rFonts w:ascii="IRNazanin" w:hAnsi="IRNazanin" w:eastAsia="IRNazanin"/>
          <w:b w:val="false"/>
          <w:b w:val="false"/>
          <w:bCs w:val="false"/>
          <w:i w:val="false"/>
          <w:i w:val="false"/>
          <w:iCs w:val="false"/>
          <w:color w:val="333333"/>
          <w:sz w:val="20"/>
          <w:sz w:val="20"/>
          <w:szCs w:val="20"/>
          <w:rtl w:val="true"/>
        </w:rPr>
        <w:t xml:space="preserve">،کتاب التجارة،أبواب ما یکتسب به 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1211</w:t>
      </w:r>
      <w:r>
        <w:rPr>
          <w:rFonts w:ascii="IRNazanin" w:hAnsi="IRNazanin" w:eastAsia="IRNazanin"/>
          <w:b w:val="false"/>
          <w:b w:val="false"/>
          <w:bCs w:val="false"/>
          <w:i w:val="false"/>
          <w:i w:val="false"/>
          <w:iCs w:val="false"/>
          <w:color w:val="333333"/>
          <w:sz w:val="20"/>
          <w:sz w:val="20"/>
          <w:szCs w:val="20"/>
          <w:rtl w:val="true"/>
        </w:rPr>
        <w:t xml:space="preserve">،و عنه مستدرک الوسائل </w:t>
      </w:r>
      <w:r>
        <w:rPr>
          <w:rFonts w:eastAsia="IRNazanin" w:cs="IRNazanin"/>
          <w:b w:val="false"/>
          <w:bCs w:val="false"/>
          <w:i w:val="false"/>
          <w:iCs w:val="false"/>
          <w:color w:val="333333"/>
          <w:sz w:val="20"/>
          <w:szCs w:val="20"/>
        </w:rPr>
        <w:t>13:219</w:t>
      </w:r>
      <w:r>
        <w:rPr>
          <w:rFonts w:ascii="IRNazanin" w:hAnsi="IRNazanin" w:eastAsia="IRNazanin"/>
          <w:b w:val="false"/>
          <w:b w:val="false"/>
          <w:bCs w:val="false"/>
          <w:i w:val="false"/>
          <w:i w:val="false"/>
          <w:iCs w:val="false"/>
          <w:color w:val="333333"/>
          <w:sz w:val="20"/>
          <w:sz w:val="20"/>
          <w:szCs w:val="20"/>
          <w:rtl w:val="true"/>
        </w:rPr>
        <w:t xml:space="preserve">،کتاب التجارة،أبواب ما یکتسب به ب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15176</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،و عنه وسائل الشیعة </w:t>
      </w:r>
      <w:r>
        <w:rPr>
          <w:rFonts w:eastAsia="IRNazanin" w:cs="IRNazanin"/>
          <w:b w:val="false"/>
          <w:bCs w:val="false"/>
          <w:i w:val="false"/>
          <w:iCs w:val="false"/>
          <w:color w:val="333333"/>
          <w:sz w:val="20"/>
          <w:szCs w:val="20"/>
        </w:rPr>
        <w:t>17:306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،کتاب التجارة،أبواب ما یکتسب به 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،و عنه وسائل الشیعة </w:t>
      </w:r>
      <w:r>
        <w:rPr>
          <w:rFonts w:eastAsia="IRNazanin" w:cs="IRNazanin"/>
          <w:b w:val="false"/>
          <w:bCs w:val="false"/>
          <w:i w:val="false"/>
          <w:iCs w:val="false"/>
          <w:color w:val="333333"/>
          <w:sz w:val="20"/>
          <w:szCs w:val="20"/>
        </w:rPr>
        <w:t>17:309</w:t>
      </w:r>
      <w:r>
        <w:rPr>
          <w:rFonts w:ascii="IRNazanin" w:hAnsi="IRNazanin" w:eastAsia="IRNazanin"/>
          <w:b w:val="false"/>
          <w:b w:val="false"/>
          <w:bCs w:val="false"/>
          <w:i w:val="false"/>
          <w:i w:val="false"/>
          <w:iCs w:val="false"/>
          <w:color w:val="333333"/>
          <w:sz w:val="20"/>
          <w:sz w:val="20"/>
          <w:szCs w:val="20"/>
          <w:rtl w:val="true"/>
        </w:rPr>
        <w:t xml:space="preserve">،کتاب التجارة،أبواب ما یکتسب به 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،و فی مستدرک الوسائل </w:t>
      </w:r>
      <w:r>
        <w:rPr>
          <w:rFonts w:eastAsia="IRNazanin" w:cs="IRNazanin"/>
          <w:b w:val="false"/>
          <w:bCs w:val="false"/>
          <w:i w:val="false"/>
          <w:iCs w:val="false"/>
          <w:color w:val="333333"/>
          <w:sz w:val="20"/>
          <w:szCs w:val="20"/>
        </w:rPr>
        <w:t>13:213</w:t>
      </w:r>
      <w:r>
        <w:rPr>
          <w:rFonts w:ascii="IRNazanin" w:hAnsi="IRNazanin" w:eastAsia="IRNazanin"/>
          <w:b w:val="false"/>
          <w:b w:val="false"/>
          <w:bCs w:val="false"/>
          <w:i w:val="false"/>
          <w:i w:val="false"/>
          <w:iCs w:val="false"/>
          <w:color w:val="333333"/>
          <w:sz w:val="20"/>
          <w:sz w:val="20"/>
          <w:szCs w:val="20"/>
          <w:rtl w:val="true"/>
        </w:rPr>
        <w:t xml:space="preserve">،کتاب التجارة،أبواب ما یکتسب به 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لبّ اللباب مخطوط</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Pr>
        <w:t>14:136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18:194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الأیّام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،العناوین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Pr>
        <w:t>14:294</w:t>
      </w:r>
      <w:r>
        <w:rPr>
          <w:rFonts w:ascii="IRNazanin" w:hAnsi="IRNazanin" w:eastAsia="IRNazanin"/>
          <w:b w:val="false"/>
          <w:b w:val="false"/>
          <w:bCs w:val="false"/>
          <w:i w:val="false"/>
          <w:i w:val="false"/>
          <w:iCs w:val="false"/>
          <w:color w:val="333333"/>
          <w:sz w:val="20"/>
          <w:sz w:val="20"/>
          <w:szCs w:val="20"/>
          <w:rtl w:val="true"/>
        </w:rPr>
        <w:t>،عوائد الأیّام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Pr>
        <w:t>11:118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Pr>
        <w:t>16:125</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Pr>
        <w:t>16:249</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Pr>
        <w:t>4:487</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12:206</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Pr>
        <w:t>9:299</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2:237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،و عنه وسائل الشیعة </w:t>
      </w:r>
      <w:r>
        <w:rPr>
          <w:rFonts w:eastAsia="IRNazanin" w:cs="IRNazanin"/>
          <w:b w:val="false"/>
          <w:bCs w:val="false"/>
          <w:i w:val="false"/>
          <w:iCs w:val="false"/>
          <w:color w:val="333333"/>
          <w:sz w:val="20"/>
          <w:szCs w:val="20"/>
        </w:rPr>
        <w:t>14:383</w:t>
      </w:r>
      <w:r>
        <w:rPr>
          <w:rFonts w:ascii="IRNazanin" w:hAnsi="IRNazanin" w:eastAsia="IRNazanin"/>
          <w:b w:val="false"/>
          <w:b w:val="false"/>
          <w:bCs w:val="false"/>
          <w:i w:val="false"/>
          <w:i w:val="false"/>
          <w:iCs w:val="false"/>
          <w:color w:val="333333"/>
          <w:sz w:val="20"/>
          <w:sz w:val="20"/>
          <w:szCs w:val="20"/>
          <w:rtl w:val="true"/>
        </w:rPr>
        <w:t xml:space="preserve">،کتاب الحجّ،أبواب المزار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،و عنهما بحار الأنوار </w:t>
      </w:r>
      <w:r>
        <w:rPr>
          <w:rFonts w:eastAsia="IRNazanin" w:cs="IRNazanin"/>
          <w:b w:val="false"/>
          <w:bCs w:val="false"/>
          <w:i w:val="false"/>
          <w:iCs w:val="false"/>
          <w:color w:val="333333"/>
          <w:sz w:val="20"/>
          <w:szCs w:val="20"/>
        </w:rPr>
        <w:t>100:197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،و عنهما بحار الأنوار </w:t>
      </w:r>
      <w:r>
        <w:rPr>
          <w:rFonts w:eastAsia="IRNazanin" w:cs="IRNazanin"/>
          <w:b w:val="false"/>
          <w:bCs w:val="false"/>
          <w:i w:val="false"/>
          <w:iCs w:val="false"/>
          <w:color w:val="333333"/>
          <w:sz w:val="20"/>
          <w:szCs w:val="20"/>
        </w:rPr>
        <w:t>100:284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102:116</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100:284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101:232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102:620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Pr>
        <w:t>3:281</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2:138</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2:167</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الشرائع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5:112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5:149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ذخیرة المعاد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Pr>
        <w:t>11:110</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5:149</w:t>
      </w:r>
      <w:r>
        <w:rPr>
          <w:rFonts w:ascii="IRNazanin" w:hAnsi="IRNazanin" w:eastAsia="IRNazanin"/>
          <w:b w:val="false"/>
          <w:b w:val="false"/>
          <w:bCs w:val="false"/>
          <w:i w:val="false"/>
          <w:i w:val="false"/>
          <w:iCs w:val="false"/>
          <w:color w:val="333333"/>
          <w:sz w:val="20"/>
          <w:sz w:val="20"/>
          <w:szCs w:val="20"/>
          <w:rtl w:val="true"/>
        </w:rPr>
        <w:t>،ذخیرة المعاد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7:112</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Pr>
        <w:t>11:108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،و عنه وسائل الشیعة </w:t>
      </w:r>
      <w:r>
        <w:rPr>
          <w:rFonts w:eastAsia="IRNazanin" w:cs="IRNazanin"/>
          <w:b w:val="false"/>
          <w:bCs w:val="false"/>
          <w:i w:val="false"/>
          <w:iCs w:val="false"/>
          <w:color w:val="333333"/>
          <w:sz w:val="20"/>
          <w:szCs w:val="20"/>
        </w:rPr>
        <w:t>27:167</w:t>
      </w:r>
      <w:r>
        <w:rPr>
          <w:rFonts w:ascii="IRNazanin" w:hAnsi="IRNazanin" w:eastAsia="IRNazanin"/>
          <w:b w:val="false"/>
          <w:b w:val="false"/>
          <w:bCs w:val="false"/>
          <w:i w:val="false"/>
          <w:i w:val="false"/>
          <w:iCs w:val="false"/>
          <w:color w:val="333333"/>
          <w:sz w:val="20"/>
          <w:sz w:val="20"/>
          <w:szCs w:val="20"/>
          <w:rtl w:val="true"/>
        </w:rPr>
        <w:t xml:space="preserve">،کتاب القضاء،أبواب صفات القاضی 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2:185</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مستند الشیعة </w:t>
      </w:r>
      <w:r>
        <w:rPr>
          <w:rFonts w:eastAsia="IRNazanin" w:cs="IRNazanin"/>
          <w:b w:val="false"/>
          <w:bCs w:val="false"/>
          <w:i w:val="false"/>
          <w:iCs w:val="false"/>
          <w:color w:val="333333"/>
          <w:sz w:val="20"/>
          <w:szCs w:val="20"/>
        </w:rPr>
        <w:t>16:36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Pr>
        <w:t>11:164</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Pr>
        <w:t>14:136</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،و عنه وسائل الشیعة </w:t>
      </w:r>
      <w:r>
        <w:rPr>
          <w:rFonts w:eastAsia="IRNazanin" w:cs="IRNazanin"/>
          <w:b w:val="false"/>
          <w:bCs w:val="false"/>
          <w:i w:val="false"/>
          <w:iCs w:val="false"/>
          <w:color w:val="333333"/>
          <w:sz w:val="20"/>
          <w:szCs w:val="20"/>
        </w:rPr>
        <w:t>1:458</w:t>
      </w:r>
      <w:r>
        <w:rPr>
          <w:rFonts w:ascii="IRNazanin" w:hAnsi="IRNazanin" w:eastAsia="IRNazanin"/>
          <w:b w:val="false"/>
          <w:b w:val="false"/>
          <w:bCs w:val="false"/>
          <w:i w:val="false"/>
          <w:i w:val="false"/>
          <w:iCs w:val="false"/>
          <w:color w:val="333333"/>
          <w:sz w:val="20"/>
          <w:sz w:val="20"/>
          <w:szCs w:val="20"/>
          <w:rtl w:val="true"/>
        </w:rPr>
        <w:t xml:space="preserve">،کتاب الطهارة،أبواب الوضوء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التقریر </w:t>
      </w:r>
      <w:r>
        <w:rPr>
          <w:rFonts w:eastAsia="IRNazanin" w:cs="IRNazanin"/>
          <w:b w:val="false"/>
          <w:bCs w:val="false"/>
          <w:i w:val="false"/>
          <w:iCs w:val="false"/>
          <w:color w:val="333333"/>
          <w:sz w:val="20"/>
          <w:szCs w:val="20"/>
        </w:rPr>
        <w:t>2:208</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Pr>
        <w:t>5:173</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ألفاظ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المکاسب للسید الطباطبائی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المکاسب للإیروانی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الطالب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البیع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Pr>
        <w:t>17:33</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المکاسب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المکاسب للسیّد الیزدی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المکاسب للاصفهانی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مصباح الفقاهة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لابن حنبل </w:t>
      </w:r>
      <w:r>
        <w:rPr>
          <w:rFonts w:eastAsia="IRNazanin" w:cs="IRNazanin"/>
          <w:b w:val="false"/>
          <w:bCs w:val="false"/>
          <w:i w:val="false"/>
          <w:iCs w:val="false"/>
          <w:color w:val="333333"/>
          <w:sz w:val="20"/>
          <w:szCs w:val="20"/>
        </w:rPr>
        <w:t>3:180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8091</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1:445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سورة یونس </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عرضت هذه المقالة لأوّل مرّة علی مؤتمر علمیّ عام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التجمّع العظیم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ذلک</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Pr>
        <w:t>3:146</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ألفاظ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للفخر الزاری </w:t>
      </w:r>
      <w:r>
        <w:rPr>
          <w:rFonts w:eastAsia="IRNazanin" w:cs="IRNazanin"/>
          <w:b w:val="false"/>
          <w:bCs w:val="false"/>
          <w:i w:val="false"/>
          <w:iCs w:val="false"/>
          <w:color w:val="333333"/>
          <w:sz w:val="20"/>
          <w:szCs w:val="20"/>
        </w:rPr>
        <w:t>10:117</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8:53</w:t>
      </w:r>
      <w:r>
        <w:rPr>
          <w:rFonts w:ascii="IRNazanin" w:hAnsi="IRNazanin" w:eastAsia="IRNazanin"/>
          <w:b w:val="false"/>
          <w:b w:val="false"/>
          <w:bCs w:val="false"/>
          <w:i w:val="false"/>
          <w:i w:val="false"/>
          <w:iCs w:val="false"/>
          <w:color w:val="333333"/>
          <w:sz w:val="20"/>
          <w:sz w:val="20"/>
          <w:szCs w:val="20"/>
          <w:rtl w:val="true"/>
        </w:rPr>
        <w:t xml:space="preserve">،قطعة من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،و عنه الوافی </w:t>
      </w:r>
      <w:r>
        <w:rPr>
          <w:rFonts w:eastAsia="IRNazanin" w:cs="IRNazanin"/>
          <w:b w:val="false"/>
          <w:bCs w:val="false"/>
          <w:i w:val="false"/>
          <w:iCs w:val="false"/>
          <w:color w:val="333333"/>
          <w:sz w:val="20"/>
          <w:szCs w:val="20"/>
        </w:rPr>
        <w:t>26:90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ح </w:t>
      </w:r>
      <w:r>
        <w:rPr>
          <w:rFonts w:eastAsia="IRNazanin" w:cs="IRNazanin"/>
          <w:b w:val="false"/>
          <w:bCs w:val="false"/>
          <w:i w:val="false"/>
          <w:iCs w:val="false"/>
          <w:color w:val="333333"/>
          <w:sz w:val="20"/>
          <w:szCs w:val="20"/>
        </w:rPr>
        <w:t>25376</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 فی تفسیر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 فی تفسیر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للفخر الرازی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،روح المعانی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،البیان فی تفسیر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 فی تفسیر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w:t>
      </w:r>
      <w:r>
        <w:rPr>
          <w:rFonts w:eastAsia="IRNazanin" w:cs="IRNazanin"/>
          <w:b w:val="false"/>
          <w:bCs w:val="false"/>
          <w:i w:val="false"/>
          <w:iCs w:val="false"/>
          <w:color w:val="333333"/>
          <w:sz w:val="20"/>
          <w:szCs w:val="20"/>
        </w:rPr>
        <w:t>41:42</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لابن حنبل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2069</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2429</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5:199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2956</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4:104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جامع البیان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،تفسیر الصافی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،البیان فی تفسیر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فی تفسیر القرآن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 فی تفسیر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فی تفسیر القرآن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،البیان فی تفسیر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حکی عنه فی آلاء الرحمن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الغطاء </w:t>
      </w:r>
      <w:r>
        <w:rPr>
          <w:rFonts w:eastAsia="IRNazanin" w:cs="IRNazanin"/>
          <w:b w:val="false"/>
          <w:bCs w:val="false"/>
          <w:i w:val="false"/>
          <w:iCs w:val="false"/>
          <w:color w:val="333333"/>
          <w:sz w:val="20"/>
          <w:szCs w:val="20"/>
        </w:rPr>
        <w:t>3:453</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الإیضاح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اعتقادات الصدوق،المطبوع مع سلسلة مؤلّفات الشیخ المفید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حکی عنه فی مجمع البیان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تفسیر التبیان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السعود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السعود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الصافی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حکی عنه فی آلاء الرحمن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تواتر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الغطاء </w:t>
      </w:r>
      <w:r>
        <w:rPr>
          <w:rFonts w:eastAsia="IRNazanin" w:cs="IRNazanin"/>
          <w:b w:val="false"/>
          <w:bCs w:val="false"/>
          <w:i w:val="false"/>
          <w:iCs w:val="false"/>
          <w:color w:val="333333"/>
          <w:sz w:val="20"/>
          <w:szCs w:val="20"/>
        </w:rPr>
        <w:t>3:453</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الخطاب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،الأمر الأوّل و الثانی</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،و عنه بحار الأنوار </w:t>
      </w:r>
      <w:r>
        <w:rPr>
          <w:rFonts w:eastAsia="IRNazanin" w:cs="IRNazanin"/>
          <w:b w:val="false"/>
          <w:bCs w:val="false"/>
          <w:i w:val="false"/>
          <w:iCs w:val="false"/>
          <w:color w:val="333333"/>
          <w:sz w:val="20"/>
          <w:szCs w:val="20"/>
        </w:rPr>
        <w:t>28:10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یراجع البیان فی تفسیر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،و مدخل التفسیر لایة العظمی الفاضل اللنکرانی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صیانة القرآن من التحریف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الخطاب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 فی تفسیر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ستأتی ذکرها فی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اکذوبة تحریف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مدخل التفسیر لآیة اللّه العظمی الشیخ محمّد الفاضل اللنکرانی قدّس سرّه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الخطاب،الدلیل الحادی عشرة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،و سیأتی ذکر بعض الروایات فی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السعود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گفتار آسان در نفی تحریف 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لابن حنبل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21711</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23:104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 یلاحظ مدخل التفسیر لآیة اللّه العظمی الفاضل اللنکرانی قدّس سرّه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،و یلاحظ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 فی تفسیر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گفتار آسان در نفی تحریف 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w:t>
      </w:r>
      <w:r>
        <w:rPr>
          <w:rFonts w:eastAsia="IRNazanin" w:cs="IRNazanin"/>
          <w:b w:val="false"/>
          <w:bCs w:val="false"/>
          <w:i w:val="false"/>
          <w:iCs w:val="false"/>
          <w:color w:val="333333"/>
          <w:sz w:val="20"/>
          <w:szCs w:val="20"/>
        </w:rPr>
        <w:t>41:41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صیانة القرآن من التحریف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 فی تفسیر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مدخل 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الخطاب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 فی تفسیر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فی تفسیر القرآن </w:t>
      </w:r>
      <w:r>
        <w:rPr>
          <w:rFonts w:eastAsia="IRNazanin" w:cs="IRNazanin"/>
          <w:b w:val="false"/>
          <w:bCs w:val="false"/>
          <w:i w:val="false"/>
          <w:iCs w:val="false"/>
          <w:color w:val="333333"/>
          <w:sz w:val="20"/>
          <w:szCs w:val="20"/>
        </w:rPr>
        <w:t>9:129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حقائق التأویل فی متشابه التنزیل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مدخل 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آلاء الرحمن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الدارمی </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3311</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5:663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3797</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4:1492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2408</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w:t>
      </w:r>
      <w:r>
        <w:rPr>
          <w:rFonts w:eastAsia="IRNazanin" w:cs="IRNazanin"/>
          <w:b w:val="false"/>
          <w:bCs w:val="false"/>
          <w:i w:val="false"/>
          <w:iCs w:val="false"/>
          <w:color w:val="333333"/>
          <w:sz w:val="20"/>
          <w:szCs w:val="20"/>
        </w:rPr>
        <w:t>3:160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غیرها من کتب العامّة و الخاصّة،و یلاحظ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الإحکام فی اصول الأحکام للآمدی </w:t>
      </w:r>
      <w:r>
        <w:rPr>
          <w:rFonts w:eastAsia="IRNazanin" w:cs="IRNazanin"/>
          <w:b w:val="false"/>
          <w:bCs w:val="false"/>
          <w:i w:val="false"/>
          <w:iCs w:val="false"/>
          <w:color w:val="333333"/>
          <w:sz w:val="20"/>
          <w:szCs w:val="20"/>
        </w:rPr>
        <w:t>3:154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3:232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2553</w:t>
      </w:r>
      <w:r>
        <w:rPr>
          <w:rFonts w:ascii="IRNazanin" w:hAnsi="IRNazanin" w:eastAsia="IRNazanin"/>
          <w:b w:val="false"/>
          <w:b w:val="false"/>
          <w:bCs w:val="false"/>
          <w:i w:val="false"/>
          <w:i w:val="false"/>
          <w:iCs w:val="false"/>
          <w:color w:val="333333"/>
          <w:sz w:val="20"/>
          <w:sz w:val="20"/>
          <w:szCs w:val="20"/>
          <w:rtl w:val="true"/>
        </w:rPr>
        <w:t xml:space="preserve">،السنن الکبری للبیهقی </w:t>
      </w:r>
      <w:r>
        <w:rPr>
          <w:rFonts w:eastAsia="IRNazanin" w:cs="IRNazanin"/>
          <w:b w:val="false"/>
          <w:bCs w:val="false"/>
          <w:i w:val="false"/>
          <w:iCs w:val="false"/>
          <w:color w:val="333333"/>
          <w:sz w:val="20"/>
          <w:szCs w:val="20"/>
        </w:rPr>
        <w:t>12:414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17384</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لابن حنبل </w:t>
      </w:r>
      <w:r>
        <w:rPr>
          <w:rFonts w:eastAsia="IRNazanin" w:cs="IRNazanin"/>
          <w:b w:val="false"/>
          <w:bCs w:val="false"/>
          <w:i w:val="false"/>
          <w:iCs w:val="false"/>
          <w:color w:val="333333"/>
          <w:sz w:val="20"/>
          <w:szCs w:val="20"/>
        </w:rPr>
        <w:t>8:142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21652</w:t>
      </w:r>
      <w:r>
        <w:rPr>
          <w:rFonts w:ascii="IRNazanin" w:hAnsi="IRNazanin" w:eastAsia="IRNazanin"/>
          <w:b w:val="false"/>
          <w:b w:val="false"/>
          <w:bCs w:val="false"/>
          <w:i w:val="false"/>
          <w:i w:val="false"/>
          <w:iCs w:val="false"/>
          <w:color w:val="333333"/>
          <w:sz w:val="20"/>
          <w:sz w:val="20"/>
          <w:szCs w:val="20"/>
          <w:rtl w:val="true"/>
        </w:rPr>
        <w:t xml:space="preserve">،المحلّی بالآثار </w:t>
      </w:r>
      <w:r>
        <w:rPr>
          <w:rFonts w:eastAsia="IRNazanin" w:cs="IRNazanin"/>
          <w:b w:val="false"/>
          <w:bCs w:val="false"/>
          <w:i w:val="false"/>
          <w:iCs w:val="false"/>
          <w:color w:val="333333"/>
          <w:sz w:val="20"/>
          <w:szCs w:val="20"/>
        </w:rPr>
        <w:t>12:176</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الإحکام فی اصول الأحکام للآمدی </w:t>
      </w:r>
      <w:r>
        <w:rPr>
          <w:rFonts w:eastAsia="IRNazanin" w:cs="IRNazanin"/>
          <w:b w:val="false"/>
          <w:bCs w:val="false"/>
          <w:i w:val="false"/>
          <w:iCs w:val="false"/>
          <w:color w:val="333333"/>
          <w:sz w:val="20"/>
          <w:szCs w:val="20"/>
        </w:rPr>
        <w:t>3:154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الموافقات فی اصول الشریعة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 فی تفسیر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المنّان فی نسخ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المحلّی بالآثار </w:t>
      </w:r>
      <w:r>
        <w:rPr>
          <w:rFonts w:eastAsia="IRNazanin" w:cs="IRNazanin"/>
          <w:b w:val="false"/>
          <w:bCs w:val="false"/>
          <w:i w:val="false"/>
          <w:iCs w:val="false"/>
          <w:color w:val="333333"/>
          <w:sz w:val="20"/>
          <w:szCs w:val="20"/>
        </w:rPr>
        <w:t>12:175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Pr>
        <w:t>33:33</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لتوضیح المطلب أکثر یراجع آیة التطهیر رؤیة مبتکرة</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صیانة القرآن من التحریف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 فی تفسیر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 فی تفسیر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،آراء السیّد علی الفانی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1701</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من ابن الغضائری</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تصحیح اعتقادات الإمامیّة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سلسلة مؤلّفات الشیخ المفید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5:150</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لابن الندیم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للشیخ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1:102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الخطاب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26:76</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7:85</w:t>
      </w:r>
      <w:r>
        <w:rPr>
          <w:rFonts w:ascii="IRNazanin" w:hAnsi="IRNazanin" w:eastAsia="IRNazanin"/>
          <w:b w:val="false"/>
          <w:b w:val="false"/>
          <w:bCs w:val="false"/>
          <w:i w:val="false"/>
          <w:i w:val="false"/>
          <w:iCs w:val="false"/>
          <w:color w:val="333333"/>
          <w:sz w:val="20"/>
          <w:sz w:val="20"/>
          <w:szCs w:val="20"/>
          <w:rtl w:val="true"/>
        </w:rPr>
        <w:t>،ذخیرة المعاد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6:536</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Pr>
        <w:t>12:75</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19:298</w:t>
      </w:r>
      <w:r>
        <w:rPr>
          <w:rFonts w:ascii="IRNazanin" w:hAnsi="IRNazanin" w:eastAsia="IRNazanin"/>
          <w:b w:val="false"/>
          <w:b w:val="false"/>
          <w:bCs w:val="false"/>
          <w:i w:val="false"/>
          <w:i w:val="false"/>
          <w:iCs w:val="false"/>
          <w:color w:val="333333"/>
          <w:sz w:val="20"/>
          <w:sz w:val="20"/>
          <w:szCs w:val="20"/>
          <w:rtl w:val="true"/>
        </w:rPr>
        <w:t>،المعتمد فی شرح العروة الوثقی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الإمام الخوئی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29:45</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،و عنه وسائل الشیعة </w:t>
      </w:r>
      <w:r>
        <w:rPr>
          <w:rFonts w:eastAsia="IRNazanin" w:cs="IRNazanin"/>
          <w:b w:val="false"/>
          <w:bCs w:val="false"/>
          <w:i w:val="false"/>
          <w:iCs w:val="false"/>
          <w:color w:val="333333"/>
          <w:sz w:val="20"/>
          <w:szCs w:val="20"/>
        </w:rPr>
        <w:t>13:213</w:t>
      </w:r>
      <w:r>
        <w:rPr>
          <w:rFonts w:ascii="IRNazanin" w:hAnsi="IRNazanin" w:eastAsia="IRNazanin"/>
          <w:b w:val="false"/>
          <w:b w:val="false"/>
          <w:bCs w:val="false"/>
          <w:i w:val="false"/>
          <w:i w:val="false"/>
          <w:iCs w:val="false"/>
          <w:color w:val="333333"/>
          <w:sz w:val="20"/>
          <w:sz w:val="20"/>
          <w:szCs w:val="20"/>
          <w:rtl w:val="true"/>
        </w:rPr>
        <w:t xml:space="preserve">،کتاب الحجّ،أبواب مقدّمات الطواف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 أحمد بن محمّد فی هذه الطبعة إمّا ابن عیسی و إما ابن خالد،و کلاهما من الأجلاّ الثقات</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5:108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1200</w:t>
      </w:r>
      <w:r>
        <w:rPr>
          <w:rFonts w:ascii="IRNazanin" w:hAnsi="IRNazanin" w:eastAsia="IRNazanin"/>
          <w:b w:val="false"/>
          <w:b w:val="false"/>
          <w:bCs w:val="false"/>
          <w:i w:val="false"/>
          <w:i w:val="false"/>
          <w:iCs w:val="false"/>
          <w:color w:val="333333"/>
          <w:sz w:val="20"/>
          <w:sz w:val="20"/>
          <w:szCs w:val="20"/>
          <w:rtl w:val="true"/>
        </w:rPr>
        <w:t xml:space="preserve">،و عنها 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،کتاب الحجّ،أبواب الطواف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5:116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764</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1202</w:t>
      </w:r>
      <w:r>
        <w:rPr>
          <w:rFonts w:ascii="IRNazanin" w:hAnsi="IRNazanin" w:eastAsia="IRNazanin"/>
          <w:b w:val="false"/>
          <w:b w:val="false"/>
          <w:bCs w:val="false"/>
          <w:i w:val="false"/>
          <w:i w:val="false"/>
          <w:iCs w:val="false"/>
          <w:color w:val="333333"/>
          <w:sz w:val="20"/>
          <w:sz w:val="20"/>
          <w:szCs w:val="20"/>
          <w:rtl w:val="true"/>
        </w:rPr>
        <w:t xml:space="preserve">، و عنها وسائل الشیعة </w:t>
      </w:r>
      <w:r>
        <w:rPr>
          <w:rFonts w:eastAsia="IRNazanin" w:cs="IRNazanin"/>
          <w:b w:val="false"/>
          <w:bCs w:val="false"/>
          <w:i w:val="false"/>
          <w:iCs w:val="false"/>
          <w:color w:val="333333"/>
          <w:sz w:val="20"/>
          <w:szCs w:val="20"/>
        </w:rPr>
        <w:t>13:374</w:t>
      </w:r>
      <w:r>
        <w:rPr>
          <w:rFonts w:ascii="IRNazanin" w:hAnsi="IRNazanin" w:eastAsia="IRNazanin"/>
          <w:b w:val="false"/>
          <w:b w:val="false"/>
          <w:bCs w:val="false"/>
          <w:i w:val="false"/>
          <w:i w:val="false"/>
          <w:iCs w:val="false"/>
          <w:color w:val="333333"/>
          <w:sz w:val="20"/>
          <w:sz w:val="20"/>
          <w:szCs w:val="20"/>
          <w:rtl w:val="true"/>
        </w:rPr>
        <w:t xml:space="preserve">،کتاب الحجّ،أبواب الطواف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2:328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19:340</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13:382</w:t>
      </w:r>
      <w:r>
        <w:rPr>
          <w:rFonts w:ascii="IRNazanin" w:hAnsi="IRNazanin" w:eastAsia="IRNazanin"/>
          <w:b w:val="false"/>
          <w:b w:val="false"/>
          <w:bCs w:val="false"/>
          <w:i w:val="false"/>
          <w:i w:val="false"/>
          <w:iCs w:val="false"/>
          <w:color w:val="333333"/>
          <w:sz w:val="20"/>
          <w:sz w:val="20"/>
          <w:szCs w:val="20"/>
          <w:rtl w:val="true"/>
        </w:rPr>
        <w:t xml:space="preserve">،کتاب الحجّ،أبواب الطواف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1:267</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13:363</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العاملی فی مفتاح الکرامة </w:t>
      </w:r>
      <w:r>
        <w:rPr>
          <w:rFonts w:eastAsia="IRNazanin" w:cs="IRNazanin"/>
          <w:b w:val="false"/>
          <w:bCs w:val="false"/>
          <w:i w:val="false"/>
          <w:iCs w:val="false"/>
          <w:color w:val="333333"/>
          <w:sz w:val="20"/>
          <w:szCs w:val="20"/>
        </w:rPr>
        <w:t>5:283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الإحکام فی معرفة الأحکام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ذکری الشیعة </w:t>
      </w:r>
      <w:r>
        <w:rPr>
          <w:rFonts w:eastAsia="IRNazanin" w:cs="IRNazanin"/>
          <w:b w:val="false"/>
          <w:bCs w:val="false"/>
          <w:i w:val="false"/>
          <w:iCs w:val="false"/>
          <w:color w:val="333333"/>
          <w:sz w:val="20"/>
          <w:szCs w:val="20"/>
        </w:rPr>
        <w:t>3:170</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الموجز الحاوی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 العشر لابن فهد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حکی عنه فی مفتاح الکرامة </w:t>
      </w:r>
      <w:r>
        <w:rPr>
          <w:rFonts w:eastAsia="IRNazanin" w:cs="IRNazanin"/>
          <w:b w:val="false"/>
          <w:bCs w:val="false"/>
          <w:i w:val="false"/>
          <w:iCs w:val="false"/>
          <w:color w:val="333333"/>
          <w:sz w:val="20"/>
          <w:szCs w:val="20"/>
        </w:rPr>
        <w:t>5:284</w:t>
      </w:r>
      <w:r>
        <w:rPr>
          <w:rFonts w:ascii="IRNazanin" w:hAnsi="IRNazanin" w:eastAsia="IRNazanin"/>
          <w:b w:val="false"/>
          <w:b w:val="false"/>
          <w:bCs w:val="false"/>
          <w:i w:val="false"/>
          <w:i w:val="false"/>
          <w:iCs w:val="false"/>
          <w:color w:val="333333"/>
          <w:sz w:val="20"/>
          <w:sz w:val="20"/>
          <w:szCs w:val="20"/>
          <w:rtl w:val="true"/>
        </w:rPr>
        <w:t xml:space="preserve">،و جواهر الکلام </w:t>
      </w:r>
      <w:r>
        <w:rPr>
          <w:rFonts w:eastAsia="IRNazanin" w:cs="IRNazanin"/>
          <w:b w:val="false"/>
          <w:bCs w:val="false"/>
          <w:i w:val="false"/>
          <w:iCs w:val="false"/>
          <w:color w:val="333333"/>
          <w:sz w:val="20"/>
          <w:szCs w:val="20"/>
        </w:rPr>
        <w:t>7:329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ج</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القواعد للشهید الثانی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،کتاب الصلاة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أفعال الصلاة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7:329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Pr>
        <w:t>22:29</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714</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5:448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1616</w:t>
      </w:r>
      <w:r>
        <w:rPr>
          <w:rFonts w:ascii="IRNazanin" w:hAnsi="IRNazanin" w:eastAsia="IRNazanin"/>
          <w:b w:val="false"/>
          <w:b w:val="false"/>
          <w:bCs w:val="false"/>
          <w:i w:val="false"/>
          <w:i w:val="false"/>
          <w:iCs w:val="false"/>
          <w:color w:val="333333"/>
          <w:sz w:val="20"/>
          <w:sz w:val="20"/>
          <w:szCs w:val="20"/>
          <w:rtl w:val="true"/>
        </w:rPr>
        <w:t xml:space="preserve">،و عنها وسائل الشیعة </w:t>
      </w:r>
      <w:r>
        <w:rPr>
          <w:rFonts w:eastAsia="IRNazanin" w:cs="IRNazanin"/>
          <w:b w:val="false"/>
          <w:bCs w:val="false"/>
          <w:i w:val="false"/>
          <w:iCs w:val="false"/>
          <w:color w:val="333333"/>
          <w:sz w:val="20"/>
          <w:szCs w:val="20"/>
        </w:rPr>
        <w:t>13:233</w:t>
      </w:r>
      <w:r>
        <w:rPr>
          <w:rFonts w:ascii="IRNazanin" w:hAnsi="IRNazanin" w:eastAsia="IRNazanin"/>
          <w:b w:val="false"/>
          <w:b w:val="false"/>
          <w:bCs w:val="false"/>
          <w:i w:val="false"/>
          <w:i w:val="false"/>
          <w:iCs w:val="false"/>
          <w:color w:val="333333"/>
          <w:sz w:val="20"/>
          <w:sz w:val="20"/>
          <w:szCs w:val="20"/>
          <w:rtl w:val="true"/>
        </w:rPr>
        <w:t xml:space="preserve">،کتاب الحجّ،أبواب مقدّمات الطاف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15:290</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،و عنه وسائل الشیعة </w:t>
      </w:r>
      <w:r>
        <w:rPr>
          <w:rFonts w:eastAsia="IRNazanin" w:cs="IRNazanin"/>
          <w:b w:val="false"/>
          <w:bCs w:val="false"/>
          <w:i w:val="false"/>
          <w:iCs w:val="false"/>
          <w:color w:val="333333"/>
          <w:sz w:val="20"/>
          <w:szCs w:val="20"/>
        </w:rPr>
        <w:t>13:236</w:t>
      </w:r>
      <w:r>
        <w:rPr>
          <w:rFonts w:ascii="IRNazanin" w:hAnsi="IRNazanin" w:eastAsia="IRNazanin"/>
          <w:b w:val="false"/>
          <w:b w:val="false"/>
          <w:bCs w:val="false"/>
          <w:i w:val="false"/>
          <w:i w:val="false"/>
          <w:iCs w:val="false"/>
          <w:color w:val="333333"/>
          <w:sz w:val="20"/>
          <w:sz w:val="20"/>
          <w:szCs w:val="20"/>
          <w:rtl w:val="true"/>
        </w:rPr>
        <w:t xml:space="preserve">،کتاب الحجّ،أبواب مقدّمات الطواف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الغطاء </w:t>
      </w:r>
      <w:r>
        <w:rPr>
          <w:rFonts w:eastAsia="IRNazanin" w:cs="IRNazanin"/>
          <w:b w:val="false"/>
          <w:bCs w:val="false"/>
          <w:i w:val="false"/>
          <w:iCs w:val="false"/>
          <w:color w:val="333333"/>
          <w:sz w:val="20"/>
          <w:szCs w:val="20"/>
        </w:rPr>
        <w:t>3:100</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المتین </w:t>
      </w:r>
      <w:r>
        <w:rPr>
          <w:rFonts w:eastAsia="IRNazanin" w:cs="IRNazanin"/>
          <w:b w:val="false"/>
          <w:bCs w:val="false"/>
          <w:i w:val="false"/>
          <w:iCs w:val="false"/>
          <w:color w:val="333333"/>
          <w:sz w:val="20"/>
          <w:szCs w:val="20"/>
        </w:rPr>
        <w:t>2:230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،ذخیرة المعاد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6:377</w:t>
      </w:r>
      <w:r>
        <w:rPr>
          <w:rFonts w:ascii="IRNazanin" w:hAnsi="IRNazanin" w:eastAsia="IRNazanin"/>
          <w:b w:val="false"/>
          <w:b w:val="false"/>
          <w:bCs w:val="false"/>
          <w:i w:val="false"/>
          <w:i w:val="false"/>
          <w:iCs w:val="false"/>
          <w:color w:val="333333"/>
          <w:sz w:val="20"/>
          <w:sz w:val="20"/>
          <w:szCs w:val="20"/>
          <w:rtl w:val="true"/>
        </w:rPr>
        <w:t xml:space="preserve">،غنائم الأیّام </w:t>
      </w:r>
      <w:r>
        <w:rPr>
          <w:rFonts w:eastAsia="IRNazanin" w:cs="IRNazanin"/>
          <w:b w:val="false"/>
          <w:bCs w:val="false"/>
          <w:i w:val="false"/>
          <w:iCs w:val="false"/>
          <w:color w:val="333333"/>
          <w:sz w:val="20"/>
          <w:szCs w:val="20"/>
        </w:rPr>
        <w:t>2:367</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7:320</w:t>
      </w:r>
      <w:r>
        <w:rPr>
          <w:rFonts w:ascii="IRNazanin" w:hAnsi="IRNazanin" w:eastAsia="IRNazanin"/>
          <w:b w:val="false"/>
          <w:b w:val="false"/>
          <w:bCs w:val="false"/>
          <w:i w:val="false"/>
          <w:i w:val="false"/>
          <w:iCs w:val="false"/>
          <w:color w:val="333333"/>
          <w:sz w:val="20"/>
          <w:sz w:val="20"/>
          <w:szCs w:val="20"/>
          <w:rtl w:val="true"/>
        </w:rPr>
        <w:t xml:space="preserve">،مصباح الفقیه </w:t>
      </w:r>
      <w:r>
        <w:rPr>
          <w:rFonts w:eastAsia="IRNazanin" w:cs="IRNazanin"/>
          <w:b w:val="false"/>
          <w:bCs w:val="false"/>
          <w:i w:val="false"/>
          <w:iCs w:val="false"/>
          <w:color w:val="333333"/>
          <w:sz w:val="20"/>
          <w:szCs w:val="20"/>
        </w:rPr>
        <w:t>10:40</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5:174</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690</w:t>
      </w:r>
      <w:r>
        <w:rPr>
          <w:rFonts w:ascii="IRNazanin" w:hAnsi="IRNazanin" w:eastAsia="IRNazanin"/>
          <w:b w:val="false"/>
          <w:b w:val="false"/>
          <w:bCs w:val="false"/>
          <w:i w:val="false"/>
          <w:i w:val="false"/>
          <w:iCs w:val="false"/>
          <w:color w:val="333333"/>
          <w:sz w:val="20"/>
          <w:sz w:val="20"/>
          <w:szCs w:val="20"/>
          <w:rtl w:val="true"/>
        </w:rPr>
        <w:t xml:space="preserve">،و عنه وسائل الشیعة </w:t>
      </w:r>
      <w:r>
        <w:rPr>
          <w:rFonts w:eastAsia="IRNazanin" w:cs="IRNazanin"/>
          <w:b w:val="false"/>
          <w:bCs w:val="false"/>
          <w:i w:val="false"/>
          <w:iCs w:val="false"/>
          <w:color w:val="333333"/>
          <w:sz w:val="20"/>
          <w:szCs w:val="20"/>
        </w:rPr>
        <w:t>4:339</w:t>
      </w:r>
      <w:r>
        <w:rPr>
          <w:rFonts w:ascii="IRNazanin" w:hAnsi="IRNazanin" w:eastAsia="IRNazanin"/>
          <w:b w:val="false"/>
          <w:b w:val="false"/>
          <w:bCs w:val="false"/>
          <w:i w:val="false"/>
          <w:i w:val="false"/>
          <w:iCs w:val="false"/>
          <w:color w:val="333333"/>
          <w:sz w:val="20"/>
          <w:sz w:val="20"/>
          <w:szCs w:val="20"/>
          <w:rtl w:val="true"/>
        </w:rPr>
        <w:t xml:space="preserve">،کتاب الصلاة،أبواب القبلة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الطلاق </w:t>
      </w:r>
      <w:r>
        <w:rPr>
          <w:rFonts w:eastAsia="IRNazanin" w:cs="IRNazanin"/>
          <w:b w:val="false"/>
          <w:bCs w:val="false"/>
          <w:i w:val="false"/>
          <w:iCs w:val="false"/>
          <w:color w:val="333333"/>
          <w:sz w:val="20"/>
          <w:szCs w:val="20"/>
        </w:rPr>
        <w:t>65:12</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1598</w:t>
      </w:r>
      <w:r>
        <w:rPr>
          <w:rFonts w:ascii="IRNazanin" w:hAnsi="IRNazanin" w:eastAsia="IRNazanin"/>
          <w:b w:val="false"/>
          <w:b w:val="false"/>
          <w:bCs w:val="false"/>
          <w:i w:val="false"/>
          <w:i w:val="false"/>
          <w:iCs w:val="false"/>
          <w:color w:val="333333"/>
          <w:sz w:val="20"/>
          <w:sz w:val="20"/>
          <w:szCs w:val="20"/>
          <w:rtl w:val="true"/>
        </w:rPr>
        <w:t xml:space="preserve">،و عنه وسائل الشیعة </w:t>
      </w:r>
      <w:r>
        <w:rPr>
          <w:rFonts w:eastAsia="IRNazanin" w:cs="IRNazanin"/>
          <w:b w:val="false"/>
          <w:bCs w:val="false"/>
          <w:i w:val="false"/>
          <w:iCs w:val="false"/>
          <w:color w:val="333333"/>
          <w:sz w:val="20"/>
          <w:szCs w:val="20"/>
        </w:rPr>
        <w:t>4:339</w:t>
      </w:r>
      <w:r>
        <w:rPr>
          <w:rFonts w:ascii="IRNazanin" w:hAnsi="IRNazanin" w:eastAsia="IRNazanin"/>
          <w:b w:val="false"/>
          <w:b w:val="false"/>
          <w:bCs w:val="false"/>
          <w:i w:val="false"/>
          <w:i w:val="false"/>
          <w:iCs w:val="false"/>
          <w:color w:val="333333"/>
          <w:sz w:val="20"/>
          <w:sz w:val="20"/>
          <w:szCs w:val="20"/>
          <w:rtl w:val="true"/>
        </w:rPr>
        <w:t xml:space="preserve">،کتاب الصلاة،أبواب القبلة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Pr>
        <w:t>22:29</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،کتاب الصلاة،أبواب الملابس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13:210</w:t>
      </w:r>
      <w:r>
        <w:rPr>
          <w:rFonts w:ascii="IRNazanin" w:hAnsi="IRNazanin" w:eastAsia="IRNazanin"/>
          <w:b w:val="false"/>
          <w:b w:val="false"/>
          <w:bCs w:val="false"/>
          <w:i w:val="false"/>
          <w:i w:val="false"/>
          <w:iCs w:val="false"/>
          <w:color w:val="333333"/>
          <w:sz w:val="20"/>
          <w:sz w:val="20"/>
          <w:szCs w:val="20"/>
          <w:rtl w:val="true"/>
        </w:rPr>
        <w:t xml:space="preserve">،کتاب الحجّ،أبواب مقدّمات الطلاق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غیرها</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Pr>
        <w:t>22:29</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2:125</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،و عنها وسائل الشیعة </w:t>
      </w:r>
      <w:r>
        <w:rPr>
          <w:rFonts w:eastAsia="IRNazanin" w:cs="IRNazanin"/>
          <w:b w:val="false"/>
          <w:bCs w:val="false"/>
          <w:i w:val="false"/>
          <w:iCs w:val="false"/>
          <w:color w:val="333333"/>
          <w:sz w:val="20"/>
          <w:szCs w:val="20"/>
        </w:rPr>
        <w:t>13:210</w:t>
      </w:r>
      <w:r>
        <w:rPr>
          <w:rFonts w:ascii="IRNazanin" w:hAnsi="IRNazanin" w:eastAsia="IRNazanin"/>
          <w:b w:val="false"/>
          <w:b w:val="false"/>
          <w:bCs w:val="false"/>
          <w:i w:val="false"/>
          <w:i w:val="false"/>
          <w:iCs w:val="false"/>
          <w:color w:val="333333"/>
          <w:sz w:val="20"/>
          <w:sz w:val="20"/>
          <w:szCs w:val="20"/>
          <w:rtl w:val="true"/>
        </w:rPr>
        <w:t xml:space="preserve">،کتاب الحجّ،أبواب مقدّمات الطواف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14:421</w:t>
      </w:r>
      <w:r>
        <w:rPr>
          <w:rFonts w:ascii="IRNazanin" w:hAnsi="IRNazanin" w:eastAsia="IRNazanin"/>
          <w:b w:val="false"/>
          <w:b w:val="false"/>
          <w:bCs w:val="false"/>
          <w:i w:val="false"/>
          <w:i w:val="false"/>
          <w:iCs w:val="false"/>
          <w:color w:val="333333"/>
          <w:sz w:val="20"/>
          <w:sz w:val="20"/>
          <w:szCs w:val="20"/>
          <w:rtl w:val="true"/>
        </w:rPr>
        <w:t xml:space="preserve">، أبواب المزار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،و مستدرک الوسائل </w:t>
      </w:r>
      <w:r>
        <w:rPr>
          <w:rFonts w:eastAsia="IRNazanin" w:cs="IRNazanin"/>
          <w:b w:val="false"/>
          <w:bCs w:val="false"/>
          <w:i w:val="false"/>
          <w:iCs w:val="false"/>
          <w:color w:val="333333"/>
          <w:sz w:val="20"/>
          <w:szCs w:val="20"/>
        </w:rPr>
        <w:t>9:338</w:t>
      </w:r>
      <w:r>
        <w:rPr>
          <w:rFonts w:ascii="IRNazanin" w:hAnsi="IRNazanin" w:eastAsia="IRNazanin"/>
          <w:b w:val="false"/>
          <w:b w:val="false"/>
          <w:bCs w:val="false"/>
          <w:i w:val="false"/>
          <w:i w:val="false"/>
          <w:iCs w:val="false"/>
          <w:color w:val="333333"/>
          <w:sz w:val="20"/>
          <w:sz w:val="20"/>
          <w:szCs w:val="20"/>
          <w:rtl w:val="true"/>
        </w:rPr>
        <w:t xml:space="preserve">،کتاب الحجّ،أبواب مقدّمات الطواف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3:388</w:t>
      </w:r>
      <w:r>
        <w:rPr>
          <w:rFonts w:ascii="IRNazanin" w:hAnsi="IRNazanin" w:eastAsia="IRNazanin"/>
          <w:b w:val="false"/>
          <w:b w:val="false"/>
          <w:bCs w:val="false"/>
          <w:i w:val="false"/>
          <w:i w:val="false"/>
          <w:iCs w:val="false"/>
          <w:color w:val="333333"/>
          <w:sz w:val="20"/>
          <w:sz w:val="20"/>
          <w:szCs w:val="20"/>
          <w:rtl w:val="true"/>
        </w:rPr>
        <w:t xml:space="preserve">،الشرح الکبیر </w:t>
      </w:r>
      <w:r>
        <w:rPr>
          <w:rFonts w:eastAsia="IRNazanin" w:cs="IRNazanin"/>
          <w:b w:val="false"/>
          <w:bCs w:val="false"/>
          <w:i w:val="false"/>
          <w:iCs w:val="false"/>
          <w:color w:val="333333"/>
          <w:sz w:val="20"/>
          <w:szCs w:val="20"/>
        </w:rPr>
        <w:t>3:390</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1200</w:t>
      </w:r>
      <w:r>
        <w:rPr>
          <w:rFonts w:ascii="IRNazanin" w:hAnsi="IRNazanin" w:eastAsia="IRNazanin"/>
          <w:b w:val="false"/>
          <w:b w:val="false"/>
          <w:bCs w:val="false"/>
          <w:i w:val="false"/>
          <w:i w:val="false"/>
          <w:iCs w:val="false"/>
          <w:color w:val="333333"/>
          <w:sz w:val="20"/>
          <w:sz w:val="20"/>
          <w:szCs w:val="20"/>
          <w:rtl w:val="true"/>
        </w:rPr>
        <w:t xml:space="preserve">،کما استظهر فی مدارک الأحکام </w:t>
      </w:r>
      <w:r>
        <w:rPr>
          <w:rFonts w:eastAsia="IRNazanin" w:cs="IRNazanin"/>
          <w:b w:val="false"/>
          <w:bCs w:val="false"/>
          <w:i w:val="false"/>
          <w:iCs w:val="false"/>
          <w:color w:val="333333"/>
          <w:sz w:val="20"/>
          <w:szCs w:val="20"/>
        </w:rPr>
        <w:t>8:131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ذخیرة المعاد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الدارمی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1848</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Pr>
        <w:t>5:222</w:t>
      </w:r>
      <w:r>
        <w:rPr>
          <w:rFonts w:ascii="IRNazanin" w:hAnsi="IRNazanin" w:eastAsia="IRNazanin"/>
          <w:b w:val="false"/>
          <w:b w:val="false"/>
          <w:bCs w:val="false"/>
          <w:i w:val="false"/>
          <w:i w:val="false"/>
          <w:iCs w:val="false"/>
          <w:color w:val="333333"/>
          <w:sz w:val="20"/>
          <w:sz w:val="20"/>
          <w:szCs w:val="20"/>
          <w:rtl w:val="true"/>
        </w:rPr>
        <w:t xml:space="preserve">،المعجم الکبیر للطبرانی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10955</w:t>
      </w:r>
      <w:r>
        <w:rPr>
          <w:rFonts w:ascii="IRNazanin" w:hAnsi="IRNazanin" w:eastAsia="IRNazanin"/>
          <w:b w:val="false"/>
          <w:b w:val="false"/>
          <w:bCs w:val="false"/>
          <w:i w:val="false"/>
          <w:i w:val="false"/>
          <w:iCs w:val="false"/>
          <w:color w:val="333333"/>
          <w:sz w:val="20"/>
          <w:sz w:val="20"/>
          <w:szCs w:val="20"/>
          <w:rtl w:val="true"/>
        </w:rPr>
        <w:t xml:space="preserve">،السنن الکبری للبیهقی </w:t>
      </w:r>
      <w:r>
        <w:rPr>
          <w:rFonts w:eastAsia="IRNazanin" w:cs="IRNazanin"/>
          <w:b w:val="false"/>
          <w:bCs w:val="false"/>
          <w:i w:val="false"/>
          <w:iCs w:val="false"/>
          <w:color w:val="333333"/>
          <w:sz w:val="20"/>
          <w:szCs w:val="20"/>
        </w:rPr>
        <w:t>7:190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9388</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Pr>
        <w:t>1:630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1686</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3058</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عنه مستدرک الوسائل </w:t>
      </w:r>
      <w:r>
        <w:rPr>
          <w:rFonts w:eastAsia="IRNazanin" w:cs="IRNazanin"/>
          <w:b w:val="false"/>
          <w:bCs w:val="false"/>
          <w:i w:val="false"/>
          <w:iCs w:val="false"/>
          <w:color w:val="333333"/>
          <w:sz w:val="20"/>
          <w:szCs w:val="20"/>
        </w:rPr>
        <w:t>9:410</w:t>
      </w:r>
      <w:r>
        <w:rPr>
          <w:rFonts w:ascii="IRNazanin" w:hAnsi="IRNazanin" w:eastAsia="IRNazanin"/>
          <w:b w:val="false"/>
          <w:b w:val="false"/>
          <w:bCs w:val="false"/>
          <w:i w:val="false"/>
          <w:i w:val="false"/>
          <w:iCs w:val="false"/>
          <w:color w:val="333333"/>
          <w:sz w:val="20"/>
          <w:sz w:val="20"/>
          <w:szCs w:val="20"/>
          <w:rtl w:val="true"/>
        </w:rPr>
        <w:t xml:space="preserve">، کتاب الحجّ،أبواب الطواف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4:201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10:313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الفائدة و البرهان </w:t>
      </w:r>
      <w:r>
        <w:rPr>
          <w:rFonts w:eastAsia="IRNazanin" w:cs="IRNazanin"/>
          <w:b w:val="false"/>
          <w:bCs w:val="false"/>
          <w:i w:val="false"/>
          <w:iCs w:val="false"/>
          <w:color w:val="333333"/>
          <w:sz w:val="20"/>
          <w:szCs w:val="20"/>
        </w:rPr>
        <w:t>7:70</w:t>
      </w:r>
      <w:r>
        <w:rPr>
          <w:rFonts w:ascii="IRNazanin" w:hAnsi="IRNazanin" w:eastAsia="IRNazanin"/>
          <w:b w:val="false"/>
          <w:b w:val="false"/>
          <w:bCs w:val="false"/>
          <w:i w:val="false"/>
          <w:i w:val="false"/>
          <w:iCs w:val="false"/>
          <w:color w:val="333333"/>
          <w:sz w:val="20"/>
          <w:sz w:val="20"/>
          <w:szCs w:val="20"/>
          <w:rtl w:val="true"/>
        </w:rPr>
        <w:t xml:space="preserve">،و ریاض المسائل </w:t>
      </w:r>
      <w:r>
        <w:rPr>
          <w:rFonts w:eastAsia="IRNazanin" w:cs="IRNazanin"/>
          <w:b w:val="false"/>
          <w:bCs w:val="false"/>
          <w:i w:val="false"/>
          <w:iCs w:val="false"/>
          <w:color w:val="333333"/>
          <w:sz w:val="20"/>
          <w:szCs w:val="20"/>
        </w:rPr>
        <w:t>6:523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،و السرائر </w:t>
      </w:r>
      <w:r>
        <w:rPr>
          <w:rFonts w:eastAsia="IRNazanin" w:cs="IRNazanin"/>
          <w:b w:val="false"/>
          <w:bCs w:val="false"/>
          <w:i w:val="false"/>
          <w:iCs w:val="false"/>
          <w:color w:val="333333"/>
          <w:sz w:val="20"/>
          <w:szCs w:val="20"/>
        </w:rPr>
        <w:t>1:574</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w:t>
      </w:r>
      <w:r>
        <w:rPr>
          <w:rFonts w:eastAsia="IRNazanin" w:cs="IRNazanin"/>
          <w:b w:val="false"/>
          <w:bCs w:val="false"/>
          <w:i w:val="false"/>
          <w:iCs w:val="false"/>
          <w:color w:val="333333"/>
          <w:sz w:val="20"/>
          <w:szCs w:val="20"/>
        </w:rPr>
        <w:t>2:339</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فی شرح إرشاد الأذهان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6:523</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،و کذا المحقّق الأردبیلی فی مجمع الفائدة و البرهان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،حیث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المعتمد،فی شرح المناسک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الإمام الخوئی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19:270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35:360</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8:43</w:t>
      </w:r>
      <w:r>
        <w:rPr>
          <w:rFonts w:ascii="IRNazanin" w:hAnsi="IRNazanin" w:eastAsia="IRNazanin"/>
          <w:b w:val="false"/>
          <w:b w:val="false"/>
          <w:bCs w:val="false"/>
          <w:i w:val="false"/>
          <w:i w:val="false"/>
          <w:iCs w:val="false"/>
          <w:color w:val="333333"/>
          <w:sz w:val="20"/>
          <w:sz w:val="20"/>
          <w:szCs w:val="20"/>
          <w:rtl w:val="true"/>
        </w:rPr>
        <w:t xml:space="preserve">،العزیز شرح الوجیز </w:t>
      </w:r>
      <w:r>
        <w:rPr>
          <w:rFonts w:eastAsia="IRNazanin" w:cs="IRNazanin"/>
          <w:b w:val="false"/>
          <w:bCs w:val="false"/>
          <w:i w:val="false"/>
          <w:iCs w:val="false"/>
          <w:color w:val="333333"/>
          <w:sz w:val="20"/>
          <w:szCs w:val="20"/>
        </w:rPr>
        <w:t>3:395</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19:298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العزیز،شرح الوجیز </w:t>
      </w:r>
      <w:r>
        <w:rPr>
          <w:rFonts w:eastAsia="IRNazanin" w:cs="IRNazanin"/>
          <w:b w:val="false"/>
          <w:bCs w:val="false"/>
          <w:i w:val="false"/>
          <w:iCs w:val="false"/>
          <w:color w:val="333333"/>
          <w:sz w:val="20"/>
          <w:szCs w:val="20"/>
        </w:rPr>
        <w:t>3:395</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الإسلامی و أدلّته </w:t>
      </w:r>
      <w:r>
        <w:rPr>
          <w:rFonts w:eastAsia="IRNazanin" w:cs="IRNazanin"/>
          <w:b w:val="false"/>
          <w:bCs w:val="false"/>
          <w:i w:val="false"/>
          <w:iCs w:val="false"/>
          <w:color w:val="333333"/>
          <w:sz w:val="20"/>
          <w:szCs w:val="20"/>
        </w:rPr>
        <w:t>3:159</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1:440</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فی اصول الفقه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الإمام الخوئی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المسترشدین </w:t>
      </w:r>
      <w:r>
        <w:rPr>
          <w:rFonts w:eastAsia="IRNazanin" w:cs="IRNazanin"/>
          <w:b w:val="false"/>
          <w:bCs w:val="false"/>
          <w:i w:val="false"/>
          <w:iCs w:val="false"/>
          <w:color w:val="333333"/>
          <w:sz w:val="20"/>
          <w:szCs w:val="20"/>
        </w:rPr>
        <w:t>2:364</w:t>
      </w:r>
      <w:r>
        <w:rPr>
          <w:rFonts w:ascii="IRNazanin" w:hAnsi="IRNazanin" w:eastAsia="IRNazanin"/>
          <w:b w:val="false"/>
          <w:b w:val="false"/>
          <w:bCs w:val="false"/>
          <w:i w:val="false"/>
          <w:i w:val="false"/>
          <w:iCs w:val="false"/>
          <w:color w:val="333333"/>
          <w:sz w:val="20"/>
          <w:sz w:val="20"/>
          <w:szCs w:val="20"/>
          <w:rtl w:val="true"/>
        </w:rPr>
        <w:t>،محاضرات فی اصول الفقه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الإمام الخوئی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1:538</w:t>
      </w:r>
      <w:r>
        <w:rPr>
          <w:rFonts w:ascii="IRNazanin" w:hAnsi="IRNazanin" w:eastAsia="IRNazanin"/>
          <w:b w:val="false"/>
          <w:b w:val="false"/>
          <w:bCs w:val="false"/>
          <w:i w:val="false"/>
          <w:i w:val="false"/>
          <w:iCs w:val="false"/>
          <w:color w:val="333333"/>
          <w:sz w:val="20"/>
          <w:sz w:val="20"/>
          <w:szCs w:val="20"/>
          <w:rtl w:val="true"/>
        </w:rPr>
        <w:t>،بحوث فی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مباحث الدلیل اللفظی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10:252</w:t>
      </w:r>
      <w:r>
        <w:rPr>
          <w:rFonts w:ascii="IRNazanin" w:hAnsi="IRNazanin" w:eastAsia="IRNazanin"/>
          <w:b w:val="false"/>
          <w:b w:val="false"/>
          <w:bCs w:val="false"/>
          <w:i w:val="false"/>
          <w:i w:val="false"/>
          <w:iCs w:val="false"/>
          <w:color w:val="333333"/>
          <w:sz w:val="20"/>
          <w:sz w:val="20"/>
          <w:szCs w:val="20"/>
          <w:rtl w:val="true"/>
        </w:rPr>
        <w:t xml:space="preserve">،کتاب الصوم،أبواب أحکام شهر رمضان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هو عبارة أقرب الموارد و لسان العرب الآتیین</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الإرب </w:t>
      </w:r>
      <w:r>
        <w:rPr>
          <w:rFonts w:eastAsia="IRNazanin" w:cs="IRNazanin"/>
          <w:b w:val="false"/>
          <w:bCs w:val="false"/>
          <w:i w:val="false"/>
          <w:iCs w:val="false"/>
          <w:color w:val="333333"/>
          <w:sz w:val="20"/>
          <w:szCs w:val="20"/>
        </w:rPr>
        <w:t>4:1370</w:t>
      </w:r>
      <w:r>
        <w:rPr>
          <w:rFonts w:ascii="IRNazanin" w:hAnsi="IRNazanin" w:eastAsia="IRNazanin"/>
          <w:b w:val="false"/>
          <w:b w:val="false"/>
          <w:bCs w:val="false"/>
          <w:i w:val="false"/>
          <w:i w:val="false"/>
          <w:iCs w:val="false"/>
          <w:color w:val="333333"/>
          <w:sz w:val="20"/>
          <w:sz w:val="20"/>
          <w:szCs w:val="20"/>
          <w:rtl w:val="true"/>
        </w:rPr>
        <w:t xml:space="preserve">،أقرب الموارد </w:t>
      </w:r>
      <w:r>
        <w:rPr>
          <w:rFonts w:eastAsia="IRNazanin" w:cs="IRNazanin"/>
          <w:b w:val="false"/>
          <w:bCs w:val="false"/>
          <w:i w:val="false"/>
          <w:iCs w:val="false"/>
          <w:color w:val="333333"/>
          <w:sz w:val="20"/>
          <w:szCs w:val="20"/>
        </w:rPr>
        <w:t>2:1399</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6:349</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3:641</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6:349</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3:641</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فی لسان العرب</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6:349</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2:1375</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6:349</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2:1375</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عاجلا</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2:189</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10:252</w:t>
      </w:r>
      <w:r>
        <w:rPr>
          <w:rFonts w:ascii="IRNazanin" w:hAnsi="IRNazanin" w:eastAsia="IRNazanin"/>
          <w:b w:val="false"/>
          <w:b w:val="false"/>
          <w:bCs w:val="false"/>
          <w:i w:val="false"/>
          <w:i w:val="false"/>
          <w:iCs w:val="false"/>
          <w:color w:val="333333"/>
          <w:sz w:val="20"/>
          <w:sz w:val="20"/>
          <w:szCs w:val="20"/>
          <w:rtl w:val="true"/>
        </w:rPr>
        <w:t xml:space="preserve">،کتاب الصوم،أبواب أحکام شهر رمضان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فی شرح العروة الوثقی،کتاب الصوم </w:t>
      </w:r>
      <w:r>
        <w:rPr>
          <w:rFonts w:eastAsia="IRNazanin" w:cs="IRNazanin"/>
          <w:b w:val="false"/>
          <w:bCs w:val="false"/>
          <w:i w:val="false"/>
          <w:iCs w:val="false"/>
          <w:color w:val="333333"/>
          <w:sz w:val="20"/>
          <w:szCs w:val="20"/>
        </w:rPr>
        <w:t>22:118</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1:199</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Pr>
        <w:t>3:628</w:t>
      </w:r>
      <w:r>
        <w:rPr>
          <w:rFonts w:ascii="IRNazanin" w:hAnsi="IRNazanin" w:eastAsia="IRNazanin"/>
          <w:b w:val="false"/>
          <w:b w:val="false"/>
          <w:bCs w:val="false"/>
          <w:i w:val="false"/>
          <w:i w:val="false"/>
          <w:iCs w:val="false"/>
          <w:color w:val="333333"/>
          <w:sz w:val="20"/>
          <w:sz w:val="20"/>
          <w:szCs w:val="20"/>
          <w:rtl w:val="true"/>
        </w:rPr>
        <w:t xml:space="preserve">،المستند فی شرح العروة الوثقی،کتاب الصوم </w:t>
      </w:r>
      <w:r>
        <w:rPr>
          <w:rFonts w:eastAsia="IRNazanin" w:cs="IRNazanin"/>
          <w:b w:val="false"/>
          <w:bCs w:val="false"/>
          <w:i w:val="false"/>
          <w:iCs w:val="false"/>
          <w:color w:val="333333"/>
          <w:sz w:val="20"/>
          <w:szCs w:val="20"/>
        </w:rPr>
        <w:t>22:122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،توضیح المسائل مراجع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الصوم فی الشریعة الإسلامیّة الغرّاء </w:t>
      </w:r>
      <w:r>
        <w:rPr>
          <w:rFonts w:eastAsia="IRNazanin" w:cs="IRNazanin"/>
          <w:b w:val="false"/>
          <w:bCs w:val="false"/>
          <w:i w:val="false"/>
          <w:iCs w:val="false"/>
          <w:color w:val="333333"/>
          <w:sz w:val="20"/>
          <w:szCs w:val="20"/>
        </w:rPr>
        <w:t>2:144</w:t>
      </w:r>
      <w:r>
        <w:rPr>
          <w:rFonts w:ascii="IRNazanin" w:hAnsi="IRNazanin" w:eastAsia="IRNazanin"/>
          <w:b w:val="false"/>
          <w:b w:val="false"/>
          <w:bCs w:val="false"/>
          <w:i w:val="false"/>
          <w:i w:val="false"/>
          <w:iCs w:val="false"/>
          <w:color w:val="333333"/>
          <w:sz w:val="20"/>
          <w:sz w:val="20"/>
          <w:szCs w:val="20"/>
          <w:rtl w:val="true"/>
        </w:rPr>
        <w:t xml:space="preserve">،رؤیت هلال </w:t>
      </w:r>
      <w:r>
        <w:rPr>
          <w:rFonts w:eastAsia="IRNazanin" w:cs="IRNazanin"/>
          <w:b w:val="false"/>
          <w:bCs w:val="false"/>
          <w:i w:val="false"/>
          <w:iCs w:val="false"/>
          <w:color w:val="333333"/>
          <w:sz w:val="20"/>
          <w:szCs w:val="20"/>
        </w:rPr>
        <w:t>2:1189</w:t>
      </w:r>
      <w:r>
        <w:rPr>
          <w:rFonts w:ascii="IRNazanin" w:hAnsi="IRNazanin" w:eastAsia="IRNazanin"/>
          <w:b w:val="false"/>
          <w:b w:val="false"/>
          <w:bCs w:val="false"/>
          <w:i w:val="false"/>
          <w:i w:val="false"/>
          <w:iCs w:val="false"/>
          <w:color w:val="333333"/>
          <w:sz w:val="20"/>
          <w:sz w:val="20"/>
          <w:szCs w:val="20"/>
          <w:rtl w:val="true"/>
        </w:rPr>
        <w:t>،فقه أهل بیت 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43:168</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الفقهیّة للسیّد محمّد حسین فضل اللّه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،رؤیت هلال </w:t>
      </w:r>
      <w:r>
        <w:rPr>
          <w:rFonts w:eastAsia="IRNazanin" w:cs="IRNazanin"/>
          <w:b w:val="false"/>
          <w:bCs w:val="false"/>
          <w:i w:val="false"/>
          <w:iCs w:val="false"/>
          <w:color w:val="333333"/>
          <w:sz w:val="20"/>
          <w:szCs w:val="20"/>
        </w:rPr>
        <w:t>2:1188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1479</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24:127</w:t>
      </w:r>
      <w:r>
        <w:rPr>
          <w:rFonts w:ascii="IRNazanin" w:hAnsi="IRNazanin" w:eastAsia="IRNazanin"/>
          <w:b w:val="false"/>
          <w:b w:val="false"/>
          <w:bCs w:val="false"/>
          <w:i w:val="false"/>
          <w:i w:val="false"/>
          <w:iCs w:val="false"/>
          <w:color w:val="333333"/>
          <w:sz w:val="20"/>
          <w:sz w:val="20"/>
          <w:szCs w:val="20"/>
          <w:rtl w:val="true"/>
        </w:rPr>
        <w:t xml:space="preserve">،کتاب الأطعمة و الأشربة،أبواب الأطعمة المحرّمة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36:243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،وسیلة النجاة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2:147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2:189</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4:158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،و عنه وسائل الشیعة </w:t>
      </w:r>
      <w:r>
        <w:rPr>
          <w:rFonts w:eastAsia="IRNazanin" w:cs="IRNazanin"/>
          <w:b w:val="false"/>
          <w:bCs w:val="false"/>
          <w:i w:val="false"/>
          <w:iCs w:val="false"/>
          <w:color w:val="333333"/>
          <w:sz w:val="20"/>
          <w:szCs w:val="20"/>
        </w:rPr>
        <w:t>10:296</w:t>
      </w:r>
      <w:r>
        <w:rPr>
          <w:rFonts w:ascii="IRNazanin" w:hAnsi="IRNazanin" w:eastAsia="IRNazanin"/>
          <w:b w:val="false"/>
          <w:b w:val="false"/>
          <w:bCs w:val="false"/>
          <w:i w:val="false"/>
          <w:i w:val="false"/>
          <w:iCs w:val="false"/>
          <w:color w:val="333333"/>
          <w:sz w:val="20"/>
          <w:sz w:val="20"/>
          <w:szCs w:val="20"/>
          <w:rtl w:val="true"/>
        </w:rPr>
        <w:t xml:space="preserve">،کتاب الصوم،أبواب أحکام شهر رمضان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1:190</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16:376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Pr>
        <w:t>3:630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مستمسک العروة الوثقی </w:t>
      </w:r>
      <w:r>
        <w:rPr>
          <w:rFonts w:eastAsia="IRNazanin" w:cs="IRNazanin"/>
          <w:b w:val="false"/>
          <w:bCs w:val="false"/>
          <w:i w:val="false"/>
          <w:iCs w:val="false"/>
          <w:color w:val="333333"/>
          <w:sz w:val="20"/>
          <w:szCs w:val="20"/>
        </w:rPr>
        <w:t>8:468</w:t>
      </w:r>
      <w:r>
        <w:rPr>
          <w:rFonts w:ascii="IRNazanin" w:hAnsi="IRNazanin" w:eastAsia="IRNazanin"/>
          <w:b w:val="false"/>
          <w:b w:val="false"/>
          <w:bCs w:val="false"/>
          <w:i w:val="false"/>
          <w:i w:val="false"/>
          <w:iCs w:val="false"/>
          <w:color w:val="333333"/>
          <w:sz w:val="20"/>
          <w:sz w:val="20"/>
          <w:szCs w:val="20"/>
          <w:rtl w:val="true"/>
        </w:rPr>
        <w:t xml:space="preserve">،المستند فی شرح العروة الوثقی </w:t>
      </w:r>
      <w:r>
        <w:rPr>
          <w:rFonts w:eastAsia="IRNazanin" w:cs="IRNazanin"/>
          <w:b w:val="false"/>
          <w:bCs w:val="false"/>
          <w:i w:val="false"/>
          <w:iCs w:val="false"/>
          <w:color w:val="333333"/>
          <w:sz w:val="20"/>
          <w:szCs w:val="20"/>
        </w:rPr>
        <w:t>22:112</w:t>
      </w:r>
      <w:r>
        <w:rPr>
          <w:rFonts w:ascii="IRNazanin" w:hAnsi="IRNazanin" w:eastAsia="IRNazanin"/>
          <w:b w:val="false"/>
          <w:b w:val="false"/>
          <w:bCs w:val="false"/>
          <w:i w:val="false"/>
          <w:i w:val="false"/>
          <w:iCs w:val="false"/>
          <w:color w:val="333333"/>
          <w:sz w:val="20"/>
          <w:sz w:val="20"/>
          <w:szCs w:val="20"/>
          <w:rtl w:val="true"/>
        </w:rPr>
        <w:t xml:space="preserve">،رؤیت هلال </w:t>
      </w:r>
      <w:r>
        <w:rPr>
          <w:rFonts w:eastAsia="IRNazanin" w:cs="IRNazanin"/>
          <w:b w:val="false"/>
          <w:bCs w:val="false"/>
          <w:i w:val="false"/>
          <w:iCs w:val="false"/>
          <w:color w:val="333333"/>
          <w:sz w:val="20"/>
          <w:szCs w:val="20"/>
        </w:rPr>
        <w:t>2:1189</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مجلّة فقه دفتر تبلیغات،شماره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1385:118</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الصوم فی الشریعة الإسلامیّة الغرّاء </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أهل بیت علیهم السّلام،سال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43:169</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2:575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،منتقی الاصول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،مناهج الوصول إلی علم الاصول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10:252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،کتاب الصوم،أبواب أحکام شهر رمضان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،کتاب الصوم،أبواب أحکام شهر رمضان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4:156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،و عنها وسائل الشیعة </w:t>
      </w:r>
      <w:r>
        <w:rPr>
          <w:rFonts w:eastAsia="IRNazanin" w:cs="IRNazanin"/>
          <w:b w:val="false"/>
          <w:bCs w:val="false"/>
          <w:i w:val="false"/>
          <w:iCs w:val="false"/>
          <w:color w:val="333333"/>
          <w:sz w:val="20"/>
          <w:szCs w:val="20"/>
        </w:rPr>
        <w:t>10:252</w:t>
      </w:r>
      <w:r>
        <w:rPr>
          <w:rFonts w:ascii="IRNazanin" w:hAnsi="IRNazanin" w:eastAsia="IRNazanin"/>
          <w:b w:val="false"/>
          <w:b w:val="false"/>
          <w:bCs w:val="false"/>
          <w:i w:val="false"/>
          <w:i w:val="false"/>
          <w:iCs w:val="false"/>
          <w:color w:val="333333"/>
          <w:sz w:val="20"/>
          <w:sz w:val="20"/>
          <w:szCs w:val="20"/>
          <w:rtl w:val="true"/>
        </w:rPr>
        <w:t xml:space="preserve">،کتاب الصوم،أبواب أحکام شهر رمضان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4:156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،و عنهما وسائل الشیعة </w:t>
      </w:r>
      <w:r>
        <w:rPr>
          <w:rFonts w:eastAsia="IRNazanin" w:cs="IRNazanin"/>
          <w:b w:val="false"/>
          <w:bCs w:val="false"/>
          <w:i w:val="false"/>
          <w:iCs w:val="false"/>
          <w:color w:val="333333"/>
          <w:sz w:val="20"/>
          <w:szCs w:val="20"/>
        </w:rPr>
        <w:t>10:253</w:t>
      </w:r>
      <w:r>
        <w:rPr>
          <w:rFonts w:ascii="IRNazanin" w:hAnsi="IRNazanin" w:eastAsia="IRNazanin"/>
          <w:b w:val="false"/>
          <w:b w:val="false"/>
          <w:bCs w:val="false"/>
          <w:i w:val="false"/>
          <w:i w:val="false"/>
          <w:iCs w:val="false"/>
          <w:color w:val="333333"/>
          <w:sz w:val="20"/>
          <w:sz w:val="20"/>
          <w:szCs w:val="20"/>
          <w:rtl w:val="true"/>
        </w:rPr>
        <w:t xml:space="preserve">،کتاب الصوم،أبواب أحکام شهر رمضان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4:158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،و عنهما وسائل الشیعة </w:t>
      </w:r>
      <w:r>
        <w:rPr>
          <w:rFonts w:eastAsia="IRNazanin" w:cs="IRNazanin"/>
          <w:b w:val="false"/>
          <w:bCs w:val="false"/>
          <w:i w:val="false"/>
          <w:iCs w:val="false"/>
          <w:color w:val="333333"/>
          <w:sz w:val="20"/>
          <w:szCs w:val="20"/>
        </w:rPr>
        <w:t>10:255</w:t>
      </w:r>
      <w:r>
        <w:rPr>
          <w:rFonts w:ascii="IRNazanin" w:hAnsi="IRNazanin" w:eastAsia="IRNazanin"/>
          <w:b w:val="false"/>
          <w:b w:val="false"/>
          <w:bCs w:val="false"/>
          <w:i w:val="false"/>
          <w:i w:val="false"/>
          <w:iCs w:val="false"/>
          <w:color w:val="333333"/>
          <w:sz w:val="20"/>
          <w:sz w:val="20"/>
          <w:szCs w:val="20"/>
          <w:rtl w:val="true"/>
        </w:rPr>
        <w:t xml:space="preserve">،کتاب الصوم،أبواب أحکام شهر رمضان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4:160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،و عنه وسائل الشیعة </w:t>
      </w:r>
      <w:r>
        <w:rPr>
          <w:rFonts w:eastAsia="IRNazanin" w:cs="IRNazanin"/>
          <w:b w:val="false"/>
          <w:bCs w:val="false"/>
          <w:i w:val="false"/>
          <w:iCs w:val="false"/>
          <w:color w:val="333333"/>
          <w:sz w:val="20"/>
          <w:szCs w:val="20"/>
        </w:rPr>
        <w:t>10:256</w:t>
      </w:r>
      <w:r>
        <w:rPr>
          <w:rFonts w:ascii="IRNazanin" w:hAnsi="IRNazanin" w:eastAsia="IRNazanin"/>
          <w:b w:val="false"/>
          <w:b w:val="false"/>
          <w:bCs w:val="false"/>
          <w:i w:val="false"/>
          <w:i w:val="false"/>
          <w:iCs w:val="false"/>
          <w:color w:val="333333"/>
          <w:sz w:val="20"/>
          <w:sz w:val="20"/>
          <w:szCs w:val="20"/>
          <w:rtl w:val="true"/>
        </w:rPr>
        <w:t xml:space="preserve">،کتاب الصوم،أبواب أحکام شهر رمضان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4:156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،و عنهما وسائل الشیعة </w:t>
      </w:r>
      <w:r>
        <w:rPr>
          <w:rFonts w:eastAsia="IRNazanin" w:cs="IRNazanin"/>
          <w:b w:val="false"/>
          <w:bCs w:val="false"/>
          <w:i w:val="false"/>
          <w:iCs w:val="false"/>
          <w:color w:val="333333"/>
          <w:sz w:val="20"/>
          <w:szCs w:val="20"/>
        </w:rPr>
        <w:t>10:254</w:t>
      </w:r>
      <w:r>
        <w:rPr>
          <w:rFonts w:ascii="IRNazanin" w:hAnsi="IRNazanin" w:eastAsia="IRNazanin"/>
          <w:b w:val="false"/>
          <w:b w:val="false"/>
          <w:bCs w:val="false"/>
          <w:i w:val="false"/>
          <w:i w:val="false"/>
          <w:iCs w:val="false"/>
          <w:color w:val="333333"/>
          <w:sz w:val="20"/>
          <w:sz w:val="20"/>
          <w:szCs w:val="20"/>
          <w:rtl w:val="true"/>
        </w:rPr>
        <w:t xml:space="preserve">،کتاب الصوم،أبواب أحکام شهر رمضان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4:333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1047</w:t>
      </w:r>
      <w:r>
        <w:rPr>
          <w:rFonts w:ascii="IRNazanin" w:hAnsi="IRNazanin" w:eastAsia="IRNazanin"/>
          <w:b w:val="false"/>
          <w:b w:val="false"/>
          <w:bCs w:val="false"/>
          <w:i w:val="false"/>
          <w:i w:val="false"/>
          <w:iCs w:val="false"/>
          <w:color w:val="333333"/>
          <w:sz w:val="20"/>
          <w:sz w:val="20"/>
          <w:szCs w:val="20"/>
          <w:rtl w:val="true"/>
        </w:rPr>
        <w:t xml:space="preserve">،و عنه وسائل الشیعة </w:t>
      </w:r>
      <w:r>
        <w:rPr>
          <w:rFonts w:eastAsia="IRNazanin" w:cs="IRNazanin"/>
          <w:b w:val="false"/>
          <w:bCs w:val="false"/>
          <w:i w:val="false"/>
          <w:iCs w:val="false"/>
          <w:color w:val="333333"/>
          <w:sz w:val="20"/>
          <w:szCs w:val="20"/>
        </w:rPr>
        <w:t>10:282</w:t>
      </w:r>
      <w:r>
        <w:rPr>
          <w:rFonts w:ascii="IRNazanin" w:hAnsi="IRNazanin" w:eastAsia="IRNazanin"/>
          <w:b w:val="false"/>
          <w:b w:val="false"/>
          <w:bCs w:val="false"/>
          <w:i w:val="false"/>
          <w:i w:val="false"/>
          <w:iCs w:val="false"/>
          <w:color w:val="333333"/>
          <w:sz w:val="20"/>
          <w:sz w:val="20"/>
          <w:szCs w:val="20"/>
          <w:rtl w:val="true"/>
        </w:rPr>
        <w:t xml:space="preserve">،کتاب الصوم،أبواب أحکام شهر رمضان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أهل بیت علیهم السّلام،سال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43:170</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فوائد الاصول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w:t>
      </w:r>
      <w:r>
        <w:rPr>
          <w:rFonts w:eastAsia="IRNazanin" w:cs="IRNazanin"/>
          <w:b w:val="false"/>
          <w:bCs w:val="false"/>
          <w:i w:val="false"/>
          <w:iCs w:val="false"/>
          <w:color w:val="333333"/>
          <w:sz w:val="20"/>
          <w:szCs w:val="20"/>
        </w:rPr>
        <w:t>1:252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،دراسات فی الاصول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مراجع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1732</w:t>
      </w:r>
      <w:r>
        <w:rPr>
          <w:rFonts w:ascii="IRNazanin" w:hAnsi="IRNazanin" w:eastAsia="IRNazanin"/>
          <w:b w:val="false"/>
          <w:b w:val="false"/>
          <w:bCs w:val="false"/>
          <w:i w:val="false"/>
          <w:i w:val="false"/>
          <w:iCs w:val="false"/>
          <w:color w:val="333333"/>
          <w:sz w:val="20"/>
          <w:sz w:val="20"/>
          <w:szCs w:val="20"/>
          <w:rtl w:val="true"/>
        </w:rPr>
        <w:t>،تفصیل الشریعة فی شرح تحریر الوسیلة،کتاب الصوم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المتین </w:t>
      </w:r>
      <w:r>
        <w:rPr>
          <w:rFonts w:eastAsia="IRNazanin" w:cs="IRNazanin"/>
          <w:b w:val="false"/>
          <w:bCs w:val="false"/>
          <w:i w:val="false"/>
          <w:iCs w:val="false"/>
          <w:color w:val="333333"/>
          <w:sz w:val="20"/>
          <w:szCs w:val="20"/>
        </w:rPr>
        <w:t>2:180</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صاحبقرانی </w:t>
      </w:r>
      <w:r>
        <w:rPr>
          <w:rFonts w:eastAsia="IRNazanin" w:cs="IRNazanin"/>
          <w:b w:val="false"/>
          <w:bCs w:val="false"/>
          <w:i w:val="false"/>
          <w:iCs w:val="false"/>
          <w:color w:val="333333"/>
          <w:sz w:val="20"/>
          <w:szCs w:val="20"/>
        </w:rPr>
        <w:t>1:534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6:184</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تفصیله فی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6:249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9:332</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عاجلا</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،کتاب الطهارة،أبواب أحکام الخلوة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ذخیرة المعاد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1:439</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2:283</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،و عنهما وسائل الشیعة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،کتاب الطهارة،أبواب الوضوء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2:330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2:180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لأحمد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11243</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23590</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xml:space="preserve">،السنن الکبری للبیهقی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809</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9:379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26545</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7:331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7:354</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ذخیرة المعاد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1009</w:t>
      </w:r>
      <w:r>
        <w:rPr>
          <w:rFonts w:ascii="IRNazanin" w:hAnsi="IRNazanin" w:eastAsia="IRNazanin"/>
          <w:b w:val="false"/>
          <w:b w:val="false"/>
          <w:bCs w:val="false"/>
          <w:i w:val="false"/>
          <w:i w:val="false"/>
          <w:iCs w:val="false"/>
          <w:color w:val="333333"/>
          <w:sz w:val="20"/>
          <w:sz w:val="20"/>
          <w:szCs w:val="20"/>
          <w:rtl w:val="true"/>
        </w:rPr>
        <w:t xml:space="preserve">،و عنهما وسائل الشیعة </w:t>
      </w:r>
      <w:r>
        <w:rPr>
          <w:rFonts w:eastAsia="IRNazanin" w:cs="IRNazanin"/>
          <w:b w:val="false"/>
          <w:bCs w:val="false"/>
          <w:i w:val="false"/>
          <w:iCs w:val="false"/>
          <w:color w:val="333333"/>
          <w:sz w:val="20"/>
          <w:szCs w:val="20"/>
        </w:rPr>
        <w:t>12:505</w:t>
      </w:r>
      <w:r>
        <w:rPr>
          <w:rFonts w:ascii="IRNazanin" w:hAnsi="IRNazanin" w:eastAsia="IRNazanin"/>
          <w:b w:val="false"/>
          <w:b w:val="false"/>
          <w:bCs w:val="false"/>
          <w:i w:val="false"/>
          <w:i w:val="false"/>
          <w:iCs w:val="false"/>
          <w:color w:val="333333"/>
          <w:sz w:val="20"/>
          <w:sz w:val="20"/>
          <w:szCs w:val="20"/>
          <w:rtl w:val="true"/>
        </w:rPr>
        <w:t xml:space="preserve">،کتاب الحجّ،أبواب تروک الإحرام 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12:505</w:t>
      </w:r>
      <w:r>
        <w:rPr>
          <w:rFonts w:ascii="IRNazanin" w:hAnsi="IRNazanin" w:eastAsia="IRNazanin"/>
          <w:b w:val="false"/>
          <w:b w:val="false"/>
          <w:bCs w:val="false"/>
          <w:i w:val="false"/>
          <w:i w:val="false"/>
          <w:iCs w:val="false"/>
          <w:color w:val="333333"/>
          <w:sz w:val="20"/>
          <w:sz w:val="20"/>
          <w:szCs w:val="20"/>
          <w:rtl w:val="true"/>
        </w:rPr>
        <w:t xml:space="preserve">،کتاب الحجّ،أبواب تروک الإحرام 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18:384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ط،ق</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4:195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،نهایة الإحکام فی معرفة الأحکام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ذکری الشیعة </w:t>
      </w:r>
      <w:r>
        <w:rPr>
          <w:rFonts w:eastAsia="IRNazanin" w:cs="IRNazanin"/>
          <w:b w:val="false"/>
          <w:bCs w:val="false"/>
          <w:i w:val="false"/>
          <w:iCs w:val="false"/>
          <w:color w:val="333333"/>
          <w:sz w:val="20"/>
          <w:szCs w:val="20"/>
        </w:rPr>
        <w:t>4:228</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4:364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3:155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1529</w:t>
      </w:r>
      <w:r>
        <w:rPr>
          <w:rFonts w:ascii="IRNazanin" w:hAnsi="IRNazanin" w:eastAsia="IRNazanin"/>
          <w:b w:val="false"/>
          <w:b w:val="false"/>
          <w:bCs w:val="false"/>
          <w:i w:val="false"/>
          <w:i w:val="false"/>
          <w:iCs w:val="false"/>
          <w:color w:val="333333"/>
          <w:sz w:val="20"/>
          <w:sz w:val="20"/>
          <w:szCs w:val="20"/>
          <w:rtl w:val="true"/>
        </w:rPr>
        <w:t xml:space="preserve">،و عنها 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،کتاب الصلاة،أبواب صلاة الکسوف و الآیات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4:128</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11:691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،و عنه وسائل الشیعة </w:t>
      </w:r>
      <w:r>
        <w:rPr>
          <w:rFonts w:eastAsia="IRNazanin" w:cs="IRNazanin"/>
          <w:b w:val="false"/>
          <w:bCs w:val="false"/>
          <w:i w:val="false"/>
          <w:iCs w:val="false"/>
          <w:color w:val="333333"/>
          <w:sz w:val="20"/>
          <w:szCs w:val="20"/>
        </w:rPr>
        <w:t>7:484</w:t>
      </w:r>
      <w:r>
        <w:rPr>
          <w:rFonts w:ascii="IRNazanin" w:hAnsi="IRNazanin" w:eastAsia="IRNazanin"/>
          <w:b w:val="false"/>
          <w:b w:val="false"/>
          <w:bCs w:val="false"/>
          <w:i w:val="false"/>
          <w:i w:val="false"/>
          <w:iCs w:val="false"/>
          <w:color w:val="333333"/>
          <w:sz w:val="20"/>
          <w:sz w:val="20"/>
          <w:szCs w:val="20"/>
          <w:rtl w:val="true"/>
        </w:rPr>
        <w:t xml:space="preserve">،کتاب الصلاة،أبواب صلاة الکسوف و الآیات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735</w:t>
      </w:r>
      <w:r>
        <w:rPr>
          <w:rFonts w:ascii="IRNazanin" w:hAnsi="IRNazanin" w:eastAsia="IRNazanin"/>
          <w:b w:val="false"/>
          <w:b w:val="false"/>
          <w:bCs w:val="false"/>
          <w:i w:val="false"/>
          <w:i w:val="false"/>
          <w:iCs w:val="false"/>
          <w:color w:val="333333"/>
          <w:sz w:val="20"/>
          <w:sz w:val="20"/>
          <w:szCs w:val="20"/>
          <w:rtl w:val="true"/>
        </w:rPr>
        <w:t xml:space="preserve">،و عنه وسائل الشیعة </w:t>
      </w:r>
      <w:r>
        <w:rPr>
          <w:rFonts w:eastAsia="IRNazanin" w:cs="IRNazanin"/>
          <w:b w:val="false"/>
          <w:bCs w:val="false"/>
          <w:i w:val="false"/>
          <w:iCs w:val="false"/>
          <w:color w:val="333333"/>
          <w:sz w:val="20"/>
          <w:szCs w:val="20"/>
        </w:rPr>
        <w:t>7:487</w:t>
      </w:r>
      <w:r>
        <w:rPr>
          <w:rFonts w:ascii="IRNazanin" w:hAnsi="IRNazanin" w:eastAsia="IRNazanin"/>
          <w:b w:val="false"/>
          <w:b w:val="false"/>
          <w:bCs w:val="false"/>
          <w:i w:val="false"/>
          <w:i w:val="false"/>
          <w:iCs w:val="false"/>
          <w:color w:val="333333"/>
          <w:sz w:val="20"/>
          <w:sz w:val="20"/>
          <w:szCs w:val="20"/>
          <w:rtl w:val="true"/>
        </w:rPr>
        <w:t xml:space="preserve">،کتاب الصلاة،أبواب صلاة الکسوف و الآیات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الصالحین </w:t>
      </w:r>
      <w:r>
        <w:rPr>
          <w:rFonts w:eastAsia="IRNazanin" w:cs="IRNazanin"/>
          <w:b w:val="false"/>
          <w:bCs w:val="false"/>
          <w:i w:val="false"/>
          <w:iCs w:val="false"/>
          <w:color w:val="333333"/>
          <w:sz w:val="20"/>
          <w:szCs w:val="20"/>
        </w:rPr>
        <w:t>2:287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1400</w:t>
      </w:r>
      <w:r>
        <w:rPr>
          <w:rFonts w:ascii="IRNazanin" w:hAnsi="IRNazanin" w:eastAsia="IRNazanin"/>
          <w:b w:val="false"/>
          <w:b w:val="false"/>
          <w:bCs w:val="false"/>
          <w:i w:val="false"/>
          <w:i w:val="false"/>
          <w:iCs w:val="false"/>
          <w:color w:val="333333"/>
          <w:sz w:val="20"/>
          <w:sz w:val="20"/>
          <w:szCs w:val="20"/>
          <w:rtl w:val="true"/>
        </w:rPr>
        <w:t xml:space="preserve">،موسوعة أحکام الأطفال و أدلّتها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2:233</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2:234</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أحکام الأطفال و أدلّتها </w:t>
      </w:r>
      <w:r>
        <w:rPr>
          <w:rFonts w:eastAsia="IRNazanin" w:cs="IRNazanin"/>
          <w:b w:val="false"/>
          <w:bCs w:val="false"/>
          <w:i w:val="false"/>
          <w:iCs w:val="false"/>
          <w:color w:val="333333"/>
          <w:sz w:val="20"/>
          <w:szCs w:val="20"/>
        </w:rPr>
        <w:t>2:106</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2:275</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تراث الشیخ الأعظم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المکاسب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،کتاب البیع للإمام الخمینی قدّس سرّه </w:t>
      </w:r>
      <w:r>
        <w:rPr>
          <w:rFonts w:eastAsia="IRNazanin" w:cs="IRNazanin"/>
          <w:b w:val="false"/>
          <w:bCs w:val="false"/>
          <w:i w:val="false"/>
          <w:iCs w:val="false"/>
          <w:color w:val="333333"/>
          <w:sz w:val="20"/>
          <w:szCs w:val="20"/>
        </w:rPr>
        <w:t>2:124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،جامع المسائل،الاستفتاءات </w:t>
      </w:r>
      <w:r>
        <w:rPr>
          <w:rFonts w:eastAsia="IRNazanin" w:cs="IRNazanin"/>
          <w:b w:val="false"/>
          <w:bCs w:val="false"/>
          <w:i w:val="false"/>
          <w:iCs w:val="false"/>
          <w:color w:val="333333"/>
          <w:sz w:val="20"/>
          <w:szCs w:val="20"/>
        </w:rPr>
        <w:t>2:305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4:101</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رسالۀ استفتاءات </w:t>
      </w:r>
      <w:r>
        <w:rPr>
          <w:rFonts w:eastAsia="IRNazanin" w:cs="IRNazanin"/>
          <w:b w:val="false"/>
          <w:bCs w:val="false"/>
          <w:i w:val="false"/>
          <w:iCs w:val="false"/>
          <w:color w:val="333333"/>
          <w:sz w:val="20"/>
          <w:szCs w:val="20"/>
        </w:rPr>
        <w:t>2:139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،نماز مسافر با وسائل امروزی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بعدها،نکرشی جدید بر نماز و روزه مسافران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بعدها،مصباح الشریعة فی شرح تحریر الوسیلة،صلاة المسافر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تراث الشیخ الأعظم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1:239</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،حاشیة المکاسب للایروانی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،حاشیة المکاسب للاصفهانی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،کتاب البیع للإمام الخمینی </w:t>
      </w:r>
      <w:r>
        <w:rPr>
          <w:rFonts w:eastAsia="IRNazanin" w:cs="IRNazanin"/>
          <w:b w:val="false"/>
          <w:bCs w:val="false"/>
          <w:i w:val="false"/>
          <w:iCs w:val="false"/>
          <w:color w:val="333333"/>
          <w:sz w:val="20"/>
          <w:szCs w:val="20"/>
        </w:rPr>
        <w:t>1:101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،و لکن خالفهم فی ذلک السیّد الخوئی فی التنقیح،فی شرح المکاسب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4:176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،و عنهما وسائل الشیعة </w:t>
      </w:r>
      <w:r>
        <w:rPr>
          <w:rFonts w:eastAsia="IRNazanin" w:cs="IRNazanin"/>
          <w:b w:val="false"/>
          <w:bCs w:val="false"/>
          <w:i w:val="false"/>
          <w:iCs w:val="false"/>
          <w:color w:val="333333"/>
          <w:sz w:val="20"/>
          <w:szCs w:val="20"/>
        </w:rPr>
        <w:t>10:279</w:t>
      </w:r>
      <w:r>
        <w:rPr>
          <w:rFonts w:ascii="IRNazanin" w:hAnsi="IRNazanin" w:eastAsia="IRNazanin"/>
          <w:b w:val="false"/>
          <w:b w:val="false"/>
          <w:bCs w:val="false"/>
          <w:i w:val="false"/>
          <w:i w:val="false"/>
          <w:iCs w:val="false"/>
          <w:color w:val="333333"/>
          <w:sz w:val="20"/>
          <w:sz w:val="20"/>
          <w:szCs w:val="20"/>
          <w:rtl w:val="true"/>
        </w:rPr>
        <w:t xml:space="preserve">،کتاب الصوم،أبواب أحکام شهر رمضان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کالنراقی فی مستند الشیعة </w:t>
      </w:r>
      <w:r>
        <w:rPr>
          <w:rFonts w:eastAsia="IRNazanin" w:cs="IRNazanin"/>
          <w:b w:val="false"/>
          <w:bCs w:val="false"/>
          <w:i w:val="false"/>
          <w:iCs w:val="false"/>
          <w:color w:val="333333"/>
          <w:sz w:val="20"/>
          <w:szCs w:val="20"/>
        </w:rPr>
        <w:t>16:34</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1153</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عنهما وسائل الشیعة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کتاب الطهارة،أبواب آداب الحمّام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فی بحار الأنوار </w:t>
      </w:r>
      <w:r>
        <w:rPr>
          <w:rFonts w:eastAsia="IRNazanin" w:cs="IRNazanin"/>
          <w:b w:val="false"/>
          <w:bCs w:val="false"/>
          <w:i w:val="false"/>
          <w:iCs w:val="false"/>
          <w:color w:val="333333"/>
          <w:sz w:val="20"/>
          <w:szCs w:val="20"/>
        </w:rPr>
        <w:t>75:214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المعانی</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أهل بیت علیهم السّلام،سال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43:170</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أهل بیت علیهم السّلام،سال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43:169</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Pr>
        <w:t>17:78</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أهل بیت علیهم السّلام،سال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43:170</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4:198</w:t>
      </w:r>
      <w:r>
        <w:rPr>
          <w:rFonts w:ascii="IRNazanin" w:hAnsi="IRNazanin" w:eastAsia="IRNazanin"/>
          <w:b w:val="false"/>
          <w:b w:val="false"/>
          <w:bCs w:val="false"/>
          <w:i w:val="false"/>
          <w:i w:val="false"/>
          <w:iCs w:val="false"/>
          <w:color w:val="333333"/>
          <w:sz w:val="20"/>
          <w:sz w:val="20"/>
          <w:szCs w:val="20"/>
          <w:rtl w:val="true"/>
        </w:rPr>
        <w:t xml:space="preserve">،کتاب الصلاة،أبواب المواقیت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حکم شرعی رؤیت هلال با چشم مسلّح،محمد سمیعی</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حکم شرعی رؤیت هلال با چشم مسلّح،محمد سمیعی</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رؤیت هلال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نود و 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یک‌صد و یک</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اهل بیت علیهم السّلام،سال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43:170</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1347</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729</w:t>
      </w:r>
      <w:r>
        <w:rPr>
          <w:rFonts w:ascii="IRNazanin" w:hAnsi="IRNazanin" w:eastAsia="IRNazanin"/>
          <w:b w:val="false"/>
          <w:b w:val="false"/>
          <w:bCs w:val="false"/>
          <w:i w:val="false"/>
          <w:i w:val="false"/>
          <w:iCs w:val="false"/>
          <w:color w:val="333333"/>
          <w:sz w:val="20"/>
          <w:sz w:val="20"/>
          <w:szCs w:val="20"/>
          <w:rtl w:val="true"/>
        </w:rPr>
        <w:t xml:space="preserve">،و عنهما وسائل الشیعة </w:t>
      </w:r>
      <w:r>
        <w:rPr>
          <w:rFonts w:eastAsia="IRNazanin" w:cs="IRNazanin"/>
          <w:b w:val="false"/>
          <w:bCs w:val="false"/>
          <w:i w:val="false"/>
          <w:iCs w:val="false"/>
          <w:color w:val="333333"/>
          <w:sz w:val="20"/>
          <w:szCs w:val="20"/>
        </w:rPr>
        <w:t>3:467</w:t>
      </w:r>
      <w:r>
        <w:rPr>
          <w:rFonts w:ascii="IRNazanin" w:hAnsi="IRNazanin" w:eastAsia="IRNazanin"/>
          <w:b w:val="false"/>
          <w:b w:val="false"/>
          <w:bCs w:val="false"/>
          <w:i w:val="false"/>
          <w:i w:val="false"/>
          <w:iCs w:val="false"/>
          <w:color w:val="333333"/>
          <w:sz w:val="20"/>
          <w:sz w:val="20"/>
          <w:szCs w:val="20"/>
          <w:rtl w:val="true"/>
        </w:rPr>
        <w:t xml:space="preserve">،کتاب الطهارة،أبواب النجاسات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رؤیت هلال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یک‌صد و چهار،فقه اهل بیت علیهم السّلام،سال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43:169</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عاجلا</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رؤیت هلال </w:t>
      </w:r>
      <w:r>
        <w:rPr>
          <w:rFonts w:eastAsia="IRNazanin" w:cs="IRNazanin"/>
          <w:b w:val="false"/>
          <w:bCs w:val="false"/>
          <w:i w:val="false"/>
          <w:iCs w:val="false"/>
          <w:color w:val="333333"/>
          <w:sz w:val="20"/>
          <w:szCs w:val="20"/>
        </w:rPr>
        <w:t>2:1335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،مجله فقه،دفتر تبلیغات،شماره </w:t>
      </w:r>
      <w:r>
        <w:rPr>
          <w:rFonts w:eastAsia="IRNazanin" w:cs="IRNazanin"/>
          <w:b w:val="false"/>
          <w:bCs w:val="false"/>
          <w:i w:val="false"/>
          <w:iCs w:val="false"/>
          <w:color w:val="333333"/>
          <w:sz w:val="20"/>
          <w:szCs w:val="20"/>
        </w:rPr>
        <w:t>50:99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،فقه أهل بیت علیهم السّلام،سال</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حکم شرعی رؤیت هلال با چشم مسلّح،محمد سمیعی</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أجود التقریرات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،مصباح الاصول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10:260</w:t>
      </w:r>
      <w:r>
        <w:rPr>
          <w:rFonts w:ascii="IRNazanin" w:hAnsi="IRNazanin" w:eastAsia="IRNazanin"/>
          <w:b w:val="false"/>
          <w:b w:val="false"/>
          <w:bCs w:val="false"/>
          <w:i w:val="false"/>
          <w:i w:val="false"/>
          <w:iCs w:val="false"/>
          <w:color w:val="333333"/>
          <w:sz w:val="20"/>
          <w:sz w:val="20"/>
          <w:szCs w:val="20"/>
          <w:rtl w:val="true"/>
        </w:rPr>
        <w:t xml:space="preserve">،کتاب الصوم،أبواب أحکام شهر رمضان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1:199</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Pr>
        <w:t>3:628</w:t>
      </w:r>
      <w:r>
        <w:rPr>
          <w:rFonts w:ascii="IRNazanin" w:hAnsi="IRNazanin" w:eastAsia="IRNazanin"/>
          <w:b w:val="false"/>
          <w:b w:val="false"/>
          <w:bCs w:val="false"/>
          <w:i w:val="false"/>
          <w:i w:val="false"/>
          <w:iCs w:val="false"/>
          <w:color w:val="333333"/>
          <w:sz w:val="20"/>
          <w:sz w:val="20"/>
          <w:szCs w:val="20"/>
          <w:rtl w:val="true"/>
        </w:rPr>
        <w:t>،وسیلة النجاة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،تفصیل الشریعة فی شرح تحریر الوسیلة،کتاب الصوم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،سیری کامل در اصول فقه </w:t>
      </w:r>
      <w:r>
        <w:rPr>
          <w:rFonts w:eastAsia="IRNazanin" w:cs="IRNazanin"/>
          <w:b w:val="false"/>
          <w:bCs w:val="false"/>
          <w:i w:val="false"/>
          <w:iCs w:val="false"/>
          <w:color w:val="333333"/>
          <w:sz w:val="20"/>
          <w:szCs w:val="20"/>
        </w:rPr>
        <w:t>10:119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image" Target="media/image2.jpeg"/><Relationship Id="rId493" Type="http://schemas.openxmlformats.org/officeDocument/2006/relationships/image" Target="media/image2.jpeg"/><Relationship Id="rId494" Type="http://schemas.openxmlformats.org/officeDocument/2006/relationships/footer" Target="footer487.xml"/><Relationship Id="rId495" Type="http://schemas.openxmlformats.org/officeDocument/2006/relationships/footnotes" Target="footnotes.xml"/><Relationship Id="rId496" Type="http://schemas.openxmlformats.org/officeDocument/2006/relationships/numbering" Target="numbering.xml"/><Relationship Id="rId497" Type="http://schemas.openxmlformats.org/officeDocument/2006/relationships/fontTable" Target="fontTable.xml"/><Relationship Id="rId498" Type="http://schemas.openxmlformats.org/officeDocument/2006/relationships/settings" Target="settings.xml"/><Relationship Id="rId49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496</Pages>
  <Words>54513</Words>
  <Characters>266537</Characters>
  <CharactersWithSpaces>318917</CharactersWithSpaces>
  <Paragraphs>2134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2026-08-19T02:03:28Z</dcterms:created>
  <dc:creator>ghaemiyeh.com</dc:creator>
  <dc:description/>
  <dc:language>en-US</dc:language>
  <cp:lastModifiedBy/>
  <dcterms:modified xsi:type="dcterms:W3CDTF">2026-08-19T05:33:43Z</dcterms:modified>
  <cp:revision>1</cp:revision>
  <dc:subject/>
  <dc:title>رسائل فی الفقه والاصول</dc:title>
</cp:coreProperties>
</file>

<file path=docProps/custom.xml><?xml version="1.0" encoding="utf-8"?>
<Properties xmlns="http://schemas.openxmlformats.org/officeDocument/2006/custom-properties" xmlns:vt="http://schemas.openxmlformats.org/officeDocument/2006/docPropsVTypes"/>
</file>