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نظریه عدالت صحابه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388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4388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43888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543890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543892_581953129">
            <w:r>
              <w:rPr>
                <w:webHidden/>
                <w:rStyle w:val="IndexLink"/>
                <w:rtl w:val="true"/>
              </w:rPr>
              <w:t>ائمّۀ دوازده گانه جوهرۀ مفهوم مهدویّت</w:t>
            </w:r>
            <w:r>
              <w:rPr>
                <w:rStyle w:val="IndexLink"/>
                <w:rtl w:val="true"/>
              </w:rPr>
              <w:tab/>
            </w:r>
            <w:r>
              <w:rPr>
                <w:rStyle w:val="IndexLink"/>
              </w:rPr>
              <w:t>18</w:t>
            </w:r>
          </w:hyperlink>
        </w:p>
        <w:p>
          <w:pPr>
            <w:pStyle w:val="Contents2"/>
            <w:tabs>
              <w:tab w:val="clear" w:pos="8743"/>
              <w:tab w:val="right" w:pos="9026" w:leader="dot"/>
            </w:tabs>
            <w:rPr/>
          </w:pPr>
          <w:hyperlink w:anchor="__RefHeading___Toc1543894_581953129">
            <w:r>
              <w:rPr>
                <w:webHidden/>
                <w:rStyle w:val="IndexLink"/>
                <w:rtl w:val="true"/>
              </w:rPr>
              <w:t>فصل اوّل</w:t>
            </w:r>
            <w:r>
              <w:rPr>
                <w:rStyle w:val="IndexLink"/>
                <w:rtl w:val="true"/>
              </w:rPr>
              <w:t xml:space="preserve">: </w:t>
            </w:r>
            <w:r>
              <w:rPr>
                <w:rStyle w:val="IndexLink"/>
                <w:rtl w:val="true"/>
              </w:rPr>
              <w:t>اثبات عقیدتی مفهوم مهدویّت از دیدگاه اهل بیت</w:t>
            </w:r>
            <w:r>
              <w:rPr>
                <w:rStyle w:val="IndexLink"/>
                <w:rtl w:val="true"/>
              </w:rPr>
              <w:t>(</w:t>
            </w:r>
            <w:r>
              <w:rPr>
                <w:rStyle w:val="IndexLink"/>
                <w:rtl w:val="true"/>
              </w:rPr>
              <w:t>علیهم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543896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543898_581953129">
            <w:r>
              <w:rPr>
                <w:webHidden/>
                <w:rStyle w:val="IndexLink"/>
                <w:rtl w:val="true"/>
              </w:rPr>
              <w:t>سرگردانی پیروان خلفا در تفسیر حدیث</w:t>
            </w:r>
            <w:r>
              <w:rPr>
                <w:rStyle w:val="IndexLink"/>
                <w:rtl w:val="true"/>
              </w:rPr>
              <w:t>!</w:t>
              <w:tab/>
            </w:r>
            <w:r>
              <w:rPr>
                <w:rStyle w:val="IndexLink"/>
              </w:rPr>
              <w:t>28</w:t>
            </w:r>
          </w:hyperlink>
        </w:p>
        <w:p>
          <w:pPr>
            <w:pStyle w:val="Contents2"/>
            <w:tabs>
              <w:tab w:val="clear" w:pos="8743"/>
              <w:tab w:val="right" w:pos="9026" w:leader="dot"/>
            </w:tabs>
            <w:rPr/>
          </w:pPr>
          <w:hyperlink w:anchor="__RefHeading___Toc1543900_581953129">
            <w:r>
              <w:rPr>
                <w:webHidden/>
                <w:rStyle w:val="IndexLink"/>
                <w:rtl w:val="true"/>
              </w:rPr>
              <w:t>فصل دوم</w:t>
            </w:r>
            <w:r>
              <w:rPr>
                <w:rStyle w:val="IndexLink"/>
                <w:rtl w:val="true"/>
              </w:rPr>
              <w:t>:</w:t>
            </w:r>
            <w:r>
              <w:rPr>
                <w:rStyle w:val="IndexLink"/>
                <w:rtl w:val="true"/>
              </w:rPr>
              <w:t>ویژگیهای مفهوم مهدویّت از دیدگاه اهل بیت</w:t>
            </w:r>
            <w:r>
              <w:rPr>
                <w:rStyle w:val="IndexLink"/>
                <w:rtl w:val="true"/>
              </w:rPr>
              <w:t>(</w:t>
            </w:r>
            <w:r>
              <w:rPr>
                <w:rStyle w:val="IndexLink"/>
                <w:rtl w:val="true"/>
              </w:rPr>
              <w:t>علیهم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1543902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543904_581953129">
            <w:r>
              <w:rPr>
                <w:webHidden/>
                <w:rStyle w:val="IndexLink"/>
                <w:rtl w:val="true"/>
              </w:rPr>
              <w:t>ویژگی اوّل</w:t>
            </w:r>
            <w:r>
              <w:rPr>
                <w:rStyle w:val="IndexLink"/>
                <w:rtl w:val="true"/>
              </w:rPr>
              <w:t xml:space="preserve">: </w:t>
            </w:r>
            <w:r>
              <w:rPr>
                <w:rStyle w:val="IndexLink"/>
                <w:rtl w:val="true"/>
              </w:rPr>
              <w:t>ولادت مخفیانۀ حضرت مهدی</w:t>
            </w:r>
            <w:r>
              <w:rPr>
                <w:rStyle w:val="IndexLink"/>
                <w:rtl w:val="true"/>
              </w:rPr>
              <w:t>(</w:t>
            </w:r>
            <w:r>
              <w:rPr>
                <w:rStyle w:val="IndexLink"/>
                <w:rtl w:val="true"/>
              </w:rPr>
              <w:t>عج</w:t>
            </w:r>
            <w:r>
              <w:rPr>
                <w:rStyle w:val="IndexLink"/>
                <w:rtl w:val="true"/>
              </w:rPr>
              <w:t xml:space="preserve">) </w:t>
            </w:r>
            <w:r>
              <w:rPr>
                <w:rStyle w:val="IndexLink"/>
                <w:rtl w:val="true"/>
              </w:rPr>
              <w:t>که مورد عنایت بوده و گریزی از آن وجود نداشته است</w:t>
            </w:r>
            <w:r>
              <w:rPr>
                <w:rStyle w:val="IndexLink"/>
                <w:rtl w:val="true"/>
              </w:rPr>
              <w:tab/>
            </w:r>
            <w:r>
              <w:rPr>
                <w:rStyle w:val="IndexLink"/>
              </w:rPr>
              <w:t>40</w:t>
            </w:r>
          </w:hyperlink>
        </w:p>
        <w:p>
          <w:pPr>
            <w:pStyle w:val="Contents4"/>
            <w:tabs>
              <w:tab w:val="clear" w:pos="8176"/>
              <w:tab w:val="right" w:pos="9026" w:leader="dot"/>
            </w:tabs>
            <w:rPr/>
          </w:pPr>
          <w:hyperlink w:anchor="__RefHeading___Toc1543906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543908_581953129">
            <w:r>
              <w:rPr>
                <w:webHidden/>
                <w:rStyle w:val="IndexLink"/>
                <w:rtl w:val="true"/>
              </w:rPr>
              <w:t>شواهد تاریخی بر وجود امام مهدی</w:t>
            </w:r>
            <w:r>
              <w:rPr>
                <w:rStyle w:val="IndexLink"/>
                <w:rtl w:val="true"/>
              </w:rPr>
              <w:t>(</w:t>
            </w:r>
            <w:r>
              <w:rPr>
                <w:rStyle w:val="IndexLink"/>
                <w:rtl w:val="true"/>
              </w:rPr>
              <w:t>علیهم السلام</w:t>
            </w:r>
            <w:r>
              <w:rPr>
                <w:rStyle w:val="IndexLink"/>
                <w:rtl w:val="true"/>
              </w:rPr>
              <w:t>)</w:t>
              <w:tab/>
            </w:r>
            <w:r>
              <w:rPr>
                <w:rStyle w:val="IndexLink"/>
              </w:rPr>
              <w:t>42</w:t>
            </w:r>
          </w:hyperlink>
        </w:p>
        <w:p>
          <w:pPr>
            <w:pStyle w:val="Contents5"/>
            <w:tabs>
              <w:tab w:val="clear" w:pos="7892"/>
              <w:tab w:val="right" w:pos="9026" w:leader="dot"/>
            </w:tabs>
            <w:rPr/>
          </w:pPr>
          <w:hyperlink w:anchor="__RefHeading___Toc1543910_581953129">
            <w:r>
              <w:rPr>
                <w:webHidden/>
                <w:rStyle w:val="IndexLink"/>
              </w:rPr>
              <w:t>1</w:t>
            </w:r>
            <w:r>
              <w:rPr>
                <w:rStyle w:val="IndexLink"/>
                <w:rtl w:val="true"/>
              </w:rPr>
              <w:t xml:space="preserve">- </w:t>
            </w:r>
            <w:r>
              <w:rPr>
                <w:rStyle w:val="IndexLink"/>
                <w:rtl w:val="true"/>
              </w:rPr>
              <w:t>شهادت امام‌حسن عسکری</w:t>
            </w:r>
            <w:r>
              <w:rPr>
                <w:rStyle w:val="IndexLink"/>
                <w:rtl w:val="true"/>
              </w:rPr>
              <w:t>(</w:t>
            </w:r>
            <w:r>
              <w:rPr>
                <w:rStyle w:val="IndexLink"/>
                <w:rtl w:val="true"/>
              </w:rPr>
              <w:t>علیهم السلام</w:t>
            </w:r>
            <w:r>
              <w:rPr>
                <w:rStyle w:val="IndexLink"/>
                <w:rtl w:val="true"/>
              </w:rPr>
              <w:t xml:space="preserve">) </w:t>
            </w:r>
            <w:r>
              <w:rPr>
                <w:rStyle w:val="IndexLink"/>
                <w:rtl w:val="true"/>
              </w:rPr>
              <w:t>به ولادت پسرش امام‌مهدی</w:t>
            </w:r>
            <w:r>
              <w:rPr>
                <w:rStyle w:val="IndexLink"/>
                <w:rtl w:val="true"/>
              </w:rPr>
              <w:t>(</w:t>
            </w:r>
            <w:r>
              <w:rPr>
                <w:rStyle w:val="IndexLink"/>
                <w:rtl w:val="true"/>
              </w:rPr>
              <w:t>عج</w:t>
            </w:r>
            <w:r>
              <w:rPr>
                <w:rStyle w:val="IndexLink"/>
                <w:rtl w:val="true"/>
              </w:rPr>
              <w:t>)</w:t>
              <w:tab/>
            </w:r>
            <w:r>
              <w:rPr>
                <w:rStyle w:val="IndexLink"/>
              </w:rPr>
              <w:t>42</w:t>
            </w:r>
          </w:hyperlink>
        </w:p>
        <w:p>
          <w:pPr>
            <w:pStyle w:val="Contents5"/>
            <w:tabs>
              <w:tab w:val="clear" w:pos="7892"/>
              <w:tab w:val="right" w:pos="9026" w:leader="dot"/>
            </w:tabs>
            <w:rPr/>
          </w:pPr>
          <w:hyperlink w:anchor="__RefHeading___Toc1543912_581953129">
            <w:r>
              <w:rPr>
                <w:webHidden/>
                <w:rStyle w:val="IndexLink"/>
              </w:rPr>
              <w:t>2</w:t>
            </w:r>
            <w:r>
              <w:rPr>
                <w:rStyle w:val="IndexLink"/>
                <w:rtl w:val="true"/>
              </w:rPr>
              <w:t xml:space="preserve">- </w:t>
            </w:r>
            <w:r>
              <w:rPr>
                <w:rStyle w:val="IndexLink"/>
                <w:rtl w:val="true"/>
              </w:rPr>
              <w:t>شهادت قابله</w:t>
            </w:r>
            <w:r>
              <w:rPr>
                <w:rStyle w:val="IndexLink"/>
                <w:rtl w:val="true"/>
              </w:rPr>
              <w:tab/>
            </w:r>
            <w:r>
              <w:rPr>
                <w:rStyle w:val="IndexLink"/>
              </w:rPr>
              <w:t>43</w:t>
            </w:r>
          </w:hyperlink>
        </w:p>
        <w:p>
          <w:pPr>
            <w:pStyle w:val="Contents5"/>
            <w:tabs>
              <w:tab w:val="clear" w:pos="7892"/>
              <w:tab w:val="right" w:pos="9026" w:leader="dot"/>
            </w:tabs>
            <w:rPr/>
          </w:pPr>
          <w:hyperlink w:anchor="__RefHeading___Toc1543914_581953129">
            <w:r>
              <w:rPr>
                <w:webHidden/>
                <w:rStyle w:val="IndexLink"/>
              </w:rPr>
              <w:t>3</w:t>
            </w:r>
            <w:r>
              <w:rPr>
                <w:rStyle w:val="IndexLink"/>
                <w:rtl w:val="true"/>
              </w:rPr>
              <w:t xml:space="preserve">- </w:t>
            </w:r>
            <w:r>
              <w:rPr>
                <w:rStyle w:val="IndexLink"/>
                <w:rtl w:val="true"/>
              </w:rPr>
              <w:t>شهادت دیگران بر دیدن امام مهدی</w:t>
            </w:r>
            <w:r>
              <w:rPr>
                <w:rStyle w:val="IndexLink"/>
                <w:rtl w:val="true"/>
              </w:rPr>
              <w:t>(</w:t>
            </w:r>
            <w:r>
              <w:rPr>
                <w:rStyle w:val="IndexLink"/>
                <w:rtl w:val="true"/>
              </w:rPr>
              <w:t>عج</w:t>
            </w:r>
            <w:r>
              <w:rPr>
                <w:rStyle w:val="IndexLink"/>
                <w:rtl w:val="true"/>
              </w:rPr>
              <w:t>)</w:t>
              <w:tab/>
            </w:r>
            <w:r>
              <w:rPr>
                <w:rStyle w:val="IndexLink"/>
              </w:rPr>
              <w:t>44</w:t>
            </w:r>
          </w:hyperlink>
        </w:p>
        <w:p>
          <w:pPr>
            <w:pStyle w:val="Contents5"/>
            <w:tabs>
              <w:tab w:val="clear" w:pos="7892"/>
              <w:tab w:val="right" w:pos="9026" w:leader="dot"/>
            </w:tabs>
            <w:rPr/>
          </w:pPr>
          <w:hyperlink w:anchor="__RefHeading___Toc1543916_581953129">
            <w:r>
              <w:rPr>
                <w:webHidden/>
                <w:rStyle w:val="IndexLink"/>
              </w:rPr>
              <w:t>4</w:t>
            </w:r>
            <w:r>
              <w:rPr>
                <w:rStyle w:val="IndexLink"/>
                <w:rtl w:val="true"/>
              </w:rPr>
              <w:t xml:space="preserve">- </w:t>
            </w:r>
            <w:r>
              <w:rPr>
                <w:rStyle w:val="IndexLink"/>
                <w:rtl w:val="true"/>
              </w:rPr>
              <w:t>برخورد سلطنت عبّاسیان با این حادثه</w:t>
            </w:r>
            <w:r>
              <w:rPr>
                <w:rStyle w:val="IndexLink"/>
                <w:rtl w:val="true"/>
              </w:rPr>
              <w:tab/>
            </w:r>
            <w:r>
              <w:rPr>
                <w:rStyle w:val="IndexLink"/>
              </w:rPr>
              <w:t>46</w:t>
            </w:r>
          </w:hyperlink>
        </w:p>
        <w:p>
          <w:pPr>
            <w:pStyle w:val="Contents5"/>
            <w:tabs>
              <w:tab w:val="clear" w:pos="7892"/>
              <w:tab w:val="right" w:pos="9026" w:leader="dot"/>
            </w:tabs>
            <w:rPr/>
          </w:pPr>
          <w:hyperlink w:anchor="__RefHeading___Toc1543918_581953129">
            <w:r>
              <w:rPr>
                <w:webHidden/>
                <w:rStyle w:val="IndexLink"/>
              </w:rPr>
              <w:t>5</w:t>
            </w:r>
            <w:r>
              <w:rPr>
                <w:rStyle w:val="IndexLink"/>
                <w:rtl w:val="true"/>
              </w:rPr>
              <w:t xml:space="preserve">- </w:t>
            </w:r>
            <w:r>
              <w:rPr>
                <w:rStyle w:val="IndexLink"/>
                <w:rtl w:val="true"/>
              </w:rPr>
              <w:t>اعترافات علمای اهل تسنّن به ولادت حضرت مهدی</w:t>
            </w:r>
            <w:r>
              <w:rPr>
                <w:rStyle w:val="IndexLink"/>
                <w:rtl w:val="true"/>
              </w:rPr>
              <w:t>(</w:t>
            </w:r>
            <w:r>
              <w:rPr>
                <w:rStyle w:val="IndexLink"/>
                <w:rtl w:val="true"/>
              </w:rPr>
              <w:t>عج</w:t>
            </w:r>
            <w:r>
              <w:rPr>
                <w:rStyle w:val="IndexLink"/>
                <w:rtl w:val="true"/>
              </w:rPr>
              <w:t>)</w:t>
              <w:tab/>
            </w:r>
            <w:r>
              <w:rPr>
                <w:rStyle w:val="IndexLink"/>
              </w:rPr>
              <w:t>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97_34410"/>
      <w:bookmarkStart w:id="1" w:name="pg5397_34410"/>
      <w:bookmarkEnd w:id="1"/>
    </w:p>
    <w:p>
      <w:pPr>
        <w:pStyle w:val="Heading2"/>
        <w:numPr>
          <w:ilvl w:val="1"/>
          <w:numId w:val="1"/>
        </w:numPr>
        <w:rPr/>
      </w:pPr>
      <w:bookmarkStart w:id="2" w:name="pg5397_34410"/>
      <w:bookmarkStart w:id="3" w:name="__RefHeading___Toc154388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عدالت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 عبدالرحیم موسوی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مترجمان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 معاونت فرهنگی؛ 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 السلام،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 السلام؛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۳۸۲۷۹۳۵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388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نظریه عدالت صحابه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پژوهش و پاسخ به شبهات ، عبدالرحیم موسوی</w:t>
      </w:r>
      <w:bookmarkStart w:id="7" w:name="pg5397_34425"/>
    </w:p>
    <w:p>
      <w:pPr>
        <w:pStyle w:val="Heading2"/>
        <w:numPr>
          <w:ilvl w:val="1"/>
          <w:numId w:val="1"/>
        </w:numPr>
        <w:rPr/>
      </w:pPr>
      <w:bookmarkStart w:id="8" w:name="__RefHeading___Toc1543888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397_34432"/>
    </w:p>
    <w:p>
      <w:pPr>
        <w:pStyle w:val="Heading2"/>
        <w:numPr>
          <w:ilvl w:val="1"/>
          <w:numId w:val="1"/>
        </w:numPr>
        <w:rPr/>
      </w:pPr>
      <w:bookmarkStart w:id="11" w:name="__RefHeading___Toc1543890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397_34448"/>
    </w:p>
    <w:p>
      <w:pPr>
        <w:pStyle w:val="Heading2"/>
        <w:numPr>
          <w:ilvl w:val="1"/>
          <w:numId w:val="1"/>
        </w:numPr>
        <w:rPr/>
      </w:pPr>
      <w:bookmarkStart w:id="14" w:name="__RefHeading___Toc1543892_581953129"/>
      <w:bookmarkStart w:id="15" w:name="_Toc5"/>
      <w:bookmarkEnd w:id="13"/>
      <w:bookmarkEnd w:id="14"/>
      <w:r>
        <w:rPr>
          <w:rtl w:val="true"/>
        </w:rPr>
        <w:t>ائمّۀ دوازده گانه جوهرۀ مفهوم مهدویّت</w:t>
      </w:r>
      <w:bookmarkEnd w:id="15"/>
    </w:p>
    <w:p>
      <w:pPr>
        <w:pStyle w:val="BookText"/>
        <w:rPr/>
      </w:pPr>
      <w:r>
        <w:rPr>
          <w:rFonts w:ascii="IRNazanin" w:hAnsi="IRNazanin" w:eastAsia="IRNazanin"/>
          <w:color w:val="111111"/>
          <w:sz w:val="28"/>
          <w:sz w:val="28"/>
          <w:szCs w:val="28"/>
          <w:rtl w:val="true"/>
          <w:lang w:bidi="fa-IR"/>
        </w:rPr>
        <w:t xml:space="preserve">اعتقاد به ظهور منجی عالم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جوهرۀ اندیشۀ مهدویّت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باور فراگیر بشری است که به دین، یا مذهب معیّنی اختصاص ندارد و این حقیقت، قابلیّت آن را دارد که همزمان چهار شبهۀ وارده به مسألۀ مهدویّت را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است که مهدویّت را خاصّ شیعه می‌داند، به ویژه آن که اجماع مسلمانان بر این مسأله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تخیّلات ساخته شده است؛ زیرا افسانه، خیالات ساده‌ای است که از واقعیّتی قبیله‌ای، قومی، یا گروهی ساخته شده است و افسانه‌ای که تمام ادیان آسمانی و غیرآسمانی آن را به گونه‌ای قبول داشته باشند و خبر از ضمیر ناخودآگاه بشریّت بدهد و مورد پذیرش دانشمندان و اندیشمندان و فلاسفه باشد، وجود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ایجاد اندیشۀ مهدویّت، نقش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اندیشۀ مهدویّت در تمام ادیان آسمانی و غیرآسمانی وجود دارد، پس چرا وجود آن را در اسلام بر نمی‌تابیم؟ در صورتی که مقتضای عقل و منطق این است که به</w:t>
      </w:r>
    </w:p>
    <w:p>
      <w:pPr>
        <w:pStyle w:val="BookText"/>
        <w:rPr/>
      </w:pPr>
      <w:r>
        <w:rPr>
          <w:rFonts w:ascii="IRNazanin" w:hAnsi="IRNazanin" w:eastAsia="IRNazanin"/>
          <w:color w:val="111111"/>
          <w:sz w:val="28"/>
          <w:sz w:val="28"/>
          <w:szCs w:val="28"/>
          <w:rtl w:val="true"/>
          <w:lang w:bidi="fa-IR"/>
        </w:rPr>
        <w:t>صورت واضح‌تر و کاملتری این اندیشه را در برداشته باشد؛ چنان که اندیشۀ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نشانه‌های کمال دین اسلام و به خصوص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دارای اندیشۀ مهدویّت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ادیان آسمانی، در بسیاری از عقاید و شرایع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روزه،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مشترک نیستند؟ و در این صورت، آیا تصریح یهودیّت، یا دین دیگری به این حقایق، باعث می‌شود که اسلام از آن دور باشد؟ یا این که اقتضا می‌کند اسلام آنها را به صورت کاملتر و پیشرفته‌تر در بر داشته باشد؟ پس این شبهه بیانگر وجود نقص و عیب در صاحبانش و کمال در اسلام و به خصوص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مهدویّت، زاییدۀ فشارهای سیاسی و اجتماعی است که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سر می‌برده‌اند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فشاری بیش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بودند، امّا چنین عقیده‌ای نداشتند و اگر فشار و اختناق باعث بروز چنین اندیشه‌ای می‌شد، هر آینه می‌بایست که بسیاری از مظلومین و رنج دیدگان، دارای چنین اندیشه‌ای باشند،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بسیارند کسانی که تحت هیچ‌گونه رنج و فشاری نبوده‌اند، امّا به مهدویّت ایمان داشته‌اند و اگر مهدویّت، زاییدۀ فشار و اختناق باشد، بایستی به هنگام رفع فشار و رنج، این اندیشه زایل</w:t>
      </w:r>
    </w:p>
    <w:p>
      <w:pPr>
        <w:pStyle w:val="BookText"/>
        <w:rPr/>
      </w:pPr>
      <w:r>
        <w:rPr>
          <w:rFonts w:ascii="IRNazanin" w:hAnsi="IRNazanin" w:eastAsia="IRNazanin"/>
          <w:color w:val="111111"/>
          <w:sz w:val="28"/>
          <w:sz w:val="28"/>
          <w:szCs w:val="28"/>
          <w:rtl w:val="true"/>
          <w:lang w:bidi="fa-IR"/>
        </w:rPr>
        <w:t>شود، امّا برعکس، می‌بینیم که در نسلهای بعدی که مواجه با رنج و فشار نبوده‌اند، این اندیشه بیشتر رشد و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می‌توان ادّعا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 سیاسی و اجتماعی، باعث گرایش بیشتر به اندیشۀ مهدویّت می‌گردد، نه این که اصل و اساس آن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تعبیری کاملتر از حقایق انسانی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کاملتری از حقایق دینی و مدرسۀ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کاملتر از حقایق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ادیان به اندیشۀ ظهور منجی بشریّت تصریح می‌کنند، در واقع به یک خواست درونی و فطری بشر اشاره می‌کنند و وقتی که اسلام آن را به صورت کاملتر و جدیدتر از ادیان سابق، بیان می‌کند، علاوه بر تأکید به یک حقیقت غیبی، به این خواست فطری بشر تأکید می ورزد و هنگامی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و تأکید بیشتری به مهدویّت می‌پردازند، در واقع به صورت کاملتر و واضح‌تر به این حقیقت اسلامی اشاره می‌کنند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تفاوت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خلفا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را به صورت محدودتر و دیگری آن را به صورت وسیع‌تر و کاملتری بیان می‌کند و در این حال، برخی گمان می‌کنند که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غلوّ و تندروی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سرّ اشتهار تشیّع به مهدویّت، این پندار که مهدویّت، اندیشۀ اختصاص تشیّع است ومورد پذیرش همۀ مسلمانان نمی باشد، این</w:t>
      </w:r>
    </w:p>
    <w:p>
      <w:pPr>
        <w:pStyle w:val="BookText"/>
        <w:rPr/>
      </w:pPr>
      <w:r>
        <w:rPr>
          <w:rFonts w:ascii="IRNazanin" w:hAnsi="IRNazanin" w:eastAsia="IRNazanin"/>
          <w:color w:val="111111"/>
          <w:sz w:val="28"/>
          <w:sz w:val="28"/>
          <w:szCs w:val="28"/>
          <w:rtl w:val="true"/>
          <w:lang w:bidi="fa-IR"/>
        </w:rPr>
        <w:t>است که آن را در حدّ کمال بیان می‌دارند و این اندیشه نزد ایشان ویژگیهای منحصر به فردی دارد که بیانگر حقیقت آرمانی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ویژگیها از یک محور سرچشمه می‌گیرند و آن این است که مهدویّت، در نگاه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آینده‌نگری صرف و پیشگویی از سعادت بشر در پایان جهان نیست؛ چنان که مکتب خلفا آن را چنین می‌بیند بلکه جزئی انفکاک‌ناپذیر از عقیدۀ امامیّۀ اثنی عشریّه است که از طرف خدای متعال معیّن شده است و این عقیده بلافاصله بعد از رحلت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تا آخرالزمان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مسألۀ امامت دوازدهمین امام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شده و تا الان ادامه یافته و این امامت، تا ظهور دوازدهمین امام در آخرالزمان ادامه می‌یابد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 مسألۀ مهدویّت را از نگاه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می‌کنیم، باید به این محور عقیدتی توجّه داشته باشیم و از یک سو، با دلیل و برهان در صدد اثبات آن باشیم و از سوی دیگر، ویژگیهای مترتّب بر آن را بررسی نماییم و از سوی دیگر، ارزش عقیدتی مترتّب بر این اندیشه را بازگو نماییم، پس در این تحقیق، سه مرحله خواهیم داشت که هر کدام را جداگانه مورد بحث و بررسی قرار می‌دهیم</w:t>
      </w:r>
      <w:r>
        <w:rPr>
          <w:rFonts w:eastAsia="IRNazanin" w:cs="IRNazanin"/>
          <w:color w:val="111111"/>
          <w:sz w:val="28"/>
          <w:szCs w:val="28"/>
          <w:rtl w:val="true"/>
          <w:lang w:bidi="fa-IR"/>
        </w:rPr>
        <w:t>.</w:t>
      </w:r>
      <w:bookmarkStart w:id="16" w:name="pg5397_34455"/>
    </w:p>
    <w:p>
      <w:pPr>
        <w:pStyle w:val="Heading2"/>
        <w:numPr>
          <w:ilvl w:val="1"/>
          <w:numId w:val="1"/>
        </w:numPr>
        <w:rPr/>
      </w:pPr>
      <w:bookmarkStart w:id="17" w:name="__RefHeading___Toc1543894_581953129"/>
      <w:bookmarkStart w:id="18" w:name="_Toc6"/>
      <w:bookmarkEnd w:id="16"/>
      <w:bookmarkEnd w:id="17"/>
      <w:r>
        <w:rPr>
          <w:rtl w:val="true"/>
        </w:rPr>
        <w:t>فصل اوّل</w:t>
      </w:r>
      <w:r>
        <w:rPr>
          <w:rtl w:val="true"/>
        </w:rPr>
        <w:t xml:space="preserve">: </w:t>
      </w:r>
      <w:r>
        <w:rPr>
          <w:rtl w:val="true"/>
        </w:rPr>
        <w:t>اثبات عقیدتی مفهوم مهدویّت از دیدگاه اهل بیت</w:t>
      </w:r>
      <w:r>
        <w:rPr>
          <w:rtl w:val="true"/>
        </w:rPr>
        <w:t>(</w:t>
      </w:r>
      <w:r>
        <w:rPr>
          <w:rtl w:val="true"/>
        </w:rPr>
        <w:t>علیهم السلام</w:t>
      </w:r>
      <w:r>
        <w:rPr>
          <w:rtl w:val="true"/>
        </w:rPr>
        <w:t>)</w:t>
      </w:r>
      <w:bookmarkEnd w:id="18"/>
    </w:p>
    <w:p>
      <w:pPr>
        <w:pStyle w:val="Heading3"/>
        <w:numPr>
          <w:ilvl w:val="2"/>
          <w:numId w:val="1"/>
        </w:numPr>
        <w:rPr/>
      </w:pPr>
      <w:bookmarkStart w:id="19" w:name="__RefHeading___Toc1543896_581953129"/>
      <w:bookmarkStart w:id="20" w:name="_Toc7"/>
      <w:bookmarkEnd w:id="19"/>
      <w:r>
        <w:rPr>
          <w:rtl w:val="true"/>
        </w:rPr>
        <w:t>اشاره</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عقیدتی این اندیشه در صدها روایتی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Style w:val="FootnoteAnchor"/>
          <w:rtl w:val="true"/>
        </w:rPr>
        <w:footnoteReference w:id="11"/>
      </w:r>
      <w:r>
        <w:rPr>
          <w:rFonts w:ascii="IRNazanin" w:hAnsi="IRNazanin" w:eastAsia="IRNazanin"/>
          <w:color w:val="111111"/>
          <w:sz w:val="28"/>
          <w:sz w:val="28"/>
          <w:szCs w:val="28"/>
          <w:rtl w:val="true"/>
          <w:lang w:bidi="fa-IR"/>
        </w:rPr>
        <w:t>متبلور است که بر تعیین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است،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نهمین فرزند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جانشینان آن حضرت، دوازده نفر هستند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پنج دسته از روایات متظافر، در صدد تبیین مفهوم مهدویّت و تشخیص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کسی که در آنها دقّت کند، در می‌یابد که به تدریج، تخصیص بیشتری یافته‌اند تا این که در شخص معیّنی متمرکز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روایات،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به درجۀ بالایی از کثرت و انتشار رسیده‌اند، در حالی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احتیاط و تقیّه را در سطح عمومی رعایت می‌کردند تا آن وجود عزیز، در معرض تعرّض و دشمنی قرار نگیرد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باید اضافه کرد که تنها کثرت روایات، معیار قبول آنان نیست بلکه علاوه بر آن، دلایل و نشانه‌های دیگری وجود دارد که صحّت آنها را مستدل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حدیث شریف نبوی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بعد از آن حضرت، دوازده امام، یا خلیفه، یا امیر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اختلافی که در متن حدیث در طرق مختلف وجود دارد، در بیش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است </w:t>
      </w:r>
      <w:r>
        <w:rPr>
          <w:rStyle w:val="FootnoteAnchor"/>
          <w:rtl w:val="true"/>
        </w:rPr>
        <w:footnoteReference w:id="17"/>
      </w:r>
      <w:r>
        <w:rPr>
          <w:rFonts w:ascii="IRNazanin" w:hAnsi="IRNazanin" w:eastAsia="IRNazanin"/>
          <w:color w:val="111111"/>
          <w:sz w:val="28"/>
          <w:sz w:val="28"/>
          <w:szCs w:val="28"/>
          <w:rtl w:val="true"/>
          <w:lang w:bidi="fa-IR"/>
        </w:rPr>
        <w:t>که در مشهورترین</w:t>
      </w:r>
    </w:p>
    <w:p>
      <w:pPr>
        <w:pStyle w:val="BookText"/>
        <w:rPr/>
      </w:pPr>
      <w:r>
        <w:rPr>
          <w:rFonts w:ascii="IRNazanin" w:hAnsi="IRNazanin" w:eastAsia="IRNazanin"/>
          <w:color w:val="111111"/>
          <w:sz w:val="28"/>
          <w:sz w:val="28"/>
          <w:szCs w:val="28"/>
          <w:rtl w:val="true"/>
          <w:lang w:bidi="fa-IR"/>
        </w:rPr>
        <w:t xml:space="preserve">کتابهای شیعه و سنّی آمده است و از جمله در صحیح بخاری، </w:t>
      </w:r>
      <w:r>
        <w:rPr>
          <w:rStyle w:val="FootnoteAnchor"/>
          <w:rtl w:val="true"/>
        </w:rPr>
        <w:footnoteReference w:id="18"/>
      </w:r>
      <w:r>
        <w:rPr>
          <w:rFonts w:ascii="IRNazanin" w:hAnsi="IRNazanin" w:eastAsia="IRNazanin"/>
          <w:color w:val="111111"/>
          <w:sz w:val="28"/>
          <w:sz w:val="28"/>
          <w:szCs w:val="28"/>
          <w:rtl w:val="true"/>
          <w:lang w:bidi="fa-IR"/>
        </w:rPr>
        <w:t xml:space="preserve">مسلم </w:t>
      </w:r>
      <w:r>
        <w:rPr>
          <w:rStyle w:val="FootnoteAnchor"/>
          <w:rtl w:val="true"/>
        </w:rPr>
        <w:footnoteReference w:id="19"/>
      </w:r>
      <w:r>
        <w:rPr>
          <w:rFonts w:ascii="IRNazanin" w:hAnsi="IRNazanin" w:eastAsia="IRNazanin"/>
          <w:color w:val="111111"/>
          <w:sz w:val="28"/>
          <w:sz w:val="28"/>
          <w:szCs w:val="28"/>
          <w:rtl w:val="true"/>
          <w:lang w:bidi="fa-IR"/>
        </w:rPr>
        <w:t xml:space="preserve">، ترمذی، ابوداوود، مسند احمد </w:t>
      </w:r>
      <w:r>
        <w:rPr>
          <w:rStyle w:val="FootnoteAnchor"/>
          <w:rtl w:val="true"/>
        </w:rPr>
        <w:footnoteReference w:id="20"/>
      </w:r>
      <w:r>
        <w:rPr>
          <w:rFonts w:ascii="IRNazanin" w:hAnsi="IRNazanin" w:eastAsia="IRNazanin"/>
          <w:color w:val="111111"/>
          <w:sz w:val="28"/>
          <w:sz w:val="28"/>
          <w:szCs w:val="28"/>
          <w:rtl w:val="true"/>
          <w:lang w:bidi="fa-IR"/>
        </w:rPr>
        <w:t xml:space="preserve">و مستدرک علی الصحیحین </w:t>
      </w:r>
      <w:r>
        <w:rPr>
          <w:rStyle w:val="FootnoteAnchor"/>
          <w:rtl w:val="true"/>
        </w:rPr>
        <w:footnoteReference w:id="21"/>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نکتۀ قابل توجّه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که این حدیث را نقل کرده است، معاصر امام جواد، امام هادی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بسیار معنا دارد؛ زیرا ثابت می‌کند که این حدیث، زمانی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کتابها نوشته شده است که هنوز تمام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بالفعل به امامت نرسیده بودند و این جای شک و تردیدی نمی‌گذارد که نقل حدیث، بیانگر واقعیّتی بوده است که بعدها در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متحقّق می‌شود؛ چرا که احادیث دروغین که به پیامبر نسبت داده شده برای توجیه حوادثی است که در دوره های بعد رخ داده ولذا در متون حدیثی ثبت نشده اند، پس حدیث ائمّۀ دوازده‌گانه، نقل واقعیّتی خارجی</w:t>
      </w:r>
    </w:p>
    <w:p>
      <w:pPr>
        <w:pStyle w:val="BookText"/>
        <w:rPr/>
      </w:pPr>
      <w:r>
        <w:rPr>
          <w:rFonts w:ascii="IRNazanin" w:hAnsi="IRNazanin" w:eastAsia="IRNazanin"/>
          <w:color w:val="111111"/>
          <w:sz w:val="28"/>
          <w:sz w:val="28"/>
          <w:szCs w:val="28"/>
          <w:rtl w:val="true"/>
          <w:lang w:bidi="fa-IR"/>
        </w:rPr>
        <w:t>نبوده است بلکه تعبیری از حقیقتی الهی بوده است که از زبان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حقّ نمی‌گوید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خارج شده است و او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الخُلَفَاءَ بَعدی اثنا عَشَر</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من، دوازده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ائمّه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شدند و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یافتند و همین تنها تطبیق معقول </w:t>
      </w:r>
      <w:r>
        <w:rPr>
          <w:rStyle w:val="FootnoteAnchor"/>
          <w:rtl w:val="true"/>
        </w:rPr>
        <w:footnoteReference w:id="24"/>
      </w:r>
      <w:r>
        <w:rPr>
          <w:rFonts w:ascii="IRNazanin" w:hAnsi="IRNazanin" w:eastAsia="IRNazanin"/>
          <w:color w:val="111111"/>
          <w:sz w:val="28"/>
          <w:sz w:val="28"/>
          <w:szCs w:val="28"/>
          <w:rtl w:val="true"/>
          <w:lang w:bidi="fa-IR"/>
        </w:rPr>
        <w:t>برای این حدیث شریف نبوی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مسلم در صحیح خود از طریق قتیبة بن سعید، از جابر بن سمره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 به دیدار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الأمر لا ینقضی حتی یمضی فیهم اثنا عشر خلیفة ؛ این امر تمام نمی‌شود تا دوازده</w:t>
      </w:r>
    </w:p>
    <w:p>
      <w:pPr>
        <w:pStyle w:val="BookText"/>
        <w:rPr/>
      </w:pPr>
      <w:r>
        <w:rPr>
          <w:rFonts w:ascii="IRNazanin" w:hAnsi="IRNazanin" w:eastAsia="IRNazanin"/>
          <w:color w:val="111111"/>
          <w:sz w:val="28"/>
          <w:sz w:val="28"/>
          <w:szCs w:val="28"/>
          <w:rtl w:val="true"/>
          <w:lang w:bidi="fa-IR"/>
        </w:rPr>
        <w:t>جانشین به خلافت برسند، سپس سخن دیگری را آهسته‌تر گفت که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مِن قَرَیش ؛ همگی از قریش هستند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از ابن عمر، از جابر بن سمره و از طریق هداب بن خالد، نصر بن علی جهضمی و محمّد بن رافع، از جابر بن سمره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دو طریق از ابی‌بکر بن ابی شیبه، از جابر و به دو طریق از قتیبة بن سعید، از جابر نقل کرده است؛ چنان که می‌بینیم تنها در صحیح مسلم این روایت از نُه طریق ذکر شده است و اگر به کتابهای شیعه و سنّی مراجعه کنیم، خواهیم دید که از طرق بسیاری، نقل شده است</w:t>
      </w:r>
      <w:r>
        <w:rPr>
          <w:rFonts w:eastAsia="IRNazanin" w:cs="IRNazanin"/>
          <w:color w:val="111111"/>
          <w:sz w:val="28"/>
          <w:szCs w:val="28"/>
          <w:rtl w:val="true"/>
          <w:lang w:bidi="fa-IR"/>
        </w:rPr>
        <w:t xml:space="preserve">. </w:t>
      </w:r>
      <w:r>
        <w:rPr>
          <w:rStyle w:val="FootnoteAnchor"/>
          <w:rtl w:val="true"/>
        </w:rPr>
        <w:footnoteReference w:id="27"/>
      </w:r>
      <w:bookmarkStart w:id="21" w:name="pg5397_34468"/>
    </w:p>
    <w:p>
      <w:pPr>
        <w:pStyle w:val="Heading3"/>
        <w:numPr>
          <w:ilvl w:val="2"/>
          <w:numId w:val="1"/>
        </w:numPr>
        <w:rPr/>
      </w:pPr>
      <w:bookmarkStart w:id="22" w:name="__RefHeading___Toc1543898_581953129"/>
      <w:bookmarkStart w:id="23" w:name="_Toc8"/>
      <w:bookmarkEnd w:id="21"/>
      <w:bookmarkEnd w:id="22"/>
      <w:r>
        <w:rPr>
          <w:rtl w:val="true"/>
        </w:rPr>
        <w:t>سرگردانی پیروان خلفا در تفسیر حدیث</w:t>
      </w:r>
      <w:r>
        <w:rPr>
          <w:rtl w:val="true"/>
        </w:rPr>
        <w:t>!</w:t>
      </w:r>
      <w:bookmarkEnd w:id="23"/>
    </w:p>
    <w:p>
      <w:pPr>
        <w:pStyle w:val="BookText"/>
        <w:rPr/>
      </w:pPr>
      <w:r>
        <w:rPr>
          <w:rFonts w:ascii="IRNazanin" w:hAnsi="IRNazanin" w:eastAsia="IRNazanin"/>
          <w:color w:val="111111"/>
          <w:sz w:val="28"/>
          <w:sz w:val="28"/>
          <w:szCs w:val="28"/>
          <w:rtl w:val="true"/>
          <w:lang w:bidi="fa-IR"/>
        </w:rPr>
        <w:t>سؤالی که در مورد حدیث مطرح می‌شود، این است که این جانشینان دوازده‌گانه چه کسانی هستند؟</w:t>
      </w:r>
    </w:p>
    <w:p>
      <w:pPr>
        <w:pStyle w:val="BookText"/>
        <w:rPr/>
      </w:pPr>
      <w:r>
        <w:rPr>
          <w:rFonts w:ascii="IRNazanin" w:hAnsi="IRNazanin" w:eastAsia="IRNazanin"/>
          <w:color w:val="111111"/>
          <w:sz w:val="28"/>
          <w:sz w:val="28"/>
          <w:szCs w:val="28"/>
          <w:rtl w:val="true"/>
          <w:lang w:bidi="fa-IR"/>
        </w:rPr>
        <w:t>قبل از آن که جواب این سؤال را بدهیم، احتمالات متصوّر در مورد جواب آن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این جا دو احتمال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واقعیّت سیاسی جامعه باشد که بعد از وی اتّفاق خواهد افتاد؛ چنان که پیشگوییهای بسیاری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حوادث دیگری صادر شده بود و این هم یکی از پیشگوییهای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آیندۀ سیاسی امّت اسلامی بوده است که می‌توانیم اسم این احتمال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مقصود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بیانیّه‌ای برای تعیین ائمّه و جانشینان دوازده‌گانۀ بعد از خود باشد و مفاد این حدیث، مفاد انشا و نصب بر طبق اقتضای شریعت اسلامی بوده</w:t>
      </w:r>
    </w:p>
    <w:p>
      <w:pPr>
        <w:pStyle w:val="BookText"/>
        <w:rPr/>
      </w:pPr>
      <w:r>
        <w:rPr>
          <w:rFonts w:ascii="IRNazanin" w:hAnsi="IRNazanin" w:eastAsia="IRNazanin"/>
          <w:color w:val="111111"/>
          <w:sz w:val="28"/>
          <w:sz w:val="28"/>
          <w:szCs w:val="28"/>
          <w:rtl w:val="true"/>
          <w:lang w:bidi="fa-IR"/>
        </w:rPr>
        <w:t xml:space="preserve">است، نه فقط خبردادن از آیندۀ سیاسی امّت اسلامی که می‌توانیم این احتمال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عقایدی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علمی، چنین اقتضا می‌کند که هر دو احتمال را بررسی کنیم و هر کدام را که مورد تأیید شواهد، ادلّه و براهین عقلی و نقلی قرار گرفت، اختیار کنیم، امّا از آن جا که پیروان خلفا از همان ابتدا به شرعیّت نظام خلافت ملتزم شده‌اند، نظریّۀ تعیین و نصب را کنار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نظام کلامی و فقهی خویش را بنیان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جلوه خود فقط یک احتمال را دیده‌اند که راه فراری از آن نداشته‌اند، لذا به تأویل و توجیه احتمالات دیگر پرداخته‌اند، اگر چه این توجیهات، ضعیف و به دور از عقل و منطق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می‌بایست با نگاهی عالمانه و به دور از هر گونه قضاوت قبلی، به بررسی حدیث می‌پرداختند تا خود به عدم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آنان سؤال می‌شود که اگر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پیشگویی و بیان واقعیّاتی که اتّفاق می‌افتد، بوده است، چه انگیزه‌ای داشته است که تعداد خلفا را در دوازده نفر محدود کند، در حالی که در آینده بیش از این تعداد به حکومت رسیده‌اند؟ و اگر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صحیحی که مطابق با موازین شرعی باشد، اشاره داشته است، پیروان خلفا بر شرعیّت و صحّت</w:t>
      </w:r>
    </w:p>
    <w:p>
      <w:pPr>
        <w:pStyle w:val="BookText"/>
        <w:rPr/>
      </w:pPr>
      <w:r>
        <w:rPr>
          <w:rFonts w:ascii="IRNazanin" w:hAnsi="IRNazanin" w:eastAsia="IRNazanin"/>
          <w:color w:val="111111"/>
          <w:sz w:val="28"/>
          <w:sz w:val="28"/>
          <w:szCs w:val="28"/>
          <w:rtl w:val="true"/>
          <w:lang w:bidi="fa-IR"/>
        </w:rPr>
        <w:t>حکومت هیچ کدام از خلفا غیر از خلفای چهارگانه اجماع و اتّفاق نظر پیدا نکرده‌اند؛ از این رو، در تشخیص و تعیین خلفای دوازده‌گانه دچار حیرت و سرگردانی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خلفای دوازده‌گانه در نظر ابن کثیر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چهارگانه، عمربن عبدالعزیز، بعضی از بنی‌عبّاس و گفته است که ظاهراً مهدی نیز از این افراد می‌باشد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قاضی دمشقی 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دوازده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چهارگانه، معاویه، یزید بن معاویه، عبدالملک بن مروان و فرزندان چهارگانه‌اش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سلیمان، یزید و هشام و آخرین آنان عمر بن عبدالعزیز بوده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 به نظر ولی‌الله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قرة العینین گفته و در عون المعبود از آن نقل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عبدالملک بن مروان، فرزندان چهارگانه‌اش، عمربن عبدالعزیز و ولیدبن یزید بن عبدالملک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مالک بن انس نقل کرده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 جمع داخل کرده است، امّا خودش سخن مالک را رد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و عثمان،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حکومت ابن زبیر یکی از مصیبتهای بزرگ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قول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جمع داخل کرده‌اند، رد نموده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فاسق و بدنام بود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ابن قیّم جوزیّه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جانشینان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و از جمله ابوحاتم و ابن حبان و غیره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آنان عمر بن عبدالعزیز بوده است؛ به این ترکیب که خلفای چهارگانه، معاویه، یزید بن معاویه، معاویة بن یزید، مروان بن حکم، عبدالملک بن مروان، ولید بن عبدالملک، سلیمان بن عبدالملک و سپس عمربن عبدالعزیز را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در صدمین سال هجری از دنیا رفت و این قرن از بهترین قرنهای امّت اسلام و دین در این قرن، در نهایت عزّت و سربلندی بود و بعد از آن، مصیبتها و رنجها جهان اسلام را فرا گرفت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بشتی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حدیث و امثال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دوازده‌گانه بر کسانی که عادل‌بوده‌اند، حمل شود؛ زیرا تنها آنانند که مستحقّ خلافت واقعی هستند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مقریزی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چهارگانه، سپس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وسیله او خلفای راشدین به اتمام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کدام از بنی‌امیّه را داخل این دوازده نفر نکرده و تصریح کرده است که خلافت پس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سلطنت و پادشاهی ظالمانه تبدیل شد و در آن، انواع مشکلات و سختیها بر مردم تحمیل گردید؛ چنان که هیچ کدام از بنی‌عبّاس را جزء این دوازده نفر ندانسته و تصریح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ایشان، اتّحاد اسلام از هم متلاشی شد و اسم عربها از دیوان حذف و اسم ترکها ثبت شد و دیلمیان و سپس ترکها بر ممالک اسلامی حاکم شدند و دولتهای بزرگ تشکیل دادند و سرزمین پهناور اسلامی تقسیم شد و هر کس گوشه‌ای از آن را زیر سلطۀ خود گرفته و با زور چماق بر آنان حکومت می‌کرد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با این اوضاع مشاهده می‌شود که پیروان خلفا در تفسیر این حدیث تا چه میزان دچار اضطراب و اختلاف شده‌اند و در باتلاقهایی افتاده‌اند که خروج از آن برایشان ممکن نبوده و این بدان خاطر بوده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 ورزیده‌اند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دوازده خلیفه شناخته نشده‌اند که تمام امّت اسلام بر آنان اتّفاق نظر داشته باشند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مورد قبول بود، هر آینه صحابۀ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دیگران بدان ایمان می‌آوردند و آثار آن بلافاصله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خلفا ظاهر می‌گشت و اوّلی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خلیفۀ دوازده‌گانه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دوازدهمی، این را اعلام می‌کردند و این ادّعا را افتخاری برای خود و شاهدی برای اثبات شرعیّت خلافت خود می‌پنداشتند، در حالی که تاریخ، هیچ گونه ادّعایی را از افرادی که در سلسلۀ فرضی خلفای دوازده‌گانه آمده‌اند، ثبت نکرده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دلالت می‌کند که زمان خلافت این خلفای دوازده‌گانه تمام طول تاریخ را در بر می‌گیرد و</w:t>
      </w:r>
    </w:p>
    <w:p>
      <w:pPr>
        <w:pStyle w:val="BookText"/>
        <w:rPr/>
      </w:pPr>
      <w:r>
        <w:rPr>
          <w:rFonts w:ascii="IRNazanin" w:hAnsi="IRNazanin" w:eastAsia="IRNazanin"/>
          <w:color w:val="111111"/>
          <w:sz w:val="28"/>
          <w:sz w:val="28"/>
          <w:szCs w:val="28"/>
          <w:rtl w:val="true"/>
          <w:lang w:bidi="fa-IR"/>
        </w:rPr>
        <w:t>در نهایت خلافت آنان، زمین، اهل خود را فرو می‌برد و می‌بلعد؛ چنان که اهل سنّت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تا زمانی پابرجا می‌ماند که دوازده نفر از قریش بر آن حکومت کنند، پس از آن که همگی از دنیا رفتند، زمین اهل خودش را فرو می‌برد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در حالی است که پس از مرگ عمربن‌عبدالعزیز، زمین اهل خودش را فرود نبرد بلکه انتشار علوم دینی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حدیث، تفسیر در قرنهای سوّم و چهارم گسترش یافت و پس از مرگ خلفای دوازه‌گانه در نظر پیروان خلفا علوم دینی، گسترش و شمول بیشتری یافت، در حالی که فرض بر این بوده است که پس از مرگ این دوازده نفر، زمین ساکنان خود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جابر بن سمره 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این امّت همچنان پابرجا است و بر دشمن خود غلبه پیدا می‌کنند تا دوازده خلیفه که همگی از قریش هستند، خلافت کنند، پس از آن، هرج و مرج عالم را فرا می‌گیرد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 و اختناق است، امّت اسلام نیرنگی را عظیم‌تر از فتنۀ معاویه و خروج او علیه خلیفۀ مسلمین</w:t>
      </w:r>
    </w:p>
    <w:p>
      <w:pPr>
        <w:pStyle w:val="BookText"/>
        <w:rPr/>
      </w:pPr>
      <w:r>
        <w:rPr>
          <w:rFonts w:ascii="IRNazanin" w:hAnsi="IRNazanin" w:eastAsia="IRNazanin"/>
          <w:color w:val="111111"/>
          <w:sz w:val="28"/>
          <w:sz w:val="28"/>
          <w:szCs w:val="28"/>
          <w:rtl w:val="true"/>
          <w:lang w:bidi="fa-IR"/>
        </w:rPr>
        <w:t>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دلالت می‌کند که منظور از هرج و مرج، فتنۀ بزرگتری است و شاید که منظور، کنارگذاشتن دین به طور کلّی باشد و این اتّفاق نمی‌افتد، مگر در نزدیکیهای قیامت که در آن هنگامه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و پس از حوادث و جریاناتی، به شهادت می‌رسد و به رفیق اعلی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از پیروان خلفا پرسید که وارد کردن پادشاهان در فهرست خلیفه‌های دوازده‌گانۀ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دارد؟ اهل سنّت از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عشرۀ مبشّره و از اعضای شورایی است که عمر بن خطِّاب آنان را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وی بر معاویه وارد شد، در حالی که از بیعت با او خودداری ورزیده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نمی‌توانستی بگویی؟ شما مؤمن هستید و من امیر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صورتی که ما تو را امیر خود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دیگری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هستیم، امّا تو را امیر خود قرار ندادیم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نیز ادّعای خلافت معاویه را انکار می‌کرد؛ چنان که ابن عباس و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صلح آن را انکار می‌کردند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او به اتّفاق نظر از بغات و طغیانگران بوده است؛ 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طغیانگر به شهادت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نمی‌دانیم که چه‌طور عدّه‌ای، فردی طغیانگر را خلیفۀ شرعی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پرسید که معنای بر شمردن یزید در فهرست خلفای دوازده‌گانه چیست؟ مگر او فاجر، فاسق و شرابخوار علنی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مسلمان می‌تواند، متجاهر به فسقی را که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کربلا به شهادت رسانید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هزار نفر از مردم مدینه را قتل عام کرد و هیچ یک از بدریّون را باقی نگذاشت،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p>
    <w:p>
      <w:pPr>
        <w:pStyle w:val="BookText"/>
        <w:rPr/>
      </w:pPr>
      <w:r>
        <w:rPr>
          <w:rFonts w:ascii="IRNazanin" w:hAnsi="IRNazanin" w:eastAsia="IRNazanin"/>
          <w:color w:val="111111"/>
          <w:sz w:val="28"/>
          <w:sz w:val="28"/>
          <w:szCs w:val="28"/>
          <w:rtl w:val="true"/>
          <w:lang w:bidi="fa-IR"/>
        </w:rPr>
        <w:t>همین سؤال در مورد شجرۀ ملعونۀ بنی‌امیّه مطرح می‌شود که قرآن به آنان تصریح کرده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رؤیای صادقه مشاهده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همانند میمون بر منبرش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اکثر مفسّران اهل سنّت در ذیل آیۀ شصت از سورۀ إسراء بدان اشاره کرده‌اند و نیازی به نقل قول یکایک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توضیحات، می‌توان سه نتیجه گرفت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که تفسیر حدیث خلفای دوازده‌گانۀ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قولی مردود و ادّعایی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سیاسی باعث شده است که پیروان خلفا به این تفسیر روی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شرعی تنها در 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می‌باشد که قایل به انشایی بودن حدیث و دلالت آن بر انتصابی بودن دوازده جانشین از سوی خدای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به وسیلۀ ادلّۀ عقلی و نقلی از قرآن و روایت، مورد تأیید است و به طور مبسوط در علم تفسیر و حدیث و کلام و تاریخ، مطرح گردیده و بر صحّت 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معلوم شده است که ائمّۀ دوازده‌گانه از اهل بیت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مصداق روایت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هیچ کس حتّی در مقام ادّعا با آنان منازعه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آنان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زمینه روایات بسیاری وارد شده است و در این جا به یکی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جوینی شافعی در فرائد السمطین، از ابن عبّاس،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سیّد الأنبیاء هستم و علی‌ابن ابی طالب، سیّد الوصیّین است و جانشینان من دوازده نفر هستند که اوّلین آنان علی ابن ابی طالب و آخرین شان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همین روایات، بعضی از محقّقان </w:t>
      </w:r>
      <w:r>
        <w:rPr>
          <w:rStyle w:val="FootnoteAnchor"/>
          <w:rtl w:val="true"/>
        </w:rPr>
        <w:footnoteReference w:id="39"/>
      </w:r>
      <w:r>
        <w:rPr>
          <w:rFonts w:ascii="IRNazanin" w:hAnsi="IRNazanin" w:eastAsia="IRNazanin"/>
          <w:color w:val="111111"/>
          <w:sz w:val="28"/>
          <w:sz w:val="28"/>
          <w:szCs w:val="28"/>
          <w:rtl w:val="true"/>
          <w:lang w:bidi="fa-IR"/>
        </w:rPr>
        <w:t>احتمال داده‌اند که آنچه کتابهای روایی نقل کرده‌اند، مبنی بر این که بعضی از سخنان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جابربن سمره مخفی ماند و او از پدرش دربارۀ آن سؤال کرد و پدرش گفت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از قریش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تحریف واقع شده است؛ زیرا روایات، دلیل مخفی ماندن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شلوغ کردن مردم و فریادکشیدن آنان و ضجّه و ناله‌کردن مردم و تکبیر گفتن ایشان و از جای برخاستن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در حالی که این تعلیلها با عبارتی که جابربن سمره آن را نشنیده است، هیچ تناسبی ندارد؛ زیرا قراردادن خلافت در قریش، امری بوده است که آنان را خوشحال می‌کرد و باعث داد و فریاد و به هم ریختن جلسه نمی‌شده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متناسب با این حالت می‌باشد، این است که امامت و خلافت را در گروه خاصّی غیر از قریش قرار داده باشد و این، همان چیزی است که قندوزی در ینابیع المودّه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 عبارتی را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آنان از بنی هاشم هستند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خلیفه‌های دوازده‌گانه از سویی ثابت شد و از سوی دیگر، حقّانیّت</w:t>
      </w:r>
    </w:p>
    <w:p>
      <w:pPr>
        <w:pStyle w:val="BookText"/>
        <w:rPr/>
      </w:pPr>
      <w:r>
        <w:rPr>
          <w:rFonts w:ascii="IRNazanin" w:hAnsi="IRNazanin" w:eastAsia="IRNazanin"/>
          <w:color w:val="111111"/>
          <w:sz w:val="28"/>
          <w:sz w:val="28"/>
          <w:szCs w:val="28"/>
          <w:rtl w:val="true"/>
          <w:lang w:bidi="fa-IR"/>
        </w:rPr>
        <w:t>تفسیر عقایدی به اثبات رسید و همچنین معلوم شد که اسم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سلسلۀ دوازده‌گانه است که خدا به وسیلۀ او زمین را پس از آن که پر از ظلم و جور شده است، اصلاح می‌کند و پر از عدل و داد می‌نماید، دیگر مجالی برای شک در ثبوت مفهوم عقایدی برای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اصرار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عمیق مسألۀ مهدویّت با مسألۀ خلافت ائمّۀ دوازده‌گانه باعث می‌شود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خبر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جانشینان دوازده‌گانه تناسب ندارد و مسائل سیاسی باعث شده است که پیروان خلفا به این تفسیر روی بیاورند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امامت و جانشینی را منصوص می‌داند، کناره‌گیری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حدیث را بیانگر خبر از آینده قرار داده‌اند تا بتوانند مسألۀ سقیفه و شرعیّت خلافت خلفای سه‌گانه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مجبور شده‌اند که مسألۀ مهدویّت را نیز به عنوان خبر از آینده و یک پیشگویی صرف، تلقّی کنند تا بدین ترتیب از قبول امامت ائمّۀ دوازده‌گانه طفره بروند؛ چون قبول حقّانیّت و صحّت تفسیر عقایدی در مورد حدیث خلفای دوازده‌گانه، ثبوت حقّانیّت مفهوم عقایدی برای مسألۀ مهدویّت را به دنبال دارد و این چیزی است که می‌خواهند از آن فرار کنند</w:t>
      </w:r>
      <w:r>
        <w:rPr>
          <w:rFonts w:eastAsia="IRNazanin" w:cs="IRNazanin"/>
          <w:color w:val="111111"/>
          <w:sz w:val="28"/>
          <w:szCs w:val="28"/>
          <w:rtl w:val="true"/>
          <w:lang w:bidi="fa-IR"/>
        </w:rPr>
        <w:t>.</w:t>
      </w:r>
      <w:bookmarkStart w:id="24" w:name="pg5397_34491"/>
    </w:p>
    <w:p>
      <w:pPr>
        <w:pStyle w:val="Heading2"/>
        <w:numPr>
          <w:ilvl w:val="1"/>
          <w:numId w:val="1"/>
        </w:numPr>
        <w:rPr/>
      </w:pPr>
      <w:bookmarkStart w:id="25" w:name="__RefHeading___Toc1543900_581953129"/>
      <w:bookmarkStart w:id="26" w:name="_Toc9"/>
      <w:bookmarkEnd w:id="24"/>
      <w:bookmarkEnd w:id="25"/>
      <w:r>
        <w:rPr>
          <w:rtl w:val="true"/>
        </w:rPr>
        <w:t>فصل دوم</w:t>
      </w:r>
      <w:r>
        <w:rPr>
          <w:rtl w:val="true"/>
        </w:rPr>
        <w:t>:</w:t>
      </w:r>
      <w:r>
        <w:rPr>
          <w:rtl w:val="true"/>
        </w:rPr>
        <w:t>ویژگیهای مفهوم مهدویّت از دیدگاه اهل بیت</w:t>
      </w:r>
      <w:r>
        <w:rPr>
          <w:rtl w:val="true"/>
        </w:rPr>
        <w:t>(</w:t>
      </w:r>
      <w:r>
        <w:rPr>
          <w:rtl w:val="true"/>
        </w:rPr>
        <w:t>علیهم السلام</w:t>
      </w:r>
      <w:r>
        <w:rPr>
          <w:rtl w:val="true"/>
        </w:rPr>
        <w:t>)</w:t>
      </w:r>
      <w:bookmarkEnd w:id="26"/>
    </w:p>
    <w:p>
      <w:pPr>
        <w:pStyle w:val="Heading3"/>
        <w:numPr>
          <w:ilvl w:val="2"/>
          <w:numId w:val="1"/>
        </w:numPr>
        <w:rPr/>
      </w:pPr>
      <w:bookmarkStart w:id="27" w:name="__RefHeading___Toc1543902_581953129"/>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پس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مسألۀ مهدویّت از دیدگاه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کردیم، وارد مرحلۀ جدید می‌شویم و آن بحث در مورد ویژگیهای مترتّب بر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ثابت کنیم که این ویژگیها واقعی هستند و تحقّق شرعی و تاریخی دارند و اعتقاد به آنها باعث خدشه‌ای در عقاید و جداشدن از تاریخ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بدین شرح است</w:t>
      </w:r>
      <w:r>
        <w:rPr>
          <w:rFonts w:eastAsia="IRNazanin" w:cs="IRNazanin"/>
          <w:color w:val="111111"/>
          <w:sz w:val="28"/>
          <w:szCs w:val="28"/>
          <w:rtl w:val="true"/>
          <w:lang w:bidi="fa-IR"/>
        </w:rPr>
        <w:t>.</w:t>
      </w:r>
    </w:p>
    <w:p>
      <w:pPr>
        <w:pStyle w:val="Heading3"/>
        <w:numPr>
          <w:ilvl w:val="2"/>
          <w:numId w:val="1"/>
        </w:numPr>
        <w:rPr/>
      </w:pPr>
      <w:bookmarkStart w:id="29" w:name="__RefHeading___Toc1543904_581953129"/>
      <w:bookmarkStart w:id="30" w:name="_Toc11"/>
      <w:bookmarkEnd w:id="29"/>
      <w:r>
        <w:rPr>
          <w:rtl w:val="true"/>
        </w:rPr>
        <w:t>ویژگی اوّل</w:t>
      </w:r>
      <w:r>
        <w:rPr>
          <w:rtl w:val="true"/>
        </w:rPr>
        <w:t xml:space="preserve">: </w:t>
      </w:r>
      <w:r>
        <w:rPr>
          <w:rtl w:val="true"/>
        </w:rPr>
        <w:t>ولادت مخفیانۀ حضرت مهدی</w:t>
      </w:r>
      <w:r>
        <w:rPr>
          <w:rtl w:val="true"/>
        </w:rPr>
        <w:t>(</w:t>
      </w:r>
      <w:r>
        <w:rPr>
          <w:rtl w:val="true"/>
        </w:rPr>
        <w:t>عج</w:t>
      </w:r>
      <w:r>
        <w:rPr>
          <w:rtl w:val="true"/>
        </w:rPr>
        <w:t xml:space="preserve">) </w:t>
      </w:r>
      <w:r>
        <w:rPr>
          <w:rtl w:val="true"/>
        </w:rPr>
        <w:t>که مورد عنایت بوده و گریزی از آن وجود نداشته است</w:t>
      </w:r>
      <w:bookmarkEnd w:id="30"/>
    </w:p>
    <w:p>
      <w:pPr>
        <w:pStyle w:val="Heading4"/>
        <w:numPr>
          <w:ilvl w:val="3"/>
          <w:numId w:val="1"/>
        </w:numPr>
        <w:rPr/>
      </w:pPr>
      <w:bookmarkStart w:id="31" w:name="__RefHeading___Toc1543906_581953129"/>
      <w:bookmarkStart w:id="32" w:name="_Toc12"/>
      <w:bookmarkEnd w:id="31"/>
      <w:r>
        <w:rPr>
          <w:rtl w:val="true"/>
        </w:rPr>
        <w:t>اشاره</w:t>
      </w:r>
      <w:bookmarkEnd w:id="3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ثبوت مفهوم مهدویّت از دیدگاه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بارزترین مقتضیات این مفهوم، آن است که ولادت امام دوازدهم مخفیانه و سرّی باشد تا بعد از آن غیبت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شدن از نظرها و رفتن به جای امنی که خدا آن را اختیار کرده است، به این اعتبار می‌باشد که او آخرین ستارۀ آسمان امامت است و تا هنگامی که خدا بخواهد در پردۀ غیبت می‌ماند و لازمۀ این حکمت الهی، آن است</w:t>
      </w:r>
    </w:p>
    <w:p>
      <w:pPr>
        <w:pStyle w:val="BookText"/>
        <w:rPr/>
      </w:pPr>
      <w:r>
        <w:rPr>
          <w:rFonts w:ascii="IRNazanin" w:hAnsi="IRNazanin" w:eastAsia="IRNazanin"/>
          <w:color w:val="111111"/>
          <w:sz w:val="28"/>
          <w:sz w:val="28"/>
          <w:szCs w:val="28"/>
          <w:rtl w:val="true"/>
          <w:lang w:bidi="fa-IR"/>
        </w:rPr>
        <w:t>که وی زندگی مخفیانه، عمری طولانی و ولادتی سرّی داشته باشد تا بدین ترتیب دوازدهمین حجّت خدا در زمین باقی باشد، اگر چه از نظرها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مناسبت ندارد که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ولادت امام مخفیانه صورت پذیرفته است؟ و چرا وجود او بعد از پدرش برای همه معلوم و مشهود نبوده است تا بتوانیم به راحتی او را تصدیق کنیم؟ زیرا اگر چنین بود، غیبت و مخفی شدن از نظرها ممکن نبود و می‌بایست که تعداد ائمّه از این بیشتر باشد و این با احادیث نبویّه‌ای که نقل شد، موافقت ندارد، پس ولادت مخفیانه از مستلزمات و مقتضیات طبیعی ادلّه‌ای می‌باشد که از روایات نبوی فهمیده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مباحث روشن می‌کند که اثبات خارجی قضیّه‌ای همانند قضیّۀ ولادت حضرت مهدی و وجود و زندگی‌اش، با بحثهای تاریخی صرف، امکان ندارد، به خصوص که این قضیّه از همان اوّل کاملاً مخفیانه و سرّی بوده است بلکه این بحثی عقایدی و تاریخی است که عقیده در آن نقش اصلی را ایفا می‌کند و بحثهای تاریخی آن را تا حدّی تکمیل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به گونه‌ای بوده است که جز عدّه‌ای از شیعیان خاص، از آن آگاهی نداشته‌اند، لذا اگر از دیگران در این باره سؤال می‌شد، اظهار بی اطّلاعی می‌کردند و یا آن را انکار می‌نمودند</w:t>
      </w:r>
      <w:r>
        <w:rPr>
          <w:rFonts w:eastAsia="IRNazanin" w:cs="IRNazanin"/>
          <w:color w:val="111111"/>
          <w:sz w:val="28"/>
          <w:szCs w:val="28"/>
          <w:rtl w:val="true"/>
          <w:lang w:bidi="fa-IR"/>
        </w:rPr>
        <w:t>.</w:t>
      </w:r>
      <w:bookmarkStart w:id="33" w:name="pg5397_34495"/>
    </w:p>
    <w:p>
      <w:pPr>
        <w:pStyle w:val="BookText"/>
        <w:rPr/>
      </w:pPr>
      <w:bookmarkEnd w:id="33"/>
      <w:r>
        <w:rPr>
          <w:rFonts w:ascii="IRNazanin" w:hAnsi="IRNazanin" w:eastAsia="IRNazanin"/>
          <w:color w:val="111111"/>
          <w:sz w:val="28"/>
          <w:sz w:val="28"/>
          <w:szCs w:val="28"/>
          <w:rtl w:val="true"/>
          <w:lang w:bidi="fa-IR"/>
        </w:rPr>
        <w:t>باید توجّه داشت که ما در مورد حادثه‌ای محسوس صحبت نمی‌کنیم که تاریخ تمام زوایای آن را ثبت کرده‌باشد و ما بخواهیم اثبات یا انکار آن را بر اساس نقل قولهای تاریخی قرار دهیم بلکه دربارۀ یکی از عقاید حقّه‌ای بحث می‌کنیم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با علم غیب دربارۀ آن خبر داده‌اند و از ناحیۀ بحثهای تاریخی فقط می‌توان به شواهدی که آن را اثبات می‌کند اکتفا کرد؛ چنان که برخی افراد برگزیده در مورد ولادت آن حضرت یا غیبت صغری و کبری گواهی وشهادت داده اند و در این جا به بعضی از این شواهد اشاره‌می‌شود</w:t>
      </w:r>
      <w:r>
        <w:rPr>
          <w:rFonts w:eastAsia="IRNazanin" w:cs="IRNazanin"/>
          <w:color w:val="111111"/>
          <w:sz w:val="28"/>
          <w:szCs w:val="28"/>
          <w:rtl w:val="true"/>
          <w:lang w:bidi="fa-IR"/>
        </w:rPr>
        <w:t>.</w:t>
      </w:r>
    </w:p>
    <w:p>
      <w:pPr>
        <w:pStyle w:val="Heading4"/>
        <w:numPr>
          <w:ilvl w:val="3"/>
          <w:numId w:val="1"/>
        </w:numPr>
        <w:rPr/>
      </w:pPr>
      <w:bookmarkStart w:id="34" w:name="__RefHeading___Toc1543908_581953129"/>
      <w:bookmarkStart w:id="35" w:name="_Toc13"/>
      <w:bookmarkEnd w:id="34"/>
      <w:r>
        <w:rPr>
          <w:rtl w:val="true"/>
        </w:rPr>
        <w:t>شواهد تاریخی بر وجود امام مهدی</w:t>
      </w:r>
      <w:r>
        <w:rPr>
          <w:rtl w:val="true"/>
        </w:rPr>
        <w:t>(</w:t>
      </w:r>
      <w:r>
        <w:rPr>
          <w:rtl w:val="true"/>
        </w:rPr>
        <w:t>علیهم السلام</w:t>
      </w:r>
      <w:r>
        <w:rPr>
          <w:rtl w:val="true"/>
        </w:rPr>
        <w:t>)</w:t>
      </w:r>
      <w:bookmarkEnd w:id="35"/>
    </w:p>
    <w:p>
      <w:pPr>
        <w:pStyle w:val="Heading5"/>
        <w:numPr>
          <w:ilvl w:val="4"/>
          <w:numId w:val="1"/>
        </w:numPr>
        <w:rPr/>
      </w:pPr>
      <w:bookmarkStart w:id="36" w:name="__RefHeading___Toc1543910_581953129"/>
      <w:bookmarkStart w:id="37" w:name="_Toc14"/>
      <w:bookmarkEnd w:id="36"/>
      <w:r>
        <w:rPr/>
        <w:t>1</w:t>
      </w:r>
      <w:r>
        <w:rPr>
          <w:rtl w:val="true"/>
        </w:rPr>
        <w:t xml:space="preserve">- </w:t>
      </w:r>
      <w:r>
        <w:rPr>
          <w:rtl w:val="true"/>
        </w:rPr>
        <w:t>شهادت امام‌حسن عسکری</w:t>
      </w:r>
      <w:r>
        <w:rPr>
          <w:rtl w:val="true"/>
        </w:rPr>
        <w:t>(</w:t>
      </w:r>
      <w:r>
        <w:rPr>
          <w:rtl w:val="true"/>
        </w:rPr>
        <w:t>علیهم السلام</w:t>
      </w:r>
      <w:r>
        <w:rPr>
          <w:rtl w:val="true"/>
        </w:rPr>
        <w:t xml:space="preserve">) </w:t>
      </w:r>
      <w:r>
        <w:rPr>
          <w:rtl w:val="true"/>
        </w:rPr>
        <w:t>به ولادت پسرش امام‌مهدی</w:t>
      </w:r>
      <w:r>
        <w:rPr>
          <w:rtl w:val="true"/>
        </w:rPr>
        <w:t>(</w:t>
      </w:r>
      <w:r>
        <w:rPr>
          <w:rtl w:val="true"/>
        </w:rPr>
        <w:t>عج</w:t>
      </w:r>
      <w:r>
        <w:rPr>
          <w:rtl w:val="true"/>
        </w:rPr>
        <w:t>)</w:t>
      </w:r>
      <w:bookmarkEnd w:id="37"/>
    </w:p>
    <w:p>
      <w:pPr>
        <w:pStyle w:val="BookText"/>
        <w:rPr/>
      </w:pPr>
      <w:r>
        <w:rPr>
          <w:rFonts w:ascii="IRNazanin" w:hAnsi="IRNazanin" w:eastAsia="IRNazanin"/>
          <w:color w:val="111111"/>
          <w:sz w:val="28"/>
          <w:sz w:val="28"/>
          <w:szCs w:val="28"/>
          <w:rtl w:val="true"/>
          <w:lang w:bidi="fa-IR"/>
        </w:rPr>
        <w:t>محمّد بن یحیی، از احمد بن اسحاق، از ابوهاشم جعفری روایت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بزرگواری شما باعث می‌شود که نتوانم از شما سؤال کنم، آیا اجازه دارم از شما سؤالی کنم؟</w:t>
      </w:r>
      <w:bookmarkStart w:id="38" w:name="pg5397_34496"/>
    </w:p>
    <w:p>
      <w:pPr>
        <w:pStyle w:val="BookText"/>
        <w:rPr/>
      </w:pPr>
      <w:bookmarkEnd w:id="3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این حدیث، از جهت سند و دلالت، کامل و بی نقص است و محمّد بن یحیی ابو جعفر عطارقمی از بزرگانی است که هنوز قبر شریفش زیارت می‌شود و کتابهای رجال، به عظمت و جلالت احمد بن اسحاق بن عبدالله بن سعد بن مالک بن احوص اشعری، ابوعلی قمی در پیشگاه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می‌دهد و همچنین به منزلت داوود بن قاسم بن اسحاق بن عبدالله بن جعفر ابن ابی طالب ابوهاشم جعفری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واسطه‌های بسیار کم این حدیث باید توجّه کرد که قُرب‌الاسناد است و این یکی از شواهد برای تأیید صحّت حدیث است</w:t>
      </w:r>
      <w:r>
        <w:rPr>
          <w:rFonts w:eastAsia="IRNazanin" w:cs="IRNazanin"/>
          <w:color w:val="111111"/>
          <w:sz w:val="28"/>
          <w:szCs w:val="28"/>
          <w:rtl w:val="true"/>
          <w:lang w:bidi="fa-IR"/>
        </w:rPr>
        <w:t>.</w:t>
      </w:r>
    </w:p>
    <w:p>
      <w:pPr>
        <w:pStyle w:val="Heading5"/>
        <w:numPr>
          <w:ilvl w:val="4"/>
          <w:numId w:val="1"/>
        </w:numPr>
        <w:rPr/>
      </w:pPr>
      <w:bookmarkStart w:id="39" w:name="__RefHeading___Toc1543912_581953129"/>
      <w:bookmarkStart w:id="40" w:name="_Toc15"/>
      <w:bookmarkEnd w:id="39"/>
      <w:r>
        <w:rPr/>
        <w:t>2</w:t>
      </w:r>
      <w:r>
        <w:rPr>
          <w:rtl w:val="true"/>
        </w:rPr>
        <w:t xml:space="preserve">- </w:t>
      </w:r>
      <w:r>
        <w:rPr>
          <w:rtl w:val="true"/>
        </w:rPr>
        <w:t>شهادت قابله</w:t>
      </w:r>
      <w:bookmarkEnd w:id="4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خواهر امام و عمّۀ امام و دختر امام و علویّۀ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جواد، خواهر امام هادی و عمّۀ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به ولادت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او</w:t>
      </w:r>
      <w:bookmarkStart w:id="41" w:name="pg5397_34498"/>
    </w:p>
    <w:p>
      <w:pPr>
        <w:pStyle w:val="BookText"/>
        <w:rPr/>
      </w:pPr>
      <w:bookmarkEnd w:id="41"/>
      <w:r>
        <w:rPr>
          <w:rFonts w:ascii="IRNazanin" w:hAnsi="IRNazanin" w:eastAsia="IRNazanin"/>
          <w:color w:val="111111"/>
          <w:sz w:val="28"/>
          <w:sz w:val="28"/>
          <w:szCs w:val="28"/>
          <w:rtl w:val="true"/>
          <w:lang w:bidi="fa-IR"/>
        </w:rPr>
        <w:t>کسی بوده است که با اجازۀ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قابلۀ نرجس در شب میلاد بوده است</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42" w:name="__RefHeading___Toc1543914_581953129"/>
      <w:bookmarkStart w:id="43" w:name="_Toc16"/>
      <w:bookmarkEnd w:id="42"/>
      <w:r>
        <w:rPr/>
        <w:t>3</w:t>
      </w:r>
      <w:r>
        <w:rPr>
          <w:rtl w:val="true"/>
        </w:rPr>
        <w:t xml:space="preserve">- </w:t>
      </w:r>
      <w:r>
        <w:rPr>
          <w:rtl w:val="true"/>
        </w:rPr>
        <w:t>شهادت دیگران بر دیدن امام مهدی</w:t>
      </w:r>
      <w:r>
        <w:rPr>
          <w:rtl w:val="true"/>
        </w:rPr>
        <w:t>(</w:t>
      </w:r>
      <w:r>
        <w:rPr>
          <w:rtl w:val="true"/>
        </w:rPr>
        <w:t>عج</w:t>
      </w:r>
      <w:r>
        <w:rPr>
          <w:rtl w:val="true"/>
        </w:rPr>
        <w:t>)</w:t>
      </w:r>
      <w:bookmarkEnd w:id="43"/>
    </w:p>
    <w:p>
      <w:pPr>
        <w:pStyle w:val="BookText"/>
        <w:rPr/>
      </w:pPr>
      <w:r>
        <w:rPr>
          <w:rFonts w:ascii="IRNazanin" w:hAnsi="IRNazanin" w:eastAsia="IRNazanin"/>
          <w:color w:val="111111"/>
          <w:sz w:val="28"/>
          <w:sz w:val="28"/>
          <w:szCs w:val="28"/>
          <w:rtl w:val="true"/>
          <w:lang w:bidi="fa-IR"/>
        </w:rPr>
        <w:t>منابع تاریخی لیست مفصّلی از اسامی کسانی که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دیده‌اند،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محقّقان، این اسامی را در کتابهای خاصّی جمع‌آوری کرده‌اند، مثل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فیمن رأی القائم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هاشم بحرانی که در آن اسامی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آورده است که به دیدن امام در طفولیّت، یا ایّام غیبت صغری شهادت داده‌اند و اسم منابعی را که بدانها اعتماد کرده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ابوطالب تجلیل تبریزی، اسامی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کسانی را که امام را دیده‌اند و شهادت داده‌اند، ذکر کرده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نام برده است که امام را دیده‌اند و بسیاری از آنان از وکلای امام در شهرهای مختلف بوده‌اند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جمله وکلایی که امام را دیده‌اند،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 از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 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بلالی، عثمان بن سعید عمری، محمّد بن عثمان بن سعید عمری و عطار؛ 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عاصمی؛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از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بسامی، محمّد بن ابی‌عبدالله کوفی اسدی و محمّد بن صالح</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غیر از وکلایی که امام را دیده‌اند،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باشاذاله؛ از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حصینی؛ 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اسحاق کاتب؛ از بنی نوبخت، ابوعبدالله خیبری، ابوعبدالله بن فروخ، ابوعبدالله کندی، ابوالقاسم بن ابی حلیس، ابوالقاسم بن دبیس، مسرور طبّاخ آزاد کردۀ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نیلی و هارون فزاری؛ از 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اخی الحسن بن هارون و عمویش حسن بن هارون؛ از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رفا، علی بن محمّد، قاسم بن موسی، ابن القاسم بن موسی، ابومحمّد بن هارون و محمّد بن محمّد کلینی؛ از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احمد و مرداس؛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نضر، حسین بن یعقوب، علی بن محمّد بن اسحاق، محمّد بن اسحاق و محمّد بن محمّد؛ از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ابورجا؛ از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بن وجنای نصیبی؛ از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همدان، محمّد بن کشمرد و محمّد بن هارون؛ 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اعجمی، جعفری، حسن بن فضل بن یزید، پدرش فضل بن یزید و شمشاطی</w:t>
      </w:r>
      <w:r>
        <w:rPr>
          <w:rFonts w:eastAsia="IRNazanin" w:cs="IRNazanin"/>
          <w:color w:val="111111"/>
          <w:sz w:val="28"/>
          <w:szCs w:val="28"/>
          <w:rtl w:val="true"/>
          <w:lang w:bidi="fa-IR"/>
        </w:rPr>
        <w:t>.</w:t>
      </w:r>
      <w:bookmarkStart w:id="44" w:name="pg5397_34502"/>
    </w:p>
    <w:p>
      <w:pPr>
        <w:pStyle w:val="BookText"/>
        <w:rPr/>
      </w:pPr>
      <w:bookmarkEnd w:id="44"/>
      <w:r>
        <w:rPr>
          <w:rFonts w:ascii="IRNazanin" w:hAnsi="IRNazanin" w:eastAsia="IRNazanin"/>
          <w:color w:val="111111"/>
          <w:sz w:val="28"/>
          <w:sz w:val="28"/>
          <w:szCs w:val="28"/>
          <w:rtl w:val="true"/>
          <w:lang w:bidi="fa-IR"/>
        </w:rPr>
        <w:t>همچنین از اهالی شهر زور، صیمره، فارس، قابوس و مرو نقل شده است که او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آیا توافق این افراد از شهرهای مختلف و توطئه برای دروغگویی، معقول به نظر می‌رسد؟ در حالی که بین آنان افراد ثقه و صادقی هستند که کتابهای رجالی به ثقه بودن ایشان گواهی داده‌اند</w:t>
      </w:r>
      <w:r>
        <w:rPr>
          <w:rFonts w:eastAsia="IRNazanin" w:cs="IRNazanin"/>
          <w:color w:val="111111"/>
          <w:sz w:val="28"/>
          <w:szCs w:val="28"/>
          <w:rtl w:val="true"/>
          <w:lang w:bidi="fa-IR"/>
        </w:rPr>
        <w:t>.</w:t>
      </w:r>
    </w:p>
    <w:p>
      <w:pPr>
        <w:pStyle w:val="Heading5"/>
        <w:numPr>
          <w:ilvl w:val="4"/>
          <w:numId w:val="1"/>
        </w:numPr>
        <w:rPr/>
      </w:pPr>
      <w:bookmarkStart w:id="45" w:name="__RefHeading___Toc1543916_581953129"/>
      <w:bookmarkStart w:id="46" w:name="_Toc17"/>
      <w:bookmarkEnd w:id="45"/>
      <w:r>
        <w:rPr/>
        <w:t>4</w:t>
      </w:r>
      <w:r>
        <w:rPr>
          <w:rtl w:val="true"/>
        </w:rPr>
        <w:t xml:space="preserve">- </w:t>
      </w:r>
      <w:r>
        <w:rPr>
          <w:rtl w:val="true"/>
        </w:rPr>
        <w:t>برخورد سلطنت عبّاسیان با این حادثه</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ظالم عبّاسی آن چنان رفتاری با خانواده‌اش داشت که نشان می‌داد از مولودی که تولّدش بر آنان مخفی مانده است، بسیار ترسیده‌اند، برای همین، با تمام امکانات به جستجو پرداختند تا بلکه او را بیابند و حتّی معتمد عبّاسی که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هلاک شد، به نیروهایش دستور داد که خانۀ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مورد بررسی و تفتیش قرار دهند تا شاید امام را بیابند و دستور داد که کنیزهای ابومحمّد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محبوس نمایند و زنان وی را زیر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جعفر کذّاب، برادر امام با ایشان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خاندان و بازماندگان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و</w:t>
      </w:r>
    </w:p>
    <w:p>
      <w:pPr>
        <w:pStyle w:val="BookText"/>
        <w:rPr/>
      </w:pPr>
      <w:r>
        <w:rPr>
          <w:rFonts w:ascii="IRNazanin" w:hAnsi="IRNazanin" w:eastAsia="IRNazanin"/>
          <w:color w:val="111111"/>
          <w:sz w:val="28"/>
          <w:sz w:val="28"/>
          <w:szCs w:val="28"/>
          <w:rtl w:val="true"/>
          <w:lang w:bidi="fa-IR"/>
        </w:rPr>
        <w:t>گرفتاری بزرگی مبتلا گردیده و عدّه‌ای اسیر و عدّه‌ای محبوس و عدّه‌ای تبعید شدند</w:t>
      </w:r>
      <w:r>
        <w:rPr>
          <w:rFonts w:eastAsia="IRNazanin" w:cs="IRNazanin"/>
          <w:color w:val="111111"/>
          <w:sz w:val="28"/>
          <w:szCs w:val="28"/>
          <w:rtl w:val="true"/>
          <w:lang w:bidi="fa-IR"/>
        </w:rPr>
        <w:t xml:space="preserve">... .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همۀ اینها در زمانی است که امام‌مهدی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ساله بود، امّا برای معتمد عبّاسی عمر امام مهم نبود بلکه وی فهمیده بود که این مولود، کسی است که تاج و تخت سلطنت طاغوتیان را متلاشی خواهد کرد؛ زیرا این خبر، منتشر و شایع شده بود که دوازدهمین امام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از عدل و قسط پرخواهد کرد، پس از آن که از ظلم و جور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موضعگیری معتمد نسبت به امام همانند موضعگیری فرعون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مادرش او را از ترس فرعون، در دریای نیل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معتمد عبّاسی تنها پادشاهی نبود که این مطلب را فهمیده بود بلکه پادشاهان قبل از وی، از قبیل معتز و مهتدی نیز این را فهیمده بودند و برای همین،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مراقبت را به عمل می‌آورد تا خبر ولادت حضرت‌مهدی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نشود و تنها خواص از آن اطّلاع داشته 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پادشاهان بنی عبّاس فهمیده بودند که حدیث جابربن سمره نه بر ایشان و نه بر پادشاهان بنی امیّه مطابقت دارد بلکه تنها مصداق آن،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همین از دوازدهمین امام، بسیار</w:t>
      </w:r>
    </w:p>
    <w:p>
      <w:pPr>
        <w:pStyle w:val="BookText"/>
        <w:rPr/>
      </w:pPr>
      <w:r>
        <w:rPr>
          <w:rFonts w:ascii="IRNazanin" w:hAnsi="IRNazanin" w:eastAsia="IRNazanin"/>
          <w:color w:val="111111"/>
          <w:sz w:val="28"/>
          <w:sz w:val="28"/>
          <w:szCs w:val="28"/>
          <w:rtl w:val="true"/>
          <w:lang w:bidi="fa-IR"/>
        </w:rPr>
        <w:t>می‌ترسیدند و در غیر این صورت عاقلانه نبود که از طفلی پنج ساله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معتقد بودند که این طفل،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متواتر به آمدن او مژده داده‌اند؛ از این رو، کنیزان امام‌حسن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محبوس کردند و قابله‌هایی فرستادند تا آنان را مورد بررسی قرار دهند تا مبادا حامله باشند و حتّی بعضی از کنیزان را به مدّت دو سال تحت مراقبت گرفتند و این در حالی بود که دائماً منزل امام را مورد تفتیش قرار می‌دادند و جاسوسانی اعزام می‌کردند تا اخبار منزل امام را جمع‌آوری و گزارش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مطرح می‌شود که چرا سلطۀ حاکم، قول جعفر کذّاب را نپذیرفت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مرده و هیچ فرزندی از خود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آنان این امکان وجود نداشت که ارث را به جعفر واگذار کنند و دست از این ظلمها و تفتیشهای دردآور بردارند؟</w:t>
      </w:r>
    </w:p>
    <w:p>
      <w:pPr>
        <w:pStyle w:val="BookText"/>
        <w:rPr/>
      </w:pPr>
      <w:r>
        <w:rPr>
          <w:rFonts w:ascii="IRNazanin" w:hAnsi="IRNazanin" w:eastAsia="IRNazanin"/>
          <w:color w:val="111111"/>
          <w:sz w:val="28"/>
          <w:sz w:val="28"/>
          <w:szCs w:val="28"/>
          <w:rtl w:val="true"/>
          <w:lang w:bidi="fa-IR"/>
        </w:rPr>
        <w:t>شاید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پی آن بود که حقّ افراد دیگر را از میراث بپردازد و بدین جهت در صدد یافتن وارثان دیگر امام بود تا جعفر کذّاب به تنهایی، با شهادت خود، وارث همۀ میراث نگردد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یک حکومت به دور بود که چنین تصرّفات و جستجوهای مضحکی را به راه بیندازد بلکه وظیفۀ عبّاسی</w:t>
      </w:r>
    </w:p>
    <w:p>
      <w:pPr>
        <w:pStyle w:val="BookText"/>
        <w:rPr/>
      </w:pPr>
      <w:r>
        <w:rPr>
          <w:rFonts w:ascii="IRNazanin" w:hAnsi="IRNazanin" w:eastAsia="IRNazanin"/>
          <w:color w:val="111111"/>
          <w:sz w:val="28"/>
          <w:sz w:val="28"/>
          <w:szCs w:val="28"/>
          <w:rtl w:val="true"/>
          <w:lang w:bidi="fa-IR"/>
        </w:rPr>
        <w:t>اقتضا می‌کرد که ادّعای جعفر کذّاب را به یک دادگاه ارجاع دهد تا قاضی دربارۀ ارث و میراث حکم صادر کند؛ زیرا در چنین موضوعی، قاضی می‌توانست که شهودی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مادر و کنیزان امام و خویشاوندان وی از بنی هاشم را احضار کند و سخنان مدّعی و منکر را بشنود و سپس حکم خود را صادر کرده و به قضیّه خاتمه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گزارش سریع این قضیّه به بالاترین مقام سلطنتی، قبل از آن که امام دفن شود و خروج قضیّه از دایرۀ قضاوت و داوری و تفتیش و تصرّفات بی‌رحمانۀ حکومت ظالمانه نشان می‌دهد که کارگزاران سلطنت عبّاسی، یقین کرده بودند که مهدی موعود، آخرین حلقه از حلقه‌های دوازده‌گانۀ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خصوص که این روایت به صورت متواتر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نمی‌شوند تا در حوض بر من وارد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معنای عدم ولادت مهدی، یا عدم استمرار حیاتش، انقراض عترت است و این چیزی است که هیچ کدام از پادشاهان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خلیفه مسلمین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قایل نبودند</w:t>
      </w:r>
      <w:r>
        <w:rPr>
          <w:rFonts w:eastAsia="IRNazanin" w:cs="IRNazanin"/>
          <w:color w:val="111111"/>
          <w:sz w:val="28"/>
          <w:szCs w:val="28"/>
          <w:rtl w:val="true"/>
          <w:lang w:bidi="fa-IR"/>
        </w:rPr>
        <w:t xml:space="preserve">. </w:t>
      </w:r>
      <w:r>
        <w:rPr>
          <w:rStyle w:val="FootnoteAnchor"/>
          <w:rtl w:val="true"/>
        </w:rPr>
        <w:footnoteReference w:id="47"/>
      </w:r>
      <w:bookmarkStart w:id="47" w:name="pg5397_34510"/>
    </w:p>
    <w:p>
      <w:pPr>
        <w:pStyle w:val="Heading5"/>
        <w:numPr>
          <w:ilvl w:val="4"/>
          <w:numId w:val="1"/>
        </w:numPr>
        <w:rPr/>
      </w:pPr>
      <w:bookmarkStart w:id="48" w:name="__RefHeading___Toc1543918_581953129"/>
      <w:bookmarkStart w:id="49" w:name="_Toc18"/>
      <w:bookmarkEnd w:id="47"/>
      <w:bookmarkEnd w:id="48"/>
      <w:r>
        <w:rPr/>
        <w:t>5</w:t>
      </w:r>
      <w:r>
        <w:rPr>
          <w:rtl w:val="true"/>
        </w:rPr>
        <w:t xml:space="preserve">- </w:t>
      </w:r>
      <w:r>
        <w:rPr>
          <w:rtl w:val="true"/>
        </w:rPr>
        <w:t>اعترافات علمای اهل تسنّن به ولادت حضرت مهدی</w:t>
      </w:r>
      <w:r>
        <w:rPr>
          <w:rtl w:val="true"/>
        </w:rPr>
        <w:t>(</w:t>
      </w:r>
      <w:r>
        <w:rPr>
          <w:rtl w:val="true"/>
        </w:rPr>
        <w:t>عج</w:t>
      </w:r>
      <w:r>
        <w:rPr>
          <w:rtl w:val="true"/>
        </w:rPr>
        <w:t>)</w:t>
      </w:r>
      <w:bookmarkEnd w:id="49"/>
    </w:p>
    <w:p>
      <w:pPr>
        <w:pStyle w:val="BookText"/>
        <w:rPr/>
      </w:pPr>
      <w:r>
        <w:rPr>
          <w:rFonts w:ascii="IRNazanin" w:hAnsi="IRNazanin" w:eastAsia="IRNazanin"/>
          <w:color w:val="111111"/>
          <w:sz w:val="28"/>
          <w:sz w:val="28"/>
          <w:szCs w:val="28"/>
          <w:rtl w:val="true"/>
          <w:lang w:bidi="fa-IR"/>
        </w:rPr>
        <w:t xml:space="preserve">اگر کسی به کتاب إلزام الناصب مراجعه کند، سخنان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را نقل کرده است که به بیش از صد صفحه می‌رسد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شاید جامع‌ترین کتاب شیعی در این زمینه،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المنتظر فی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وسیلۀ مهدی فقیه ایمانی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اسامی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 سنّت را آورده است که به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این در حالی است که وی اسامی نزدیک به سی نفر از علمای اهل‌سنّت را ذکر نکرده است و دیگران این اسامی را در کتابهای خود آورده‌اند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ثامر عمیدی، این اعترافات را به حسب زمان مرتّب نموده است تا تواتر و اجماع علمای اهل سنّت را بیشتر آشکار سازد</w:t>
      </w:r>
      <w:r>
        <w:rPr>
          <w:rFonts w:eastAsia="IRNazanin" w:cs="IRNazanin"/>
          <w:color w:val="111111"/>
          <w:sz w:val="28"/>
          <w:szCs w:val="28"/>
          <w:rtl w:val="true"/>
          <w:lang w:bidi="fa-IR"/>
        </w:rPr>
        <w:t xml:space="preserve">. </w:t>
      </w:r>
      <w:r>
        <w:rPr>
          <w:rStyle w:val="FootnoteAnchor"/>
          <w:rtl w:val="true"/>
        </w:rPr>
        <w:footnoteReference w:id="5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النبی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مسند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و نعیم بن حماد در الفتن از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کرده‌اند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از ما اهل بیت می باشد که خداوند یک شبه کار او را اصلاح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الحاوی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 ابن ابی شیبه و ابوداوود از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پیامبراکرم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دنیا تنها یک روز مانده باشد، خداوند از اهل بیت من کسی را مبعوث می کند که آن را پر از عدل و داد کند، پس از آن که پر از ظلم و جور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صحیح سنن المصطفی هم به این حدیث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معجم احادیث المهدی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که احادیث بسیاری را از صحاح و مسانید در این موضوع جمع آوری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موسوعة الامام المهدی که به وسیله مهدی فقیه ایمانی تنظیم شده است، 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جزء اوّل این موسوعه تصویر نقل قولهایی از دهها کتاب علمای اهل سنّت و محدّثان آنان در مورد مهدی و صفات آن حضرت جمع‌آوری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جزء، تصویر نسخه‌ای از سخنرانی شیخ عباد در مورد احادیث و آثاری که درباره مهدی نقل شده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مراجعه به روایتی که مهدی را نهمین فرزند از نسل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به این منابع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حنفی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مقتل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فرائد السمطین، جوینی 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منتخب الاثر، شیخ لطف الله صافی گلپایگانی که روایات را از هر دو طریق جمع‌آوری کرده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و ابن ماجه و طبرانی و حاکم از امّ سلمه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شنیدم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از عترت من از فرزندان فاطمه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صحیح سنن المصطفی،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 ذریّة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معجم احادیث المهدی و در الاربعون حدیثاً، تألیف ابونعیم اصفهانی و در عقد الدرر مقدّسی شافعی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 در الاوسط آن را از المنار المنیف، تألیف ابن قیّم نقل کرده و در 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المختصر، ابن حجر هیتمی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منتخب الاثر، شیخ لطف الله صافی گلپایگانی که روایات را از طریق شیعه نقل کرده مراجعه نمایید و به کتاب دفاع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تألیف عمیدی مراجعه کنید که به دلایل ضعف روایتی را که مهدی را از فرزندان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اشاره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خلفای بعد از من دوازده نفر و همگی از قریش هستند،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دین تا زمانی که دوازده نفر که همگی از قریش هستند به ولایت برسند، پا برجاست، از روایات متواتری است که به طرقهای متعدّد در صحاح و مسانید با اختلاف کمی در الفاظ ذکر گردیده است، البتّه در تأویل و تفسیر آن اختلاف و اضطرابی به وجود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کتاب الاحکام، باب الاستخلاف؛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الاماره، باب الاستخلاف؛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الکبری ، محمّد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مسلم، بخاری و ترمذی روایت کرده‌اند و برای بررسی حدیث و طرق آن، به کتاب الامام المهدی تألیف علی محمّد علی دخیّل مراجعه کنید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کتاب الاحکام، باب الاستخلاف، چاپ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تعقیب حدیث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مسلم، و بخاری و ترمذی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حاشیه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ابوداوود در کتاب المهدی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یزالُ هَذَا الدینُ قَائِماً حَتّی یکُونُ عَلیکُم إثنی عَشَر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به سنن 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امام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خداوند در سوره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آن که علما و محدّثان بر صحّت این روایت اتّفاق نظر کرده‌اند، در تأویل و تطبیق آن دچار اختلاف شده و مصادیقی را ذکر کرده‌اند که قبول آن ممکن نیست و بلکه غیر معقول است؛ چنان که بعضی، یزید بن معاویه که شارب الخمر و متجاهر به فسق بوده است را جزء ائمّه دوازده‌گانه دانسته‌اند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حَولَ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به تحقیق دکتر عبدالجبّار شراره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الاماره، باب الناس تبع لقریش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الاحکام، باب الاستخلاف؛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w:t>
      </w:r>
      <w:r>
        <w:rPr>
          <w:rFonts w:eastAsia="IRNazanin" w:cs="IRNazanin"/>
          <w:b w:val="false"/>
          <w:bCs w:val="false"/>
          <w:i w:val="false"/>
          <w:iCs w:val="false"/>
          <w:color w:val="333333"/>
          <w:sz w:val="20"/>
          <w:szCs w:val="20"/>
        </w:rPr>
        <w:t>20534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سنن 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المعجم الکبیر، 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مستدرک 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حلیة الاولیاء، ابونعیم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صحیح مسلم به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السلوک فی دول الملوک، 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الحافظ ابن قیّم الجوزیّة علی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العقیدة الطحاویه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الحاوی للفتاوی،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عون المعبود فی شرح سنن ابی داوود، عظیم 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مشکاة المصابیح،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السلسلة الصحیحه، الالبانی، حدیث شماره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حدیث را محدّثان شیعه نقل کرده‌اند که از جمله صدوق در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متعدّد حدیث و روایات آن نقل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القرآن‌الکریم،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 دوازدهم از سوره مائده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العقیدة الطحاویّه، قاضی دمشقی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المعبود فی شرح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حدیث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کتاب المهدی، چاپ دارالکتب الاسلامیّه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المعبود فی شرح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المعبود فی شرح 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السلوک لمعرفة دول الملوک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للفتاوی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ابن نجار، از انس نقل کرده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علامه امینی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 و المعارضون، سیّد جعفر مرتضی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کتاب الحجّه، باب الاشاره و النص الی صاحب‌الدار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کتاب الحجّه، باب تسمیة من رأه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هو المهدی؟ ابوطالب تجلیل 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دفاع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إلزام الناصب فی اثبات الحجّة الغائب، شیخ علی یزدی 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المهدی المنتظر فی نهج‌البلاغه، شیخ مهدی فقیه ایمانی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الثانی عشر، سیّد محمّد سعید موسوی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کتاب، اسامی سی نفر دیگر از علمای اهل‌سنّت را در حاشیه کتاب،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المهدی الموعود المنتظر عند اهل السنّة و الامامیّه، شیخ نجم‌الدین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دفاع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9638</Words>
  <Characters>38318</Characters>
  <CharactersWithSpaces>47680</CharactersWithSpaces>
  <Paragraphs>347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2026-08-19T01:46:28Z</dcterms:created>
  <dc:creator>ghaemiyeh.com</dc:creator>
  <dc:description/>
  <dc:language>en-US</dc:language>
  <cp:lastModifiedBy/>
  <dcterms:modified xsi:type="dcterms:W3CDTF">2026-08-19T05:16:30Z</dcterms:modified>
  <cp:revision>1</cp:revision>
  <dc:subject/>
  <dc:title>نظریه عدالت صحابه</dc:title>
</cp:coreProperties>
</file>

<file path=docProps/custom.xml><?xml version="1.0" encoding="utf-8"?>
<Properties xmlns="http://schemas.openxmlformats.org/officeDocument/2006/custom-properties" xmlns:vt="http://schemas.openxmlformats.org/officeDocument/2006/docPropsVTypes"/>
</file>